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Default Extension="gif" ContentType="image/gif"/>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0381" w:rsidRDefault="00BF47BC" w:rsidP="001D5976">
      <w:pPr>
        <w:pStyle w:val="DateAddress"/>
      </w:pPr>
      <w:r>
        <w:fldChar w:fldCharType="begin"/>
      </w:r>
      <w:r w:rsidR="00BE0381">
        <w:instrText xml:space="preserve"> CREATEDATE \@ "</w:instrText>
      </w:r>
      <w:r w:rsidR="004D782D">
        <w:instrText xml:space="preserve">d </w:instrText>
      </w:r>
      <w:r w:rsidR="00BE0381">
        <w:instrText>MMMM</w:instrText>
      </w:r>
      <w:r w:rsidR="004D782D">
        <w:instrText xml:space="preserve"> </w:instrText>
      </w:r>
      <w:r w:rsidR="00BE0381">
        <w:instrText xml:space="preserve">yyyy" \* MERGEFORMAT </w:instrText>
      </w:r>
      <w:r>
        <w:fldChar w:fldCharType="separate"/>
      </w:r>
      <w:r w:rsidR="005C0980">
        <w:rPr>
          <w:noProof/>
        </w:rPr>
        <w:t>7 September 2012</w:t>
      </w:r>
      <w:r>
        <w:fldChar w:fldCharType="end"/>
      </w:r>
    </w:p>
    <w:p w:rsidR="00BE0381" w:rsidRDefault="00BE0381" w:rsidP="001D5976">
      <w:pPr>
        <w:pStyle w:val="DateAddress"/>
      </w:pPr>
    </w:p>
    <w:p w:rsidR="00BE0381" w:rsidRPr="00254372" w:rsidRDefault="005C0980" w:rsidP="00072B42">
      <w:pPr>
        <w:pStyle w:val="DateAddress"/>
        <w:tabs>
          <w:tab w:val="left" w:pos="2664"/>
        </w:tabs>
      </w:pPr>
      <w:r>
        <w:t>Head of Payments Policy Department</w:t>
      </w:r>
    </w:p>
    <w:p w:rsidR="000F22D4" w:rsidRDefault="005C0980" w:rsidP="00072B42">
      <w:pPr>
        <w:pStyle w:val="DateAddress"/>
        <w:tabs>
          <w:tab w:val="left" w:pos="2664"/>
        </w:tabs>
      </w:pPr>
      <w:r>
        <w:t xml:space="preserve">Reserve Bank of Australia </w:t>
      </w:r>
    </w:p>
    <w:p w:rsidR="00BE0381" w:rsidRDefault="005C0980" w:rsidP="00072B42">
      <w:pPr>
        <w:pStyle w:val="DateAddress"/>
        <w:tabs>
          <w:tab w:val="left" w:pos="2664"/>
        </w:tabs>
      </w:pPr>
      <w:r>
        <w:t>GPO Box 3947</w:t>
      </w:r>
    </w:p>
    <w:p w:rsidR="004D782D" w:rsidRDefault="005C0980" w:rsidP="00072B42">
      <w:pPr>
        <w:pStyle w:val="DateAddress"/>
        <w:tabs>
          <w:tab w:val="left" w:pos="2664"/>
        </w:tabs>
      </w:pPr>
      <w:r>
        <w:t>Sydney NSW 2001</w:t>
      </w:r>
    </w:p>
    <w:p w:rsidR="00553A39" w:rsidRDefault="00553A39" w:rsidP="00BE0381"/>
    <w:p w:rsidR="00BE0381" w:rsidRDefault="00BE0381" w:rsidP="00BE0381"/>
    <w:p w:rsidR="00BE0381" w:rsidRDefault="005C0980" w:rsidP="00BE0381">
      <w:r>
        <w:t>Dear Sir/Madam</w:t>
      </w:r>
      <w:r w:rsidR="00BE0381">
        <w:t>,</w:t>
      </w:r>
    </w:p>
    <w:p w:rsidR="005C0980" w:rsidRDefault="005C0980" w:rsidP="00BE0381"/>
    <w:p w:rsidR="00E970D2" w:rsidRDefault="00E970D2" w:rsidP="00BE0381">
      <w:pPr>
        <w:rPr>
          <w:b/>
        </w:rPr>
      </w:pPr>
      <w:r>
        <w:rPr>
          <w:b/>
        </w:rPr>
        <w:t>Commercial-in-Confidence</w:t>
      </w:r>
    </w:p>
    <w:p w:rsidR="00E970D2" w:rsidRDefault="00E970D2" w:rsidP="00BE0381">
      <w:pPr>
        <w:rPr>
          <w:b/>
        </w:rPr>
      </w:pPr>
    </w:p>
    <w:p w:rsidR="005C0980" w:rsidRPr="005C0980" w:rsidRDefault="005C0980" w:rsidP="00BE0381">
      <w:pPr>
        <w:rPr>
          <w:b/>
        </w:rPr>
      </w:pPr>
      <w:r>
        <w:rPr>
          <w:b/>
        </w:rPr>
        <w:t>Strategic Review of Innovation in the Payments System: Conclusions – June 2012</w:t>
      </w:r>
    </w:p>
    <w:p w:rsidR="005C0980" w:rsidRDefault="005C0980" w:rsidP="00BE0381"/>
    <w:p w:rsidR="00BE0381" w:rsidRDefault="00BF47BC" w:rsidP="00BE0381">
      <w:r w:rsidRPr="00BF47BC">
        <w:rPr>
          <w:noProof/>
          <w:lang w:eastAsia="en-US"/>
        </w:rPr>
        <w:pict>
          <v:shapetype id="_x0000_t202" coordsize="21600,21600" o:spt="202" path="m,l,21600r21600,l21600,xe">
            <v:stroke joinstyle="miter"/>
            <v:path gradientshapeok="t" o:connecttype="rect"/>
          </v:shapetype>
          <v:shape id="Personal Information" o:spid="_x0000_s1027" type="#_x0000_t202" style="position:absolute;margin-left:41.75pt;margin-top:14.4pt;width:119.5pt;height:141.75pt;z-index:251660287;visibility:visible;mso-position-horizontal-relative:page;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" filled="f" stroked="f">
            <v:path arrowok="t"/>
            <v:textbox inset="0,0,0,0">
              <w:txbxContent>
                <w:p w:rsidR="00553A39" w:rsidRPr="009A4393" w:rsidRDefault="00492ACE" w:rsidP="00553A39">
                  <w:pPr>
                    <w:pStyle w:val="HPInformation"/>
                    <w:rPr>
                      <w:rFonts w:asciiTheme="majorHAnsi" w:hAnsiTheme="majorHAnsi" w:cstheme="majorHAnsi"/>
                      <w:b/>
                    </w:rPr>
                  </w:pPr>
                  <w:r>
                    <w:rPr>
                      <w:rFonts w:asciiTheme="majorHAnsi" w:hAnsiTheme="majorHAnsi" w:cstheme="majorHAnsi"/>
                      <w:b/>
                    </w:rPr>
                    <w:t>Dee McGrath</w:t>
                  </w:r>
                </w:p>
                <w:p w:rsidR="00492ACE" w:rsidRDefault="00492ACE" w:rsidP="00553A39">
                  <w:pPr>
                    <w:pStyle w:val="HPInformation"/>
                  </w:pPr>
                  <w:r>
                    <w:t>Vice President Financial Services</w:t>
                  </w:r>
                </w:p>
                <w:p w:rsidR="00492ACE" w:rsidRDefault="00492ACE" w:rsidP="00553A39">
                  <w:pPr>
                    <w:pStyle w:val="HPInformation"/>
                  </w:pPr>
                  <w:r>
                    <w:t>Regional Cards &amp; Payments Utility</w:t>
                  </w:r>
                </w:p>
                <w:p w:rsidR="00492ACE" w:rsidRDefault="00492ACE" w:rsidP="00553A39">
                  <w:pPr>
                    <w:pStyle w:val="HPInformation"/>
                  </w:pPr>
                  <w:r>
                    <w:t>T</w:t>
                  </w:r>
                  <w:r>
                    <w:tab/>
                    <w:t>03 8833 6072</w:t>
                  </w:r>
                </w:p>
                <w:p w:rsidR="00553A39" w:rsidRPr="009A4393" w:rsidRDefault="00492ACE" w:rsidP="00553A39">
                  <w:pPr>
                    <w:pStyle w:val="HPInformation"/>
                  </w:pPr>
                  <w:r>
                    <w:t>dee.mcgrath@hp.com</w:t>
                  </w:r>
                </w:p>
                <w:p w:rsidR="00553A39" w:rsidRPr="009A4393" w:rsidRDefault="00553A39" w:rsidP="00553A39">
                  <w:pPr>
                    <w:pStyle w:val="HPInformation"/>
                  </w:pPr>
                </w:p>
              </w:txbxContent>
            </v:textbox>
            <w10:wrap anchorx="page"/>
          </v:shape>
        </w:pict>
      </w:r>
    </w:p>
    <w:p w:rsidR="003E4493" w:rsidRPr="003E4493" w:rsidRDefault="003E4493" w:rsidP="003E4493">
      <w:pPr>
        <w:rPr>
          <w:rFonts w:eastAsia="Times New Roman"/>
          <w:noProof/>
          <w:lang w:eastAsia="en-AU"/>
        </w:rPr>
      </w:pPr>
      <w:r w:rsidRPr="003E4493">
        <w:rPr>
          <w:rFonts w:eastAsia="Times New Roman"/>
          <w:noProof/>
          <w:lang w:eastAsia="en-AU"/>
        </w:rPr>
        <w:t xml:space="preserve">Hewlett-Packard Australia Pty Ltd (HP) thanks the  Reserve Bank of Australia (RBA) for both the Strategic Review of Innovation in the Payments System  and the opportunity to comment regarding the conclusions. </w:t>
      </w:r>
    </w:p>
    <w:p w:rsidR="003E4493" w:rsidRDefault="003E4493" w:rsidP="003E4493">
      <w:pPr>
        <w:rPr>
          <w:rFonts w:eastAsia="Times New Roman"/>
          <w:noProof/>
          <w:lang w:eastAsia="en-AU"/>
        </w:rPr>
      </w:pPr>
    </w:p>
    <w:p w:rsidR="003E4493" w:rsidRDefault="003E4493" w:rsidP="003E4493">
      <w:pPr>
        <w:rPr>
          <w:rFonts w:eastAsia="Times New Roman"/>
          <w:noProof/>
          <w:lang w:eastAsia="en-AU"/>
        </w:rPr>
      </w:pPr>
      <w:r w:rsidRPr="003E4493">
        <w:rPr>
          <w:rFonts w:eastAsia="Times New Roman"/>
          <w:noProof/>
          <w:lang w:eastAsia="en-AU"/>
        </w:rPr>
        <w:t>HP is one of the largest third party Cards &amp; Payment processors globally and has performed integral roles in payments processing both within Australia and globally for decades. Since 2006, HP has operated an Australian based payments utility hub processing a significant proportion of Australia’s EFT payment transactions. HP performs payment processing as a service and provides infrastructure to the payments industry globally touching one in two transactions across the globe. HP is keenly interested in the developments within the Australian payments industry and is more than happy to contribute our experience in operating a payments hub in Australia. Our main points in response to the Review are:</w:t>
      </w:r>
    </w:p>
    <w:p w:rsidR="003E4493" w:rsidRPr="003E4493" w:rsidRDefault="003E4493" w:rsidP="003E4493">
      <w:pPr>
        <w:rPr>
          <w:rFonts w:eastAsia="Times New Roman"/>
          <w:noProof/>
          <w:lang w:eastAsia="en-AU"/>
        </w:rPr>
      </w:pPr>
    </w:p>
    <w:p w:rsidR="003E4493" w:rsidRPr="003E4493" w:rsidRDefault="003E4493" w:rsidP="003E4493">
      <w:pPr>
        <w:numPr>
          <w:ilvl w:val="0"/>
          <w:numId w:val="22"/>
        </w:numPr>
        <w:spacing w:after="200" w:line="276" w:lineRule="auto"/>
        <w:rPr>
          <w:rFonts w:eastAsia="Times New Roman"/>
          <w:noProof/>
          <w:lang w:eastAsia="en-AU"/>
        </w:rPr>
      </w:pPr>
      <w:r w:rsidRPr="003E4493">
        <w:rPr>
          <w:rFonts w:eastAsia="Times New Roman"/>
          <w:noProof/>
          <w:lang w:eastAsia="en-AU"/>
        </w:rPr>
        <w:t xml:space="preserve">Despite the best intentions of all parties, previous reforms in the payment system have not delivered on </w:t>
      </w:r>
      <w:r w:rsidR="003B7D35">
        <w:rPr>
          <w:rFonts w:eastAsia="Times New Roman"/>
          <w:noProof/>
          <w:lang w:eastAsia="en-AU"/>
        </w:rPr>
        <w:t xml:space="preserve">all aspects of </w:t>
      </w:r>
      <w:r w:rsidRPr="003E4493">
        <w:rPr>
          <w:rFonts w:eastAsia="Times New Roman"/>
          <w:noProof/>
          <w:lang w:eastAsia="en-AU"/>
        </w:rPr>
        <w:t>their stated agenda, particularly around access for new entrants, cost and efficiency;</w:t>
      </w:r>
    </w:p>
    <w:p w:rsidR="003E4493" w:rsidRPr="003E4493" w:rsidRDefault="003E4493" w:rsidP="003E4493">
      <w:pPr>
        <w:numPr>
          <w:ilvl w:val="0"/>
          <w:numId w:val="22"/>
        </w:numPr>
        <w:spacing w:after="200" w:line="276" w:lineRule="auto"/>
        <w:rPr>
          <w:rFonts w:eastAsia="Times New Roman"/>
          <w:noProof/>
          <w:lang w:eastAsia="en-AU"/>
        </w:rPr>
      </w:pPr>
      <w:r w:rsidRPr="003E4493">
        <w:rPr>
          <w:rFonts w:eastAsia="Times New Roman"/>
          <w:noProof/>
          <w:lang w:eastAsia="en-AU"/>
        </w:rPr>
        <w:t>The main reasons for this are technological and structural impediments limiting access, innovation and ongoing investment; and</w:t>
      </w:r>
    </w:p>
    <w:p w:rsidR="003E4493" w:rsidRPr="003E4493" w:rsidRDefault="003E4493" w:rsidP="003E4493">
      <w:pPr>
        <w:numPr>
          <w:ilvl w:val="0"/>
          <w:numId w:val="22"/>
        </w:numPr>
        <w:spacing w:after="200" w:line="276" w:lineRule="auto"/>
        <w:rPr>
          <w:rFonts w:eastAsia="Times New Roman"/>
          <w:noProof/>
          <w:lang w:eastAsia="en-AU"/>
        </w:rPr>
      </w:pPr>
      <w:r w:rsidRPr="003E4493">
        <w:rPr>
          <w:rFonts w:eastAsia="Times New Roman"/>
          <w:noProof/>
          <w:lang w:eastAsia="en-AU"/>
        </w:rPr>
        <w:t>A central processing hub with appropriate governance arrangements provides the best model for overcoming these inhibitors and providing a suitable platform to deliver true reform in the payment system.</w:t>
      </w:r>
    </w:p>
    <w:p w:rsidR="003E4493" w:rsidRPr="003E4493" w:rsidRDefault="003E4493" w:rsidP="003E4493">
      <w:pPr>
        <w:rPr>
          <w:rFonts w:eastAsia="Times New Roman"/>
          <w:noProof/>
          <w:lang w:eastAsia="en-AU"/>
        </w:rPr>
      </w:pPr>
      <w:r w:rsidRPr="003E4493">
        <w:rPr>
          <w:rFonts w:eastAsia="Times New Roman"/>
          <w:noProof/>
          <w:lang w:eastAsia="en-AU"/>
        </w:rPr>
        <w:t xml:space="preserve">While the breadth of HP’s current </w:t>
      </w:r>
      <w:r w:rsidR="00E20158">
        <w:rPr>
          <w:rFonts w:eastAsia="Times New Roman"/>
          <w:noProof/>
          <w:lang w:eastAsia="en-AU"/>
        </w:rPr>
        <w:t>p</w:t>
      </w:r>
      <w:r w:rsidRPr="003E4493">
        <w:rPr>
          <w:rFonts w:eastAsia="Times New Roman"/>
          <w:noProof/>
          <w:lang w:eastAsia="en-AU"/>
        </w:rPr>
        <w:t xml:space="preserve">ayments processing does not cover all areas within the scope of this RBA review, its activities in </w:t>
      </w:r>
      <w:r w:rsidR="00E20158">
        <w:rPr>
          <w:rFonts w:eastAsia="Times New Roman"/>
          <w:noProof/>
          <w:lang w:eastAsia="en-AU"/>
        </w:rPr>
        <w:t>p</w:t>
      </w:r>
      <w:r w:rsidRPr="003E4493">
        <w:rPr>
          <w:rFonts w:eastAsia="Times New Roman"/>
          <w:noProof/>
          <w:lang w:eastAsia="en-AU"/>
        </w:rPr>
        <w:t xml:space="preserve">ayments are closely aligned such that there is a parallel interest and possible overlap.  </w:t>
      </w:r>
    </w:p>
    <w:p w:rsidR="003E4493" w:rsidRDefault="003E4493" w:rsidP="003E4493">
      <w:pPr>
        <w:rPr>
          <w:rFonts w:eastAsia="Times New Roman"/>
          <w:b/>
          <w:noProof/>
          <w:lang w:eastAsia="en-AU"/>
        </w:rPr>
      </w:pPr>
    </w:p>
    <w:p w:rsidR="003E4493" w:rsidRDefault="003E4493" w:rsidP="003E4493">
      <w:pPr>
        <w:rPr>
          <w:rFonts w:eastAsia="Times New Roman"/>
          <w:b/>
          <w:noProof/>
          <w:lang w:eastAsia="en-AU"/>
        </w:rPr>
      </w:pPr>
    </w:p>
    <w:p w:rsidR="003E4493" w:rsidRPr="003E4493" w:rsidRDefault="003E4493" w:rsidP="003E4493">
      <w:pPr>
        <w:rPr>
          <w:rFonts w:eastAsia="Times New Roman"/>
          <w:b/>
          <w:noProof/>
          <w:lang w:eastAsia="en-AU"/>
        </w:rPr>
      </w:pPr>
      <w:r w:rsidRPr="003E4493">
        <w:rPr>
          <w:rFonts w:eastAsia="Times New Roman"/>
          <w:b/>
          <w:noProof/>
          <w:lang w:eastAsia="en-AU"/>
        </w:rPr>
        <w:lastRenderedPageBreak/>
        <w:t>General Comments</w:t>
      </w:r>
    </w:p>
    <w:p w:rsidR="003E4493" w:rsidRDefault="003E4493" w:rsidP="003E4493">
      <w:pPr>
        <w:rPr>
          <w:rFonts w:eastAsia="Times New Roman"/>
          <w:noProof/>
          <w:lang w:eastAsia="en-AU"/>
        </w:rPr>
      </w:pPr>
    </w:p>
    <w:p w:rsidR="003E4493" w:rsidRPr="003E4493" w:rsidRDefault="003E4493" w:rsidP="003E4493">
      <w:pPr>
        <w:rPr>
          <w:rFonts w:eastAsia="Times New Roman"/>
          <w:noProof/>
          <w:lang w:eastAsia="en-AU"/>
        </w:rPr>
      </w:pPr>
      <w:r w:rsidRPr="003E4493">
        <w:rPr>
          <w:rFonts w:eastAsia="Times New Roman"/>
          <w:noProof/>
          <w:lang w:eastAsia="en-AU"/>
        </w:rPr>
        <w:t>HP welcomes the RBA’s interest, involvement and ongoing engagement with the payments industry on strategic objectives. Similarly HP would welcome the opportunity to participate in the enhanced industry representation suggested by the RBA.</w:t>
      </w:r>
    </w:p>
    <w:p w:rsidR="003E4493" w:rsidRDefault="003E4493" w:rsidP="003E4493">
      <w:pPr>
        <w:rPr>
          <w:rFonts w:eastAsia="Times New Roman"/>
          <w:noProof/>
          <w:lang w:eastAsia="en-AU"/>
        </w:rPr>
      </w:pPr>
    </w:p>
    <w:p w:rsidR="003E4493" w:rsidRPr="003E4493" w:rsidRDefault="003E4493" w:rsidP="003E4493">
      <w:pPr>
        <w:rPr>
          <w:rFonts w:eastAsia="Times New Roman"/>
          <w:noProof/>
          <w:lang w:eastAsia="en-AU"/>
        </w:rPr>
      </w:pPr>
      <w:r w:rsidRPr="003E4493">
        <w:rPr>
          <w:rFonts w:eastAsia="Times New Roman"/>
          <w:noProof/>
          <w:lang w:eastAsia="en-AU"/>
        </w:rPr>
        <w:t xml:space="preserve">HP has followed the RBA’s reform agenda over the past decade and is keen to see the the learnings of prior reform applied in any proposed changes that may occur. </w:t>
      </w:r>
    </w:p>
    <w:p w:rsidR="003E4493" w:rsidRDefault="003E4493" w:rsidP="003E4493">
      <w:pPr>
        <w:rPr>
          <w:rFonts w:eastAsia="Times New Roman"/>
          <w:noProof/>
          <w:lang w:eastAsia="en-AU"/>
        </w:rPr>
      </w:pPr>
    </w:p>
    <w:p w:rsidR="003E4493" w:rsidRPr="003E4493" w:rsidRDefault="003B7D35" w:rsidP="003E4493">
      <w:pPr>
        <w:rPr>
          <w:rFonts w:eastAsia="Times New Roman"/>
          <w:noProof/>
          <w:lang w:eastAsia="en-AU"/>
        </w:rPr>
      </w:pPr>
      <w:r>
        <w:rPr>
          <w:rFonts w:eastAsia="Times New Roman"/>
          <w:noProof/>
          <w:lang w:eastAsia="en-AU"/>
        </w:rPr>
        <w:t xml:space="preserve">One of the </w:t>
      </w:r>
      <w:r w:rsidR="003E4493" w:rsidRPr="003E4493">
        <w:rPr>
          <w:rFonts w:eastAsia="Times New Roman"/>
          <w:noProof/>
          <w:lang w:eastAsia="en-AU"/>
        </w:rPr>
        <w:t xml:space="preserve">RBA’s </w:t>
      </w:r>
      <w:r>
        <w:rPr>
          <w:rFonts w:eastAsia="Times New Roman"/>
          <w:noProof/>
          <w:lang w:eastAsia="en-AU"/>
        </w:rPr>
        <w:t>earlier</w:t>
      </w:r>
      <w:r w:rsidR="003E4493" w:rsidRPr="003E4493">
        <w:rPr>
          <w:rFonts w:eastAsia="Times New Roman"/>
          <w:noProof/>
          <w:lang w:eastAsia="en-AU"/>
        </w:rPr>
        <w:t xml:space="preserve"> </w:t>
      </w:r>
      <w:r>
        <w:rPr>
          <w:rFonts w:eastAsia="Times New Roman"/>
          <w:noProof/>
          <w:lang w:eastAsia="en-AU"/>
        </w:rPr>
        <w:t xml:space="preserve">and similar </w:t>
      </w:r>
      <w:r w:rsidR="003E4493" w:rsidRPr="003E4493">
        <w:rPr>
          <w:rFonts w:eastAsia="Times New Roman"/>
          <w:noProof/>
          <w:lang w:eastAsia="en-AU"/>
        </w:rPr>
        <w:t>major reform activit</w:t>
      </w:r>
      <w:r>
        <w:rPr>
          <w:rFonts w:eastAsia="Times New Roman"/>
          <w:noProof/>
          <w:lang w:eastAsia="en-AU"/>
        </w:rPr>
        <w:t>ies</w:t>
      </w:r>
      <w:r w:rsidR="003E4493" w:rsidRPr="003E4493">
        <w:rPr>
          <w:rFonts w:eastAsia="Times New Roman"/>
          <w:noProof/>
          <w:lang w:eastAsia="en-AU"/>
        </w:rPr>
        <w:t xml:space="preserve">, the </w:t>
      </w:r>
      <w:r>
        <w:rPr>
          <w:rFonts w:eastAsia="Times New Roman"/>
          <w:noProof/>
          <w:lang w:eastAsia="en-AU"/>
        </w:rPr>
        <w:t>Review of Card Payments Systems,</w:t>
      </w:r>
      <w:r w:rsidR="003E4493" w:rsidRPr="003E4493">
        <w:rPr>
          <w:rFonts w:eastAsia="Times New Roman"/>
          <w:noProof/>
          <w:lang w:eastAsia="en-AU"/>
        </w:rPr>
        <w:t xml:space="preserve"> w</w:t>
      </w:r>
      <w:r w:rsidR="00E20158">
        <w:rPr>
          <w:rFonts w:eastAsia="Times New Roman"/>
          <w:noProof/>
          <w:lang w:eastAsia="en-AU"/>
        </w:rPr>
        <w:t>as</w:t>
      </w:r>
      <w:r w:rsidR="003E4493" w:rsidRPr="003E4493">
        <w:rPr>
          <w:rFonts w:eastAsia="Times New Roman"/>
          <w:noProof/>
          <w:lang w:eastAsia="en-AU"/>
        </w:rPr>
        <w:t xml:space="preserve"> well intentioned, committed to, and given time to work. </w:t>
      </w:r>
    </w:p>
    <w:p w:rsidR="003E4493" w:rsidRDefault="003E4493" w:rsidP="003E4493">
      <w:pPr>
        <w:rPr>
          <w:rFonts w:eastAsia="Times New Roman"/>
          <w:noProof/>
          <w:lang w:eastAsia="en-AU"/>
        </w:rPr>
      </w:pPr>
    </w:p>
    <w:p w:rsidR="003E4493" w:rsidRPr="003E4493" w:rsidRDefault="003E4493" w:rsidP="003E4493">
      <w:pPr>
        <w:rPr>
          <w:rFonts w:eastAsia="Times New Roman"/>
          <w:noProof/>
          <w:lang w:eastAsia="en-AU"/>
        </w:rPr>
      </w:pPr>
      <w:r w:rsidRPr="003E4493">
        <w:rPr>
          <w:rFonts w:eastAsia="Times New Roman"/>
          <w:noProof/>
          <w:lang w:eastAsia="en-AU"/>
        </w:rPr>
        <w:t xml:space="preserve">However in </w:t>
      </w:r>
      <w:r w:rsidR="003B7D35">
        <w:rPr>
          <w:rFonts w:eastAsia="Times New Roman"/>
          <w:noProof/>
          <w:lang w:eastAsia="en-AU"/>
        </w:rPr>
        <w:t>some</w:t>
      </w:r>
      <w:r w:rsidRPr="003E4493">
        <w:rPr>
          <w:rFonts w:eastAsia="Times New Roman"/>
          <w:noProof/>
          <w:lang w:eastAsia="en-AU"/>
        </w:rPr>
        <w:t xml:space="preserve"> cases, th</w:t>
      </w:r>
      <w:r w:rsidR="00E20158">
        <w:rPr>
          <w:rFonts w:eastAsia="Times New Roman"/>
          <w:noProof/>
          <w:lang w:eastAsia="en-AU"/>
        </w:rPr>
        <w:t>is</w:t>
      </w:r>
      <w:r w:rsidRPr="003E4493">
        <w:rPr>
          <w:rFonts w:eastAsia="Times New Roman"/>
          <w:noProof/>
          <w:lang w:eastAsia="en-AU"/>
        </w:rPr>
        <w:t xml:space="preserve"> reform ha</w:t>
      </w:r>
      <w:r w:rsidR="00E20158">
        <w:rPr>
          <w:rFonts w:eastAsia="Times New Roman"/>
          <w:noProof/>
          <w:lang w:eastAsia="en-AU"/>
        </w:rPr>
        <w:t>s</w:t>
      </w:r>
      <w:r w:rsidRPr="003E4493">
        <w:rPr>
          <w:rFonts w:eastAsia="Times New Roman"/>
          <w:noProof/>
          <w:lang w:eastAsia="en-AU"/>
        </w:rPr>
        <w:t xml:space="preserve"> failed to deliver the result</w:t>
      </w:r>
      <w:r w:rsidR="003B7D35">
        <w:rPr>
          <w:rFonts w:eastAsia="Times New Roman"/>
          <w:noProof/>
          <w:lang w:eastAsia="en-AU"/>
        </w:rPr>
        <w:t>s</w:t>
      </w:r>
      <w:r w:rsidRPr="003E4493">
        <w:rPr>
          <w:rFonts w:eastAsia="Times New Roman"/>
          <w:noProof/>
          <w:lang w:eastAsia="en-AU"/>
        </w:rPr>
        <w:t xml:space="preserve"> expected by the review, in our view.</w:t>
      </w:r>
      <w:r w:rsidR="00E20158">
        <w:rPr>
          <w:rFonts w:eastAsia="Times New Roman"/>
          <w:noProof/>
          <w:lang w:eastAsia="en-AU"/>
        </w:rPr>
        <w:t xml:space="preserve"> </w:t>
      </w:r>
      <w:r w:rsidRPr="003E4493">
        <w:rPr>
          <w:rFonts w:eastAsia="Times New Roman"/>
          <w:noProof/>
          <w:lang w:eastAsia="en-AU"/>
        </w:rPr>
        <w:t>The areas that did not meet the outcomes sought by the reform</w:t>
      </w:r>
      <w:r w:rsidR="00E20158">
        <w:rPr>
          <w:rFonts w:eastAsia="Times New Roman"/>
          <w:noProof/>
          <w:lang w:eastAsia="en-AU"/>
        </w:rPr>
        <w:t xml:space="preserve"> </w:t>
      </w:r>
      <w:r w:rsidRPr="003E4493">
        <w:rPr>
          <w:rFonts w:eastAsia="Times New Roman"/>
          <w:noProof/>
          <w:lang w:eastAsia="en-AU"/>
        </w:rPr>
        <w:t>will provide guidance to future reform.</w:t>
      </w:r>
      <w:r w:rsidR="00E20158">
        <w:rPr>
          <w:rFonts w:eastAsia="Times New Roman"/>
          <w:noProof/>
          <w:lang w:eastAsia="en-AU"/>
        </w:rPr>
        <w:t xml:space="preserve"> </w:t>
      </w:r>
      <w:r w:rsidRPr="003E4493">
        <w:rPr>
          <w:rFonts w:eastAsia="Times New Roman"/>
          <w:noProof/>
          <w:lang w:eastAsia="en-AU"/>
        </w:rPr>
        <w:t>We have listed below previous amendments, whose impact should be reviewed to ensure the changes proposed within th</w:t>
      </w:r>
      <w:r w:rsidR="003B7D35">
        <w:rPr>
          <w:rFonts w:eastAsia="Times New Roman"/>
          <w:noProof/>
          <w:lang w:eastAsia="en-AU"/>
        </w:rPr>
        <w:t>e RBA’s current review</w:t>
      </w:r>
      <w:r w:rsidRPr="003E4493">
        <w:rPr>
          <w:rFonts w:eastAsia="Times New Roman"/>
          <w:noProof/>
          <w:lang w:eastAsia="en-AU"/>
        </w:rPr>
        <w:t xml:space="preserve"> have the best chance of succeeding. </w:t>
      </w:r>
    </w:p>
    <w:p w:rsidR="003E4493" w:rsidRDefault="003E4493" w:rsidP="003E4493">
      <w:pPr>
        <w:rPr>
          <w:rFonts w:eastAsia="Times New Roman"/>
          <w:noProof/>
          <w:lang w:eastAsia="en-AU"/>
        </w:rPr>
      </w:pPr>
    </w:p>
    <w:p w:rsidR="003E4493" w:rsidRPr="003E4493" w:rsidRDefault="003E4493" w:rsidP="003E4493">
      <w:pPr>
        <w:rPr>
          <w:rFonts w:eastAsia="Times New Roman"/>
          <w:noProof/>
          <w:lang w:eastAsia="en-AU"/>
        </w:rPr>
      </w:pPr>
      <w:r w:rsidRPr="003E4493">
        <w:rPr>
          <w:rFonts w:eastAsia="Times New Roman"/>
          <w:noProof/>
          <w:lang w:eastAsia="en-AU"/>
        </w:rPr>
        <w:t>Mention is made of fair and open access within the review. HP’s experience is that the previous reforms to provide access to the EFT payments streams have delivered some improvement.</w:t>
      </w:r>
      <w:r w:rsidR="00E20158">
        <w:rPr>
          <w:rFonts w:eastAsia="Times New Roman"/>
          <w:noProof/>
          <w:lang w:eastAsia="en-AU"/>
        </w:rPr>
        <w:t xml:space="preserve"> </w:t>
      </w:r>
      <w:r w:rsidRPr="003E4493">
        <w:rPr>
          <w:rFonts w:eastAsia="Times New Roman"/>
          <w:noProof/>
          <w:lang w:eastAsia="en-AU"/>
        </w:rPr>
        <w:t xml:space="preserve">However, the EFT Access Code has not delivered the access it was meant to guarantee, with the COIN initiative only providing a small improvement to a technical component of connection for a new access seeker. </w:t>
      </w:r>
    </w:p>
    <w:p w:rsidR="003E4493" w:rsidRDefault="003E4493" w:rsidP="003E4493">
      <w:pPr>
        <w:rPr>
          <w:rFonts w:eastAsia="Times New Roman"/>
          <w:noProof/>
          <w:lang w:eastAsia="en-AU"/>
        </w:rPr>
      </w:pPr>
    </w:p>
    <w:p w:rsidR="003E4493" w:rsidRPr="003E4493" w:rsidRDefault="003E4493" w:rsidP="003E4493">
      <w:pPr>
        <w:rPr>
          <w:rFonts w:eastAsia="Times New Roman"/>
          <w:noProof/>
          <w:lang w:eastAsia="en-AU"/>
        </w:rPr>
      </w:pPr>
      <w:r w:rsidRPr="003E4493">
        <w:rPr>
          <w:rFonts w:eastAsia="Times New Roman"/>
          <w:noProof/>
          <w:lang w:eastAsia="en-AU"/>
        </w:rPr>
        <w:t>This is evidenced in the lack of new entrants - with the time, cost and other imposts of access continuing to be a significant barrier to entry.</w:t>
      </w:r>
    </w:p>
    <w:p w:rsidR="003E4493" w:rsidRDefault="003E4493" w:rsidP="003E4493">
      <w:pPr>
        <w:rPr>
          <w:rFonts w:eastAsia="Times New Roman"/>
          <w:noProof/>
          <w:lang w:eastAsia="en-AU"/>
        </w:rPr>
      </w:pPr>
    </w:p>
    <w:p w:rsidR="003E4493" w:rsidRPr="003E4493" w:rsidRDefault="003E4493" w:rsidP="003E4493">
      <w:pPr>
        <w:rPr>
          <w:rFonts w:eastAsia="Times New Roman"/>
          <w:noProof/>
          <w:lang w:eastAsia="en-AU"/>
        </w:rPr>
      </w:pPr>
      <w:r w:rsidRPr="003E4493">
        <w:rPr>
          <w:rFonts w:eastAsia="Times New Roman"/>
          <w:noProof/>
          <w:lang w:eastAsia="en-AU"/>
        </w:rPr>
        <w:t>Similarly, HP supports the RBA’s intention to encourage low and transparent pricing to ensure the efficiency of the reform within commercial guidelines.</w:t>
      </w:r>
      <w:r w:rsidR="00E20158">
        <w:rPr>
          <w:rFonts w:eastAsia="Times New Roman"/>
          <w:noProof/>
          <w:lang w:eastAsia="en-AU"/>
        </w:rPr>
        <w:t xml:space="preserve"> </w:t>
      </w:r>
      <w:r w:rsidRPr="003E4493">
        <w:rPr>
          <w:rFonts w:eastAsia="Times New Roman"/>
          <w:noProof/>
          <w:lang w:eastAsia="en-AU"/>
        </w:rPr>
        <w:t xml:space="preserve">Unfortunately, despite the previous reform efforts - case-by-case pricing and non-transparency remain the norm in EFT access. </w:t>
      </w:r>
    </w:p>
    <w:p w:rsidR="003E4493" w:rsidRDefault="003E4493" w:rsidP="003E4493">
      <w:pPr>
        <w:rPr>
          <w:rFonts w:eastAsia="Times New Roman"/>
          <w:noProof/>
          <w:lang w:eastAsia="en-AU"/>
        </w:rPr>
      </w:pPr>
    </w:p>
    <w:p w:rsidR="003E4493" w:rsidRPr="003E4493" w:rsidRDefault="003E4493" w:rsidP="003E4493">
      <w:pPr>
        <w:rPr>
          <w:rFonts w:eastAsia="Times New Roman"/>
          <w:noProof/>
          <w:lang w:eastAsia="en-AU"/>
        </w:rPr>
      </w:pPr>
      <w:r w:rsidRPr="003E4493">
        <w:rPr>
          <w:rFonts w:eastAsia="Times New Roman"/>
          <w:noProof/>
          <w:lang w:eastAsia="en-AU"/>
        </w:rPr>
        <w:t>HP’s view is that despite the industry and RBA’s best intentions</w:t>
      </w:r>
      <w:r w:rsidR="003B7D35">
        <w:rPr>
          <w:rFonts w:eastAsia="Times New Roman"/>
          <w:noProof/>
          <w:lang w:eastAsia="en-AU"/>
        </w:rPr>
        <w:t xml:space="preserve"> </w:t>
      </w:r>
      <w:r w:rsidRPr="003E4493">
        <w:rPr>
          <w:rFonts w:eastAsia="Times New Roman"/>
          <w:noProof/>
          <w:lang w:eastAsia="en-AU"/>
        </w:rPr>
        <w:t>many of the traditional payments industry players will continue to</w:t>
      </w:r>
      <w:r w:rsidR="003B7D35">
        <w:rPr>
          <w:rFonts w:eastAsia="Times New Roman"/>
          <w:noProof/>
          <w:lang w:eastAsia="en-AU"/>
        </w:rPr>
        <w:t xml:space="preserve"> </w:t>
      </w:r>
      <w:r w:rsidRPr="003E4493">
        <w:rPr>
          <w:rFonts w:eastAsia="Times New Roman"/>
          <w:noProof/>
          <w:lang w:eastAsia="en-AU"/>
        </w:rPr>
        <w:t>struggle to meet the requirements of the Payments Board.</w:t>
      </w:r>
      <w:r w:rsidR="00E20158">
        <w:rPr>
          <w:rFonts w:eastAsia="Times New Roman"/>
          <w:noProof/>
          <w:lang w:eastAsia="en-AU"/>
        </w:rPr>
        <w:t xml:space="preserve"> </w:t>
      </w:r>
      <w:r w:rsidRPr="003E4493">
        <w:rPr>
          <w:rFonts w:eastAsia="Times New Roman"/>
          <w:noProof/>
          <w:lang w:eastAsia="en-AU"/>
        </w:rPr>
        <w:t>It is our belief that this is not through any deliberate intent - rather through the volume of work required to deliver to customer expectations in a highly competitive and fast moving market.</w:t>
      </w:r>
      <w:r w:rsidR="00E20158">
        <w:rPr>
          <w:rFonts w:eastAsia="Times New Roman"/>
          <w:noProof/>
          <w:lang w:eastAsia="en-AU"/>
        </w:rPr>
        <w:t xml:space="preserve"> </w:t>
      </w:r>
      <w:r w:rsidRPr="003E4493">
        <w:rPr>
          <w:rFonts w:eastAsia="Times New Roman"/>
          <w:noProof/>
          <w:lang w:eastAsia="en-AU"/>
        </w:rPr>
        <w:t>This challenge is exacerbated by the cost and complexity of changing or modifying systems that are in many cases legacy and r</w:t>
      </w:r>
      <w:r w:rsidR="003B7D35">
        <w:rPr>
          <w:rFonts w:eastAsia="Times New Roman"/>
          <w:noProof/>
          <w:lang w:eastAsia="en-AU"/>
        </w:rPr>
        <w:t>equire renewal or replacement.</w:t>
      </w:r>
    </w:p>
    <w:p w:rsidR="003E4493" w:rsidRDefault="003E4493" w:rsidP="003E4493">
      <w:pPr>
        <w:rPr>
          <w:rFonts w:eastAsia="Times New Roman"/>
          <w:noProof/>
          <w:lang w:eastAsia="en-AU"/>
        </w:rPr>
      </w:pPr>
    </w:p>
    <w:p w:rsidR="003E4493" w:rsidRPr="003E4493" w:rsidRDefault="003E4493" w:rsidP="003E4493">
      <w:pPr>
        <w:rPr>
          <w:rFonts w:eastAsia="Times New Roman"/>
          <w:noProof/>
          <w:lang w:eastAsia="en-AU"/>
        </w:rPr>
      </w:pPr>
      <w:r w:rsidRPr="003E4493">
        <w:rPr>
          <w:rFonts w:eastAsia="Times New Roman"/>
          <w:noProof/>
          <w:lang w:eastAsia="en-AU"/>
        </w:rPr>
        <w:t xml:space="preserve">HP’s view is that these inhibitors have prevented institutions meeting the </w:t>
      </w:r>
      <w:r w:rsidR="003B7D35">
        <w:rPr>
          <w:rFonts w:eastAsia="Times New Roman"/>
          <w:noProof/>
          <w:lang w:eastAsia="en-AU"/>
        </w:rPr>
        <w:t xml:space="preserve">access </w:t>
      </w:r>
      <w:r w:rsidRPr="003E4493">
        <w:rPr>
          <w:rFonts w:eastAsia="Times New Roman"/>
          <w:noProof/>
          <w:lang w:eastAsia="en-AU"/>
        </w:rPr>
        <w:t xml:space="preserve">requirements of the previous reforms; and provide guidance in how to enable successful change in the future. </w:t>
      </w:r>
    </w:p>
    <w:p w:rsidR="003E4493" w:rsidRDefault="003E4493" w:rsidP="003E4493">
      <w:pPr>
        <w:rPr>
          <w:rFonts w:eastAsia="Times New Roman"/>
          <w:noProof/>
          <w:lang w:eastAsia="en-AU"/>
        </w:rPr>
      </w:pPr>
    </w:p>
    <w:p w:rsidR="003E4493" w:rsidRPr="003E4493" w:rsidRDefault="003E4493" w:rsidP="003E4493">
      <w:pPr>
        <w:rPr>
          <w:rFonts w:eastAsia="Times New Roman"/>
          <w:noProof/>
          <w:lang w:eastAsia="en-AU"/>
        </w:rPr>
      </w:pPr>
      <w:r w:rsidRPr="003E4493">
        <w:rPr>
          <w:rFonts w:eastAsia="Times New Roman"/>
          <w:noProof/>
          <w:lang w:eastAsia="en-AU"/>
        </w:rPr>
        <w:t>With regard the RBA’s comment on tokenisation, HP has supported significant growth in tokenisation as a means of delivering wider consumer payment channels for many years.</w:t>
      </w:r>
      <w:r w:rsidR="00E20158">
        <w:rPr>
          <w:rFonts w:eastAsia="Times New Roman"/>
          <w:noProof/>
          <w:lang w:eastAsia="en-AU"/>
        </w:rPr>
        <w:t xml:space="preserve"> </w:t>
      </w:r>
      <w:r w:rsidRPr="003E4493">
        <w:rPr>
          <w:rFonts w:eastAsia="Times New Roman"/>
          <w:noProof/>
          <w:lang w:eastAsia="en-AU"/>
        </w:rPr>
        <w:t xml:space="preserve">Such systems are available today, in large scale use and growing worldwide </w:t>
      </w:r>
      <w:r w:rsidRPr="003E4493">
        <w:rPr>
          <w:rFonts w:eastAsia="Times New Roman"/>
          <w:noProof/>
          <w:lang w:eastAsia="en-AU"/>
        </w:rPr>
        <w:lastRenderedPageBreak/>
        <w:t>across a wide range of payments operations. Should tokenisation be looked at HP is able to provide subject matter expertise to assist with the review.</w:t>
      </w:r>
    </w:p>
    <w:p w:rsidR="003E4493" w:rsidRPr="003E4493" w:rsidRDefault="003E4493" w:rsidP="003E4493">
      <w:pPr>
        <w:rPr>
          <w:rFonts w:eastAsia="Times New Roman"/>
          <w:b/>
          <w:noProof/>
          <w:lang w:eastAsia="en-AU"/>
        </w:rPr>
      </w:pPr>
    </w:p>
    <w:p w:rsidR="003E4493" w:rsidRPr="003E4493" w:rsidRDefault="003E4493" w:rsidP="003E4493">
      <w:pPr>
        <w:rPr>
          <w:rFonts w:eastAsia="Times New Roman"/>
          <w:b/>
          <w:noProof/>
          <w:lang w:eastAsia="en-AU"/>
        </w:rPr>
      </w:pPr>
      <w:r w:rsidRPr="003E4493">
        <w:rPr>
          <w:rFonts w:eastAsia="Times New Roman"/>
          <w:b/>
          <w:noProof/>
          <w:lang w:eastAsia="en-AU"/>
        </w:rPr>
        <w:t>Australian Payments Hub</w:t>
      </w:r>
    </w:p>
    <w:p w:rsidR="003E4493" w:rsidRDefault="003E4493" w:rsidP="003E4493">
      <w:pPr>
        <w:rPr>
          <w:rFonts w:eastAsia="Times New Roman"/>
          <w:noProof/>
          <w:lang w:eastAsia="en-AU"/>
        </w:rPr>
      </w:pPr>
    </w:p>
    <w:p w:rsidR="003E4493" w:rsidRPr="003E4493" w:rsidRDefault="003E4493" w:rsidP="003E4493">
      <w:pPr>
        <w:rPr>
          <w:rFonts w:eastAsia="Times New Roman"/>
          <w:noProof/>
          <w:lang w:eastAsia="en-AU"/>
        </w:rPr>
      </w:pPr>
      <w:r w:rsidRPr="003E4493">
        <w:rPr>
          <w:rFonts w:eastAsia="Times New Roman"/>
          <w:noProof/>
          <w:lang w:eastAsia="en-AU"/>
        </w:rPr>
        <w:t>HP supports the RBA’s view on the benefits of a central processing hub.</w:t>
      </w:r>
      <w:r w:rsidR="00E20158">
        <w:rPr>
          <w:rFonts w:eastAsia="Times New Roman"/>
          <w:noProof/>
          <w:lang w:eastAsia="en-AU"/>
        </w:rPr>
        <w:t xml:space="preserve"> </w:t>
      </w:r>
      <w:r w:rsidRPr="003E4493">
        <w:rPr>
          <w:rFonts w:eastAsia="Times New Roman"/>
          <w:noProof/>
          <w:lang w:eastAsia="en-AU"/>
        </w:rPr>
        <w:t xml:space="preserve">Bilateral and paired arrangements introduce inefficiency in all but a two-party market, an innefficiency that grows per new participant.  </w:t>
      </w:r>
    </w:p>
    <w:p w:rsidR="003E4493" w:rsidRDefault="003E4493" w:rsidP="003E4493">
      <w:pPr>
        <w:rPr>
          <w:rFonts w:eastAsia="Times New Roman"/>
          <w:noProof/>
          <w:lang w:eastAsia="en-AU"/>
        </w:rPr>
      </w:pPr>
    </w:p>
    <w:p w:rsidR="003E4493" w:rsidRPr="003E4493" w:rsidRDefault="003E4493" w:rsidP="003E4493">
      <w:pPr>
        <w:rPr>
          <w:rFonts w:eastAsia="Times New Roman"/>
          <w:noProof/>
          <w:lang w:eastAsia="en-AU"/>
        </w:rPr>
      </w:pPr>
      <w:r w:rsidRPr="003E4493">
        <w:rPr>
          <w:rFonts w:eastAsia="Times New Roman"/>
          <w:noProof/>
          <w:lang w:eastAsia="en-AU"/>
        </w:rPr>
        <w:t xml:space="preserve">The Australian payments system has grown over decades where this structure has been relied upon to provide safe and efficient connection and service. However our belief is the time is past whereupon a new construct is required to enable future efficient growth. The challenges referred to in the previous section result from, and are compounded by the large and complex nature of interlinkages that need to be maintained by every player in the Australian payments system.  </w:t>
      </w:r>
    </w:p>
    <w:p w:rsidR="003E4493" w:rsidRDefault="003E4493" w:rsidP="003E4493">
      <w:pPr>
        <w:rPr>
          <w:rFonts w:eastAsia="Times New Roman"/>
          <w:noProof/>
          <w:lang w:eastAsia="en-AU"/>
        </w:rPr>
      </w:pPr>
    </w:p>
    <w:p w:rsidR="003E4493" w:rsidRPr="003E4493" w:rsidRDefault="003E4493" w:rsidP="003E4493">
      <w:pPr>
        <w:rPr>
          <w:rFonts w:eastAsia="Times New Roman"/>
          <w:noProof/>
          <w:lang w:eastAsia="en-AU"/>
        </w:rPr>
      </w:pPr>
      <w:r w:rsidRPr="003E4493">
        <w:rPr>
          <w:rFonts w:eastAsia="Times New Roman"/>
          <w:noProof/>
          <w:lang w:eastAsia="en-AU"/>
        </w:rPr>
        <w:t>Further, their breadth and complexity is a near impenetrable barrier to entry for new players and processors.</w:t>
      </w:r>
      <w:r w:rsidR="00E20158">
        <w:rPr>
          <w:rFonts w:eastAsia="Times New Roman"/>
          <w:noProof/>
          <w:lang w:eastAsia="en-AU"/>
        </w:rPr>
        <w:t xml:space="preserve"> </w:t>
      </w:r>
      <w:r w:rsidRPr="003E4493">
        <w:rPr>
          <w:rFonts w:eastAsia="Times New Roman"/>
          <w:noProof/>
          <w:lang w:eastAsia="en-AU"/>
        </w:rPr>
        <w:t xml:space="preserve">The propensity for new payments players to seek their own transaction network beyond this system both for efficiency and to avoid partnerships with competitors is just one evidence of the broader impost on the system.  </w:t>
      </w:r>
    </w:p>
    <w:p w:rsidR="003E4493" w:rsidRDefault="003E4493" w:rsidP="003E4493">
      <w:pPr>
        <w:rPr>
          <w:rFonts w:eastAsia="Times New Roman"/>
          <w:noProof/>
          <w:lang w:eastAsia="en-AU"/>
        </w:rPr>
      </w:pPr>
    </w:p>
    <w:p w:rsidR="003E4493" w:rsidRPr="003E4493" w:rsidRDefault="003E4493" w:rsidP="003E4493">
      <w:pPr>
        <w:rPr>
          <w:rFonts w:eastAsia="Times New Roman"/>
          <w:noProof/>
          <w:lang w:eastAsia="en-AU"/>
        </w:rPr>
      </w:pPr>
      <w:r w:rsidRPr="003E4493">
        <w:rPr>
          <w:rFonts w:eastAsia="Times New Roman"/>
          <w:noProof/>
          <w:lang w:eastAsia="en-AU"/>
        </w:rPr>
        <w:t>Again, HP does not suggest that this is intent</w:t>
      </w:r>
      <w:r w:rsidR="003B7D35">
        <w:rPr>
          <w:rFonts w:eastAsia="Times New Roman"/>
          <w:noProof/>
          <w:lang w:eastAsia="en-AU"/>
        </w:rPr>
        <w:t>ion</w:t>
      </w:r>
      <w:r w:rsidRPr="003E4493">
        <w:rPr>
          <w:rFonts w:eastAsia="Times New Roman"/>
          <w:noProof/>
          <w:lang w:eastAsia="en-AU"/>
        </w:rPr>
        <w:t xml:space="preserve">al, rather an issue of legacy arrangements that have grown in complexity over decades, and now prevent all parties from operating efficiently, including the existing players. </w:t>
      </w:r>
    </w:p>
    <w:p w:rsidR="003E4493" w:rsidRDefault="003E4493" w:rsidP="003E4493">
      <w:pPr>
        <w:rPr>
          <w:rFonts w:eastAsia="Times New Roman"/>
          <w:noProof/>
          <w:lang w:eastAsia="en-AU"/>
        </w:rPr>
      </w:pPr>
    </w:p>
    <w:p w:rsidR="003E4493" w:rsidRPr="003E4493" w:rsidRDefault="003E4493" w:rsidP="003E4493">
      <w:pPr>
        <w:rPr>
          <w:rFonts w:eastAsia="Times New Roman"/>
          <w:noProof/>
          <w:lang w:eastAsia="en-AU"/>
        </w:rPr>
      </w:pPr>
      <w:r w:rsidRPr="003E4493">
        <w:rPr>
          <w:rFonts w:eastAsia="Times New Roman"/>
          <w:noProof/>
          <w:lang w:eastAsia="en-AU"/>
        </w:rPr>
        <w:t>Combined with the often dated nature of technology supporting this system, HP is not surprised to have encountered access problems, and it presents a significant impediment to successful reform. It is possible if not likely that this legacy technology will not provide the capability the RBA is seeking at a price that is commercially viable for either the provider or the parties using it. A change to a contemporary technology platform would provide a fundamental shift in the way in which the industry can innovate and remain competitive in a global market.</w:t>
      </w:r>
    </w:p>
    <w:p w:rsidR="003E4493" w:rsidRDefault="003E4493" w:rsidP="003E4493">
      <w:pPr>
        <w:rPr>
          <w:rFonts w:eastAsia="Times New Roman"/>
          <w:noProof/>
          <w:lang w:eastAsia="en-AU"/>
        </w:rPr>
      </w:pPr>
    </w:p>
    <w:p w:rsidR="003E4493" w:rsidRPr="003E4493" w:rsidRDefault="003E4493" w:rsidP="003E4493">
      <w:pPr>
        <w:rPr>
          <w:rFonts w:eastAsia="Times New Roman"/>
          <w:noProof/>
          <w:lang w:eastAsia="en-AU"/>
        </w:rPr>
      </w:pPr>
      <w:r w:rsidRPr="003E4493">
        <w:rPr>
          <w:rFonts w:eastAsia="Times New Roman"/>
          <w:noProof/>
          <w:lang w:eastAsia="en-AU"/>
        </w:rPr>
        <w:t>HP is of the firm opinion that the establishment of a central processing hub is one of the few paths available for solving this situation, and represents the best option for  current participants, new players, and end consumers.</w:t>
      </w:r>
      <w:r w:rsidR="00E20158">
        <w:rPr>
          <w:rFonts w:eastAsia="Times New Roman"/>
          <w:noProof/>
          <w:lang w:eastAsia="en-AU"/>
        </w:rPr>
        <w:t xml:space="preserve"> </w:t>
      </w:r>
      <w:r w:rsidRPr="003E4493">
        <w:rPr>
          <w:rFonts w:eastAsia="Times New Roman"/>
          <w:noProof/>
          <w:lang w:eastAsia="en-AU"/>
        </w:rPr>
        <w:t xml:space="preserve">HP’s successful operation of Payments hubs has demonstrated that significant efficiency and cost reductions can be achieved through establishing a central point, supported by the latest approaches and technologies with a sound commercial model and appropriate governance. </w:t>
      </w:r>
    </w:p>
    <w:p w:rsidR="003E4493" w:rsidRDefault="003E4493" w:rsidP="003E4493">
      <w:pPr>
        <w:rPr>
          <w:rFonts w:eastAsia="Times New Roman"/>
          <w:noProof/>
          <w:lang w:eastAsia="en-AU"/>
        </w:rPr>
      </w:pPr>
    </w:p>
    <w:p w:rsidR="003E4493" w:rsidRPr="003E4493" w:rsidRDefault="003E4493" w:rsidP="003E4493">
      <w:pPr>
        <w:rPr>
          <w:rFonts w:eastAsia="Times New Roman"/>
          <w:noProof/>
          <w:lang w:eastAsia="en-AU"/>
        </w:rPr>
      </w:pPr>
      <w:r w:rsidRPr="003E4493">
        <w:rPr>
          <w:rFonts w:eastAsia="Times New Roman"/>
          <w:noProof/>
          <w:lang w:eastAsia="en-AU"/>
        </w:rPr>
        <w:t xml:space="preserve">While the RBA has questioned the commercial proposition for a central hub processor, HP has successfully operated similar hubs for years with lesser volumes and clients. There is sufficient volume and commercial incentive within the Australian Payments System at present to support a commercial hub as a central processor. The key pre-requisites for the establishment of the hub are committed volume and access to the latest technology.  </w:t>
      </w:r>
    </w:p>
    <w:p w:rsidR="003E4493" w:rsidRDefault="003E4493" w:rsidP="003E4493">
      <w:pPr>
        <w:rPr>
          <w:rFonts w:eastAsia="Times New Roman"/>
          <w:noProof/>
          <w:lang w:eastAsia="en-AU"/>
        </w:rPr>
      </w:pPr>
    </w:p>
    <w:p w:rsidR="003E4493" w:rsidRPr="003E4493" w:rsidRDefault="003E4493" w:rsidP="003E4493">
      <w:pPr>
        <w:rPr>
          <w:rFonts w:eastAsia="Times New Roman"/>
          <w:noProof/>
          <w:lang w:eastAsia="en-AU"/>
        </w:rPr>
      </w:pPr>
      <w:r w:rsidRPr="003E4493">
        <w:rPr>
          <w:rFonts w:eastAsia="Times New Roman"/>
          <w:noProof/>
          <w:lang w:eastAsia="en-AU"/>
        </w:rPr>
        <w:lastRenderedPageBreak/>
        <w:t xml:space="preserve">Private ownership of the Hub with appropriate governance from the Payment System panel allows for a more viable commercial operation without confused directives from a select panel of the industry. </w:t>
      </w:r>
    </w:p>
    <w:p w:rsidR="003E4493" w:rsidRDefault="003E4493" w:rsidP="003E4493">
      <w:pPr>
        <w:rPr>
          <w:rFonts w:eastAsia="Times New Roman"/>
          <w:noProof/>
          <w:lang w:eastAsia="en-AU"/>
        </w:rPr>
      </w:pPr>
    </w:p>
    <w:p w:rsidR="003E4493" w:rsidRPr="003E4493" w:rsidRDefault="003E4493" w:rsidP="003E4493">
      <w:pPr>
        <w:rPr>
          <w:rFonts w:eastAsia="Times New Roman"/>
          <w:noProof/>
          <w:lang w:eastAsia="en-AU"/>
        </w:rPr>
      </w:pPr>
      <w:r w:rsidRPr="003E4493">
        <w:rPr>
          <w:rFonts w:eastAsia="Times New Roman"/>
          <w:noProof/>
          <w:lang w:eastAsia="en-AU"/>
        </w:rPr>
        <w:t>There are successful efficient Governance and regulatory models in place worldwide where the private service is provided to multiple parties in critical processing areas that ensure clients are properly represented and the commercial interest of the hub is managed.</w:t>
      </w:r>
      <w:r w:rsidR="00E20158">
        <w:rPr>
          <w:rFonts w:eastAsia="Times New Roman"/>
          <w:noProof/>
          <w:lang w:eastAsia="en-AU"/>
        </w:rPr>
        <w:t xml:space="preserve"> </w:t>
      </w:r>
      <w:r w:rsidRPr="003E4493">
        <w:rPr>
          <w:rFonts w:eastAsia="Times New Roman"/>
          <w:noProof/>
          <w:lang w:eastAsia="en-AU"/>
        </w:rPr>
        <w:t xml:space="preserve">These models can ensure that even the perception of loss of control or market force is avoided and the supplier managed to service. </w:t>
      </w:r>
    </w:p>
    <w:p w:rsidR="003E4493" w:rsidRDefault="003E4493" w:rsidP="003E4493">
      <w:pPr>
        <w:rPr>
          <w:rFonts w:eastAsia="Times New Roman"/>
          <w:noProof/>
          <w:lang w:eastAsia="en-AU"/>
        </w:rPr>
      </w:pPr>
    </w:p>
    <w:p w:rsidR="003E4493" w:rsidRPr="003E4493" w:rsidRDefault="003E4493" w:rsidP="003E4493">
      <w:pPr>
        <w:rPr>
          <w:rFonts w:eastAsia="Times New Roman"/>
          <w:noProof/>
          <w:lang w:eastAsia="en-AU"/>
        </w:rPr>
      </w:pPr>
      <w:r w:rsidRPr="003E4493">
        <w:rPr>
          <w:rFonts w:eastAsia="Times New Roman"/>
          <w:noProof/>
          <w:lang w:eastAsia="en-AU"/>
        </w:rPr>
        <w:t>Beyond this, the collected volumes centralised in a hub in this way provide the revenue and ability for the kind of innovation roadmap the RBA envisages to be realistically mapped out, co-ordinated and implemented.</w:t>
      </w:r>
      <w:r w:rsidR="00E20158">
        <w:rPr>
          <w:rFonts w:eastAsia="Times New Roman"/>
          <w:noProof/>
          <w:lang w:eastAsia="en-AU"/>
        </w:rPr>
        <w:t xml:space="preserve"> </w:t>
      </w:r>
      <w:r w:rsidRPr="003E4493">
        <w:rPr>
          <w:rFonts w:eastAsia="Times New Roman"/>
          <w:noProof/>
          <w:lang w:eastAsia="en-AU"/>
        </w:rPr>
        <w:t xml:space="preserve">Once established, payments processing involves very high transaction levels, a need for absolute certainty and precision. Because transactional requirements are relatively simple, costs are typically very low. As a consequence, high volumes are required to both pay for the service and also to ensure there is sufficient funding for ongoing investment and innovation. An appropriate balance </w:t>
      </w:r>
      <w:r w:rsidR="00BC3092">
        <w:rPr>
          <w:rFonts w:eastAsia="Times New Roman"/>
          <w:noProof/>
          <w:lang w:eastAsia="en-AU"/>
        </w:rPr>
        <w:t>of</w:t>
      </w:r>
      <w:r w:rsidRPr="003E4493">
        <w:rPr>
          <w:rFonts w:eastAsia="Times New Roman"/>
          <w:noProof/>
          <w:lang w:eastAsia="en-AU"/>
        </w:rPr>
        <w:t xml:space="preserve"> these </w:t>
      </w:r>
      <w:r w:rsidR="00BC3092">
        <w:rPr>
          <w:rFonts w:eastAsia="Times New Roman"/>
          <w:noProof/>
          <w:lang w:eastAsia="en-AU"/>
        </w:rPr>
        <w:t xml:space="preserve">factors </w:t>
      </w:r>
      <w:r w:rsidRPr="003E4493">
        <w:rPr>
          <w:rFonts w:eastAsia="Times New Roman"/>
          <w:noProof/>
          <w:lang w:eastAsia="en-AU"/>
        </w:rPr>
        <w:t xml:space="preserve">will ensure the proposition attracts a provider with the appropriate </w:t>
      </w:r>
      <w:r>
        <w:rPr>
          <w:rFonts w:eastAsia="Times New Roman"/>
          <w:noProof/>
          <w:lang w:eastAsia="en-AU"/>
        </w:rPr>
        <w:t xml:space="preserve">size, </w:t>
      </w:r>
      <w:r w:rsidRPr="003E4493">
        <w:rPr>
          <w:rFonts w:eastAsia="Times New Roman"/>
          <w:noProof/>
          <w:lang w:eastAsia="en-AU"/>
        </w:rPr>
        <w:t xml:space="preserve">capability, certainty and long term outlook that is required to entrust this </w:t>
      </w:r>
      <w:r>
        <w:rPr>
          <w:rFonts w:eastAsia="Times New Roman"/>
          <w:noProof/>
          <w:lang w:eastAsia="en-AU"/>
        </w:rPr>
        <w:t>critical</w:t>
      </w:r>
      <w:r w:rsidRPr="003E4493">
        <w:rPr>
          <w:rFonts w:eastAsia="Times New Roman"/>
          <w:noProof/>
          <w:lang w:eastAsia="en-AU"/>
        </w:rPr>
        <w:t xml:space="preserve"> processing requirement.</w:t>
      </w:r>
    </w:p>
    <w:p w:rsidR="003E4493" w:rsidRDefault="003E4493" w:rsidP="003E4493">
      <w:pPr>
        <w:rPr>
          <w:rFonts w:eastAsia="Times New Roman"/>
          <w:noProof/>
          <w:lang w:eastAsia="en-AU"/>
        </w:rPr>
      </w:pPr>
    </w:p>
    <w:p w:rsidR="003E4493" w:rsidRPr="003E4493" w:rsidRDefault="003E4493" w:rsidP="003E4493">
      <w:pPr>
        <w:rPr>
          <w:rFonts w:eastAsia="Times New Roman"/>
          <w:noProof/>
          <w:lang w:eastAsia="en-AU"/>
        </w:rPr>
      </w:pPr>
      <w:r w:rsidRPr="003E4493">
        <w:rPr>
          <w:rFonts w:eastAsia="Times New Roman"/>
          <w:noProof/>
          <w:lang w:eastAsia="en-AU"/>
        </w:rPr>
        <w:t>In the Australian context, processors have typically priced to process transactions only, to the detriment of investment in innovation or new product</w:t>
      </w:r>
      <w:r w:rsidR="00BC3092">
        <w:rPr>
          <w:rFonts w:eastAsia="Times New Roman"/>
          <w:noProof/>
          <w:lang w:eastAsia="en-AU"/>
        </w:rPr>
        <w:t>,</w:t>
      </w:r>
      <w:r w:rsidRPr="003E4493">
        <w:rPr>
          <w:rFonts w:eastAsia="Times New Roman"/>
          <w:noProof/>
          <w:lang w:eastAsia="en-AU"/>
        </w:rPr>
        <w:t xml:space="preserve"> and have not kept pace with global markets, falling behind in mobility, customer insight and security.</w:t>
      </w:r>
      <w:r w:rsidR="00E20158">
        <w:rPr>
          <w:rFonts w:eastAsia="Times New Roman"/>
          <w:noProof/>
          <w:lang w:eastAsia="en-AU"/>
        </w:rPr>
        <w:t xml:space="preserve"> </w:t>
      </w:r>
      <w:r w:rsidRPr="003E4493">
        <w:rPr>
          <w:rFonts w:eastAsia="Times New Roman"/>
          <w:noProof/>
          <w:lang w:eastAsia="en-AU"/>
        </w:rPr>
        <w:t xml:space="preserve">Funding innovation through a central hub with many different players with differing profit targets as clients will mean that the innovation funding model will need to be addressed and agreed collectively.  </w:t>
      </w:r>
    </w:p>
    <w:p w:rsidR="003E4493" w:rsidRDefault="003E4493" w:rsidP="003E4493">
      <w:pPr>
        <w:rPr>
          <w:rFonts w:eastAsia="Times New Roman"/>
          <w:noProof/>
          <w:lang w:eastAsia="en-AU"/>
        </w:rPr>
      </w:pPr>
    </w:p>
    <w:p w:rsidR="003E4493" w:rsidRPr="003E4493" w:rsidRDefault="003E4493" w:rsidP="003E4493">
      <w:pPr>
        <w:rPr>
          <w:rFonts w:eastAsia="Times New Roman"/>
          <w:noProof/>
          <w:lang w:eastAsia="en-AU"/>
        </w:rPr>
      </w:pPr>
      <w:r w:rsidRPr="003E4493">
        <w:rPr>
          <w:rFonts w:eastAsia="Times New Roman"/>
          <w:noProof/>
          <w:lang w:eastAsia="en-AU"/>
        </w:rPr>
        <w:t>HP has demonstrated a successful utility model that leverages shared client investment for mutual benefit, while still enabling competitive advantage for individual clients.</w:t>
      </w:r>
    </w:p>
    <w:p w:rsidR="003E4493" w:rsidRDefault="003E4493" w:rsidP="003E4493">
      <w:pPr>
        <w:rPr>
          <w:rFonts w:eastAsia="Times New Roman"/>
          <w:noProof/>
          <w:lang w:eastAsia="en-AU"/>
        </w:rPr>
      </w:pPr>
    </w:p>
    <w:p w:rsidR="003E4493" w:rsidRPr="003E4493" w:rsidRDefault="003E4493" w:rsidP="003E4493">
      <w:pPr>
        <w:rPr>
          <w:rFonts w:eastAsia="Times New Roman"/>
          <w:noProof/>
          <w:lang w:eastAsia="en-AU"/>
        </w:rPr>
      </w:pPr>
      <w:r w:rsidRPr="003E4493">
        <w:rPr>
          <w:rFonts w:eastAsia="Times New Roman"/>
          <w:noProof/>
          <w:lang w:eastAsia="en-AU"/>
        </w:rPr>
        <w:t>Key to acceptance of the Hub concept is that companies requiring payments services do not differentiate in the technical minutiae of processing, but rather do so in the “front end” of their product development and differentation, marketing and delivery.  Retaining payment processing services is only taking investment away from real competitive differentiation.</w:t>
      </w:r>
      <w:r w:rsidR="00E20158">
        <w:rPr>
          <w:rFonts w:eastAsia="Times New Roman"/>
          <w:noProof/>
          <w:lang w:eastAsia="en-AU"/>
        </w:rPr>
        <w:t xml:space="preserve"> </w:t>
      </w:r>
      <w:r w:rsidRPr="003E4493">
        <w:rPr>
          <w:rFonts w:eastAsia="Times New Roman"/>
          <w:noProof/>
          <w:lang w:eastAsia="en-AU"/>
        </w:rPr>
        <w:t xml:space="preserve">This concept has been repeated through various expert opinions over many years and is starting to gain widespread industry acceptance.  </w:t>
      </w:r>
    </w:p>
    <w:p w:rsidR="003E4493" w:rsidRDefault="003E4493" w:rsidP="003E4493">
      <w:pPr>
        <w:rPr>
          <w:rFonts w:eastAsia="Times New Roman"/>
          <w:noProof/>
          <w:lang w:eastAsia="en-AU"/>
        </w:rPr>
      </w:pPr>
    </w:p>
    <w:p w:rsidR="003E4493" w:rsidRPr="003E4493" w:rsidRDefault="003E4493" w:rsidP="003E4493">
      <w:pPr>
        <w:rPr>
          <w:rFonts w:eastAsia="Times New Roman"/>
          <w:noProof/>
          <w:lang w:eastAsia="en-AU"/>
        </w:rPr>
      </w:pPr>
      <w:r w:rsidRPr="003E4493">
        <w:rPr>
          <w:rFonts w:eastAsia="Times New Roman"/>
          <w:noProof/>
          <w:lang w:eastAsia="en-AU"/>
        </w:rPr>
        <w:t>In addition with the advances in technology, including Cloud computing, security, storage and infrastructure, a newly architected technology is required to drive innovation and maintain the competitiveness of Australia in global payments.</w:t>
      </w:r>
      <w:r w:rsidR="00E20158">
        <w:rPr>
          <w:rFonts w:eastAsia="Times New Roman"/>
          <w:noProof/>
          <w:lang w:eastAsia="en-AU"/>
        </w:rPr>
        <w:t xml:space="preserve"> </w:t>
      </w:r>
      <w:r w:rsidRPr="003E4493">
        <w:rPr>
          <w:rFonts w:eastAsia="Times New Roman"/>
          <w:noProof/>
          <w:lang w:eastAsia="en-AU"/>
        </w:rPr>
        <w:t>We believe this will be key to assisting with the separation of processing from ownership which will be key to enabling the changes required in the Industry.</w:t>
      </w:r>
    </w:p>
    <w:p w:rsidR="003E4493" w:rsidRPr="003E4493" w:rsidRDefault="003E4493" w:rsidP="003E4493">
      <w:pPr>
        <w:rPr>
          <w:rFonts w:eastAsia="Times New Roman"/>
          <w:b/>
          <w:noProof/>
          <w:lang w:eastAsia="en-AU"/>
        </w:rPr>
      </w:pPr>
    </w:p>
    <w:p w:rsidR="00E20158" w:rsidRDefault="00E20158" w:rsidP="003E4493">
      <w:pPr>
        <w:rPr>
          <w:rFonts w:eastAsia="Times New Roman"/>
          <w:b/>
          <w:noProof/>
          <w:lang w:eastAsia="en-AU"/>
        </w:rPr>
      </w:pPr>
    </w:p>
    <w:p w:rsidR="00E20158" w:rsidRDefault="00E20158" w:rsidP="003E4493">
      <w:pPr>
        <w:rPr>
          <w:rFonts w:eastAsia="Times New Roman"/>
          <w:b/>
          <w:noProof/>
          <w:lang w:eastAsia="en-AU"/>
        </w:rPr>
      </w:pPr>
    </w:p>
    <w:p w:rsidR="00E20158" w:rsidRDefault="00E20158" w:rsidP="003E4493">
      <w:pPr>
        <w:rPr>
          <w:rFonts w:eastAsia="Times New Roman"/>
          <w:b/>
          <w:noProof/>
          <w:lang w:eastAsia="en-AU"/>
        </w:rPr>
      </w:pPr>
    </w:p>
    <w:p w:rsidR="00E20158" w:rsidRDefault="00E20158" w:rsidP="003E4493">
      <w:pPr>
        <w:rPr>
          <w:rFonts w:eastAsia="Times New Roman"/>
          <w:b/>
          <w:noProof/>
          <w:lang w:eastAsia="en-AU"/>
        </w:rPr>
      </w:pPr>
    </w:p>
    <w:p w:rsidR="003E4493" w:rsidRPr="003E4493" w:rsidRDefault="003E4493" w:rsidP="003E4493">
      <w:pPr>
        <w:rPr>
          <w:rFonts w:eastAsia="Times New Roman"/>
          <w:b/>
          <w:noProof/>
          <w:lang w:eastAsia="en-AU"/>
        </w:rPr>
      </w:pPr>
      <w:r w:rsidRPr="003E4493">
        <w:rPr>
          <w:rFonts w:eastAsia="Times New Roman"/>
          <w:b/>
          <w:noProof/>
          <w:lang w:eastAsia="en-AU"/>
        </w:rPr>
        <w:lastRenderedPageBreak/>
        <w:t>Conclusion</w:t>
      </w:r>
    </w:p>
    <w:p w:rsidR="003E4493" w:rsidRDefault="003E4493" w:rsidP="003E4493">
      <w:pPr>
        <w:rPr>
          <w:rFonts w:eastAsia="Times New Roman"/>
          <w:noProof/>
          <w:lang w:eastAsia="en-AU"/>
        </w:rPr>
      </w:pPr>
    </w:p>
    <w:p w:rsidR="003E4493" w:rsidRPr="003E4493" w:rsidRDefault="003E4493" w:rsidP="003E4493">
      <w:pPr>
        <w:rPr>
          <w:rFonts w:eastAsia="Times New Roman"/>
          <w:noProof/>
          <w:lang w:eastAsia="en-AU"/>
        </w:rPr>
      </w:pPr>
      <w:r w:rsidRPr="003E4493">
        <w:rPr>
          <w:rFonts w:eastAsia="Times New Roman"/>
          <w:noProof/>
          <w:lang w:eastAsia="en-AU"/>
        </w:rPr>
        <w:t>HP applauds the RBA in its intent to drive a more competive and innovative agenda within the  Australian payments system. However we see challenges for both the RBA and participants in achieving the goals of this review within the current technical and commercial construct.</w:t>
      </w:r>
      <w:r w:rsidR="00E20158">
        <w:rPr>
          <w:rFonts w:eastAsia="Times New Roman"/>
          <w:noProof/>
          <w:lang w:eastAsia="en-AU"/>
        </w:rPr>
        <w:t xml:space="preserve"> </w:t>
      </w:r>
      <w:r w:rsidRPr="003E4493">
        <w:rPr>
          <w:rFonts w:eastAsia="Times New Roman"/>
          <w:noProof/>
          <w:lang w:eastAsia="en-AU"/>
        </w:rPr>
        <w:t>The Hub concept proposed by the RBA is one that in our experience has delivered significant benefit where deployed. We believe it represents the next generation model that will enable  Australia’s payments system to develop most efficiently and innovatively into the future.</w:t>
      </w:r>
    </w:p>
    <w:p w:rsidR="003E4493" w:rsidRDefault="003E4493" w:rsidP="003E4493">
      <w:pPr>
        <w:rPr>
          <w:rFonts w:eastAsia="Times New Roman"/>
          <w:noProof/>
          <w:lang w:eastAsia="en-AU"/>
        </w:rPr>
      </w:pPr>
    </w:p>
    <w:p w:rsidR="003E4493" w:rsidRPr="003E4493" w:rsidRDefault="003E4493" w:rsidP="003E4493">
      <w:pPr>
        <w:rPr>
          <w:rFonts w:eastAsia="Times New Roman"/>
          <w:noProof/>
          <w:lang w:eastAsia="en-AU"/>
        </w:rPr>
      </w:pPr>
      <w:r w:rsidRPr="003E4493">
        <w:rPr>
          <w:rFonts w:eastAsia="Times New Roman"/>
          <w:noProof/>
          <w:lang w:eastAsia="en-AU"/>
        </w:rPr>
        <w:t>HP would welcome the opportunity to discuss any aspect of this paper further, and looks forward to further developments arising from the RBA’s review.</w:t>
      </w:r>
    </w:p>
    <w:p w:rsidR="003E4493" w:rsidRDefault="003E4493" w:rsidP="003E4493">
      <w:pPr>
        <w:rPr>
          <w:rFonts w:eastAsia="Times New Roman"/>
          <w:noProof/>
          <w:lang w:eastAsia="en-AU"/>
        </w:rPr>
      </w:pPr>
    </w:p>
    <w:p w:rsidR="003E4493" w:rsidRPr="003E4493" w:rsidRDefault="003E4493" w:rsidP="003E4493">
      <w:pPr>
        <w:rPr>
          <w:rFonts w:eastAsia="Times New Roman"/>
          <w:noProof/>
          <w:lang w:eastAsia="en-AU"/>
        </w:rPr>
      </w:pPr>
      <w:r w:rsidRPr="003E4493">
        <w:rPr>
          <w:rFonts w:eastAsia="Times New Roman"/>
          <w:noProof/>
          <w:lang w:eastAsia="en-AU"/>
        </w:rPr>
        <w:t>Yours sincerely,</w:t>
      </w:r>
    </w:p>
    <w:p w:rsidR="003E4493" w:rsidRPr="00A0630B" w:rsidRDefault="003E4493" w:rsidP="003E4493">
      <w:pPr>
        <w:rPr>
          <w:rFonts w:eastAsia="Times New Roman"/>
          <w:noProof/>
          <w:color w:val="1F497D"/>
          <w:lang w:eastAsia="en-AU"/>
        </w:rPr>
      </w:pPr>
    </w:p>
    <w:p w:rsidR="00BE0381" w:rsidRDefault="00BE0381" w:rsidP="00BE0381"/>
    <w:p w:rsidR="003E4493" w:rsidRDefault="003E4493" w:rsidP="00BE0381"/>
    <w:p w:rsidR="00BE0381" w:rsidRDefault="00BE0381" w:rsidP="00BE0381"/>
    <w:p w:rsidR="005A5B3F" w:rsidRDefault="00492ACE" w:rsidP="005A5B3F">
      <w:r>
        <w:t>Dee McGrath</w:t>
      </w:r>
    </w:p>
    <w:p w:rsidR="005A5B3F" w:rsidRDefault="00492ACE" w:rsidP="005A5B3F">
      <w:r>
        <w:t>Vice President Financial Services</w:t>
      </w:r>
    </w:p>
    <w:p w:rsidR="00954131" w:rsidRDefault="00954131" w:rsidP="00AB4C36"/>
    <w:sectPr w:rsidR="00954131" w:rsidSect="004D782D">
      <w:headerReference w:type="default" r:id="rId7"/>
      <w:footerReference w:type="default" r:id="rId8"/>
      <w:headerReference w:type="first" r:id="rId9"/>
      <w:footerReference w:type="first" r:id="rId10"/>
      <w:pgSz w:w="11900" w:h="16820"/>
      <w:pgMar w:top="1871" w:right="1446" w:bottom="2157" w:left="3509" w:header="720" w:footer="720" w:gutter="0"/>
      <w:cols w:space="720"/>
      <w:titlePg/>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C0980" w:rsidRDefault="005C0980" w:rsidP="00FF15C6">
      <w:pPr>
        <w:spacing w:line="240" w:lineRule="auto"/>
      </w:pPr>
      <w:r>
        <w:separator/>
      </w:r>
    </w:p>
  </w:endnote>
  <w:endnote w:type="continuationSeparator" w:id="0">
    <w:p w:rsidR="005C0980" w:rsidRDefault="005C0980" w:rsidP="00FF15C6">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P Simplified Light">
    <w:panose1 w:val="020B0404020204020204"/>
    <w:charset w:val="00"/>
    <w:family w:val="swiss"/>
    <w:pitch w:val="variable"/>
    <w:sig w:usb0="A00000AF" w:usb1="5000205B" w:usb2="00000000" w:usb3="00000000" w:csb0="00000093" w:csb1="00000000"/>
  </w:font>
  <w:font w:name="HP Simplified">
    <w:altName w:val="HP Simplified Regular"/>
    <w:panose1 w:val="020B0604020204020204"/>
    <w:charset w:val="00"/>
    <w:family w:val="swiss"/>
    <w:pitch w:val="variable"/>
    <w:sig w:usb0="A00000AF" w:usb1="5000205B" w:usb2="00000000" w:usb3="00000000" w:csb0="00000093" w:csb1="00000000"/>
  </w:font>
  <w:font w:name="Lucida Grande">
    <w:altName w:val="Times New Roman"/>
    <w:charset w:val="00"/>
    <w:family w:val="auto"/>
    <w:pitch w:val="variable"/>
    <w:sig w:usb0="00000000" w:usb1="5000A1FF" w:usb2="00000000" w:usb3="00000000" w:csb0="000001B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24DE" w:rsidRPr="00972F41" w:rsidRDefault="00BF47BC" w:rsidP="006637C9">
    <w:pPr>
      <w:pStyle w:val="Footer"/>
      <w:jc w:val="right"/>
    </w:pPr>
    <w:r w:rsidRPr="00BF47BC">
      <w:rPr>
        <w:noProof/>
        <w:lang w:val="en-US"/>
      </w:rPr>
      <w:pict>
        <v:shapetype id="_x0000_t202" coordsize="21600,21600" o:spt="202" path="m,l,21600r21600,l21600,xe">
          <v:stroke joinstyle="miter"/>
          <v:path gradientshapeok="t" o:connecttype="rect"/>
        </v:shapetype>
        <v:shape id="Footer Legal 2" o:spid="_x0000_s4118" type="#_x0000_t202" style="position:absolute;left:0;text-align:left;margin-left:175.7pt;margin-top:755.3pt;width:347.85pt;height:36pt;z-index:251696128;visibility:visible;mso-wrap-edited:f;mso-wrap-distance-left:0;mso-wrap-distance-right:0;mso-position-horizontal-relative:page;mso-position-vertical-relative:page;mso-width-relative:margin;mso-height-relative:margin;v-text-anchor:bottom" wrapcoords="0 0 21600 0 21600 21600 0 21600 0 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" o:allowoverlap="f" filled="f" stroked="f" strokeweight=".5pt">
          <v:textbox inset="0,0,0,0">
            <w:txbxContent>
              <w:p w:rsidR="00413921" w:rsidRPr="00413921" w:rsidRDefault="00413921" w:rsidP="00413921">
                <w:pPr>
                  <w:pStyle w:val="LegalText"/>
                </w:pPr>
              </w:p>
            </w:txbxContent>
          </v:textbox>
          <w10:wrap anchorx="page" anchory="page"/>
        </v:shape>
      </w:pict>
    </w:r>
    <w:r w:rsidR="00972F41" w:rsidRPr="00972F41">
      <w:t xml:space="preserve">Page </w:t>
    </w:r>
    <w:r w:rsidRPr="00972F41">
      <w:fldChar w:fldCharType="begin"/>
    </w:r>
    <w:r w:rsidR="00972F41" w:rsidRPr="00972F41">
      <w:instrText xml:space="preserve"> PAGE </w:instrText>
    </w:r>
    <w:r w:rsidRPr="00972F41">
      <w:fldChar w:fldCharType="separate"/>
    </w:r>
    <w:r w:rsidR="00493744">
      <w:rPr>
        <w:noProof/>
      </w:rPr>
      <w:t>5</w:t>
    </w:r>
    <w:r w:rsidRPr="00972F41">
      <w:fldChar w:fldCharType="end"/>
    </w:r>
    <w:r w:rsidR="00972F41" w:rsidRPr="00972F41">
      <w:t xml:space="preserve"> of </w:t>
    </w:r>
    <w:r>
      <w:fldChar w:fldCharType="begin"/>
    </w:r>
    <w:r w:rsidR="004E0E09">
      <w:instrText xml:space="preserve"> NUMPAGES </w:instrText>
    </w:r>
    <w:r>
      <w:fldChar w:fldCharType="separate"/>
    </w:r>
    <w:r w:rsidR="00493744">
      <w:rPr>
        <w:noProof/>
      </w:rPr>
      <w:t>5</w:t>
    </w:r>
    <w:r>
      <w:rPr>
        <w:noProof/>
      </w:rP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24DE" w:rsidRPr="00404CEC" w:rsidRDefault="00BF47BC" w:rsidP="004073FB">
    <w:pPr>
      <w:pStyle w:val="Footer"/>
    </w:pPr>
    <w:r w:rsidRPr="00BF47BC">
      <w:rPr>
        <w:noProof/>
        <w:lang w:val="en-US"/>
      </w:rPr>
      <w:pict>
        <v:shapetype id="_x0000_t202" coordsize="21600,21600" o:spt="202" path="m,l,21600r21600,l21600,xe">
          <v:stroke joinstyle="miter"/>
          <v:path gradientshapeok="t" o:connecttype="rect"/>
        </v:shapetype>
        <v:shape id="Footer Legal 1" o:spid="_x0000_s4117" type="#_x0000_t202" style="position:absolute;margin-left:175.7pt;margin-top:755.3pt;width:347.85pt;height:36pt;z-index:251695104;visibility:visible;mso-wrap-edited:f;mso-wrap-distance-left:0;mso-wrap-distance-right:0;mso-position-horizontal-relative:page;mso-position-vertical-relative:page;mso-width-relative:margin;mso-height-relative:margin;v-text-anchor:bottom" wrapcoords="0 0 21600 0 21600 21600 0 21600 0 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" o:allowoverlap="f" filled="f" stroked="f" strokeweight=".5pt">
          <v:textbox inset="0,0,0,0">
            <w:txbxContent>
              <w:p w:rsidR="00413921" w:rsidRPr="00171A00" w:rsidRDefault="00413921" w:rsidP="00413921">
                <w:pPr>
                  <w:pStyle w:val="LegalText"/>
                </w:pP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C0980" w:rsidRDefault="005C0980" w:rsidP="00FF15C6">
      <w:pPr>
        <w:spacing w:line="240" w:lineRule="auto"/>
      </w:pPr>
      <w:r>
        <w:separator/>
      </w:r>
    </w:p>
  </w:footnote>
  <w:footnote w:type="continuationSeparator" w:id="0">
    <w:p w:rsidR="005C0980" w:rsidRDefault="005C0980" w:rsidP="00FF15C6">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4C36" w:rsidRDefault="00BF47BC">
    <w:pPr>
      <w:pStyle w:val="Header"/>
    </w:pPr>
    <w:r>
      <w:fldChar w:fldCharType="begin"/>
    </w:r>
    <w:r w:rsidR="00AB4C36">
      <w:instrText xml:space="preserve"> CREATEDATE \@ "</w:instrText>
    </w:r>
    <w:r w:rsidR="004D782D">
      <w:instrText xml:space="preserve">d </w:instrText>
    </w:r>
    <w:r w:rsidR="00AB4C36">
      <w:instrText>MMMM</w:instrText>
    </w:r>
    <w:r w:rsidR="004D782D">
      <w:instrText xml:space="preserve"> </w:instrText>
    </w:r>
    <w:r w:rsidR="00AB4C36">
      <w:instrText xml:space="preserve">yyyy" \* MERGEFORMAT </w:instrText>
    </w:r>
    <w:r>
      <w:fldChar w:fldCharType="separate"/>
    </w:r>
    <w:r w:rsidR="002C60D1">
      <w:t>7 September 2012</w:t>
    </w:r>
    <w:r>
      <w:fldChar w:fldCharType="end"/>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24DE" w:rsidRPr="00AC3471" w:rsidRDefault="00492ACE" w:rsidP="00AC3471">
    <w:pPr>
      <w:pStyle w:val="HPInformation"/>
    </w:pPr>
    <w:r>
      <w:t>Hewlett-Packard Company</w:t>
    </w:r>
  </w:p>
  <w:p w:rsidR="00492ACE" w:rsidRDefault="00492ACE" w:rsidP="000D581C">
    <w:pPr>
      <w:pStyle w:val="HPInformation"/>
    </w:pPr>
    <w:r>
      <w:t>36-46 George Street</w:t>
    </w:r>
  </w:p>
  <w:p w:rsidR="00492ACE" w:rsidRDefault="00492ACE" w:rsidP="000D581C">
    <w:pPr>
      <w:pStyle w:val="HPInformation"/>
    </w:pPr>
    <w:r>
      <w:t>Burwood NSW 2134</w:t>
    </w:r>
  </w:p>
  <w:p w:rsidR="002D24DE" w:rsidRPr="00AC3471" w:rsidRDefault="00492ACE" w:rsidP="000D581C">
    <w:pPr>
      <w:pStyle w:val="HPInformation"/>
    </w:pPr>
    <w:r>
      <w:t>Australia</w:t>
    </w:r>
  </w:p>
  <w:bookmarkStart w:id="0" w:name="mywebsite"/>
  <w:p w:rsidR="004E43BC" w:rsidRDefault="00BF47BC" w:rsidP="00AC3471">
    <w:pPr>
      <w:pStyle w:val="HPInformation"/>
    </w:pPr>
    <w:r>
      <w:fldChar w:fldCharType="begin"/>
    </w:r>
    <w:r w:rsidR="00C24DD3">
      <w:instrText xml:space="preserve"> HYPERLINK "http://www.hp.com" </w:instrText>
    </w:r>
    <w:r>
      <w:fldChar w:fldCharType="separate"/>
    </w:r>
    <w:r w:rsidR="002D24DE" w:rsidRPr="00FF03BA">
      <w:t>hp.com</w:t>
    </w:r>
    <w:r>
      <w:fldChar w:fldCharType="end"/>
    </w:r>
    <w:bookmarkEnd w:id="0"/>
  </w:p>
  <w:p w:rsidR="00221DBF" w:rsidRPr="00FF03BA" w:rsidRDefault="00BF47BC" w:rsidP="00AC3471">
    <w:pPr>
      <w:pStyle w:val="HPInformation"/>
    </w:pPr>
    <w:r w:rsidRPr="00BF47BC">
      <w:rPr>
        <w:lang w:val="en-US"/>
      </w:rPr>
      <w:pict>
        <v:rect id="Rectangle 1" o:spid="_x0000_s4103" style="position:absolute;margin-left:0;margin-top:0;width:595.3pt;height:136.05pt;z-index:-251659266;visibility:visible;mso-wrap-edited:f;mso-wrap-distance-left:0;mso-wrap-distance-right:0;mso-position-horizontal-relative:page;mso-position-vertical-relative:page;mso-width-relative:margin;mso-height-relative:margin;v-text-anchor:middle" wrapcoords="0 0 21600 0 21600 21600 0 21600 0 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" filled="f" stroked="f">
          <w10:wrap type="through" anchorx="page" anchory="page"/>
        </v:rect>
      </w:pict>
    </w:r>
    <w:r w:rsidR="00221DBF" w:rsidRPr="00EF36DD">
      <w:rPr>
        <w:lang w:val="en-AU" w:eastAsia="en-AU"/>
      </w:rPr>
      <w:drawing>
        <wp:anchor distT="0" distB="0" distL="114300" distR="114300" simplePos="0" relativeHeight="251689984" behindDoc="0" locked="0" layoutInCell="1" allowOverlap="1">
          <wp:simplePos x="0" y="0"/>
          <wp:positionH relativeFrom="page">
            <wp:posOffset>301625</wp:posOffset>
          </wp:positionH>
          <wp:positionV relativeFrom="page">
            <wp:posOffset>3584575</wp:posOffset>
          </wp:positionV>
          <wp:extent cx="30480" cy="24130"/>
          <wp:effectExtent l="19050" t="0" r="7620" b="0"/>
          <wp:wrapNone/>
          <wp:docPr id="10" name="Fold Mark - Black" descr="E:\HP Fold Dot Black.gif" hidden="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ld Mark - Black" descr="E:\HP Fold Dot Black.gif"/>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30480" cy="24130"/>
                  </a:xfrm>
                  <a:prstGeom prst="rect">
                    <a:avLst/>
                  </a:prstGeom>
                  <a:noFill/>
                  <a:ln>
                    <a:noFill/>
                  </a:ln>
                </pic:spPr>
              </pic:pic>
            </a:graphicData>
          </a:graphic>
        </wp:anchor>
      </w:drawing>
    </w:r>
    <w:r w:rsidR="00221DBF" w:rsidRPr="00EF36DD">
      <w:rPr>
        <w:lang w:val="en-AU" w:eastAsia="en-AU"/>
      </w:rPr>
      <w:drawing>
        <wp:anchor distT="0" distB="0" distL="114300" distR="114300" simplePos="0" relativeHeight="251691008" behindDoc="0" locked="0" layoutInCell="1" allowOverlap="1">
          <wp:simplePos x="0" y="0"/>
          <wp:positionH relativeFrom="page">
            <wp:posOffset>301625</wp:posOffset>
          </wp:positionH>
          <wp:positionV relativeFrom="page">
            <wp:posOffset>3584575</wp:posOffset>
          </wp:positionV>
          <wp:extent cx="30480" cy="24130"/>
          <wp:effectExtent l="0" t="0" r="0" b="0"/>
          <wp:wrapNone/>
          <wp:docPr id="4" name="Fold Mark - Color" descr="E:\HP Fold Dot Blu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ld Mark - Color" descr="E:\HP Fold Dot Blue.gif"/>
                  <pic:cNvPicPr>
                    <a:picLocks noChangeAspect="1" noChangeArrowheads="1"/>
                  </pic:cNvPicPr>
                </pic:nvPicPr>
                <pic:blipFill>
                  <a:blip r:embed="rId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30480" cy="24130"/>
                  </a:xfrm>
                  <a:prstGeom prst="rect">
                    <a:avLst/>
                  </a:prstGeom>
                  <a:noFill/>
                  <a:ln>
                    <a:noFill/>
                  </a:ln>
                </pic:spPr>
              </pic:pic>
            </a:graphicData>
          </a:graphic>
        </wp:anchor>
      </w:drawing>
    </w:r>
    <w:r w:rsidR="00221DBF">
      <w:rPr>
        <w:lang w:val="en-AU" w:eastAsia="en-AU"/>
      </w:rPr>
      <w:drawing>
        <wp:anchor distT="0" distB="0" distL="0" distR="0" simplePos="0" relativeHeight="251658239" behindDoc="0" locked="0" layoutInCell="1" allowOverlap="1">
          <wp:simplePos x="0" y="0"/>
          <wp:positionH relativeFrom="page">
            <wp:posOffset>6254750</wp:posOffset>
          </wp:positionH>
          <wp:positionV relativeFrom="page">
            <wp:posOffset>457200</wp:posOffset>
          </wp:positionV>
          <wp:extent cx="850265" cy="850265"/>
          <wp:effectExtent l="19050" t="0" r="6985" b="0"/>
          <wp:wrapNone/>
          <wp:docPr id="8" name="HP Logo - Black" hidden="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p_logo_black_300dpi.gif"/>
                  <pic:cNvPicPr/>
                </pic:nvPicPr>
                <pic:blipFill>
                  <a:blip r:embed="rId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tretch>
                    <a:fillRect/>
                  </a:stretch>
                </pic:blipFill>
                <pic:spPr>
                  <a:xfrm>
                    <a:off x="0" y="0"/>
                    <a:ext cx="850265" cy="850265"/>
                  </a:xfrm>
                  <a:prstGeom prst="rect">
                    <a:avLst/>
                  </a:prstGeom>
                  <a:extLst>
                    <a:ext uri="{FAA26D3D-D897-4be2-8F04-BA451C77F1D7}">
                      <ma14:placeholderFlag xmlns:ma14="http://schemas.microsoft.com/office/mac/drawingml/2011/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a:ext>
                  </a:extLst>
                </pic:spPr>
              </pic:pic>
            </a:graphicData>
          </a:graphic>
        </wp:anchor>
      </w:drawing>
    </w:r>
    <w:r w:rsidR="00221DBF" w:rsidRPr="00B17C5F">
      <w:rPr>
        <w:lang w:val="en-AU" w:eastAsia="en-AU"/>
      </w:rPr>
      <w:drawing>
        <wp:anchor distT="0" distB="0" distL="0" distR="0" simplePos="0" relativeHeight="251685888" behindDoc="0" locked="0" layoutInCell="1" allowOverlap="1">
          <wp:simplePos x="0" y="0"/>
          <wp:positionH relativeFrom="page">
            <wp:posOffset>6254750</wp:posOffset>
          </wp:positionH>
          <wp:positionV relativeFrom="page">
            <wp:posOffset>457200</wp:posOffset>
          </wp:positionV>
          <wp:extent cx="849630" cy="854710"/>
          <wp:effectExtent l="0" t="0" r="0" b="0"/>
          <wp:wrapNone/>
          <wp:docPr id="2" name="HP Logo - Color" descr="hp_logo_300d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P Logo - Color" descr="hp_logo_300dpi"/>
                  <pic:cNvPicPr>
                    <a:picLocks noChangeAspect="1" noChangeArrowheads="1"/>
                  </pic:cNvPicPr>
                </pic:nvPicPr>
                <pic:blipFill>
                  <a:blip r:embed="rId4"/>
                  <a:stretch>
                    <a:fillRect/>
                  </a:stretch>
                </pic:blipFill>
                <pic:spPr bwMode="auto">
                  <a:xfrm>
                    <a:off x="0" y="0"/>
                    <a:ext cx="849630" cy="854710"/>
                  </a:xfrm>
                  <a:prstGeom prst="rect">
                    <a:avLst/>
                  </a:prstGeom>
                  <a:noFill/>
                  <a:ln w="9525">
                    <a:noFill/>
                    <a:miter lim="800000"/>
                    <a:headEnd/>
                    <a:tailEnd/>
                  </a:ln>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FDBCBB4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99167AB4"/>
    <w:lvl w:ilvl="0">
      <w:start w:val="1"/>
      <w:numFmt w:val="decimal"/>
      <w:lvlText w:val="%1."/>
      <w:lvlJc w:val="left"/>
      <w:pPr>
        <w:tabs>
          <w:tab w:val="num" w:pos="1800"/>
        </w:tabs>
        <w:ind w:left="1800" w:hanging="360"/>
      </w:pPr>
    </w:lvl>
  </w:abstractNum>
  <w:abstractNum w:abstractNumId="2">
    <w:nsid w:val="FFFFFF7D"/>
    <w:multiLevelType w:val="singleLevel"/>
    <w:tmpl w:val="57C491FA"/>
    <w:lvl w:ilvl="0">
      <w:start w:val="1"/>
      <w:numFmt w:val="decimal"/>
      <w:lvlText w:val="%1."/>
      <w:lvlJc w:val="left"/>
      <w:pPr>
        <w:tabs>
          <w:tab w:val="num" w:pos="1440"/>
        </w:tabs>
        <w:ind w:left="1440" w:hanging="360"/>
      </w:pPr>
    </w:lvl>
  </w:abstractNum>
  <w:abstractNum w:abstractNumId="3">
    <w:nsid w:val="FFFFFF7E"/>
    <w:multiLevelType w:val="singleLevel"/>
    <w:tmpl w:val="BF722290"/>
    <w:lvl w:ilvl="0">
      <w:start w:val="1"/>
      <w:numFmt w:val="decimal"/>
      <w:lvlText w:val="%1."/>
      <w:lvlJc w:val="left"/>
      <w:pPr>
        <w:tabs>
          <w:tab w:val="num" w:pos="1080"/>
        </w:tabs>
        <w:ind w:left="1080" w:hanging="360"/>
      </w:pPr>
    </w:lvl>
  </w:abstractNum>
  <w:abstractNum w:abstractNumId="4">
    <w:nsid w:val="FFFFFF7F"/>
    <w:multiLevelType w:val="singleLevel"/>
    <w:tmpl w:val="6A049438"/>
    <w:lvl w:ilvl="0">
      <w:start w:val="1"/>
      <w:numFmt w:val="decimal"/>
      <w:lvlText w:val="%1."/>
      <w:lvlJc w:val="left"/>
      <w:pPr>
        <w:tabs>
          <w:tab w:val="num" w:pos="720"/>
        </w:tabs>
        <w:ind w:left="720" w:hanging="360"/>
      </w:pPr>
    </w:lvl>
  </w:abstractNum>
  <w:abstractNum w:abstractNumId="5">
    <w:nsid w:val="FFFFFF80"/>
    <w:multiLevelType w:val="singleLevel"/>
    <w:tmpl w:val="713445E6"/>
    <w:lvl w:ilvl="0">
      <w:start w:val="1"/>
      <w:numFmt w:val="bullet"/>
      <w:lvlText w:val=""/>
      <w:lvlJc w:val="left"/>
      <w:pPr>
        <w:tabs>
          <w:tab w:val="num" w:pos="1800"/>
        </w:tabs>
        <w:ind w:left="1800" w:hanging="360"/>
      </w:pPr>
      <w:rPr>
        <w:rFonts w:ascii="Symbol" w:hAnsi="Symbol" w:hint="default"/>
      </w:rPr>
    </w:lvl>
  </w:abstractNum>
  <w:abstractNum w:abstractNumId="6">
    <w:nsid w:val="FFFFFF81"/>
    <w:multiLevelType w:val="singleLevel"/>
    <w:tmpl w:val="9FE0C912"/>
    <w:lvl w:ilvl="0">
      <w:start w:val="1"/>
      <w:numFmt w:val="bullet"/>
      <w:lvlText w:val=""/>
      <w:lvlJc w:val="left"/>
      <w:pPr>
        <w:tabs>
          <w:tab w:val="num" w:pos="1440"/>
        </w:tabs>
        <w:ind w:left="1440" w:hanging="360"/>
      </w:pPr>
      <w:rPr>
        <w:rFonts w:ascii="Symbol" w:hAnsi="Symbol" w:hint="default"/>
      </w:rPr>
    </w:lvl>
  </w:abstractNum>
  <w:abstractNum w:abstractNumId="7">
    <w:nsid w:val="FFFFFF82"/>
    <w:multiLevelType w:val="singleLevel"/>
    <w:tmpl w:val="61B24B84"/>
    <w:lvl w:ilvl="0">
      <w:start w:val="1"/>
      <w:numFmt w:val="bullet"/>
      <w:lvlText w:val=""/>
      <w:lvlJc w:val="left"/>
      <w:pPr>
        <w:tabs>
          <w:tab w:val="num" w:pos="1080"/>
        </w:tabs>
        <w:ind w:left="1080" w:hanging="360"/>
      </w:pPr>
      <w:rPr>
        <w:rFonts w:ascii="Symbol" w:hAnsi="Symbol" w:hint="default"/>
      </w:rPr>
    </w:lvl>
  </w:abstractNum>
  <w:abstractNum w:abstractNumId="8">
    <w:nsid w:val="FFFFFF83"/>
    <w:multiLevelType w:val="singleLevel"/>
    <w:tmpl w:val="C0FC0D38"/>
    <w:lvl w:ilvl="0">
      <w:start w:val="1"/>
      <w:numFmt w:val="bullet"/>
      <w:lvlText w:val=""/>
      <w:lvlJc w:val="left"/>
      <w:pPr>
        <w:tabs>
          <w:tab w:val="num" w:pos="720"/>
        </w:tabs>
        <w:ind w:left="720" w:hanging="360"/>
      </w:pPr>
      <w:rPr>
        <w:rFonts w:ascii="Symbol" w:hAnsi="Symbol" w:hint="default"/>
      </w:rPr>
    </w:lvl>
  </w:abstractNum>
  <w:abstractNum w:abstractNumId="9">
    <w:nsid w:val="FFFFFF88"/>
    <w:multiLevelType w:val="singleLevel"/>
    <w:tmpl w:val="09008BD2"/>
    <w:lvl w:ilvl="0">
      <w:start w:val="1"/>
      <w:numFmt w:val="decimal"/>
      <w:lvlText w:val="%1."/>
      <w:lvlJc w:val="left"/>
      <w:pPr>
        <w:tabs>
          <w:tab w:val="num" w:pos="360"/>
        </w:tabs>
        <w:ind w:left="360" w:hanging="360"/>
      </w:pPr>
    </w:lvl>
  </w:abstractNum>
  <w:abstractNum w:abstractNumId="10">
    <w:nsid w:val="FFFFFF89"/>
    <w:multiLevelType w:val="singleLevel"/>
    <w:tmpl w:val="7C8443F6"/>
    <w:lvl w:ilvl="0">
      <w:start w:val="1"/>
      <w:numFmt w:val="bullet"/>
      <w:lvlText w:val=""/>
      <w:lvlJc w:val="left"/>
      <w:pPr>
        <w:tabs>
          <w:tab w:val="num" w:pos="360"/>
        </w:tabs>
        <w:ind w:left="360" w:hanging="360"/>
      </w:pPr>
      <w:rPr>
        <w:rFonts w:ascii="Symbol" w:hAnsi="Symbol" w:hint="default"/>
      </w:rPr>
    </w:lvl>
  </w:abstractNum>
  <w:abstractNum w:abstractNumId="11">
    <w:nsid w:val="0E771DCC"/>
    <w:multiLevelType w:val="hybridMultilevel"/>
    <w:tmpl w:val="8C482B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5313D7B"/>
    <w:multiLevelType w:val="multilevel"/>
    <w:tmpl w:val="051073C0"/>
    <w:styleLink w:val="HPBullets"/>
    <w:lvl w:ilvl="0">
      <w:start w:val="1"/>
      <w:numFmt w:val="bullet"/>
      <w:pStyle w:val="BodyBullets"/>
      <w:lvlText w:val=""/>
      <w:lvlJc w:val="left"/>
      <w:pPr>
        <w:tabs>
          <w:tab w:val="num" w:pos="200"/>
        </w:tabs>
        <w:ind w:left="200" w:hanging="200"/>
      </w:pPr>
      <w:rPr>
        <w:rFonts w:ascii="Symbol" w:hAnsi="Symbol" w:hint="default"/>
      </w:rPr>
    </w:lvl>
    <w:lvl w:ilvl="1">
      <w:start w:val="1"/>
      <w:numFmt w:val="bullet"/>
      <w:lvlText w:val="–"/>
      <w:lvlJc w:val="left"/>
      <w:pPr>
        <w:tabs>
          <w:tab w:val="num" w:pos="400"/>
        </w:tabs>
        <w:ind w:left="400" w:hanging="200"/>
      </w:pPr>
      <w:rPr>
        <w:rFonts w:ascii="HP Simplified Light" w:hAnsi="HP Simplified Light" w:hint="default"/>
      </w:rPr>
    </w:lvl>
    <w:lvl w:ilvl="2">
      <w:start w:val="1"/>
      <w:numFmt w:val="bullet"/>
      <w:lvlText w:val=""/>
      <w:lvlJc w:val="left"/>
      <w:pPr>
        <w:tabs>
          <w:tab w:val="num" w:pos="600"/>
        </w:tabs>
        <w:ind w:left="600" w:hanging="200"/>
      </w:pPr>
      <w:rPr>
        <w:rFonts w:ascii="Symbol" w:hAnsi="Symbol" w:hint="default"/>
        <w:sz w:val="16"/>
        <w:szCs w:val="16"/>
      </w:rPr>
    </w:lvl>
    <w:lvl w:ilvl="3">
      <w:start w:val="1"/>
      <w:numFmt w:val="bullet"/>
      <w:lvlText w:val="–"/>
      <w:lvlJc w:val="left"/>
      <w:pPr>
        <w:tabs>
          <w:tab w:val="num" w:pos="800"/>
        </w:tabs>
        <w:ind w:left="800" w:hanging="200"/>
      </w:pPr>
      <w:rPr>
        <w:rFonts w:ascii="HP Simplified Light" w:hAnsi="HP Simplified Light" w:hint="default"/>
        <w:sz w:val="16"/>
      </w:rPr>
    </w:lvl>
    <w:lvl w:ilvl="4">
      <w:start w:val="1"/>
      <w:numFmt w:val="bullet"/>
      <w:lvlText w:val=""/>
      <w:lvlJc w:val="left"/>
      <w:pPr>
        <w:tabs>
          <w:tab w:val="num" w:pos="1000"/>
        </w:tabs>
        <w:ind w:left="1000" w:hanging="200"/>
      </w:pPr>
      <w:rPr>
        <w:rFonts w:ascii="Symbol" w:hAnsi="Symbol" w:hint="default"/>
        <w:sz w:val="16"/>
      </w:rPr>
    </w:lvl>
    <w:lvl w:ilvl="5">
      <w:start w:val="1"/>
      <w:numFmt w:val="bullet"/>
      <w:lvlText w:val="–"/>
      <w:lvlJc w:val="left"/>
      <w:pPr>
        <w:tabs>
          <w:tab w:val="num" w:pos="1200"/>
        </w:tabs>
        <w:ind w:left="1200" w:hanging="200"/>
      </w:pPr>
      <w:rPr>
        <w:rFonts w:ascii="HP Simplified Light" w:hAnsi="HP Simplified Light" w:hint="default"/>
        <w:sz w:val="16"/>
      </w:rPr>
    </w:lvl>
    <w:lvl w:ilvl="6">
      <w:start w:val="1"/>
      <w:numFmt w:val="bullet"/>
      <w:lvlText w:val=""/>
      <w:lvlJc w:val="left"/>
      <w:pPr>
        <w:tabs>
          <w:tab w:val="num" w:pos="1400"/>
        </w:tabs>
        <w:ind w:left="1400" w:hanging="200"/>
      </w:pPr>
      <w:rPr>
        <w:rFonts w:ascii="Symbol" w:hAnsi="Symbol" w:hint="default"/>
        <w:sz w:val="16"/>
      </w:rPr>
    </w:lvl>
    <w:lvl w:ilvl="7">
      <w:start w:val="1"/>
      <w:numFmt w:val="bullet"/>
      <w:lvlText w:val="–"/>
      <w:lvlJc w:val="left"/>
      <w:pPr>
        <w:tabs>
          <w:tab w:val="num" w:pos="1600"/>
        </w:tabs>
        <w:ind w:left="1600" w:hanging="200"/>
      </w:pPr>
      <w:rPr>
        <w:rFonts w:ascii="HP Simplified Light" w:hAnsi="HP Simplified Light" w:hint="default"/>
        <w:sz w:val="16"/>
      </w:rPr>
    </w:lvl>
    <w:lvl w:ilvl="8">
      <w:start w:val="1"/>
      <w:numFmt w:val="bullet"/>
      <w:lvlText w:val=""/>
      <w:lvlJc w:val="left"/>
      <w:pPr>
        <w:tabs>
          <w:tab w:val="num" w:pos="1800"/>
        </w:tabs>
        <w:ind w:left="1800" w:hanging="200"/>
      </w:pPr>
      <w:rPr>
        <w:rFonts w:ascii="Symbol" w:hAnsi="Symbol" w:hint="default"/>
        <w:sz w:val="16"/>
      </w:rPr>
    </w:lvl>
  </w:abstractNum>
  <w:abstractNum w:abstractNumId="13">
    <w:nsid w:val="22106524"/>
    <w:multiLevelType w:val="hybridMultilevel"/>
    <w:tmpl w:val="B044C162"/>
    <w:lvl w:ilvl="0" w:tplc="C044A23C">
      <w:start w:val="1"/>
      <w:numFmt w:val="decimal"/>
      <w:pStyle w:val="FootnoteNumbered"/>
      <w:lvlText w:val="(%1)"/>
      <w:lvlJc w:val="left"/>
      <w:pPr>
        <w:ind w:left="216" w:hanging="216"/>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2BB87CC5"/>
    <w:multiLevelType w:val="hybridMultilevel"/>
    <w:tmpl w:val="63529922"/>
    <w:lvl w:ilvl="0" w:tplc="C5DC1E1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E3B70AF"/>
    <w:multiLevelType w:val="multilevel"/>
    <w:tmpl w:val="051073C0"/>
    <w:numStyleLink w:val="HPBullets"/>
  </w:abstractNum>
  <w:abstractNum w:abstractNumId="16">
    <w:nsid w:val="7E183A3D"/>
    <w:multiLevelType w:val="hybridMultilevel"/>
    <w:tmpl w:val="CE843770"/>
    <w:lvl w:ilvl="0" w:tplc="303CD3F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8"/>
  </w:num>
  <w:num w:numId="3">
    <w:abstractNumId w:val="7"/>
  </w:num>
  <w:num w:numId="4">
    <w:abstractNumId w:val="6"/>
  </w:num>
  <w:num w:numId="5">
    <w:abstractNumId w:val="5"/>
  </w:num>
  <w:num w:numId="6">
    <w:abstractNumId w:val="9"/>
  </w:num>
  <w:num w:numId="7">
    <w:abstractNumId w:val="4"/>
  </w:num>
  <w:num w:numId="8">
    <w:abstractNumId w:val="3"/>
  </w:num>
  <w:num w:numId="9">
    <w:abstractNumId w:val="2"/>
  </w:num>
  <w:num w:numId="10">
    <w:abstractNumId w:val="1"/>
  </w:num>
  <w:num w:numId="11">
    <w:abstractNumId w:val="0"/>
  </w:num>
  <w:num w:numId="12">
    <w:abstractNumId w:val="14"/>
  </w:num>
  <w:num w:numId="13">
    <w:abstractNumId w:val="16"/>
  </w:num>
  <w:num w:numId="14">
    <w:abstractNumId w:val="16"/>
  </w:num>
  <w:num w:numId="15">
    <w:abstractNumId w:val="12"/>
  </w:num>
  <w:num w:numId="16">
    <w:abstractNumId w:val="15"/>
  </w:num>
  <w:num w:numId="17">
    <w:abstractNumId w:val="15"/>
  </w:num>
  <w:num w:numId="18">
    <w:abstractNumId w:val="13"/>
  </w:num>
  <w:num w:numId="19">
    <w:abstractNumId w:val="12"/>
  </w:num>
  <w:num w:numId="20">
    <w:abstractNumId w:val="12"/>
  </w:num>
  <w:num w:numId="21">
    <w:abstractNumId w:val="12"/>
  </w:num>
  <w:num w:numId="22">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4121"/>
    <o:shapelayout v:ext="edit">
      <o:idmap v:ext="edit" data="4"/>
    </o:shapelayout>
  </w:hdrShapeDefaults>
  <w:footnotePr>
    <w:footnote w:id="-1"/>
    <w:footnote w:id="0"/>
  </w:footnotePr>
  <w:endnotePr>
    <w:endnote w:id="-1"/>
    <w:endnote w:id="0"/>
  </w:endnotePr>
  <w:compat>
    <w:useFELayout/>
  </w:compat>
  <w:rsids>
    <w:rsidRoot w:val="00E970D2"/>
    <w:rsid w:val="00014257"/>
    <w:rsid w:val="00023850"/>
    <w:rsid w:val="00041CBD"/>
    <w:rsid w:val="00042823"/>
    <w:rsid w:val="00046011"/>
    <w:rsid w:val="00053945"/>
    <w:rsid w:val="000579DD"/>
    <w:rsid w:val="00072B42"/>
    <w:rsid w:val="000802B6"/>
    <w:rsid w:val="00082416"/>
    <w:rsid w:val="00083B39"/>
    <w:rsid w:val="00085CA8"/>
    <w:rsid w:val="0009295A"/>
    <w:rsid w:val="000A085C"/>
    <w:rsid w:val="000A2B6D"/>
    <w:rsid w:val="000A4CA6"/>
    <w:rsid w:val="000A67A6"/>
    <w:rsid w:val="000A7369"/>
    <w:rsid w:val="000D581C"/>
    <w:rsid w:val="000D6E74"/>
    <w:rsid w:val="000F22D4"/>
    <w:rsid w:val="0010369E"/>
    <w:rsid w:val="001263DA"/>
    <w:rsid w:val="00140C88"/>
    <w:rsid w:val="00146603"/>
    <w:rsid w:val="001543BE"/>
    <w:rsid w:val="00157825"/>
    <w:rsid w:val="00165856"/>
    <w:rsid w:val="00171A00"/>
    <w:rsid w:val="00175314"/>
    <w:rsid w:val="00180D22"/>
    <w:rsid w:val="00190459"/>
    <w:rsid w:val="001A0295"/>
    <w:rsid w:val="001A3201"/>
    <w:rsid w:val="001A35C8"/>
    <w:rsid w:val="001D5976"/>
    <w:rsid w:val="001F25EF"/>
    <w:rsid w:val="001F27C7"/>
    <w:rsid w:val="001F4823"/>
    <w:rsid w:val="00200F3A"/>
    <w:rsid w:val="0021339B"/>
    <w:rsid w:val="00217085"/>
    <w:rsid w:val="00221DBF"/>
    <w:rsid w:val="00226184"/>
    <w:rsid w:val="00233CA4"/>
    <w:rsid w:val="00242343"/>
    <w:rsid w:val="00254372"/>
    <w:rsid w:val="002730CC"/>
    <w:rsid w:val="00273292"/>
    <w:rsid w:val="00280E68"/>
    <w:rsid w:val="00282CD9"/>
    <w:rsid w:val="00285CD3"/>
    <w:rsid w:val="002B243F"/>
    <w:rsid w:val="002B2F5D"/>
    <w:rsid w:val="002C0A89"/>
    <w:rsid w:val="002C324D"/>
    <w:rsid w:val="002C60D1"/>
    <w:rsid w:val="002C6125"/>
    <w:rsid w:val="002D24DE"/>
    <w:rsid w:val="002D3531"/>
    <w:rsid w:val="002E1737"/>
    <w:rsid w:val="002E63DF"/>
    <w:rsid w:val="002E7D36"/>
    <w:rsid w:val="002F1FED"/>
    <w:rsid w:val="002F3910"/>
    <w:rsid w:val="002F3A22"/>
    <w:rsid w:val="00310481"/>
    <w:rsid w:val="0031430A"/>
    <w:rsid w:val="003162DF"/>
    <w:rsid w:val="00317F6B"/>
    <w:rsid w:val="003321D8"/>
    <w:rsid w:val="003553AE"/>
    <w:rsid w:val="00356A7A"/>
    <w:rsid w:val="003615C0"/>
    <w:rsid w:val="00361A69"/>
    <w:rsid w:val="003745AA"/>
    <w:rsid w:val="003767C9"/>
    <w:rsid w:val="00377D10"/>
    <w:rsid w:val="00394A74"/>
    <w:rsid w:val="003A132D"/>
    <w:rsid w:val="003A4CD5"/>
    <w:rsid w:val="003A7DCE"/>
    <w:rsid w:val="003B08C1"/>
    <w:rsid w:val="003B311B"/>
    <w:rsid w:val="003B5092"/>
    <w:rsid w:val="003B604A"/>
    <w:rsid w:val="003B7D35"/>
    <w:rsid w:val="003C5966"/>
    <w:rsid w:val="003C6004"/>
    <w:rsid w:val="003E4493"/>
    <w:rsid w:val="003F0E81"/>
    <w:rsid w:val="003F19B6"/>
    <w:rsid w:val="004043F9"/>
    <w:rsid w:val="00404CEC"/>
    <w:rsid w:val="00405C0C"/>
    <w:rsid w:val="00405FFB"/>
    <w:rsid w:val="004073FB"/>
    <w:rsid w:val="00407C12"/>
    <w:rsid w:val="00413921"/>
    <w:rsid w:val="00417C95"/>
    <w:rsid w:val="00426112"/>
    <w:rsid w:val="00434253"/>
    <w:rsid w:val="00437228"/>
    <w:rsid w:val="0044189E"/>
    <w:rsid w:val="00457E73"/>
    <w:rsid w:val="0046573A"/>
    <w:rsid w:val="00466FD7"/>
    <w:rsid w:val="004735C2"/>
    <w:rsid w:val="00473D54"/>
    <w:rsid w:val="00492ACE"/>
    <w:rsid w:val="004936A1"/>
    <w:rsid w:val="00493744"/>
    <w:rsid w:val="00495CDF"/>
    <w:rsid w:val="004A1936"/>
    <w:rsid w:val="004B3082"/>
    <w:rsid w:val="004C2C7B"/>
    <w:rsid w:val="004D36D9"/>
    <w:rsid w:val="004D59BD"/>
    <w:rsid w:val="004D782D"/>
    <w:rsid w:val="004E0E09"/>
    <w:rsid w:val="004E3CFF"/>
    <w:rsid w:val="004E43BC"/>
    <w:rsid w:val="004E5653"/>
    <w:rsid w:val="004E6D22"/>
    <w:rsid w:val="004F48F1"/>
    <w:rsid w:val="004F7A97"/>
    <w:rsid w:val="0050132E"/>
    <w:rsid w:val="00507849"/>
    <w:rsid w:val="00527FEA"/>
    <w:rsid w:val="00531730"/>
    <w:rsid w:val="005333DB"/>
    <w:rsid w:val="00535513"/>
    <w:rsid w:val="00535918"/>
    <w:rsid w:val="00537E67"/>
    <w:rsid w:val="005469F5"/>
    <w:rsid w:val="00547171"/>
    <w:rsid w:val="00553A39"/>
    <w:rsid w:val="00556973"/>
    <w:rsid w:val="005675DC"/>
    <w:rsid w:val="00580843"/>
    <w:rsid w:val="0059562E"/>
    <w:rsid w:val="005A3EC8"/>
    <w:rsid w:val="005A577D"/>
    <w:rsid w:val="005A5B3F"/>
    <w:rsid w:val="005C0980"/>
    <w:rsid w:val="005D0E5A"/>
    <w:rsid w:val="005D3933"/>
    <w:rsid w:val="005E52FC"/>
    <w:rsid w:val="00600AEB"/>
    <w:rsid w:val="00601FD9"/>
    <w:rsid w:val="00616E06"/>
    <w:rsid w:val="00625B23"/>
    <w:rsid w:val="00631BE0"/>
    <w:rsid w:val="00645224"/>
    <w:rsid w:val="0065712A"/>
    <w:rsid w:val="006637C9"/>
    <w:rsid w:val="006736A0"/>
    <w:rsid w:val="00677B11"/>
    <w:rsid w:val="006865ED"/>
    <w:rsid w:val="006877AD"/>
    <w:rsid w:val="00697442"/>
    <w:rsid w:val="006A4F6C"/>
    <w:rsid w:val="006B5392"/>
    <w:rsid w:val="006B7018"/>
    <w:rsid w:val="006C2720"/>
    <w:rsid w:val="006C705D"/>
    <w:rsid w:val="006C7C2F"/>
    <w:rsid w:val="006D299B"/>
    <w:rsid w:val="006D2FC1"/>
    <w:rsid w:val="006F217A"/>
    <w:rsid w:val="00701905"/>
    <w:rsid w:val="00713D0F"/>
    <w:rsid w:val="00730B06"/>
    <w:rsid w:val="00735A14"/>
    <w:rsid w:val="007374B4"/>
    <w:rsid w:val="00741AD3"/>
    <w:rsid w:val="00745254"/>
    <w:rsid w:val="00745BBD"/>
    <w:rsid w:val="00747DF1"/>
    <w:rsid w:val="00753BA4"/>
    <w:rsid w:val="00754230"/>
    <w:rsid w:val="00757FC5"/>
    <w:rsid w:val="007717AC"/>
    <w:rsid w:val="00774F73"/>
    <w:rsid w:val="007A6594"/>
    <w:rsid w:val="007D0570"/>
    <w:rsid w:val="007D4898"/>
    <w:rsid w:val="007D6EC6"/>
    <w:rsid w:val="007E05AF"/>
    <w:rsid w:val="007E47AC"/>
    <w:rsid w:val="007E770F"/>
    <w:rsid w:val="007F4156"/>
    <w:rsid w:val="00805600"/>
    <w:rsid w:val="00810467"/>
    <w:rsid w:val="0082324F"/>
    <w:rsid w:val="008252EF"/>
    <w:rsid w:val="00841CA3"/>
    <w:rsid w:val="00843768"/>
    <w:rsid w:val="008439A5"/>
    <w:rsid w:val="00846734"/>
    <w:rsid w:val="0085261D"/>
    <w:rsid w:val="0085330C"/>
    <w:rsid w:val="00853E97"/>
    <w:rsid w:val="008572B7"/>
    <w:rsid w:val="00865F11"/>
    <w:rsid w:val="0088410B"/>
    <w:rsid w:val="00892501"/>
    <w:rsid w:val="00892E95"/>
    <w:rsid w:val="00893789"/>
    <w:rsid w:val="008A40BD"/>
    <w:rsid w:val="008C6B14"/>
    <w:rsid w:val="008C702B"/>
    <w:rsid w:val="008D3356"/>
    <w:rsid w:val="008D3BFE"/>
    <w:rsid w:val="008E5184"/>
    <w:rsid w:val="00913612"/>
    <w:rsid w:val="00915B38"/>
    <w:rsid w:val="00920FBA"/>
    <w:rsid w:val="00927C7F"/>
    <w:rsid w:val="009353C7"/>
    <w:rsid w:val="00953660"/>
    <w:rsid w:val="00954131"/>
    <w:rsid w:val="00972F41"/>
    <w:rsid w:val="0097458A"/>
    <w:rsid w:val="009A4393"/>
    <w:rsid w:val="009B6C8C"/>
    <w:rsid w:val="009C07FB"/>
    <w:rsid w:val="009C3954"/>
    <w:rsid w:val="009C631C"/>
    <w:rsid w:val="009F347C"/>
    <w:rsid w:val="009F3A5F"/>
    <w:rsid w:val="00A012E1"/>
    <w:rsid w:val="00A04095"/>
    <w:rsid w:val="00A218D3"/>
    <w:rsid w:val="00A40A3D"/>
    <w:rsid w:val="00A4346C"/>
    <w:rsid w:val="00A43744"/>
    <w:rsid w:val="00A5739B"/>
    <w:rsid w:val="00A577C4"/>
    <w:rsid w:val="00A678F5"/>
    <w:rsid w:val="00A70C7B"/>
    <w:rsid w:val="00A71CA1"/>
    <w:rsid w:val="00AB4C36"/>
    <w:rsid w:val="00AC3471"/>
    <w:rsid w:val="00AD7C21"/>
    <w:rsid w:val="00AE3EAD"/>
    <w:rsid w:val="00B019F1"/>
    <w:rsid w:val="00B11565"/>
    <w:rsid w:val="00B17C5F"/>
    <w:rsid w:val="00B207F6"/>
    <w:rsid w:val="00B259DB"/>
    <w:rsid w:val="00B34961"/>
    <w:rsid w:val="00B34AA4"/>
    <w:rsid w:val="00B41716"/>
    <w:rsid w:val="00B4478A"/>
    <w:rsid w:val="00B6036A"/>
    <w:rsid w:val="00B774E1"/>
    <w:rsid w:val="00B77B85"/>
    <w:rsid w:val="00B86983"/>
    <w:rsid w:val="00B95FFA"/>
    <w:rsid w:val="00BA09F3"/>
    <w:rsid w:val="00BC3092"/>
    <w:rsid w:val="00BD14FF"/>
    <w:rsid w:val="00BD3315"/>
    <w:rsid w:val="00BE0381"/>
    <w:rsid w:val="00BE6AE3"/>
    <w:rsid w:val="00BF1DE4"/>
    <w:rsid w:val="00BF2660"/>
    <w:rsid w:val="00BF30C2"/>
    <w:rsid w:val="00BF47BC"/>
    <w:rsid w:val="00BF63C3"/>
    <w:rsid w:val="00C24DD3"/>
    <w:rsid w:val="00C4028D"/>
    <w:rsid w:val="00C619E3"/>
    <w:rsid w:val="00C67375"/>
    <w:rsid w:val="00C734EF"/>
    <w:rsid w:val="00C73A0C"/>
    <w:rsid w:val="00C7572B"/>
    <w:rsid w:val="00C976E8"/>
    <w:rsid w:val="00CA0850"/>
    <w:rsid w:val="00CA1B62"/>
    <w:rsid w:val="00CA32C5"/>
    <w:rsid w:val="00CB24B4"/>
    <w:rsid w:val="00CC5A72"/>
    <w:rsid w:val="00CD634C"/>
    <w:rsid w:val="00CE005E"/>
    <w:rsid w:val="00CF12DE"/>
    <w:rsid w:val="00CF6F9E"/>
    <w:rsid w:val="00D02B39"/>
    <w:rsid w:val="00D103AE"/>
    <w:rsid w:val="00D2067E"/>
    <w:rsid w:val="00D20BCC"/>
    <w:rsid w:val="00D21012"/>
    <w:rsid w:val="00D24528"/>
    <w:rsid w:val="00D275CB"/>
    <w:rsid w:val="00D3787A"/>
    <w:rsid w:val="00D4220A"/>
    <w:rsid w:val="00D432B2"/>
    <w:rsid w:val="00D435C2"/>
    <w:rsid w:val="00D80C61"/>
    <w:rsid w:val="00D83DD2"/>
    <w:rsid w:val="00D84F73"/>
    <w:rsid w:val="00D94E68"/>
    <w:rsid w:val="00DA2AE1"/>
    <w:rsid w:val="00DA5312"/>
    <w:rsid w:val="00DC12A8"/>
    <w:rsid w:val="00DE1343"/>
    <w:rsid w:val="00DE518B"/>
    <w:rsid w:val="00DF6055"/>
    <w:rsid w:val="00E20158"/>
    <w:rsid w:val="00E2744B"/>
    <w:rsid w:val="00E32373"/>
    <w:rsid w:val="00E3514A"/>
    <w:rsid w:val="00E35D24"/>
    <w:rsid w:val="00E45E27"/>
    <w:rsid w:val="00E47C27"/>
    <w:rsid w:val="00E5193F"/>
    <w:rsid w:val="00E54EBC"/>
    <w:rsid w:val="00E62390"/>
    <w:rsid w:val="00E72096"/>
    <w:rsid w:val="00E7430B"/>
    <w:rsid w:val="00E84CF0"/>
    <w:rsid w:val="00E970D2"/>
    <w:rsid w:val="00EB02AF"/>
    <w:rsid w:val="00EB7811"/>
    <w:rsid w:val="00EC1699"/>
    <w:rsid w:val="00ED1CE8"/>
    <w:rsid w:val="00ED6CE8"/>
    <w:rsid w:val="00EF15FB"/>
    <w:rsid w:val="00F151AD"/>
    <w:rsid w:val="00F217B3"/>
    <w:rsid w:val="00F51393"/>
    <w:rsid w:val="00F67199"/>
    <w:rsid w:val="00F728C9"/>
    <w:rsid w:val="00F72CB2"/>
    <w:rsid w:val="00F77276"/>
    <w:rsid w:val="00F84680"/>
    <w:rsid w:val="00F87771"/>
    <w:rsid w:val="00F91036"/>
    <w:rsid w:val="00F9426A"/>
    <w:rsid w:val="00FB237E"/>
    <w:rsid w:val="00FE376B"/>
    <w:rsid w:val="00FE3A2E"/>
    <w:rsid w:val="00FF03BA"/>
    <w:rsid w:val="00FF08E3"/>
    <w:rsid w:val="00FF15C6"/>
  </w:rsids>
  <m:mathPr>
    <m:mathFont m:val="Cambria Math"/>
    <m:brkBin m:val="before"/>
    <m:brkBinSub m:val="--"/>
    <m:smallFrac/>
    <m:dispDef/>
    <m:lMargin m:val="0"/>
    <m:rMargin m:val="0"/>
    <m:defJc m:val="centerGroup"/>
    <m:wrapRight/>
    <m:intLim m:val="subSup"/>
    <m:naryLim m:val="subSup"/>
  </m:mathPr>
  <w:themeFontLang w:val="en-AU"/>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121"/>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lsdException w:name="Default Paragraph Font" w:uiPriority="1"/>
    <w:lsdException w:name="Subtitle" w:uiPriority="11"/>
    <w:lsdException w:name="Strong" w:uiPriority="22"/>
    <w:lsdException w:name="Emphasis" w:uiPriority="2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uiPriority="29"/>
    <w:lsdException w:name="Intense Quote" w:uiPriority="3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lsdException w:name="Intense Emphasis" w:uiPriority="21"/>
    <w:lsdException w:name="Subtle Reference" w:uiPriority="31"/>
    <w:lsdException w:name="Intense Reference" w:uiPriority="32"/>
    <w:lsdException w:name="Book Title" w:uiPriority="33"/>
    <w:lsdException w:name="Bibliography" w:uiPriority="37"/>
    <w:lsdException w:name="TOC Heading" w:uiPriority="39" w:qFormat="1"/>
  </w:latentStyles>
  <w:style w:type="paragraph" w:default="1" w:styleId="Normal">
    <w:name w:val="Normal"/>
    <w:qFormat/>
    <w:rsid w:val="00F728C9"/>
    <w:pPr>
      <w:spacing w:line="260" w:lineRule="atLeast"/>
    </w:pPr>
    <w:rPr>
      <w:rFonts w:cstheme="minorHAnsi"/>
      <w:lang w:val="en-GB"/>
    </w:rPr>
  </w:style>
  <w:style w:type="paragraph" w:styleId="Heading1">
    <w:name w:val="heading 1"/>
    <w:basedOn w:val="Normal"/>
    <w:next w:val="Normal"/>
    <w:link w:val="Heading1Char"/>
    <w:uiPriority w:val="9"/>
    <w:unhideWhenUsed/>
    <w:qFormat/>
    <w:rsid w:val="006C705D"/>
    <w:pPr>
      <w:keepNext/>
      <w:keepLines/>
      <w:outlineLvl w:val="0"/>
    </w:pPr>
    <w:rPr>
      <w:rFonts w:asciiTheme="majorHAnsi" w:eastAsiaTheme="majorEastAsia" w:hAnsiTheme="majorHAnsi" w:cstheme="majorBidi"/>
      <w:b/>
      <w:bCs/>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HPInformation"/>
    <w:link w:val="HeaderChar"/>
    <w:uiPriority w:val="99"/>
    <w:rsid w:val="00972F41"/>
    <w:rPr>
      <w:szCs w:val="18"/>
    </w:rPr>
  </w:style>
  <w:style w:type="character" w:customStyle="1" w:styleId="HeaderChar">
    <w:name w:val="Header Char"/>
    <w:basedOn w:val="DefaultParagraphFont"/>
    <w:link w:val="Header"/>
    <w:uiPriority w:val="99"/>
    <w:rsid w:val="00972F41"/>
    <w:rPr>
      <w:rFonts w:cstheme="minorHAnsi"/>
      <w:noProof/>
      <w:sz w:val="16"/>
      <w:szCs w:val="18"/>
      <w:lang w:eastAsia="en-US"/>
    </w:rPr>
  </w:style>
  <w:style w:type="paragraph" w:styleId="Footer">
    <w:name w:val="footer"/>
    <w:basedOn w:val="HPInformation"/>
    <w:link w:val="FooterChar"/>
    <w:uiPriority w:val="99"/>
    <w:rsid w:val="006637C9"/>
    <w:pPr>
      <w:tabs>
        <w:tab w:val="clear" w:pos="173"/>
      </w:tabs>
    </w:pPr>
    <w:rPr>
      <w:noProof w:val="0"/>
      <w:szCs w:val="10"/>
    </w:rPr>
  </w:style>
  <w:style w:type="character" w:customStyle="1" w:styleId="FooterChar">
    <w:name w:val="Footer Char"/>
    <w:basedOn w:val="DefaultParagraphFont"/>
    <w:link w:val="Footer"/>
    <w:uiPriority w:val="99"/>
    <w:rsid w:val="006637C9"/>
    <w:rPr>
      <w:rFonts w:cstheme="minorHAnsi"/>
      <w:sz w:val="16"/>
      <w:szCs w:val="10"/>
      <w:lang w:val="en-GB" w:eastAsia="en-US"/>
    </w:rPr>
  </w:style>
  <w:style w:type="character" w:styleId="Hyperlink">
    <w:name w:val="Hyperlink"/>
    <w:basedOn w:val="DefaultParagraphFont"/>
    <w:uiPriority w:val="99"/>
    <w:unhideWhenUsed/>
    <w:rsid w:val="009C631C"/>
    <w:rPr>
      <w:color w:val="auto"/>
      <w:u w:val="single" w:color="87898B"/>
    </w:rPr>
  </w:style>
  <w:style w:type="character" w:styleId="FollowedHyperlink">
    <w:name w:val="FollowedHyperlink"/>
    <w:basedOn w:val="DefaultParagraphFont"/>
    <w:uiPriority w:val="99"/>
    <w:unhideWhenUsed/>
    <w:rsid w:val="009C631C"/>
    <w:rPr>
      <w:color w:val="auto"/>
      <w:u w:val="single" w:color="87898B"/>
    </w:rPr>
  </w:style>
  <w:style w:type="paragraph" w:customStyle="1" w:styleId="HPInformation">
    <w:name w:val="HP Information"/>
    <w:basedOn w:val="Normal"/>
    <w:rsid w:val="006C705D"/>
    <w:pPr>
      <w:tabs>
        <w:tab w:val="left" w:pos="173"/>
      </w:tabs>
      <w:spacing w:line="220" w:lineRule="atLeast"/>
    </w:pPr>
    <w:rPr>
      <w:noProof/>
      <w:sz w:val="16"/>
      <w:szCs w:val="16"/>
      <w:lang w:eastAsia="en-US"/>
    </w:rPr>
  </w:style>
  <w:style w:type="table" w:styleId="TableGrid">
    <w:name w:val="Table Grid"/>
    <w:basedOn w:val="TableNormal"/>
    <w:uiPriority w:val="59"/>
    <w:rsid w:val="00FF03BA"/>
    <w:tblPr>
      <w:tblInd w:w="0" w:type="dxa"/>
      <w:tblCellMar>
        <w:top w:w="0" w:type="dxa"/>
        <w:left w:w="0" w:type="dxa"/>
        <w:bottom w:w="0" w:type="dxa"/>
        <w:right w:w="0" w:type="dxa"/>
      </w:tblCellMar>
    </w:tblPr>
    <w:tblStylePr w:type="firstRow">
      <w:rPr>
        <w:rFonts w:asciiTheme="majorHAnsi" w:hAnsiTheme="majorHAnsi"/>
        <w:b/>
        <w:bCs/>
        <w:i w:val="0"/>
        <w:iCs w:val="0"/>
      </w:rPr>
      <w:tblPr/>
      <w:tcPr>
        <w:tcBorders>
          <w:top w:val="nil"/>
          <w:left w:val="nil"/>
          <w:bottom w:val="nil"/>
          <w:right w:val="nil"/>
          <w:insideH w:val="nil"/>
          <w:insideV w:val="nil"/>
          <w:tl2br w:val="nil"/>
          <w:tr2bl w:val="nil"/>
        </w:tcBorders>
      </w:tcPr>
    </w:tblStylePr>
  </w:style>
  <w:style w:type="character" w:customStyle="1" w:styleId="Heading1Char">
    <w:name w:val="Heading 1 Char"/>
    <w:basedOn w:val="DefaultParagraphFont"/>
    <w:link w:val="Heading1"/>
    <w:uiPriority w:val="9"/>
    <w:rsid w:val="006C705D"/>
    <w:rPr>
      <w:rFonts w:asciiTheme="majorHAnsi" w:eastAsiaTheme="majorEastAsia" w:hAnsiTheme="majorHAnsi" w:cstheme="majorBidi"/>
      <w:b/>
      <w:bCs/>
      <w:szCs w:val="32"/>
    </w:rPr>
  </w:style>
  <w:style w:type="paragraph" w:styleId="ListParagraph">
    <w:name w:val="List Paragraph"/>
    <w:basedOn w:val="BodyBullets"/>
    <w:uiPriority w:val="34"/>
    <w:unhideWhenUsed/>
    <w:rsid w:val="00254372"/>
  </w:style>
  <w:style w:type="paragraph" w:customStyle="1" w:styleId="BodyBullets">
    <w:name w:val="Body Bullets"/>
    <w:basedOn w:val="Normal"/>
    <w:qFormat/>
    <w:rsid w:val="00FF03BA"/>
    <w:pPr>
      <w:numPr>
        <w:numId w:val="21"/>
      </w:numPr>
      <w:spacing w:before="120"/>
      <w:contextualSpacing/>
    </w:pPr>
  </w:style>
  <w:style w:type="numbering" w:customStyle="1" w:styleId="HPBullets">
    <w:name w:val="HP Bullets"/>
    <w:uiPriority w:val="99"/>
    <w:rsid w:val="00B95FFA"/>
    <w:pPr>
      <w:numPr>
        <w:numId w:val="15"/>
      </w:numPr>
    </w:pPr>
  </w:style>
  <w:style w:type="paragraph" w:customStyle="1" w:styleId="LegalText">
    <w:name w:val="Legal Text"/>
    <w:basedOn w:val="Normal"/>
    <w:rsid w:val="00F9426A"/>
    <w:pPr>
      <w:spacing w:line="150" w:lineRule="atLeast"/>
    </w:pPr>
    <w:rPr>
      <w:sz w:val="12"/>
    </w:rPr>
  </w:style>
  <w:style w:type="paragraph" w:customStyle="1" w:styleId="Footnote">
    <w:name w:val="Footnote"/>
    <w:rsid w:val="00F9426A"/>
    <w:pPr>
      <w:spacing w:line="220" w:lineRule="atLeast"/>
    </w:pPr>
    <w:rPr>
      <w:rFonts w:cstheme="minorHAnsi"/>
      <w:sz w:val="16"/>
      <w:szCs w:val="18"/>
      <w:lang w:eastAsia="en-US"/>
    </w:rPr>
  </w:style>
  <w:style w:type="paragraph" w:customStyle="1" w:styleId="FootnoteNumbered">
    <w:name w:val="Footnote Numbered"/>
    <w:basedOn w:val="Footnote"/>
    <w:rsid w:val="00F9426A"/>
    <w:pPr>
      <w:numPr>
        <w:numId w:val="18"/>
      </w:numPr>
    </w:pPr>
  </w:style>
  <w:style w:type="paragraph" w:styleId="BalloonText">
    <w:name w:val="Balloon Text"/>
    <w:basedOn w:val="Normal"/>
    <w:link w:val="BalloonTextChar"/>
    <w:uiPriority w:val="99"/>
    <w:semiHidden/>
    <w:unhideWhenUsed/>
    <w:rsid w:val="00014257"/>
    <w:pPr>
      <w:spacing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14257"/>
    <w:rPr>
      <w:rFonts w:ascii="Lucida Grande" w:hAnsi="Lucida Grande" w:cs="Lucida Grande"/>
      <w:sz w:val="18"/>
      <w:szCs w:val="18"/>
      <w:lang w:val="en-GB"/>
    </w:rPr>
  </w:style>
  <w:style w:type="paragraph" w:customStyle="1" w:styleId="DateAddress">
    <w:name w:val="Date &amp; Address"/>
    <w:basedOn w:val="Normal"/>
    <w:rsid w:val="001D5976"/>
  </w:style>
  <w:style w:type="paragraph" w:styleId="Revision">
    <w:name w:val="Revision"/>
    <w:hidden/>
    <w:uiPriority w:val="99"/>
    <w:semiHidden/>
    <w:rsid w:val="00E20158"/>
    <w:rPr>
      <w:rFonts w:cstheme="minorHAnsi"/>
      <w:lang w:val="en-GB"/>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3" Type="http://schemas.openxmlformats.org/officeDocument/2006/relationships/image" Target="media/image3.gif"/><Relationship Id="rId2" Type="http://schemas.openxmlformats.org/officeDocument/2006/relationships/image" Target="media/image2.gif"/><Relationship Id="rId1" Type="http://schemas.openxmlformats.org/officeDocument/2006/relationships/image" Target="media/image1.gif"/><Relationship Id="rId4"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F:\Work%20-%20HP%20Documents\Other\McGrath%20HP%20Letterhead.dotx" TargetMode="External"/></Relationships>
</file>

<file path=word/theme/theme1.xml><?xml version="1.0" encoding="utf-8"?>
<a:theme xmlns:a="http://schemas.openxmlformats.org/drawingml/2006/main" name="HP Word">
  <a:themeElements>
    <a:clrScheme name="HP">
      <a:dk1>
        <a:sysClr val="windowText" lastClr="000000"/>
      </a:dk1>
      <a:lt1>
        <a:sysClr val="window" lastClr="FFFFFF"/>
      </a:lt1>
      <a:dk2>
        <a:srgbClr val="000000"/>
      </a:dk2>
      <a:lt2>
        <a:srgbClr val="FFFFFF"/>
      </a:lt2>
      <a:accent1>
        <a:srgbClr val="0096D6"/>
      </a:accent1>
      <a:accent2>
        <a:srgbClr val="87898B"/>
      </a:accent2>
      <a:accent3>
        <a:srgbClr val="F05332"/>
      </a:accent3>
      <a:accent4>
        <a:srgbClr val="B7CA34"/>
      </a:accent4>
      <a:accent5>
        <a:srgbClr val="822980"/>
      </a:accent5>
      <a:accent6>
        <a:srgbClr val="B9B8BB"/>
      </a:accent6>
      <a:hlink>
        <a:srgbClr val="0096D6"/>
      </a:hlink>
      <a:folHlink>
        <a:srgbClr val="0096D6"/>
      </a:folHlink>
    </a:clrScheme>
    <a:fontScheme name="HP">
      <a:majorFont>
        <a:latin typeface="HP Simplified"/>
        <a:ea typeface=""/>
        <a:cs typeface=""/>
      </a:majorFont>
      <a:minorFont>
        <a:latin typeface="HP Simplified Light"/>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McGrath HP Letterhead.dotx</Template>
  <TotalTime>212</TotalTime>
  <Pages>5</Pages>
  <Words>1699</Words>
  <Characters>9689</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HP Letterhead</vt:lpstr>
    </vt:vector>
  </TitlesOfParts>
  <Company>HP</Company>
  <LinksUpToDate>false</LinksUpToDate>
  <CharactersWithSpaces>11366</CharactersWithSpaces>
  <SharedDoc>false</SharedDoc>
  <HyperlinkBase/>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HP Letterhead</dc:title>
  <dc:creator>Andrew Collier</dc:creator>
  <cp:lastModifiedBy>Andrew Collier</cp:lastModifiedBy>
  <cp:revision>6</cp:revision>
  <cp:lastPrinted>2012-09-07T02:06:00Z</cp:lastPrinted>
  <dcterms:created xsi:type="dcterms:W3CDTF">2012-09-07T02:08:00Z</dcterms:created>
  <dcterms:modified xsi:type="dcterms:W3CDTF">2012-09-07T06:16:00Z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emplateMaker">
    <vt:lpwstr>Customized 9/7/2012</vt:lpwstr>
  </property>
</Properties>
</file>