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0E8" w:rsidRDefault="001C05C7" w:rsidP="001C05C7">
      <w:pPr>
        <w:tabs>
          <w:tab w:val="left" w:pos="2700"/>
          <w:tab w:val="left" w:pos="5400"/>
          <w:tab w:val="left" w:pos="6480"/>
        </w:tabs>
        <w:rPr>
          <w:rFonts w:ascii="Arial" w:hAnsi="Arial"/>
          <w:sz w:val="16"/>
        </w:rPr>
      </w:pPr>
      <w:bookmarkStart w:id="0" w:name="_GoBack"/>
      <w:bookmarkEnd w:id="0"/>
      <w:r>
        <w:rPr>
          <w:rFonts w:ascii="Arial" w:hAnsi="Arial"/>
          <w:b/>
          <w:noProof/>
        </w:rPr>
        <w:drawing>
          <wp:anchor distT="0" distB="0" distL="114300" distR="114300" simplePos="0" relativeHeight="251657216" behindDoc="0" locked="0" layoutInCell="0" allowOverlap="1" wp14:anchorId="3938580F" wp14:editId="41970FB7">
            <wp:simplePos x="0" y="0"/>
            <wp:positionH relativeFrom="column">
              <wp:posOffset>-74295</wp:posOffset>
            </wp:positionH>
            <wp:positionV relativeFrom="paragraph">
              <wp:posOffset>4445</wp:posOffset>
            </wp:positionV>
            <wp:extent cx="2011680" cy="274320"/>
            <wp:effectExtent l="19050" t="0" r="762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2011680" cy="274320"/>
                    </a:xfrm>
                    <a:prstGeom prst="rect">
                      <a:avLst/>
                    </a:prstGeom>
                    <a:noFill/>
                    <a:ln w="9525">
                      <a:noFill/>
                      <a:miter lim="800000"/>
                      <a:headEnd/>
                      <a:tailEnd/>
                    </a:ln>
                  </pic:spPr>
                </pic:pic>
              </a:graphicData>
            </a:graphic>
          </wp:anchor>
        </w:drawing>
      </w:r>
      <w:r w:rsidR="005400E8">
        <w:rPr>
          <w:rFonts w:ascii="Arial" w:hAnsi="Arial"/>
          <w:sz w:val="16"/>
        </w:rPr>
        <w:t xml:space="preserve">Commonwealth Bank of </w:t>
      </w:r>
      <w:smartTag w:uri="urn:schemas-microsoft-com:office:smarttags" w:element="country-region">
        <w:smartTag w:uri="urn:schemas-microsoft-com:office:smarttags" w:element="place">
          <w:r w:rsidR="005400E8">
            <w:rPr>
              <w:rFonts w:ascii="Arial" w:hAnsi="Arial"/>
              <w:sz w:val="16"/>
            </w:rPr>
            <w:t>Australia</w:t>
          </w:r>
        </w:smartTag>
      </w:smartTag>
    </w:p>
    <w:p w:rsidR="005400E8" w:rsidRDefault="005400E8" w:rsidP="001C05C7">
      <w:pPr>
        <w:tabs>
          <w:tab w:val="left" w:pos="2700"/>
          <w:tab w:val="left" w:pos="5400"/>
          <w:tab w:val="left" w:pos="6480"/>
        </w:tabs>
        <w:rPr>
          <w:rFonts w:ascii="Arial" w:hAnsi="Arial"/>
          <w:sz w:val="16"/>
        </w:rPr>
      </w:pPr>
      <w:r>
        <w:rPr>
          <w:rFonts w:ascii="Arial" w:hAnsi="Arial"/>
          <w:sz w:val="16"/>
        </w:rPr>
        <w:t>ABN 48 123 123 124</w:t>
      </w:r>
    </w:p>
    <w:p w:rsidR="0064712E" w:rsidRDefault="0064712E" w:rsidP="0064712E">
      <w:pPr>
        <w:tabs>
          <w:tab w:val="left" w:pos="2700"/>
          <w:tab w:val="left" w:pos="5400"/>
          <w:tab w:val="left" w:pos="6480"/>
        </w:tabs>
        <w:rPr>
          <w:rFonts w:ascii="Univers (WN)" w:hAnsi="Univers (WN)"/>
          <w:sz w:val="16"/>
        </w:rPr>
      </w:pPr>
    </w:p>
    <w:tbl>
      <w:tblPr>
        <w:tblStyle w:val="TableGrid"/>
        <w:tblW w:w="1006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6"/>
        <w:gridCol w:w="1827"/>
        <w:gridCol w:w="2552"/>
        <w:gridCol w:w="3260"/>
      </w:tblGrid>
      <w:tr w:rsidR="0064712E" w:rsidTr="00573ADA">
        <w:tc>
          <w:tcPr>
            <w:tcW w:w="2426" w:type="dxa"/>
          </w:tcPr>
          <w:p w:rsidR="0064712E" w:rsidRDefault="0064712E" w:rsidP="00573ADA">
            <w:pPr>
              <w:rPr>
                <w:rFonts w:ascii="Arial" w:hAnsi="Arial"/>
                <w:sz w:val="16"/>
              </w:rPr>
            </w:pPr>
            <w:r>
              <w:rPr>
                <w:rFonts w:ascii="Arial" w:hAnsi="Arial"/>
                <w:sz w:val="16"/>
              </w:rPr>
              <w:t>Level  6</w:t>
            </w:r>
          </w:p>
        </w:tc>
        <w:tc>
          <w:tcPr>
            <w:tcW w:w="1827" w:type="dxa"/>
          </w:tcPr>
          <w:p w:rsidR="0064712E" w:rsidRDefault="0064712E" w:rsidP="00573ADA">
            <w:pPr>
              <w:rPr>
                <w:rFonts w:ascii="Arial" w:hAnsi="Arial"/>
                <w:sz w:val="16"/>
              </w:rPr>
            </w:pPr>
            <w:r>
              <w:rPr>
                <w:rFonts w:ascii="Arial" w:hAnsi="Arial"/>
                <w:sz w:val="16"/>
              </w:rPr>
              <w:t>GPO Box 2719</w:t>
            </w:r>
          </w:p>
        </w:tc>
        <w:tc>
          <w:tcPr>
            <w:tcW w:w="2552" w:type="dxa"/>
          </w:tcPr>
          <w:p w:rsidR="0064712E" w:rsidRDefault="0064712E" w:rsidP="00573ADA">
            <w:pPr>
              <w:rPr>
                <w:rFonts w:ascii="Arial" w:hAnsi="Arial"/>
                <w:sz w:val="16"/>
              </w:rPr>
            </w:pPr>
            <w:r>
              <w:rPr>
                <w:rFonts w:ascii="Arial" w:hAnsi="Arial"/>
                <w:sz w:val="16"/>
              </w:rPr>
              <w:t>Telephone:  (02) 9118 6545</w:t>
            </w:r>
          </w:p>
        </w:tc>
        <w:tc>
          <w:tcPr>
            <w:tcW w:w="3260" w:type="dxa"/>
          </w:tcPr>
          <w:p w:rsidR="0064712E" w:rsidRDefault="0064712E" w:rsidP="00573ADA">
            <w:pPr>
              <w:rPr>
                <w:rFonts w:ascii="Arial" w:hAnsi="Arial"/>
                <w:sz w:val="16"/>
              </w:rPr>
            </w:pPr>
            <w:r>
              <w:rPr>
                <w:rFonts w:ascii="Arial" w:hAnsi="Arial"/>
                <w:sz w:val="16"/>
              </w:rPr>
              <w:t>Representation</w:t>
            </w:r>
          </w:p>
        </w:tc>
      </w:tr>
      <w:tr w:rsidR="0064712E" w:rsidTr="00573ADA">
        <w:tc>
          <w:tcPr>
            <w:tcW w:w="2426" w:type="dxa"/>
          </w:tcPr>
          <w:p w:rsidR="0064712E" w:rsidRDefault="0064712E" w:rsidP="00573ADA">
            <w:pPr>
              <w:rPr>
                <w:rFonts w:ascii="Arial" w:hAnsi="Arial"/>
                <w:sz w:val="16"/>
              </w:rPr>
            </w:pPr>
            <w:r>
              <w:rPr>
                <w:rFonts w:ascii="Arial" w:hAnsi="Arial"/>
                <w:sz w:val="16"/>
              </w:rPr>
              <w:t>201 Sussex Street</w:t>
            </w:r>
          </w:p>
        </w:tc>
        <w:tc>
          <w:tcPr>
            <w:tcW w:w="1827" w:type="dxa"/>
          </w:tcPr>
          <w:p w:rsidR="0064712E" w:rsidRDefault="0064712E" w:rsidP="00573ADA">
            <w:pPr>
              <w:rPr>
                <w:rFonts w:ascii="Arial" w:hAnsi="Arial"/>
                <w:sz w:val="16"/>
              </w:rPr>
            </w:pPr>
            <w:r>
              <w:rPr>
                <w:rFonts w:ascii="Arial" w:hAnsi="Arial"/>
                <w:sz w:val="16"/>
              </w:rPr>
              <w:t>Sydney</w:t>
            </w:r>
          </w:p>
        </w:tc>
        <w:tc>
          <w:tcPr>
            <w:tcW w:w="2552" w:type="dxa"/>
          </w:tcPr>
          <w:p w:rsidR="0064712E" w:rsidRDefault="0064712E" w:rsidP="003244ED">
            <w:pPr>
              <w:rPr>
                <w:rFonts w:ascii="Arial" w:hAnsi="Arial"/>
                <w:sz w:val="16"/>
              </w:rPr>
            </w:pPr>
            <w:r>
              <w:rPr>
                <w:rFonts w:ascii="Arial" w:hAnsi="Arial"/>
                <w:sz w:val="16"/>
              </w:rPr>
              <w:t xml:space="preserve">Email:  </w:t>
            </w:r>
            <w:hyperlink r:id="rId10" w:history="1">
              <w:r w:rsidR="003244ED" w:rsidRPr="00735721">
                <w:rPr>
                  <w:rStyle w:val="Hyperlink"/>
                  <w:rFonts w:ascii="Arial" w:hAnsi="Arial"/>
                  <w:sz w:val="16"/>
                </w:rPr>
                <w:t>woodward@cba.com.au</w:t>
              </w:r>
            </w:hyperlink>
          </w:p>
        </w:tc>
        <w:tc>
          <w:tcPr>
            <w:tcW w:w="3260" w:type="dxa"/>
          </w:tcPr>
          <w:p w:rsidR="0064712E" w:rsidRDefault="0064712E" w:rsidP="00573ADA">
            <w:pPr>
              <w:rPr>
                <w:rFonts w:ascii="Arial" w:hAnsi="Arial"/>
                <w:sz w:val="16"/>
              </w:rPr>
            </w:pPr>
            <w:r>
              <w:rPr>
                <w:rFonts w:ascii="Arial" w:hAnsi="Arial"/>
                <w:sz w:val="16"/>
              </w:rPr>
              <w:t>Credit Cards, Payments &amp; Retail Strategy</w:t>
            </w:r>
          </w:p>
        </w:tc>
      </w:tr>
      <w:tr w:rsidR="0064712E" w:rsidTr="00573ADA">
        <w:tc>
          <w:tcPr>
            <w:tcW w:w="2426" w:type="dxa"/>
          </w:tcPr>
          <w:p w:rsidR="0064712E" w:rsidRDefault="0064712E" w:rsidP="00573ADA">
            <w:pPr>
              <w:rPr>
                <w:rFonts w:ascii="Arial" w:hAnsi="Arial"/>
                <w:sz w:val="16"/>
              </w:rPr>
            </w:pPr>
            <w:r>
              <w:rPr>
                <w:rFonts w:ascii="Arial" w:hAnsi="Arial"/>
                <w:sz w:val="16"/>
              </w:rPr>
              <w:t>Sydney  NSW  2000</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64712E" w:rsidP="00573ADA">
            <w:pPr>
              <w:rPr>
                <w:rFonts w:ascii="Arial" w:hAnsi="Arial"/>
                <w:sz w:val="16"/>
              </w:rPr>
            </w:pPr>
            <w:r>
              <w:rPr>
                <w:rFonts w:ascii="Arial" w:hAnsi="Arial"/>
                <w:sz w:val="16"/>
              </w:rPr>
              <w:t>Retail Banking Services</w:t>
            </w:r>
          </w:p>
        </w:tc>
      </w:tr>
      <w:tr w:rsidR="0064712E" w:rsidTr="00573ADA">
        <w:tc>
          <w:tcPr>
            <w:tcW w:w="2426" w:type="dxa"/>
          </w:tcPr>
          <w:p w:rsidR="0064712E" w:rsidRDefault="0064712E" w:rsidP="00573ADA">
            <w:pPr>
              <w:ind w:right="-198"/>
              <w:rPr>
                <w:rFonts w:ascii="Arial" w:hAnsi="Arial"/>
                <w:sz w:val="16"/>
              </w:rPr>
            </w:pPr>
            <w:r>
              <w:rPr>
                <w:rFonts w:ascii="Arial" w:hAnsi="Arial"/>
                <w:sz w:val="16"/>
              </w:rPr>
              <w:t>Australia</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64712E" w:rsidP="00573ADA">
            <w:pPr>
              <w:rPr>
                <w:rFonts w:ascii="Arial" w:hAnsi="Arial"/>
                <w:sz w:val="16"/>
              </w:rPr>
            </w:pPr>
          </w:p>
        </w:tc>
      </w:tr>
    </w:tbl>
    <w:p w:rsidR="005400E8" w:rsidRDefault="005400E8" w:rsidP="001C05C7">
      <w:pPr>
        <w:tabs>
          <w:tab w:val="left" w:pos="2700"/>
          <w:tab w:val="left" w:pos="5400"/>
          <w:tab w:val="left" w:pos="6480"/>
        </w:tabs>
        <w:rPr>
          <w:rFonts w:ascii="Univers (WN)" w:hAnsi="Univers (WN)"/>
          <w:sz w:val="16"/>
        </w:rPr>
      </w:pPr>
    </w:p>
    <w:p w:rsidR="00FE0251" w:rsidRDefault="00FE0251" w:rsidP="008E504A">
      <w:pPr>
        <w:rPr>
          <w:rFonts w:ascii="Arial" w:hAnsi="Arial"/>
          <w:b/>
          <w:sz w:val="16"/>
        </w:rPr>
      </w:pPr>
    </w:p>
    <w:p w:rsidR="00BB41EE" w:rsidRPr="008E504A" w:rsidRDefault="00BB41EE" w:rsidP="008E504A">
      <w:pPr>
        <w:rPr>
          <w:rFonts w:ascii="Arial" w:hAnsi="Arial"/>
          <w:b/>
          <w:sz w:val="16"/>
        </w:rPr>
      </w:pPr>
    </w:p>
    <w:p w:rsidR="005400E8" w:rsidRPr="0018305B" w:rsidRDefault="00021C53" w:rsidP="00EB6FA0">
      <w:pPr>
        <w:pStyle w:val="BodyText"/>
        <w:shd w:val="clear" w:color="auto" w:fill="FFFFFF" w:themeFill="background1"/>
        <w:spacing w:after="0" w:line="280" w:lineRule="exact"/>
        <w:jc w:val="left"/>
        <w:rPr>
          <w:rFonts w:ascii="Arial" w:hAnsi="Arial" w:cs="Arial"/>
          <w:sz w:val="22"/>
          <w:szCs w:val="22"/>
        </w:rPr>
      </w:pPr>
      <w:r>
        <w:rPr>
          <w:rFonts w:ascii="Arial" w:hAnsi="Arial" w:cs="Arial"/>
          <w:sz w:val="22"/>
          <w:szCs w:val="22"/>
        </w:rPr>
        <w:t>2</w:t>
      </w:r>
      <w:r w:rsidR="00826EA7">
        <w:rPr>
          <w:rFonts w:ascii="Arial" w:hAnsi="Arial" w:cs="Arial"/>
          <w:sz w:val="22"/>
          <w:szCs w:val="22"/>
        </w:rPr>
        <w:t>2</w:t>
      </w:r>
      <w:r>
        <w:rPr>
          <w:rFonts w:ascii="Arial" w:hAnsi="Arial" w:cs="Arial"/>
          <w:sz w:val="22"/>
          <w:szCs w:val="22"/>
        </w:rPr>
        <w:t xml:space="preserve"> April 2015</w:t>
      </w:r>
    </w:p>
    <w:p w:rsidR="00940063" w:rsidRPr="0018305B" w:rsidRDefault="00940063" w:rsidP="00940063">
      <w:pPr>
        <w:pStyle w:val="BodyText"/>
        <w:spacing w:after="0" w:line="240" w:lineRule="exact"/>
        <w:jc w:val="left"/>
        <w:rPr>
          <w:rFonts w:ascii="Arial" w:hAnsi="Arial" w:cs="Arial"/>
          <w:sz w:val="22"/>
          <w:szCs w:val="22"/>
        </w:rPr>
      </w:pPr>
    </w:p>
    <w:p w:rsidR="00EB6FA0" w:rsidRPr="00297F62" w:rsidRDefault="00EB6FA0" w:rsidP="00297F62">
      <w:pPr>
        <w:pStyle w:val="BodyText"/>
        <w:spacing w:after="0" w:line="240" w:lineRule="exact"/>
        <w:jc w:val="left"/>
        <w:rPr>
          <w:rFonts w:ascii="Arial" w:hAnsi="Arial" w:cs="Arial"/>
          <w:sz w:val="22"/>
          <w:szCs w:val="22"/>
        </w:rPr>
      </w:pPr>
    </w:p>
    <w:p w:rsidR="009A6D44" w:rsidRPr="0018305B" w:rsidRDefault="00E151A7" w:rsidP="001C05C7">
      <w:pPr>
        <w:pStyle w:val="BodyText"/>
        <w:spacing w:after="0" w:line="240" w:lineRule="auto"/>
        <w:jc w:val="left"/>
        <w:rPr>
          <w:rFonts w:ascii="Arial" w:hAnsi="Arial" w:cs="Arial"/>
          <w:sz w:val="22"/>
          <w:szCs w:val="22"/>
        </w:rPr>
      </w:pPr>
      <w:r>
        <w:rPr>
          <w:rFonts w:ascii="Arial" w:hAnsi="Arial" w:cs="Arial"/>
          <w:noProof/>
          <w:sz w:val="22"/>
          <w:szCs w:val="22"/>
        </w:rPr>
        <mc:AlternateContent>
          <mc:Choice Requires="wpg">
            <w:drawing>
              <wp:anchor distT="0" distB="0" distL="114300" distR="114300" simplePos="0" relativeHeight="251658240" behindDoc="0" locked="0" layoutInCell="0" allowOverlap="1" wp14:anchorId="230F489D" wp14:editId="1C616F40">
                <wp:simplePos x="0" y="0"/>
                <wp:positionH relativeFrom="column">
                  <wp:posOffset>5099050</wp:posOffset>
                </wp:positionH>
                <wp:positionV relativeFrom="paragraph">
                  <wp:posOffset>45085</wp:posOffset>
                </wp:positionV>
                <wp:extent cx="671830" cy="666750"/>
                <wp:effectExtent l="3175" t="6985" r="20320" b="12065"/>
                <wp:wrapNone/>
                <wp:docPr id="1"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71830" cy="666750"/>
                          <a:chOff x="9996" y="2743"/>
                          <a:chExt cx="1564" cy="1552"/>
                        </a:xfrm>
                      </wpg:grpSpPr>
                      <wps:wsp>
                        <wps:cNvPr id="2" name="Freeform 3"/>
                        <wps:cNvSpPr>
                          <a:spLocks noChangeAspect="1"/>
                        </wps:cNvSpPr>
                        <wps:spPr bwMode="auto">
                          <a:xfrm>
                            <a:off x="9996" y="2743"/>
                            <a:ext cx="1564" cy="1552"/>
                          </a:xfrm>
                          <a:custGeom>
                            <a:avLst/>
                            <a:gdLst>
                              <a:gd name="T0" fmla="*/ 0 w 1564"/>
                              <a:gd name="T1" fmla="*/ 776 h 1552"/>
                              <a:gd name="T2" fmla="*/ 782 w 1564"/>
                              <a:gd name="T3" fmla="*/ 0 h 1552"/>
                              <a:gd name="T4" fmla="*/ 1564 w 1564"/>
                              <a:gd name="T5" fmla="*/ 776 h 1552"/>
                              <a:gd name="T6" fmla="*/ 782 w 1564"/>
                              <a:gd name="T7" fmla="*/ 1552 h 1552"/>
                              <a:gd name="T8" fmla="*/ 0 w 1564"/>
                              <a:gd name="T9" fmla="*/ 776 h 1552"/>
                            </a:gdLst>
                            <a:ahLst/>
                            <a:cxnLst>
                              <a:cxn ang="0">
                                <a:pos x="T0" y="T1"/>
                              </a:cxn>
                              <a:cxn ang="0">
                                <a:pos x="T2" y="T3"/>
                              </a:cxn>
                              <a:cxn ang="0">
                                <a:pos x="T4" y="T5"/>
                              </a:cxn>
                              <a:cxn ang="0">
                                <a:pos x="T6" y="T7"/>
                              </a:cxn>
                              <a:cxn ang="0">
                                <a:pos x="T8" y="T9"/>
                              </a:cxn>
                            </a:cxnLst>
                            <a:rect l="0" t="0" r="r" b="b"/>
                            <a:pathLst>
                              <a:path w="1564" h="1552">
                                <a:moveTo>
                                  <a:pt x="0" y="776"/>
                                </a:moveTo>
                                <a:lnTo>
                                  <a:pt x="782" y="0"/>
                                </a:lnTo>
                                <a:lnTo>
                                  <a:pt x="1564" y="776"/>
                                </a:lnTo>
                                <a:lnTo>
                                  <a:pt x="782" y="1552"/>
                                </a:lnTo>
                                <a:lnTo>
                                  <a:pt x="0" y="776"/>
                                </a:lnTo>
                                <a:close/>
                              </a:path>
                            </a:pathLst>
                          </a:custGeom>
                          <a:solidFill>
                            <a:srgbClr val="FFB0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4"/>
                        <wps:cNvSpPr>
                          <a:spLocks noChangeAspect="1"/>
                        </wps:cNvSpPr>
                        <wps:spPr bwMode="auto">
                          <a:xfrm>
                            <a:off x="10778" y="3333"/>
                            <a:ext cx="782" cy="961"/>
                          </a:xfrm>
                          <a:custGeom>
                            <a:avLst/>
                            <a:gdLst>
                              <a:gd name="T0" fmla="*/ 0 w 782"/>
                              <a:gd name="T1" fmla="*/ 961 h 961"/>
                              <a:gd name="T2" fmla="*/ 782 w 782"/>
                              <a:gd name="T3" fmla="*/ 186 h 961"/>
                              <a:gd name="T4" fmla="*/ 594 w 782"/>
                              <a:gd name="T5" fmla="*/ 0 h 961"/>
                              <a:gd name="T6" fmla="*/ 312 w 782"/>
                              <a:gd name="T7" fmla="*/ 279 h 961"/>
                              <a:gd name="T8" fmla="*/ 0 w 782"/>
                              <a:gd name="T9" fmla="*/ 961 h 961"/>
                            </a:gdLst>
                            <a:ahLst/>
                            <a:cxnLst>
                              <a:cxn ang="0">
                                <a:pos x="T0" y="T1"/>
                              </a:cxn>
                              <a:cxn ang="0">
                                <a:pos x="T2" y="T3"/>
                              </a:cxn>
                              <a:cxn ang="0">
                                <a:pos x="T4" y="T5"/>
                              </a:cxn>
                              <a:cxn ang="0">
                                <a:pos x="T6" y="T7"/>
                              </a:cxn>
                              <a:cxn ang="0">
                                <a:pos x="T8" y="T9"/>
                              </a:cxn>
                            </a:cxnLst>
                            <a:rect l="0" t="0" r="r" b="b"/>
                            <a:pathLst>
                              <a:path w="782" h="961">
                                <a:moveTo>
                                  <a:pt x="0" y="961"/>
                                </a:moveTo>
                                <a:lnTo>
                                  <a:pt x="782" y="186"/>
                                </a:lnTo>
                                <a:lnTo>
                                  <a:pt x="594" y="0"/>
                                </a:lnTo>
                                <a:lnTo>
                                  <a:pt x="312" y="279"/>
                                </a:lnTo>
                                <a:lnTo>
                                  <a:pt x="0" y="961"/>
                                </a:lnTo>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401.5pt;margin-top:3.55pt;width:52.9pt;height:52.5pt;z-index:251658240" coordorigin="9996,2743" coordsize="1564,1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" o:allowincell="f">
                <o:lock v:ext="edit" aspectratio="t"/>
                <v:shape id="Freeform 3" o:spid="_x0000_s1027" style="position:absolute;left:9996;top:2743;width:1564;height:1552;visibility:visible;mso-wrap-style:square;v-text-anchor:top" coordsize="1564,1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vlsQA&#10;AADaAAAADwAAAGRycy9kb3ducmV2LnhtbESPQWvCQBSE74L/YXlCL9JsKhhK6iqlYGl6SmIreHtk&#10;X5PQ7NuQ3cb037uC4HGYmW+YzW4ynRhpcK1lBU9RDIK4srrlWsHXYf/4DMJ5ZI2dZVLwTw522/ls&#10;g6m2Zy5oLH0tAoRdigoa7/tUSlc1ZNBFticO3o8dDPogh1rqAc8Bbjq5iuNEGmw5LDTY01tD1W/5&#10;ZxSc6vd9dlznWdIVnH9O3+XSj61SD4vp9QWEp8nfw7f2h1awguuVcAPk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nL5bEAAAA2gAAAA8AAAAAAAAAAAAAAAAAmAIAAGRycy9k&#10;b3ducmV2LnhtbFBLBQYAAAAABAAEAPUAAACJAwAAAAA=&#10;" path="m,776l782,r782,776l782,1552,,776xe" fillcolor="#ffb00f" stroked="f">
                  <v:path arrowok="t" o:connecttype="custom" o:connectlocs="0,776;782,0;1564,776;782,1552;0,776" o:connectangles="0,0,0,0,0"/>
                  <o:lock v:ext="edit" aspectratio="t"/>
                </v:shape>
                <v:shape id="Freeform 4" o:spid="_x0000_s1028" style="position:absolute;left:10778;top:3333;width:782;height:961;visibility:visible;mso-wrap-style:square;v-text-anchor:top" coordsize="782,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lMsIA&#10;AADaAAAADwAAAGRycy9kb3ducmV2LnhtbESPQWsCMRSE74L/ITzBmyYqtLIapYgr0kOhaw89PjbP&#10;7NLNy7KJ6/rvTaHQ4zAz3zDb/eAa0VMXas8aFnMFgrj0pmar4euSz9YgQkQ22HgmDQ8KsN+NR1vM&#10;jL/zJ/VFtCJBOGSooYqxzaQMZUUOw9y3xMm7+s5hTLKz0nR4T3DXyKVSL9JhzWmhwpYOFZU/xc1p&#10;6Btl35eRv1/r/OjU6SM/93ah9XQyvG1ARBrif/ivfTYaVvB7Jd0A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NiUywgAAANoAAAAPAAAAAAAAAAAAAAAAAJgCAABkcnMvZG93&#10;bnJldi54bWxQSwUGAAAAAAQABAD1AAAAhwMAAAAA&#10;" path="m,961l782,186,594,,312,279,,961e" fillcolor="black" strokeweight="0">
                  <v:path arrowok="t" o:connecttype="custom" o:connectlocs="0,961;782,186;594,0;312,279;0,961" o:connectangles="0,0,0,0,0"/>
                  <o:lock v:ext="edit" aspectratio="t"/>
                </v:shape>
              </v:group>
            </w:pict>
          </mc:Fallback>
        </mc:AlternateContent>
      </w:r>
      <w:r w:rsidR="00E9632C" w:rsidRPr="0018305B">
        <w:rPr>
          <w:rFonts w:ascii="Arial" w:hAnsi="Arial" w:cs="Arial"/>
          <w:sz w:val="22"/>
          <w:szCs w:val="22"/>
        </w:rPr>
        <w:t xml:space="preserve">Dr </w:t>
      </w:r>
      <w:r w:rsidR="00DA2E5D" w:rsidRPr="0018305B">
        <w:rPr>
          <w:rFonts w:ascii="Arial" w:hAnsi="Arial" w:cs="Arial"/>
          <w:sz w:val="22"/>
          <w:szCs w:val="22"/>
        </w:rPr>
        <w:t>Tony Richards</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Head of Payments Policy Department</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Reserve Bank of Australia</w:t>
      </w:r>
    </w:p>
    <w:p w:rsidR="00340DEB"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GPO Box 3947</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Sydney NSW 2001</w:t>
      </w:r>
    </w:p>
    <w:p w:rsidR="001D7959" w:rsidRDefault="001D7959" w:rsidP="001C05C7">
      <w:pPr>
        <w:pStyle w:val="BodyText"/>
        <w:spacing w:after="0" w:line="240" w:lineRule="auto"/>
        <w:jc w:val="left"/>
        <w:rPr>
          <w:rFonts w:ascii="Arial" w:hAnsi="Arial" w:cs="Arial"/>
          <w:sz w:val="22"/>
          <w:szCs w:val="22"/>
        </w:rPr>
      </w:pPr>
    </w:p>
    <w:p w:rsidR="00ED1448" w:rsidRPr="0018305B" w:rsidRDefault="00ED1448" w:rsidP="001C05C7">
      <w:pPr>
        <w:pStyle w:val="BodyText"/>
        <w:spacing w:after="0" w:line="240" w:lineRule="auto"/>
        <w:jc w:val="left"/>
        <w:rPr>
          <w:rFonts w:ascii="Arial" w:hAnsi="Arial" w:cs="Arial"/>
          <w:sz w:val="22"/>
          <w:szCs w:val="22"/>
        </w:rPr>
      </w:pPr>
    </w:p>
    <w:p w:rsidR="00FE0251" w:rsidRPr="0018305B" w:rsidRDefault="00FE0251" w:rsidP="001C05C7">
      <w:pPr>
        <w:pStyle w:val="BodyText"/>
        <w:spacing w:after="0" w:line="240" w:lineRule="auto"/>
        <w:jc w:val="left"/>
        <w:rPr>
          <w:rFonts w:ascii="Arial" w:hAnsi="Arial" w:cs="Arial"/>
          <w:sz w:val="22"/>
          <w:szCs w:val="22"/>
        </w:rPr>
      </w:pPr>
    </w:p>
    <w:p w:rsidR="009A6D44" w:rsidRPr="0018305B" w:rsidRDefault="009A6D44" w:rsidP="001C05C7">
      <w:pPr>
        <w:pStyle w:val="BodyText"/>
        <w:spacing w:after="0" w:line="240" w:lineRule="auto"/>
        <w:jc w:val="left"/>
        <w:rPr>
          <w:rFonts w:ascii="Arial" w:hAnsi="Arial" w:cs="Arial"/>
          <w:i/>
          <w:sz w:val="22"/>
          <w:szCs w:val="22"/>
        </w:rPr>
      </w:pPr>
      <w:r w:rsidRPr="0018305B">
        <w:rPr>
          <w:rFonts w:ascii="Arial" w:hAnsi="Arial" w:cs="Arial"/>
          <w:i/>
          <w:sz w:val="22"/>
          <w:szCs w:val="22"/>
        </w:rPr>
        <w:t xml:space="preserve">By Email to:     </w:t>
      </w:r>
      <w:hyperlink r:id="rId11" w:history="1">
        <w:r w:rsidR="00E5021E" w:rsidRPr="0018305B">
          <w:rPr>
            <w:rStyle w:val="Hyperlink"/>
            <w:rFonts w:ascii="Arial" w:hAnsi="Arial" w:cs="Arial"/>
            <w:i/>
            <w:sz w:val="22"/>
            <w:szCs w:val="22"/>
          </w:rPr>
          <w:t>pysubmissions@rba.gov.au</w:t>
        </w:r>
      </w:hyperlink>
    </w:p>
    <w:p w:rsidR="00E5021E" w:rsidRPr="004946C3" w:rsidRDefault="00E5021E" w:rsidP="001C05C7">
      <w:pPr>
        <w:pStyle w:val="BodyText"/>
        <w:spacing w:after="0" w:line="240" w:lineRule="auto"/>
        <w:jc w:val="left"/>
        <w:rPr>
          <w:rFonts w:ascii="Arial" w:hAnsi="Arial" w:cs="Arial"/>
          <w:sz w:val="22"/>
          <w:szCs w:val="22"/>
        </w:rPr>
      </w:pPr>
    </w:p>
    <w:p w:rsidR="00E5021E" w:rsidRPr="00297F62" w:rsidRDefault="00E5021E" w:rsidP="00297F62">
      <w:pPr>
        <w:pStyle w:val="BodyText"/>
        <w:spacing w:after="0" w:line="240" w:lineRule="auto"/>
        <w:jc w:val="left"/>
        <w:rPr>
          <w:rFonts w:ascii="Arial" w:hAnsi="Arial" w:cs="Arial"/>
          <w:sz w:val="22"/>
          <w:szCs w:val="22"/>
        </w:rPr>
      </w:pPr>
    </w:p>
    <w:p w:rsidR="0043063D" w:rsidRPr="004946C3" w:rsidRDefault="0043063D" w:rsidP="001C05C7">
      <w:pPr>
        <w:pStyle w:val="BodyText"/>
        <w:spacing w:after="0" w:line="240" w:lineRule="auto"/>
        <w:jc w:val="left"/>
        <w:rPr>
          <w:rFonts w:ascii="Arial" w:hAnsi="Arial" w:cs="Arial"/>
          <w:sz w:val="22"/>
          <w:szCs w:val="22"/>
        </w:rPr>
      </w:pP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 xml:space="preserve">Dear Dr </w:t>
      </w:r>
      <w:r w:rsidR="00DA2E5D" w:rsidRPr="0018305B">
        <w:rPr>
          <w:rFonts w:ascii="Arial" w:hAnsi="Arial" w:cs="Arial"/>
          <w:sz w:val="22"/>
          <w:szCs w:val="22"/>
        </w:rPr>
        <w:t>Richards</w:t>
      </w:r>
      <w:r w:rsidRPr="0018305B">
        <w:rPr>
          <w:rFonts w:ascii="Arial" w:hAnsi="Arial" w:cs="Arial"/>
          <w:sz w:val="22"/>
          <w:szCs w:val="22"/>
        </w:rPr>
        <w:t xml:space="preserve">, </w:t>
      </w:r>
    </w:p>
    <w:p w:rsidR="00D159E4" w:rsidRDefault="00D159E4" w:rsidP="001C05C7">
      <w:pPr>
        <w:pStyle w:val="BodyText"/>
        <w:spacing w:after="0" w:line="240" w:lineRule="auto"/>
        <w:jc w:val="left"/>
        <w:rPr>
          <w:rFonts w:ascii="Arial" w:hAnsi="Arial" w:cs="Arial"/>
          <w:i/>
          <w:sz w:val="22"/>
          <w:szCs w:val="22"/>
        </w:rPr>
      </w:pPr>
    </w:p>
    <w:p w:rsidR="0043063D" w:rsidRPr="0018305B" w:rsidRDefault="0043063D" w:rsidP="001C05C7">
      <w:pPr>
        <w:pStyle w:val="BodyText"/>
        <w:spacing w:after="0" w:line="240" w:lineRule="auto"/>
        <w:jc w:val="left"/>
        <w:rPr>
          <w:rFonts w:ascii="Arial" w:hAnsi="Arial" w:cs="Arial"/>
          <w:i/>
          <w:sz w:val="22"/>
          <w:szCs w:val="22"/>
        </w:rPr>
      </w:pPr>
    </w:p>
    <w:p w:rsidR="00E9632C" w:rsidRPr="0018305B" w:rsidRDefault="00B3650E" w:rsidP="001C05C7">
      <w:pPr>
        <w:pStyle w:val="BodyText"/>
        <w:spacing w:after="0" w:line="240" w:lineRule="auto"/>
        <w:jc w:val="left"/>
        <w:rPr>
          <w:rFonts w:ascii="Arial" w:hAnsi="Arial" w:cs="Arial"/>
          <w:b/>
          <w:sz w:val="22"/>
          <w:szCs w:val="22"/>
        </w:rPr>
      </w:pPr>
      <w:r>
        <w:rPr>
          <w:rFonts w:ascii="Arial" w:hAnsi="Arial" w:cs="Arial"/>
          <w:b/>
          <w:sz w:val="22"/>
          <w:szCs w:val="22"/>
        </w:rPr>
        <w:t xml:space="preserve">Consultation on </w:t>
      </w:r>
      <w:r w:rsidR="00021C53">
        <w:rPr>
          <w:rFonts w:ascii="Arial" w:hAnsi="Arial" w:cs="Arial"/>
          <w:b/>
          <w:sz w:val="22"/>
          <w:szCs w:val="22"/>
        </w:rPr>
        <w:t>“Review of Card Payments Regulation – Issues Paper</w:t>
      </w:r>
      <w:proofErr w:type="gramStart"/>
      <w:r w:rsidR="00021C53">
        <w:rPr>
          <w:rFonts w:ascii="Arial" w:hAnsi="Arial" w:cs="Arial"/>
          <w:b/>
          <w:sz w:val="22"/>
          <w:szCs w:val="22"/>
        </w:rPr>
        <w:t>,  March</w:t>
      </w:r>
      <w:proofErr w:type="gramEnd"/>
      <w:r w:rsidR="00021C53">
        <w:rPr>
          <w:rFonts w:ascii="Arial" w:hAnsi="Arial" w:cs="Arial"/>
          <w:b/>
          <w:sz w:val="22"/>
          <w:szCs w:val="22"/>
        </w:rPr>
        <w:t xml:space="preserve"> 2015” </w:t>
      </w:r>
    </w:p>
    <w:p w:rsidR="002452DC" w:rsidRDefault="002452DC" w:rsidP="00E9632C">
      <w:pPr>
        <w:rPr>
          <w:rFonts w:ascii="Arial" w:hAnsi="Arial" w:cs="Arial"/>
          <w:sz w:val="22"/>
          <w:szCs w:val="22"/>
        </w:rPr>
      </w:pPr>
    </w:p>
    <w:p w:rsidR="0043063D" w:rsidRPr="0018305B" w:rsidRDefault="0043063D" w:rsidP="00E9632C">
      <w:pPr>
        <w:rPr>
          <w:rFonts w:ascii="Arial" w:hAnsi="Arial" w:cs="Arial"/>
          <w:sz w:val="22"/>
          <w:szCs w:val="22"/>
        </w:rPr>
      </w:pPr>
    </w:p>
    <w:p w:rsidR="00B3650E" w:rsidRPr="0018305B" w:rsidRDefault="00B3650E" w:rsidP="00B3650E">
      <w:pPr>
        <w:rPr>
          <w:rFonts w:ascii="Arial" w:hAnsi="Arial" w:cs="Arial"/>
          <w:sz w:val="22"/>
          <w:szCs w:val="22"/>
        </w:rPr>
      </w:pPr>
      <w:r>
        <w:rPr>
          <w:rFonts w:ascii="Arial" w:hAnsi="Arial" w:cs="Arial"/>
          <w:sz w:val="22"/>
          <w:szCs w:val="22"/>
        </w:rPr>
        <w:t xml:space="preserve">The Commonwealth Bank (the Bank) appreciates the opportunity to lodge this </w:t>
      </w:r>
      <w:r w:rsidR="00CF5566">
        <w:rPr>
          <w:rFonts w:ascii="Arial" w:hAnsi="Arial" w:cs="Arial"/>
          <w:sz w:val="22"/>
          <w:szCs w:val="22"/>
        </w:rPr>
        <w:t>S</w:t>
      </w:r>
      <w:r>
        <w:rPr>
          <w:rFonts w:ascii="Arial" w:hAnsi="Arial" w:cs="Arial"/>
          <w:sz w:val="22"/>
          <w:szCs w:val="22"/>
        </w:rPr>
        <w:t xml:space="preserve">ubmission to the Reserve Bank of Australia (RBA), further to </w:t>
      </w:r>
      <w:r w:rsidR="00595B6C">
        <w:rPr>
          <w:rFonts w:ascii="Arial" w:hAnsi="Arial" w:cs="Arial"/>
          <w:sz w:val="22"/>
          <w:szCs w:val="22"/>
        </w:rPr>
        <w:t>the</w:t>
      </w:r>
      <w:r>
        <w:rPr>
          <w:rFonts w:ascii="Arial" w:hAnsi="Arial" w:cs="Arial"/>
          <w:sz w:val="22"/>
          <w:szCs w:val="22"/>
        </w:rPr>
        <w:t xml:space="preserve"> </w:t>
      </w:r>
      <w:r w:rsidR="00021C53">
        <w:rPr>
          <w:rFonts w:ascii="Arial" w:hAnsi="Arial" w:cs="Arial"/>
          <w:sz w:val="22"/>
          <w:szCs w:val="22"/>
        </w:rPr>
        <w:t xml:space="preserve">4 March 2015 </w:t>
      </w:r>
      <w:r>
        <w:rPr>
          <w:rFonts w:ascii="Arial" w:hAnsi="Arial" w:cs="Arial"/>
          <w:sz w:val="22"/>
          <w:szCs w:val="22"/>
        </w:rPr>
        <w:t>Media Release and “</w:t>
      </w:r>
      <w:r w:rsidR="00021C53">
        <w:rPr>
          <w:rFonts w:ascii="Arial" w:hAnsi="Arial" w:cs="Arial"/>
          <w:sz w:val="22"/>
          <w:szCs w:val="22"/>
        </w:rPr>
        <w:t>Review of Card Payments Regulation” Issues Paper March 2015</w:t>
      </w:r>
      <w:r>
        <w:rPr>
          <w:rFonts w:ascii="Arial" w:hAnsi="Arial" w:cs="Arial"/>
          <w:sz w:val="22"/>
          <w:szCs w:val="22"/>
        </w:rPr>
        <w:t>”</w:t>
      </w:r>
      <w:r w:rsidR="00173960">
        <w:rPr>
          <w:rStyle w:val="FootnoteReference"/>
          <w:rFonts w:ascii="Arial" w:hAnsi="Arial" w:cs="Arial"/>
          <w:sz w:val="22"/>
          <w:szCs w:val="22"/>
        </w:rPr>
        <w:footnoteReference w:id="1"/>
      </w:r>
      <w:r>
        <w:rPr>
          <w:rFonts w:ascii="Arial" w:hAnsi="Arial" w:cs="Arial"/>
          <w:sz w:val="22"/>
          <w:szCs w:val="22"/>
        </w:rPr>
        <w:t xml:space="preserve">.  The Bank understands that this </w:t>
      </w:r>
      <w:r w:rsidR="00CF5566">
        <w:rPr>
          <w:rFonts w:ascii="Arial" w:hAnsi="Arial" w:cs="Arial"/>
          <w:sz w:val="22"/>
          <w:szCs w:val="22"/>
        </w:rPr>
        <w:t>S</w:t>
      </w:r>
      <w:r>
        <w:rPr>
          <w:rFonts w:ascii="Arial" w:hAnsi="Arial" w:cs="Arial"/>
          <w:sz w:val="22"/>
          <w:szCs w:val="22"/>
        </w:rPr>
        <w:t>ubmission will be posted on the RBA’s website.</w:t>
      </w:r>
    </w:p>
    <w:p w:rsidR="00B3691D" w:rsidRDefault="00B3691D" w:rsidP="002452DC">
      <w:pPr>
        <w:rPr>
          <w:rFonts w:ascii="Arial" w:hAnsi="Arial" w:cs="Arial"/>
          <w:sz w:val="22"/>
          <w:szCs w:val="22"/>
        </w:rPr>
      </w:pPr>
    </w:p>
    <w:p w:rsidR="00ED1448" w:rsidRDefault="00492AF3" w:rsidP="002452DC">
      <w:pPr>
        <w:rPr>
          <w:rFonts w:ascii="Arial" w:hAnsi="Arial" w:cs="Arial"/>
          <w:sz w:val="22"/>
          <w:szCs w:val="22"/>
        </w:rPr>
      </w:pPr>
      <w:r>
        <w:rPr>
          <w:rFonts w:ascii="Arial" w:hAnsi="Arial" w:cs="Arial"/>
          <w:sz w:val="22"/>
          <w:szCs w:val="22"/>
        </w:rPr>
        <w:t>The Issues Paper identifies a number of specific issues for consultation</w:t>
      </w:r>
      <w:r w:rsidR="00A86132">
        <w:rPr>
          <w:rFonts w:ascii="Arial" w:hAnsi="Arial" w:cs="Arial"/>
          <w:sz w:val="22"/>
          <w:szCs w:val="22"/>
        </w:rPr>
        <w:t xml:space="preserve"> (Chapter 5)</w:t>
      </w:r>
      <w:r>
        <w:rPr>
          <w:rFonts w:ascii="Arial" w:hAnsi="Arial" w:cs="Arial"/>
          <w:sz w:val="22"/>
          <w:szCs w:val="22"/>
        </w:rPr>
        <w:t>.  These shall be addressed below</w:t>
      </w:r>
      <w:r w:rsidR="000D5932">
        <w:rPr>
          <w:rFonts w:ascii="Arial" w:hAnsi="Arial" w:cs="Arial"/>
          <w:sz w:val="22"/>
          <w:szCs w:val="22"/>
        </w:rPr>
        <w:t xml:space="preserve">.  Prior to that, however, we’d like to take the opportunity to comment briefly on a few related matters, as well as some of the “Issues for the Review” </w:t>
      </w:r>
      <w:r w:rsidR="00A86132">
        <w:rPr>
          <w:rFonts w:ascii="Arial" w:hAnsi="Arial" w:cs="Arial"/>
          <w:sz w:val="22"/>
          <w:szCs w:val="22"/>
        </w:rPr>
        <w:t xml:space="preserve">raised in Chapter 4 of the </w:t>
      </w:r>
      <w:r w:rsidR="008F12DC">
        <w:rPr>
          <w:rFonts w:ascii="Arial" w:hAnsi="Arial" w:cs="Arial"/>
          <w:sz w:val="22"/>
          <w:szCs w:val="22"/>
        </w:rPr>
        <w:t>I</w:t>
      </w:r>
      <w:r w:rsidR="00A86132">
        <w:rPr>
          <w:rFonts w:ascii="Arial" w:hAnsi="Arial" w:cs="Arial"/>
          <w:sz w:val="22"/>
          <w:szCs w:val="22"/>
        </w:rPr>
        <w:t xml:space="preserve">ssues </w:t>
      </w:r>
      <w:r w:rsidR="008F12DC">
        <w:rPr>
          <w:rFonts w:ascii="Arial" w:hAnsi="Arial" w:cs="Arial"/>
          <w:sz w:val="22"/>
          <w:szCs w:val="22"/>
        </w:rPr>
        <w:t>P</w:t>
      </w:r>
      <w:r w:rsidR="00A86132">
        <w:rPr>
          <w:rFonts w:ascii="Arial" w:hAnsi="Arial" w:cs="Arial"/>
          <w:sz w:val="22"/>
          <w:szCs w:val="22"/>
        </w:rPr>
        <w:t>aper.</w:t>
      </w:r>
    </w:p>
    <w:p w:rsidR="00021C53" w:rsidRPr="000D5932" w:rsidRDefault="00021C53" w:rsidP="002452DC">
      <w:pPr>
        <w:rPr>
          <w:rFonts w:ascii="Arial" w:hAnsi="Arial" w:cs="Arial"/>
          <w:sz w:val="22"/>
          <w:szCs w:val="22"/>
        </w:rPr>
      </w:pPr>
    </w:p>
    <w:p w:rsidR="00021C53" w:rsidRDefault="000D5932" w:rsidP="00882CAA">
      <w:pPr>
        <w:rPr>
          <w:rFonts w:ascii="Arial" w:hAnsi="Arial" w:cs="Arial"/>
          <w:sz w:val="22"/>
          <w:szCs w:val="22"/>
        </w:rPr>
      </w:pPr>
      <w:r>
        <w:rPr>
          <w:rFonts w:ascii="Arial" w:hAnsi="Arial" w:cs="Arial"/>
          <w:sz w:val="22"/>
          <w:szCs w:val="22"/>
        </w:rPr>
        <w:t>The Bank believes that c</w:t>
      </w:r>
      <w:r w:rsidRPr="000D5932">
        <w:rPr>
          <w:rFonts w:ascii="Arial" w:hAnsi="Arial" w:cs="Arial"/>
          <w:sz w:val="22"/>
          <w:szCs w:val="22"/>
        </w:rPr>
        <w:t>ard payment networks exhibit high levels of innovation</w:t>
      </w:r>
      <w:r w:rsidR="00FE726D">
        <w:rPr>
          <w:rFonts w:ascii="Arial" w:hAnsi="Arial" w:cs="Arial"/>
          <w:sz w:val="22"/>
          <w:szCs w:val="22"/>
        </w:rPr>
        <w:t>;</w:t>
      </w:r>
      <w:r w:rsidRPr="000D5932">
        <w:rPr>
          <w:rFonts w:ascii="Arial" w:hAnsi="Arial" w:cs="Arial"/>
          <w:sz w:val="22"/>
          <w:szCs w:val="22"/>
        </w:rPr>
        <w:t xml:space="preserve"> they are highly competitive both between </w:t>
      </w:r>
      <w:r w:rsidR="00CF5566">
        <w:rPr>
          <w:rFonts w:ascii="Arial" w:hAnsi="Arial" w:cs="Arial"/>
          <w:sz w:val="22"/>
          <w:szCs w:val="22"/>
        </w:rPr>
        <w:t>S</w:t>
      </w:r>
      <w:r w:rsidRPr="000D5932">
        <w:rPr>
          <w:rFonts w:ascii="Arial" w:hAnsi="Arial" w:cs="Arial"/>
          <w:sz w:val="22"/>
          <w:szCs w:val="22"/>
        </w:rPr>
        <w:t xml:space="preserve">chemes </w:t>
      </w:r>
      <w:r w:rsidR="00FE726D">
        <w:rPr>
          <w:rFonts w:ascii="Arial" w:hAnsi="Arial" w:cs="Arial"/>
          <w:sz w:val="22"/>
          <w:szCs w:val="22"/>
        </w:rPr>
        <w:t>and</w:t>
      </w:r>
      <w:r w:rsidRPr="000D5932">
        <w:rPr>
          <w:rFonts w:ascii="Arial" w:hAnsi="Arial" w:cs="Arial"/>
          <w:sz w:val="22"/>
          <w:szCs w:val="22"/>
        </w:rPr>
        <w:t xml:space="preserve"> also </w:t>
      </w:r>
      <w:r w:rsidR="00FE726D">
        <w:rPr>
          <w:rFonts w:ascii="Arial" w:hAnsi="Arial" w:cs="Arial"/>
          <w:sz w:val="22"/>
          <w:szCs w:val="22"/>
        </w:rPr>
        <w:t>amongst</w:t>
      </w:r>
      <w:r w:rsidRPr="000D5932">
        <w:rPr>
          <w:rFonts w:ascii="Arial" w:hAnsi="Arial" w:cs="Arial"/>
          <w:sz w:val="22"/>
          <w:szCs w:val="22"/>
        </w:rPr>
        <w:t xml:space="preserve"> Issuers and Acquirers</w:t>
      </w:r>
      <w:r w:rsidR="00FE726D">
        <w:rPr>
          <w:rFonts w:ascii="Arial" w:hAnsi="Arial" w:cs="Arial"/>
          <w:sz w:val="22"/>
          <w:szCs w:val="22"/>
        </w:rPr>
        <w:t xml:space="preserve">. </w:t>
      </w:r>
      <w:r w:rsidRPr="000D5932">
        <w:rPr>
          <w:rFonts w:ascii="Arial" w:hAnsi="Arial" w:cs="Arial"/>
          <w:sz w:val="22"/>
          <w:szCs w:val="22"/>
        </w:rPr>
        <w:t xml:space="preserve"> </w:t>
      </w:r>
      <w:r w:rsidR="00FE726D">
        <w:rPr>
          <w:rFonts w:ascii="Arial" w:hAnsi="Arial" w:cs="Arial"/>
          <w:sz w:val="22"/>
          <w:szCs w:val="22"/>
        </w:rPr>
        <w:t>T</w:t>
      </w:r>
      <w:r w:rsidRPr="000D5932">
        <w:rPr>
          <w:rFonts w:ascii="Arial" w:hAnsi="Arial" w:cs="Arial"/>
          <w:sz w:val="22"/>
          <w:szCs w:val="22"/>
        </w:rPr>
        <w:t>here is a strong customer value proposition for cardholders to use cards, and for merchants to accept card</w:t>
      </w:r>
      <w:r>
        <w:rPr>
          <w:rFonts w:ascii="Arial" w:hAnsi="Arial" w:cs="Arial"/>
          <w:sz w:val="22"/>
          <w:szCs w:val="22"/>
        </w:rPr>
        <w:t xml:space="preserve"> payments.  </w:t>
      </w:r>
      <w:r w:rsidR="00882CAA" w:rsidRPr="00882CAA">
        <w:rPr>
          <w:rFonts w:ascii="Arial" w:hAnsi="Arial" w:cs="Arial"/>
          <w:sz w:val="22"/>
          <w:szCs w:val="22"/>
        </w:rPr>
        <w:t>High levels of investment are evident</w:t>
      </w:r>
      <w:r w:rsidR="00242D77">
        <w:rPr>
          <w:rFonts w:ascii="Arial" w:hAnsi="Arial" w:cs="Arial"/>
          <w:sz w:val="22"/>
          <w:szCs w:val="22"/>
        </w:rPr>
        <w:t xml:space="preserve"> and we believe it is important that there is enough value in the network to justify, and indeed encourage, ongoing investment and innovation</w:t>
      </w:r>
      <w:r w:rsidR="00882CAA">
        <w:rPr>
          <w:rFonts w:ascii="Arial" w:hAnsi="Arial" w:cs="Arial"/>
          <w:sz w:val="22"/>
          <w:szCs w:val="22"/>
        </w:rPr>
        <w:t xml:space="preserve">.  </w:t>
      </w:r>
      <w:r w:rsidR="00F55BC3">
        <w:rPr>
          <w:rFonts w:ascii="Arial" w:hAnsi="Arial" w:cs="Arial"/>
          <w:sz w:val="22"/>
          <w:szCs w:val="22"/>
        </w:rPr>
        <w:t>Furthermore,</w:t>
      </w:r>
      <w:r w:rsidR="00882CAA">
        <w:rPr>
          <w:rFonts w:ascii="Arial" w:hAnsi="Arial" w:cs="Arial"/>
          <w:sz w:val="22"/>
          <w:szCs w:val="22"/>
        </w:rPr>
        <w:t xml:space="preserve"> i</w:t>
      </w:r>
      <w:r w:rsidR="00882CAA" w:rsidRPr="00882CAA">
        <w:rPr>
          <w:rFonts w:ascii="Arial" w:hAnsi="Arial" w:cs="Arial"/>
          <w:sz w:val="22"/>
          <w:szCs w:val="22"/>
        </w:rPr>
        <w:t xml:space="preserve">t is important that regulation does not inhibit </w:t>
      </w:r>
      <w:r w:rsidR="00882CAA">
        <w:rPr>
          <w:rFonts w:ascii="Arial" w:hAnsi="Arial" w:cs="Arial"/>
          <w:sz w:val="22"/>
          <w:szCs w:val="22"/>
        </w:rPr>
        <w:t xml:space="preserve">such innovation or competition, nor inhibit </w:t>
      </w:r>
      <w:r w:rsidR="00882CAA" w:rsidRPr="00882CAA">
        <w:rPr>
          <w:rFonts w:ascii="Arial" w:hAnsi="Arial" w:cs="Arial"/>
          <w:sz w:val="22"/>
          <w:szCs w:val="22"/>
        </w:rPr>
        <w:t>the movement away from less efficient forms of payment such as cheques and cash</w:t>
      </w:r>
      <w:r w:rsidR="0084533E">
        <w:rPr>
          <w:rFonts w:ascii="Arial" w:hAnsi="Arial" w:cs="Arial"/>
          <w:sz w:val="22"/>
          <w:szCs w:val="22"/>
        </w:rPr>
        <w:t>,</w:t>
      </w:r>
      <w:r w:rsidR="00882CAA" w:rsidRPr="00882CAA">
        <w:rPr>
          <w:rFonts w:ascii="Arial" w:hAnsi="Arial" w:cs="Arial"/>
          <w:sz w:val="22"/>
          <w:szCs w:val="22"/>
        </w:rPr>
        <w:t xml:space="preserve"> towards more efficient channels such as cards</w:t>
      </w:r>
      <w:r w:rsidR="00882CAA">
        <w:rPr>
          <w:rFonts w:ascii="Arial" w:hAnsi="Arial" w:cs="Arial"/>
          <w:sz w:val="22"/>
          <w:szCs w:val="22"/>
        </w:rPr>
        <w:t>.</w:t>
      </w:r>
    </w:p>
    <w:p w:rsidR="00882CAA" w:rsidRDefault="00882CAA" w:rsidP="00882CAA">
      <w:pPr>
        <w:rPr>
          <w:rFonts w:ascii="Arial" w:hAnsi="Arial" w:cs="Arial"/>
          <w:sz w:val="22"/>
          <w:szCs w:val="22"/>
        </w:rPr>
      </w:pPr>
    </w:p>
    <w:p w:rsidR="00882CAA" w:rsidRDefault="00882CAA" w:rsidP="00882CAA">
      <w:pPr>
        <w:rPr>
          <w:rFonts w:ascii="Arial" w:hAnsi="Arial" w:cs="Arial"/>
          <w:sz w:val="22"/>
          <w:szCs w:val="22"/>
        </w:rPr>
      </w:pPr>
      <w:r>
        <w:rPr>
          <w:rFonts w:ascii="Arial" w:hAnsi="Arial" w:cs="Arial"/>
          <w:sz w:val="22"/>
          <w:szCs w:val="22"/>
        </w:rPr>
        <w:t>The Bank believes that interchange fees</w:t>
      </w:r>
      <w:r w:rsidR="0084533E">
        <w:rPr>
          <w:rFonts w:ascii="Arial" w:hAnsi="Arial" w:cs="Arial"/>
          <w:sz w:val="22"/>
          <w:szCs w:val="22"/>
        </w:rPr>
        <w:t xml:space="preserve">, through the </w:t>
      </w:r>
      <w:r>
        <w:rPr>
          <w:rFonts w:ascii="Arial" w:hAnsi="Arial" w:cs="Arial"/>
          <w:sz w:val="22"/>
          <w:szCs w:val="22"/>
        </w:rPr>
        <w:t xml:space="preserve">function </w:t>
      </w:r>
      <w:r w:rsidR="0084533E">
        <w:rPr>
          <w:rFonts w:ascii="Arial" w:hAnsi="Arial" w:cs="Arial"/>
          <w:sz w:val="22"/>
          <w:szCs w:val="22"/>
        </w:rPr>
        <w:t xml:space="preserve">they perform </w:t>
      </w:r>
      <w:r>
        <w:rPr>
          <w:rFonts w:ascii="Arial" w:hAnsi="Arial" w:cs="Arial"/>
          <w:sz w:val="22"/>
          <w:szCs w:val="22"/>
        </w:rPr>
        <w:t xml:space="preserve">in balancing the relative costs on both sides of </w:t>
      </w:r>
      <w:r w:rsidR="00C877E6">
        <w:rPr>
          <w:rFonts w:ascii="Arial" w:hAnsi="Arial" w:cs="Arial"/>
          <w:sz w:val="22"/>
          <w:szCs w:val="22"/>
        </w:rPr>
        <w:t>a cards payments network,</w:t>
      </w:r>
      <w:r w:rsidR="0084533E">
        <w:rPr>
          <w:rFonts w:ascii="Arial" w:hAnsi="Arial" w:cs="Arial"/>
          <w:sz w:val="22"/>
          <w:szCs w:val="22"/>
        </w:rPr>
        <w:t xml:space="preserve"> play a key role in </w:t>
      </w:r>
      <w:r w:rsidR="00C877E6">
        <w:rPr>
          <w:rFonts w:ascii="Arial" w:hAnsi="Arial" w:cs="Arial"/>
          <w:sz w:val="22"/>
          <w:szCs w:val="22"/>
        </w:rPr>
        <w:t>cultivating</w:t>
      </w:r>
      <w:r w:rsidR="0084533E">
        <w:rPr>
          <w:rFonts w:ascii="Arial" w:hAnsi="Arial" w:cs="Arial"/>
          <w:sz w:val="22"/>
          <w:szCs w:val="22"/>
        </w:rPr>
        <w:t xml:space="preserve"> innovation.</w:t>
      </w:r>
      <w:r w:rsidR="00C877E6">
        <w:rPr>
          <w:rFonts w:ascii="Arial" w:hAnsi="Arial" w:cs="Arial"/>
          <w:sz w:val="22"/>
          <w:szCs w:val="22"/>
        </w:rPr>
        <w:t xml:space="preserve">  This assists a network to bring mutual benefit to participants and promotes ongoing efficiencies.</w:t>
      </w:r>
    </w:p>
    <w:p w:rsidR="0084533E" w:rsidRDefault="0084533E" w:rsidP="00882CAA">
      <w:pPr>
        <w:rPr>
          <w:rFonts w:ascii="Arial" w:hAnsi="Arial" w:cs="Arial"/>
          <w:sz w:val="22"/>
          <w:szCs w:val="22"/>
        </w:rPr>
      </w:pPr>
    </w:p>
    <w:p w:rsidR="0084533E" w:rsidRDefault="0084533E" w:rsidP="00882CAA">
      <w:pPr>
        <w:rPr>
          <w:rFonts w:ascii="Arial" w:hAnsi="Arial" w:cs="Arial"/>
          <w:sz w:val="22"/>
          <w:szCs w:val="22"/>
        </w:rPr>
      </w:pPr>
      <w:r>
        <w:rPr>
          <w:rFonts w:ascii="Arial" w:hAnsi="Arial" w:cs="Arial"/>
          <w:sz w:val="22"/>
          <w:szCs w:val="22"/>
        </w:rPr>
        <w:t xml:space="preserve">Regulatory intervention should be commensurate with the extent, if any, of market failure.  After many years of regulatory intervention in card payments, we do not believe that further significant changes are warranted.  As will be noted below, some incremental fine tuning of </w:t>
      </w:r>
      <w:r>
        <w:rPr>
          <w:rFonts w:ascii="Arial" w:hAnsi="Arial" w:cs="Arial"/>
          <w:sz w:val="22"/>
          <w:szCs w:val="22"/>
        </w:rPr>
        <w:lastRenderedPageBreak/>
        <w:t>regulation may be possible – if introduced in a practical manner which minimises market disruption</w:t>
      </w:r>
      <w:r w:rsidR="00C877E6">
        <w:rPr>
          <w:rFonts w:ascii="Arial" w:hAnsi="Arial" w:cs="Arial"/>
          <w:sz w:val="22"/>
          <w:szCs w:val="22"/>
        </w:rPr>
        <w:t xml:space="preserve">.  However, </w:t>
      </w:r>
      <w:r>
        <w:rPr>
          <w:rFonts w:ascii="Arial" w:hAnsi="Arial" w:cs="Arial"/>
          <w:sz w:val="22"/>
          <w:szCs w:val="22"/>
        </w:rPr>
        <w:t xml:space="preserve">it is important that any regulatory response be cognisant of the size of the </w:t>
      </w:r>
      <w:r w:rsidR="00B8334D">
        <w:rPr>
          <w:rFonts w:ascii="Arial" w:hAnsi="Arial" w:cs="Arial"/>
          <w:sz w:val="22"/>
          <w:szCs w:val="22"/>
        </w:rPr>
        <w:t>issue being addressed</w:t>
      </w:r>
      <w:r w:rsidR="00595B6C">
        <w:rPr>
          <w:rFonts w:ascii="Arial" w:hAnsi="Arial" w:cs="Arial"/>
          <w:sz w:val="22"/>
          <w:szCs w:val="22"/>
        </w:rPr>
        <w:t>.  A</w:t>
      </w:r>
      <w:r w:rsidR="00B8334D">
        <w:rPr>
          <w:rFonts w:ascii="Arial" w:hAnsi="Arial" w:cs="Arial"/>
          <w:sz w:val="22"/>
          <w:szCs w:val="22"/>
        </w:rPr>
        <w:t>s a principle, we believe that erring on the side of less intrusive regulation, rather than more, is a preferable outcome.</w:t>
      </w:r>
    </w:p>
    <w:p w:rsidR="00882CAA" w:rsidRDefault="00882CAA" w:rsidP="00882CAA">
      <w:pPr>
        <w:rPr>
          <w:rFonts w:ascii="Arial" w:hAnsi="Arial" w:cs="Arial"/>
          <w:sz w:val="22"/>
          <w:szCs w:val="22"/>
        </w:rPr>
      </w:pPr>
    </w:p>
    <w:p w:rsidR="00882CAA" w:rsidRDefault="00B8334D" w:rsidP="00882CAA">
      <w:pPr>
        <w:rPr>
          <w:rFonts w:ascii="Arial" w:hAnsi="Arial" w:cs="Arial"/>
          <w:sz w:val="22"/>
          <w:szCs w:val="22"/>
        </w:rPr>
      </w:pPr>
      <w:r>
        <w:rPr>
          <w:rFonts w:ascii="Arial" w:hAnsi="Arial" w:cs="Arial"/>
          <w:sz w:val="22"/>
          <w:szCs w:val="22"/>
        </w:rPr>
        <w:t xml:space="preserve">Chapter Four of the Issues Paper canvasses a range of issues to address in this review.  Such </w:t>
      </w:r>
      <w:r w:rsidR="00A86132">
        <w:rPr>
          <w:rFonts w:ascii="Arial" w:hAnsi="Arial" w:cs="Arial"/>
          <w:sz w:val="22"/>
          <w:szCs w:val="22"/>
        </w:rPr>
        <w:t>topics</w:t>
      </w:r>
      <w:r>
        <w:rPr>
          <w:rFonts w:ascii="Arial" w:hAnsi="Arial" w:cs="Arial"/>
          <w:sz w:val="22"/>
          <w:szCs w:val="22"/>
        </w:rPr>
        <w:t xml:space="preserve"> are generally expanded upon in the specific issues for consultation listed in Chapter Five.  These will be addressed below</w:t>
      </w:r>
      <w:r w:rsidR="00A86132">
        <w:rPr>
          <w:rFonts w:ascii="Arial" w:hAnsi="Arial" w:cs="Arial"/>
          <w:sz w:val="22"/>
          <w:szCs w:val="22"/>
        </w:rPr>
        <w:t>.  However</w:t>
      </w:r>
      <w:r>
        <w:rPr>
          <w:rFonts w:ascii="Arial" w:hAnsi="Arial" w:cs="Arial"/>
          <w:sz w:val="22"/>
          <w:szCs w:val="22"/>
        </w:rPr>
        <w:t xml:space="preserve">, a </w:t>
      </w:r>
      <w:r w:rsidR="00B42342">
        <w:rPr>
          <w:rFonts w:ascii="Arial" w:hAnsi="Arial" w:cs="Arial"/>
          <w:sz w:val="22"/>
          <w:szCs w:val="22"/>
        </w:rPr>
        <w:t>few</w:t>
      </w:r>
      <w:r>
        <w:rPr>
          <w:rFonts w:ascii="Arial" w:hAnsi="Arial" w:cs="Arial"/>
          <w:sz w:val="22"/>
          <w:szCs w:val="22"/>
        </w:rPr>
        <w:t xml:space="preserve"> themes</w:t>
      </w:r>
      <w:r w:rsidR="00B42342">
        <w:rPr>
          <w:rFonts w:ascii="Arial" w:hAnsi="Arial" w:cs="Arial"/>
          <w:sz w:val="22"/>
          <w:szCs w:val="22"/>
        </w:rPr>
        <w:t xml:space="preserve"> warrant brief consideration before our detailed views are spelt out.  Such themes include:</w:t>
      </w:r>
    </w:p>
    <w:p w:rsidR="00882CAA" w:rsidRDefault="00882CAA" w:rsidP="00882CAA">
      <w:pPr>
        <w:rPr>
          <w:rFonts w:ascii="Arial" w:hAnsi="Arial" w:cs="Arial"/>
          <w:sz w:val="22"/>
          <w:szCs w:val="22"/>
        </w:rPr>
      </w:pPr>
    </w:p>
    <w:p w:rsidR="00B42342" w:rsidRDefault="00B42342" w:rsidP="00B42342">
      <w:pPr>
        <w:pStyle w:val="ListParagraph"/>
        <w:numPr>
          <w:ilvl w:val="0"/>
          <w:numId w:val="38"/>
        </w:numPr>
        <w:rPr>
          <w:rFonts w:ascii="Arial" w:hAnsi="Arial" w:cs="Arial"/>
        </w:rPr>
      </w:pPr>
      <w:r w:rsidRPr="00D8068C">
        <w:rPr>
          <w:rFonts w:ascii="Arial" w:hAnsi="Arial" w:cs="Arial"/>
          <w:u w:val="single"/>
        </w:rPr>
        <w:t>Complexity / Simplification</w:t>
      </w:r>
      <w:r>
        <w:rPr>
          <w:rFonts w:ascii="Arial" w:hAnsi="Arial" w:cs="Arial"/>
        </w:rPr>
        <w:t>:  At a number of points in the Issues Paper, concern is expressed in relation to the number, and spread, of interchange fees.  While we understand this concern and agree that some simplification may be desirable, we are also mindful that simplification and rationalisation risks an adverse impact on innovation and product differentiation – and thus competition.  We are also concerned that it is not the role of payments regulation to seek to specify end market</w:t>
      </w:r>
      <w:r w:rsidR="00D8068C">
        <w:rPr>
          <w:rFonts w:ascii="Arial" w:hAnsi="Arial" w:cs="Arial"/>
        </w:rPr>
        <w:t xml:space="preserve"> pricing arrangements – that is the province of competitors seeking to provide services valued by their customers.</w:t>
      </w:r>
    </w:p>
    <w:p w:rsidR="00FE726D" w:rsidRPr="00FE726D" w:rsidRDefault="00FE726D" w:rsidP="00FE726D">
      <w:pPr>
        <w:rPr>
          <w:rFonts w:ascii="Arial" w:hAnsi="Arial" w:cs="Arial"/>
          <w:sz w:val="22"/>
          <w:szCs w:val="22"/>
        </w:rPr>
      </w:pPr>
    </w:p>
    <w:p w:rsidR="00FE726D" w:rsidRDefault="00FE726D" w:rsidP="00FE726D">
      <w:pPr>
        <w:ind w:left="720"/>
        <w:rPr>
          <w:rFonts w:ascii="Arial" w:hAnsi="Arial" w:cs="Arial"/>
          <w:sz w:val="22"/>
          <w:szCs w:val="22"/>
        </w:rPr>
      </w:pPr>
      <w:r>
        <w:rPr>
          <w:rFonts w:ascii="Arial" w:hAnsi="Arial" w:cs="Arial"/>
          <w:sz w:val="22"/>
          <w:szCs w:val="22"/>
        </w:rPr>
        <w:t>Simplicity should also manifest itself in any regulatory solution.  Any regulatory response should be simple, practical and cost effective, in order to avoid placing unnecessary burdens on the industry and its customers.</w:t>
      </w:r>
    </w:p>
    <w:p w:rsidR="0092072A" w:rsidRDefault="0092072A" w:rsidP="00FE726D">
      <w:pPr>
        <w:ind w:left="720"/>
        <w:rPr>
          <w:rFonts w:ascii="Arial" w:hAnsi="Arial" w:cs="Arial"/>
          <w:sz w:val="22"/>
          <w:szCs w:val="22"/>
        </w:rPr>
      </w:pPr>
    </w:p>
    <w:p w:rsidR="0092072A" w:rsidRPr="00FE726D" w:rsidRDefault="0092072A" w:rsidP="00FE726D">
      <w:pPr>
        <w:ind w:left="720"/>
        <w:rPr>
          <w:rFonts w:ascii="Arial" w:hAnsi="Arial" w:cs="Arial"/>
          <w:sz w:val="22"/>
          <w:szCs w:val="22"/>
        </w:rPr>
      </w:pPr>
      <w:r>
        <w:rPr>
          <w:rFonts w:ascii="Arial" w:hAnsi="Arial" w:cs="Arial"/>
          <w:sz w:val="22"/>
          <w:szCs w:val="22"/>
        </w:rPr>
        <w:t xml:space="preserve">Furthermore, we </w:t>
      </w:r>
      <w:r w:rsidR="00F55BC3">
        <w:rPr>
          <w:rFonts w:ascii="Arial" w:hAnsi="Arial" w:cs="Arial"/>
          <w:sz w:val="22"/>
          <w:szCs w:val="22"/>
        </w:rPr>
        <w:t xml:space="preserve">think </w:t>
      </w:r>
      <w:r>
        <w:rPr>
          <w:rFonts w:ascii="Arial" w:hAnsi="Arial" w:cs="Arial"/>
          <w:sz w:val="22"/>
          <w:szCs w:val="22"/>
        </w:rPr>
        <w:t xml:space="preserve">that the more intricate regulation becomes, the more incentives participants have to seek to “game” the system.  This is counter-productive, albeit commercially understandable.  </w:t>
      </w:r>
    </w:p>
    <w:p w:rsidR="00D8068C" w:rsidRPr="00FE726D" w:rsidRDefault="00D8068C" w:rsidP="00D8068C">
      <w:pPr>
        <w:rPr>
          <w:rFonts w:ascii="Arial" w:hAnsi="Arial" w:cs="Arial"/>
          <w:sz w:val="22"/>
          <w:szCs w:val="22"/>
        </w:rPr>
      </w:pPr>
    </w:p>
    <w:p w:rsidR="00B42342" w:rsidRDefault="00B42342" w:rsidP="00B42342">
      <w:pPr>
        <w:pStyle w:val="ListParagraph"/>
        <w:numPr>
          <w:ilvl w:val="0"/>
          <w:numId w:val="38"/>
        </w:numPr>
        <w:rPr>
          <w:rFonts w:ascii="Arial" w:hAnsi="Arial" w:cs="Arial"/>
        </w:rPr>
      </w:pPr>
      <w:r w:rsidRPr="00D8068C">
        <w:rPr>
          <w:rFonts w:ascii="Arial" w:hAnsi="Arial" w:cs="Arial"/>
          <w:u w:val="single"/>
        </w:rPr>
        <w:t>Cross Subsidisation</w:t>
      </w:r>
      <w:r>
        <w:rPr>
          <w:rFonts w:ascii="Arial" w:hAnsi="Arial" w:cs="Arial"/>
        </w:rPr>
        <w:t>:</w:t>
      </w:r>
      <w:r w:rsidR="00D8068C">
        <w:rPr>
          <w:rFonts w:ascii="Arial" w:hAnsi="Arial" w:cs="Arial"/>
        </w:rPr>
        <w:t xml:space="preserve">  The impact of interchange fee hierarchies, combined with differing interchange fees for different card products, is seen to be perpetuating a cross subsidisation of costs between small and large merchants.  Again, we understand this concern and agree that </w:t>
      </w:r>
      <w:r w:rsidR="008A17BC">
        <w:rPr>
          <w:rFonts w:ascii="Arial" w:hAnsi="Arial" w:cs="Arial"/>
        </w:rPr>
        <w:t xml:space="preserve">incremental benefit may be obtainable by addressing the extremes of these circumstances. </w:t>
      </w:r>
    </w:p>
    <w:p w:rsidR="00D8068C" w:rsidRDefault="00D8068C" w:rsidP="00D8068C">
      <w:pPr>
        <w:pStyle w:val="ListParagraph"/>
        <w:rPr>
          <w:rFonts w:ascii="Arial" w:hAnsi="Arial" w:cs="Arial"/>
        </w:rPr>
      </w:pPr>
    </w:p>
    <w:p w:rsidR="00F938B8" w:rsidRDefault="00F938B8" w:rsidP="00F938B8">
      <w:pPr>
        <w:pStyle w:val="ListParagraph"/>
        <w:numPr>
          <w:ilvl w:val="0"/>
          <w:numId w:val="38"/>
        </w:numPr>
        <w:rPr>
          <w:rFonts w:ascii="Arial" w:hAnsi="Arial" w:cs="Arial"/>
        </w:rPr>
      </w:pPr>
      <w:r w:rsidRPr="00F938B8">
        <w:rPr>
          <w:rFonts w:ascii="Arial" w:hAnsi="Arial" w:cs="Arial"/>
          <w:u w:val="single"/>
        </w:rPr>
        <w:t>Drift</w:t>
      </w:r>
      <w:r>
        <w:rPr>
          <w:rFonts w:ascii="Arial" w:hAnsi="Arial" w:cs="Arial"/>
        </w:rPr>
        <w:t xml:space="preserve">:  Concern around the upward </w:t>
      </w:r>
      <w:r w:rsidR="005635EB">
        <w:rPr>
          <w:rFonts w:ascii="Arial" w:hAnsi="Arial" w:cs="Arial"/>
        </w:rPr>
        <w:t>‘</w:t>
      </w:r>
      <w:r>
        <w:rPr>
          <w:rFonts w:ascii="Arial" w:hAnsi="Arial" w:cs="Arial"/>
        </w:rPr>
        <w:t>drift</w:t>
      </w:r>
      <w:r w:rsidR="005635EB">
        <w:rPr>
          <w:rFonts w:ascii="Arial" w:hAnsi="Arial" w:cs="Arial"/>
        </w:rPr>
        <w:t>’</w:t>
      </w:r>
      <w:r>
        <w:rPr>
          <w:rFonts w:ascii="Arial" w:hAnsi="Arial" w:cs="Arial"/>
        </w:rPr>
        <w:t xml:space="preserve"> of interchange fees between the three yearly reset periods is evident.  </w:t>
      </w:r>
      <w:r w:rsidR="00F55BC3">
        <w:rPr>
          <w:rFonts w:ascii="Arial" w:hAnsi="Arial" w:cs="Arial"/>
        </w:rPr>
        <w:t>T</w:t>
      </w:r>
      <w:r>
        <w:rPr>
          <w:rFonts w:ascii="Arial" w:hAnsi="Arial" w:cs="Arial"/>
        </w:rPr>
        <w:t>his is able to be addressed with relatively straight forward initiatives</w:t>
      </w:r>
      <w:r w:rsidR="00F55BC3">
        <w:rPr>
          <w:rFonts w:ascii="Arial" w:hAnsi="Arial" w:cs="Arial"/>
        </w:rPr>
        <w:t>, as outlined below</w:t>
      </w:r>
      <w:r w:rsidR="00595B6C">
        <w:rPr>
          <w:rFonts w:ascii="Arial" w:hAnsi="Arial" w:cs="Arial"/>
        </w:rPr>
        <w:t>.</w:t>
      </w:r>
      <w:r>
        <w:rPr>
          <w:rFonts w:ascii="Arial" w:hAnsi="Arial" w:cs="Arial"/>
        </w:rPr>
        <w:t xml:space="preserve"> </w:t>
      </w:r>
    </w:p>
    <w:p w:rsidR="00F938B8" w:rsidRPr="00D8068C" w:rsidRDefault="00F938B8" w:rsidP="00D8068C">
      <w:pPr>
        <w:pStyle w:val="ListParagraph"/>
        <w:rPr>
          <w:rFonts w:ascii="Arial" w:hAnsi="Arial" w:cs="Arial"/>
        </w:rPr>
      </w:pPr>
    </w:p>
    <w:p w:rsidR="00B42342" w:rsidRDefault="00B42342" w:rsidP="00B42342">
      <w:pPr>
        <w:pStyle w:val="ListParagraph"/>
        <w:numPr>
          <w:ilvl w:val="0"/>
          <w:numId w:val="38"/>
        </w:numPr>
        <w:rPr>
          <w:rFonts w:ascii="Arial" w:hAnsi="Arial" w:cs="Arial"/>
        </w:rPr>
      </w:pPr>
      <w:r w:rsidRPr="008A17BC">
        <w:rPr>
          <w:rFonts w:ascii="Arial" w:hAnsi="Arial" w:cs="Arial"/>
          <w:u w:val="single"/>
        </w:rPr>
        <w:t>Efficiency</w:t>
      </w:r>
      <w:r>
        <w:rPr>
          <w:rFonts w:ascii="Arial" w:hAnsi="Arial" w:cs="Arial"/>
        </w:rPr>
        <w:t xml:space="preserve">: </w:t>
      </w:r>
      <w:r w:rsidR="008A17BC">
        <w:rPr>
          <w:rFonts w:ascii="Arial" w:hAnsi="Arial" w:cs="Arial"/>
        </w:rPr>
        <w:t xml:space="preserve"> The Bank does not accept the argument that current interchange fee caps are inefficiently high.  </w:t>
      </w:r>
      <w:r w:rsidR="00BD7160">
        <w:rPr>
          <w:rFonts w:ascii="Arial" w:hAnsi="Arial" w:cs="Arial"/>
        </w:rPr>
        <w:t>In our view,</w:t>
      </w:r>
      <w:r w:rsidR="008A17BC">
        <w:rPr>
          <w:rFonts w:ascii="Arial" w:hAnsi="Arial" w:cs="Arial"/>
        </w:rPr>
        <w:t xml:space="preserve"> the market has settled at a level of equilibrium reflecting current interchange fee caps</w:t>
      </w:r>
      <w:r w:rsidR="003E25FD">
        <w:rPr>
          <w:rFonts w:ascii="Arial" w:hAnsi="Arial" w:cs="Arial"/>
        </w:rPr>
        <w:t>,</w:t>
      </w:r>
      <w:r w:rsidR="008A17BC">
        <w:rPr>
          <w:rFonts w:ascii="Arial" w:hAnsi="Arial" w:cs="Arial"/>
        </w:rPr>
        <w:t xml:space="preserve"> and further wholesale reductions run the risk of seriously undermining cardholder value propositions for little, if any, benefit.</w:t>
      </w:r>
    </w:p>
    <w:p w:rsidR="008A17BC" w:rsidRPr="008A17BC" w:rsidRDefault="008A17BC" w:rsidP="008A17BC">
      <w:pPr>
        <w:pStyle w:val="ListParagraph"/>
        <w:rPr>
          <w:rFonts w:ascii="Arial" w:hAnsi="Arial" w:cs="Arial"/>
        </w:rPr>
      </w:pPr>
    </w:p>
    <w:p w:rsidR="008A17BC" w:rsidRPr="00B42342" w:rsidRDefault="008A17BC" w:rsidP="00B42342">
      <w:pPr>
        <w:pStyle w:val="ListParagraph"/>
        <w:numPr>
          <w:ilvl w:val="0"/>
          <w:numId w:val="38"/>
        </w:numPr>
        <w:rPr>
          <w:rFonts w:ascii="Arial" w:hAnsi="Arial" w:cs="Arial"/>
        </w:rPr>
      </w:pPr>
      <w:r w:rsidRPr="008A17BC">
        <w:rPr>
          <w:rFonts w:ascii="Arial" w:hAnsi="Arial" w:cs="Arial"/>
          <w:u w:val="single"/>
        </w:rPr>
        <w:t>Surcharging</w:t>
      </w:r>
      <w:r>
        <w:rPr>
          <w:rFonts w:ascii="Arial" w:hAnsi="Arial" w:cs="Arial"/>
        </w:rPr>
        <w:t>:  Recent history, and the Issues Paper itself, make</w:t>
      </w:r>
      <w:r w:rsidR="001E75D8">
        <w:rPr>
          <w:rFonts w:ascii="Arial" w:hAnsi="Arial" w:cs="Arial"/>
        </w:rPr>
        <w:t>s it clear that surcharging for card base</w:t>
      </w:r>
      <w:r w:rsidR="00CF5566">
        <w:rPr>
          <w:rFonts w:ascii="Arial" w:hAnsi="Arial" w:cs="Arial"/>
        </w:rPr>
        <w:t>d</w:t>
      </w:r>
      <w:r w:rsidR="001E75D8">
        <w:rPr>
          <w:rFonts w:ascii="Arial" w:hAnsi="Arial" w:cs="Arial"/>
        </w:rPr>
        <w:t xml:space="preserve"> payments remains a contentious topic</w:t>
      </w:r>
      <w:r w:rsidR="00A610D6">
        <w:rPr>
          <w:rFonts w:ascii="Arial" w:hAnsi="Arial" w:cs="Arial"/>
        </w:rPr>
        <w:t xml:space="preserve"> – especially in relation to some identified industries</w:t>
      </w:r>
      <w:r w:rsidR="001E75D8">
        <w:rPr>
          <w:rFonts w:ascii="Arial" w:hAnsi="Arial" w:cs="Arial"/>
        </w:rPr>
        <w:t xml:space="preserve">.  </w:t>
      </w:r>
      <w:r w:rsidR="00FE726D">
        <w:rPr>
          <w:rFonts w:ascii="Arial" w:hAnsi="Arial" w:cs="Arial"/>
        </w:rPr>
        <w:t xml:space="preserve">Instances of “excessive” surcharging are best assessed, we believe, as a competition law enforcement issue.  </w:t>
      </w:r>
      <w:r w:rsidR="001E75D8">
        <w:rPr>
          <w:rFonts w:ascii="Arial" w:hAnsi="Arial" w:cs="Arial"/>
        </w:rPr>
        <w:t xml:space="preserve">While </w:t>
      </w:r>
      <w:r w:rsidR="00FE726D">
        <w:rPr>
          <w:rFonts w:ascii="Arial" w:hAnsi="Arial" w:cs="Arial"/>
        </w:rPr>
        <w:t>surcharging</w:t>
      </w:r>
      <w:r w:rsidR="001E75D8">
        <w:rPr>
          <w:rFonts w:ascii="Arial" w:hAnsi="Arial" w:cs="Arial"/>
        </w:rPr>
        <w:t xml:space="preserve"> is addressed further below, </w:t>
      </w:r>
      <w:r w:rsidR="00BD7160">
        <w:rPr>
          <w:rFonts w:ascii="Arial" w:hAnsi="Arial" w:cs="Arial"/>
        </w:rPr>
        <w:t>it is our view</w:t>
      </w:r>
      <w:r w:rsidR="001E75D8">
        <w:rPr>
          <w:rFonts w:ascii="Arial" w:hAnsi="Arial" w:cs="Arial"/>
        </w:rPr>
        <w:t xml:space="preserve"> that surcharging where input costs are regulated, is not appropriate – </w:t>
      </w:r>
      <w:proofErr w:type="spellStart"/>
      <w:r w:rsidR="001E75D8">
        <w:rPr>
          <w:rFonts w:ascii="Arial" w:hAnsi="Arial" w:cs="Arial"/>
        </w:rPr>
        <w:t>ie</w:t>
      </w:r>
      <w:proofErr w:type="spellEnd"/>
      <w:r w:rsidR="001E75D8">
        <w:rPr>
          <w:rFonts w:ascii="Arial" w:hAnsi="Arial" w:cs="Arial"/>
        </w:rPr>
        <w:t>, where interchange fees as an input cost are regulated, and thus restrained, it is not appropriate that merchants also retain the ability to surcharge.  We do not believe that ‘two bites of the cherry’ can be justified.  Surcharging in circumstances w</w:t>
      </w:r>
      <w:r w:rsidR="00357CEF">
        <w:rPr>
          <w:rFonts w:ascii="Arial" w:hAnsi="Arial" w:cs="Arial"/>
        </w:rPr>
        <w:t>h</w:t>
      </w:r>
      <w:r w:rsidR="001E75D8">
        <w:rPr>
          <w:rFonts w:ascii="Arial" w:hAnsi="Arial" w:cs="Arial"/>
        </w:rPr>
        <w:t xml:space="preserve">ere </w:t>
      </w:r>
      <w:r w:rsidR="00A86132">
        <w:rPr>
          <w:rFonts w:ascii="Arial" w:hAnsi="Arial" w:cs="Arial"/>
        </w:rPr>
        <w:t xml:space="preserve">payment </w:t>
      </w:r>
      <w:r w:rsidR="001E75D8">
        <w:rPr>
          <w:rFonts w:ascii="Arial" w:hAnsi="Arial" w:cs="Arial"/>
        </w:rPr>
        <w:t>input costs are unregulated should be left to the merchant’s discretion, having regard to issues of market power which should be considered the province of competition law rather than payments regulation.</w:t>
      </w:r>
    </w:p>
    <w:p w:rsidR="00B42342" w:rsidRDefault="00B42342" w:rsidP="00882CAA">
      <w:pPr>
        <w:rPr>
          <w:rFonts w:ascii="Arial" w:hAnsi="Arial" w:cs="Arial"/>
          <w:sz w:val="22"/>
          <w:szCs w:val="22"/>
        </w:rPr>
      </w:pPr>
    </w:p>
    <w:p w:rsidR="00F938B8" w:rsidRDefault="008A17BC" w:rsidP="00882CAA">
      <w:pPr>
        <w:rPr>
          <w:rFonts w:ascii="Arial" w:hAnsi="Arial" w:cs="Arial"/>
          <w:sz w:val="22"/>
          <w:szCs w:val="22"/>
        </w:rPr>
      </w:pPr>
      <w:r>
        <w:rPr>
          <w:rFonts w:ascii="Arial" w:hAnsi="Arial" w:cs="Arial"/>
          <w:sz w:val="22"/>
          <w:szCs w:val="22"/>
        </w:rPr>
        <w:t>Specific aspects arising from these themes, and more</w:t>
      </w:r>
      <w:r w:rsidR="00106A5B">
        <w:rPr>
          <w:rFonts w:ascii="Arial" w:hAnsi="Arial" w:cs="Arial"/>
          <w:sz w:val="22"/>
          <w:szCs w:val="22"/>
        </w:rPr>
        <w:t>,</w:t>
      </w:r>
      <w:r>
        <w:rPr>
          <w:rFonts w:ascii="Arial" w:hAnsi="Arial" w:cs="Arial"/>
          <w:sz w:val="22"/>
          <w:szCs w:val="22"/>
        </w:rPr>
        <w:t xml:space="preserve"> are addressed below.</w:t>
      </w:r>
      <w:r w:rsidR="00106A5B">
        <w:rPr>
          <w:rFonts w:ascii="Arial" w:hAnsi="Arial" w:cs="Arial"/>
          <w:sz w:val="22"/>
          <w:szCs w:val="22"/>
        </w:rPr>
        <w:t xml:space="preserve">  </w:t>
      </w:r>
      <w:r w:rsidR="00F938B8">
        <w:rPr>
          <w:rFonts w:ascii="Arial" w:hAnsi="Arial" w:cs="Arial"/>
          <w:sz w:val="22"/>
          <w:szCs w:val="22"/>
        </w:rPr>
        <w:t>However, it is suggested that a number of these themes can be addressed in a relatively straight forward manner with some relatively incremental modifications to existing regulation.</w:t>
      </w:r>
    </w:p>
    <w:p w:rsidR="00F938B8" w:rsidRDefault="00F938B8" w:rsidP="00882CAA">
      <w:pPr>
        <w:rPr>
          <w:rFonts w:ascii="Arial" w:hAnsi="Arial" w:cs="Arial"/>
          <w:sz w:val="22"/>
          <w:szCs w:val="22"/>
        </w:rPr>
      </w:pPr>
    </w:p>
    <w:p w:rsidR="00882CAA" w:rsidRDefault="00A86132" w:rsidP="00882CAA">
      <w:pPr>
        <w:rPr>
          <w:rFonts w:ascii="Arial" w:hAnsi="Arial" w:cs="Arial"/>
          <w:sz w:val="22"/>
          <w:szCs w:val="22"/>
        </w:rPr>
      </w:pPr>
      <w:r>
        <w:rPr>
          <w:rFonts w:ascii="Arial" w:hAnsi="Arial" w:cs="Arial"/>
          <w:sz w:val="22"/>
          <w:szCs w:val="22"/>
        </w:rPr>
        <w:t xml:space="preserve">The Issues Paper seeks the views of stakeholders on a number of issues.  These are addressed below, </w:t>
      </w:r>
      <w:r w:rsidR="00CF5566">
        <w:rPr>
          <w:rFonts w:ascii="Arial" w:hAnsi="Arial" w:cs="Arial"/>
          <w:sz w:val="22"/>
          <w:szCs w:val="22"/>
        </w:rPr>
        <w:t>using the headings identified in the Issues Paper</w:t>
      </w:r>
      <w:r>
        <w:rPr>
          <w:rFonts w:ascii="Arial" w:hAnsi="Arial" w:cs="Arial"/>
          <w:sz w:val="22"/>
          <w:szCs w:val="22"/>
        </w:rPr>
        <w:t>.</w:t>
      </w:r>
    </w:p>
    <w:p w:rsidR="00F938B8" w:rsidRDefault="00F938B8" w:rsidP="00882CAA">
      <w:pPr>
        <w:rPr>
          <w:rFonts w:ascii="Arial" w:hAnsi="Arial" w:cs="Arial"/>
          <w:sz w:val="22"/>
          <w:szCs w:val="22"/>
        </w:rPr>
      </w:pPr>
    </w:p>
    <w:p w:rsidR="002755D0" w:rsidRPr="00A34470" w:rsidRDefault="002755D0" w:rsidP="002755D0">
      <w:pPr>
        <w:pStyle w:val="Default"/>
        <w:numPr>
          <w:ilvl w:val="0"/>
          <w:numId w:val="39"/>
        </w:numPr>
        <w:ind w:left="709" w:hanging="352"/>
        <w:rPr>
          <w:rFonts w:ascii="Arial" w:hAnsi="Arial" w:cs="Arial"/>
          <w:b/>
          <w:bCs/>
          <w:color w:val="4F81BD" w:themeColor="accent1"/>
          <w:sz w:val="22"/>
          <w:szCs w:val="22"/>
        </w:rPr>
      </w:pPr>
      <w:r w:rsidRPr="00A34470">
        <w:rPr>
          <w:rFonts w:ascii="Arial" w:hAnsi="Arial" w:cs="Arial"/>
          <w:b/>
          <w:bCs/>
          <w:color w:val="4F81BD" w:themeColor="accent1"/>
          <w:sz w:val="22"/>
          <w:szCs w:val="22"/>
        </w:rPr>
        <w:t>Publishing thresholds for which payment system providers will be subject to interchange or related regulation</w:t>
      </w:r>
    </w:p>
    <w:p w:rsidR="002755D0" w:rsidRPr="009619CD" w:rsidRDefault="002755D0" w:rsidP="002755D0">
      <w:pPr>
        <w:pStyle w:val="Default"/>
        <w:rPr>
          <w:rFonts w:ascii="Arial" w:hAnsi="Arial" w:cs="Arial"/>
          <w:bCs/>
          <w:color w:val="auto"/>
          <w:sz w:val="22"/>
          <w:szCs w:val="22"/>
        </w:rPr>
      </w:pPr>
    </w:p>
    <w:p w:rsidR="00F938B8" w:rsidRDefault="009619CD" w:rsidP="002755D0">
      <w:pPr>
        <w:pStyle w:val="Default"/>
        <w:rPr>
          <w:rFonts w:ascii="Arial" w:hAnsi="Arial" w:cs="Arial"/>
          <w:bCs/>
          <w:color w:val="auto"/>
          <w:sz w:val="22"/>
          <w:szCs w:val="22"/>
        </w:rPr>
      </w:pPr>
      <w:r>
        <w:rPr>
          <w:rFonts w:ascii="Arial" w:hAnsi="Arial" w:cs="Arial"/>
          <w:bCs/>
          <w:color w:val="auto"/>
          <w:sz w:val="22"/>
          <w:szCs w:val="22"/>
        </w:rPr>
        <w:t xml:space="preserve">The Bank does not support an approach to payment systems regulation that is based on an arbitrary determination of size or significance.  Instead, assuming the persistence of the RBA’s regulatory powers, </w:t>
      </w:r>
      <w:r w:rsidR="00BD7160">
        <w:rPr>
          <w:rFonts w:ascii="Arial" w:hAnsi="Arial" w:cs="Arial"/>
          <w:bCs/>
          <w:color w:val="auto"/>
          <w:sz w:val="22"/>
          <w:szCs w:val="22"/>
        </w:rPr>
        <w:t>it is our view</w:t>
      </w:r>
      <w:r>
        <w:rPr>
          <w:rFonts w:ascii="Arial" w:hAnsi="Arial" w:cs="Arial"/>
          <w:bCs/>
          <w:color w:val="auto"/>
          <w:sz w:val="22"/>
          <w:szCs w:val="22"/>
        </w:rPr>
        <w:t xml:space="preserve"> that price regulation should be targeted </w:t>
      </w:r>
      <w:r w:rsidR="00A86132">
        <w:rPr>
          <w:rFonts w:ascii="Arial" w:hAnsi="Arial" w:cs="Arial"/>
          <w:bCs/>
          <w:color w:val="auto"/>
          <w:sz w:val="22"/>
          <w:szCs w:val="22"/>
        </w:rPr>
        <w:t xml:space="preserve">only </w:t>
      </w:r>
      <w:r>
        <w:rPr>
          <w:rFonts w:ascii="Arial" w:hAnsi="Arial" w:cs="Arial"/>
          <w:bCs/>
          <w:color w:val="auto"/>
          <w:sz w:val="22"/>
          <w:szCs w:val="22"/>
        </w:rPr>
        <w:t xml:space="preserve">at multi-lateral prices – interchange fees – that are not the result of bilateral, </w:t>
      </w:r>
      <w:r w:rsidR="009B5954">
        <w:rPr>
          <w:rFonts w:ascii="Arial" w:hAnsi="Arial" w:cs="Arial"/>
          <w:bCs/>
          <w:color w:val="auto"/>
          <w:sz w:val="22"/>
          <w:szCs w:val="22"/>
        </w:rPr>
        <w:t xml:space="preserve">commercial, </w:t>
      </w:r>
      <w:r>
        <w:rPr>
          <w:rFonts w:ascii="Arial" w:hAnsi="Arial" w:cs="Arial"/>
          <w:bCs/>
          <w:color w:val="auto"/>
          <w:sz w:val="22"/>
          <w:szCs w:val="22"/>
        </w:rPr>
        <w:t xml:space="preserve">negotiations.  This enables a clear understanding of when such regulation will apply and avoids any debate about significance – and also ensures competitive neutrality between networks </w:t>
      </w:r>
      <w:r w:rsidR="007B5D21">
        <w:rPr>
          <w:rFonts w:ascii="Arial" w:hAnsi="Arial" w:cs="Arial"/>
          <w:bCs/>
          <w:color w:val="auto"/>
          <w:sz w:val="22"/>
          <w:szCs w:val="22"/>
        </w:rPr>
        <w:t>utilising an interchange fee arrangement.</w:t>
      </w:r>
    </w:p>
    <w:p w:rsidR="00C31B67" w:rsidRDefault="00C31B67" w:rsidP="002755D0">
      <w:pPr>
        <w:pStyle w:val="Default"/>
        <w:rPr>
          <w:rFonts w:ascii="Arial" w:hAnsi="Arial" w:cs="Arial"/>
          <w:bCs/>
          <w:color w:val="auto"/>
          <w:sz w:val="22"/>
          <w:szCs w:val="22"/>
        </w:rPr>
      </w:pPr>
    </w:p>
    <w:p w:rsidR="00C31B67" w:rsidRPr="009619CD" w:rsidRDefault="00C31B67" w:rsidP="002755D0">
      <w:pPr>
        <w:pStyle w:val="Default"/>
        <w:rPr>
          <w:rFonts w:ascii="Arial" w:hAnsi="Arial" w:cs="Arial"/>
          <w:bCs/>
          <w:color w:val="auto"/>
          <w:sz w:val="22"/>
          <w:szCs w:val="22"/>
        </w:rPr>
      </w:pPr>
      <w:r>
        <w:rPr>
          <w:rFonts w:ascii="Arial" w:hAnsi="Arial" w:cs="Arial"/>
          <w:bCs/>
          <w:color w:val="auto"/>
          <w:sz w:val="22"/>
          <w:szCs w:val="22"/>
        </w:rPr>
        <w:t xml:space="preserve">For the sake of abundant clarity, and to address one specific, but topical, example, we do not see a need for regulation of American Express cards or </w:t>
      </w:r>
      <w:r w:rsidR="00F21D5B">
        <w:rPr>
          <w:rFonts w:ascii="Arial" w:hAnsi="Arial" w:cs="Arial"/>
          <w:bCs/>
          <w:color w:val="auto"/>
          <w:sz w:val="22"/>
          <w:szCs w:val="22"/>
        </w:rPr>
        <w:t xml:space="preserve">transactions.  </w:t>
      </w:r>
      <w:r w:rsidR="009B5954">
        <w:rPr>
          <w:rFonts w:ascii="Arial" w:hAnsi="Arial" w:cs="Arial"/>
          <w:bCs/>
          <w:color w:val="auto"/>
          <w:sz w:val="22"/>
          <w:szCs w:val="22"/>
        </w:rPr>
        <w:t>Further, w</w:t>
      </w:r>
      <w:r w:rsidR="00591885">
        <w:rPr>
          <w:rFonts w:ascii="Arial" w:hAnsi="Arial" w:cs="Arial"/>
          <w:bCs/>
          <w:color w:val="auto"/>
          <w:sz w:val="22"/>
          <w:szCs w:val="22"/>
        </w:rPr>
        <w:t>e see no need to distinguish between “companion” card arrangements and the more tradi</w:t>
      </w:r>
      <w:r w:rsidR="009B5954">
        <w:rPr>
          <w:rFonts w:ascii="Arial" w:hAnsi="Arial" w:cs="Arial"/>
          <w:bCs/>
          <w:color w:val="auto"/>
          <w:sz w:val="22"/>
          <w:szCs w:val="22"/>
        </w:rPr>
        <w:t xml:space="preserve">tional American Express card. </w:t>
      </w:r>
      <w:r w:rsidR="00591885">
        <w:rPr>
          <w:rFonts w:ascii="Arial" w:hAnsi="Arial" w:cs="Arial"/>
          <w:bCs/>
          <w:color w:val="auto"/>
          <w:sz w:val="22"/>
          <w:szCs w:val="22"/>
        </w:rPr>
        <w:t xml:space="preserve"> </w:t>
      </w:r>
      <w:r w:rsidR="00F21D5B">
        <w:rPr>
          <w:rFonts w:ascii="Arial" w:hAnsi="Arial" w:cs="Arial"/>
          <w:bCs/>
          <w:color w:val="auto"/>
          <w:sz w:val="22"/>
          <w:szCs w:val="22"/>
        </w:rPr>
        <w:t>Comments further below in relation to surcharging are, however, germane.</w:t>
      </w:r>
    </w:p>
    <w:p w:rsidR="00F938B8" w:rsidRPr="009619CD" w:rsidRDefault="00F938B8" w:rsidP="002755D0">
      <w:pPr>
        <w:pStyle w:val="Default"/>
        <w:rPr>
          <w:rFonts w:ascii="Arial" w:hAnsi="Arial" w:cs="Arial"/>
          <w:bCs/>
          <w:color w:val="auto"/>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Broadening interchange fee caps to include other payments between schemes and issuers.  </w:t>
      </w:r>
    </w:p>
    <w:p w:rsidR="002755D0" w:rsidRPr="007B5D21" w:rsidRDefault="002755D0" w:rsidP="00F938B8">
      <w:pPr>
        <w:pStyle w:val="ListParagraph"/>
        <w:ind w:left="0"/>
        <w:rPr>
          <w:rFonts w:ascii="Arial" w:hAnsi="Arial" w:cs="Arial"/>
        </w:rPr>
      </w:pPr>
    </w:p>
    <w:p w:rsidR="007B5D21" w:rsidRPr="007B5D21" w:rsidRDefault="007B5D21" w:rsidP="00F938B8">
      <w:pPr>
        <w:pStyle w:val="ListParagraph"/>
        <w:ind w:left="0"/>
        <w:rPr>
          <w:rFonts w:ascii="Arial" w:hAnsi="Arial" w:cs="Arial"/>
        </w:rPr>
      </w:pPr>
      <w:r>
        <w:rPr>
          <w:rFonts w:ascii="Arial" w:hAnsi="Arial" w:cs="Arial"/>
        </w:rPr>
        <w:t xml:space="preserve">Further to Issue (1) above, </w:t>
      </w:r>
      <w:proofErr w:type="spellStart"/>
      <w:r>
        <w:rPr>
          <w:rFonts w:ascii="Arial" w:hAnsi="Arial" w:cs="Arial"/>
        </w:rPr>
        <w:t>non interchange</w:t>
      </w:r>
      <w:proofErr w:type="spellEnd"/>
      <w:r>
        <w:rPr>
          <w:rFonts w:ascii="Arial" w:hAnsi="Arial" w:cs="Arial"/>
        </w:rPr>
        <w:t xml:space="preserve"> payments between </w:t>
      </w:r>
      <w:r w:rsidR="003E25FD">
        <w:rPr>
          <w:rFonts w:ascii="Arial" w:hAnsi="Arial" w:cs="Arial"/>
        </w:rPr>
        <w:t>S</w:t>
      </w:r>
      <w:r>
        <w:rPr>
          <w:rFonts w:ascii="Arial" w:hAnsi="Arial" w:cs="Arial"/>
        </w:rPr>
        <w:t xml:space="preserve">chemes and their members </w:t>
      </w:r>
      <w:r w:rsidR="00C877E6">
        <w:rPr>
          <w:rFonts w:ascii="Arial" w:hAnsi="Arial" w:cs="Arial"/>
        </w:rPr>
        <w:t xml:space="preserve">are the outcome of </w:t>
      </w:r>
      <w:r>
        <w:rPr>
          <w:rFonts w:ascii="Arial" w:hAnsi="Arial" w:cs="Arial"/>
        </w:rPr>
        <w:t xml:space="preserve">bilateral, </w:t>
      </w:r>
      <w:r w:rsidR="00C877E6">
        <w:rPr>
          <w:rFonts w:ascii="Arial" w:hAnsi="Arial" w:cs="Arial"/>
        </w:rPr>
        <w:t>contractua</w:t>
      </w:r>
      <w:r w:rsidR="009B5954">
        <w:rPr>
          <w:rFonts w:ascii="Arial" w:hAnsi="Arial" w:cs="Arial"/>
        </w:rPr>
        <w:t xml:space="preserve">l, </w:t>
      </w:r>
      <w:r>
        <w:rPr>
          <w:rFonts w:ascii="Arial" w:hAnsi="Arial" w:cs="Arial"/>
        </w:rPr>
        <w:t xml:space="preserve">negotiations between counterparties and it is our view that RBA should not intervene in such relationships.  As stated above, </w:t>
      </w:r>
      <w:r w:rsidR="009B5954">
        <w:rPr>
          <w:rFonts w:ascii="Arial" w:hAnsi="Arial" w:cs="Arial"/>
        </w:rPr>
        <w:t xml:space="preserve">if regulation is to persist, this should be restricted to regulation of </w:t>
      </w:r>
      <w:r>
        <w:rPr>
          <w:rFonts w:ascii="Arial" w:hAnsi="Arial" w:cs="Arial"/>
        </w:rPr>
        <w:t xml:space="preserve">multi-lateral interchange fees </w:t>
      </w:r>
      <w:r w:rsidR="009B5954">
        <w:rPr>
          <w:rFonts w:ascii="Arial" w:hAnsi="Arial" w:cs="Arial"/>
        </w:rPr>
        <w:t>in light of their unique nature</w:t>
      </w:r>
      <w:r>
        <w:rPr>
          <w:rFonts w:ascii="Arial" w:hAnsi="Arial" w:cs="Arial"/>
        </w:rPr>
        <w:t>.  To stray beyond that principle is an unreasonable intervention in bilateral commercial relationships.</w:t>
      </w:r>
    </w:p>
    <w:p w:rsidR="002755D0" w:rsidRPr="007B5D21" w:rsidRDefault="002755D0" w:rsidP="002755D0">
      <w:pPr>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Making changes to the interchange benchmark system to reduce the upward ‘drift’ in average interchange rates inherent in the current three-year reset cycle.  </w:t>
      </w:r>
    </w:p>
    <w:p w:rsidR="002755D0" w:rsidRPr="00604209" w:rsidRDefault="002755D0" w:rsidP="002755D0">
      <w:pPr>
        <w:autoSpaceDE w:val="0"/>
        <w:autoSpaceDN w:val="0"/>
        <w:adjustRightInd w:val="0"/>
        <w:contextualSpacing/>
        <w:rPr>
          <w:rFonts w:ascii="Arial" w:hAnsi="Arial" w:cs="Arial"/>
          <w:sz w:val="22"/>
          <w:szCs w:val="22"/>
        </w:rPr>
      </w:pPr>
    </w:p>
    <w:p w:rsidR="00595B6C" w:rsidRPr="00604209" w:rsidRDefault="00967F9F" w:rsidP="002755D0">
      <w:pPr>
        <w:autoSpaceDE w:val="0"/>
        <w:autoSpaceDN w:val="0"/>
        <w:adjustRightInd w:val="0"/>
        <w:contextualSpacing/>
        <w:rPr>
          <w:rFonts w:ascii="Arial" w:hAnsi="Arial" w:cs="Arial"/>
          <w:sz w:val="22"/>
          <w:szCs w:val="22"/>
        </w:rPr>
      </w:pPr>
      <w:r>
        <w:rPr>
          <w:rFonts w:ascii="Arial" w:hAnsi="Arial" w:cs="Arial"/>
          <w:sz w:val="22"/>
          <w:szCs w:val="22"/>
        </w:rPr>
        <w:t>We believe that</w:t>
      </w:r>
      <w:r w:rsidR="00595B6C" w:rsidRPr="00604209">
        <w:rPr>
          <w:rFonts w:ascii="Arial" w:hAnsi="Arial" w:cs="Arial"/>
          <w:sz w:val="22"/>
          <w:szCs w:val="22"/>
        </w:rPr>
        <w:t xml:space="preserve"> a more frequent reset period, </w:t>
      </w:r>
      <w:r w:rsidR="009B5954">
        <w:rPr>
          <w:rFonts w:ascii="Arial" w:hAnsi="Arial" w:cs="Arial"/>
          <w:sz w:val="22"/>
          <w:szCs w:val="22"/>
        </w:rPr>
        <w:t>in conjunction with</w:t>
      </w:r>
      <w:r w:rsidR="00595B6C" w:rsidRPr="00604209">
        <w:rPr>
          <w:rFonts w:ascii="Arial" w:hAnsi="Arial" w:cs="Arial"/>
          <w:sz w:val="22"/>
          <w:szCs w:val="22"/>
        </w:rPr>
        <w:t xml:space="preserve"> other initiatives, will address the concerns currently arising from the ‘drift’ in interchange fees between the three yearly reset periods.  </w:t>
      </w:r>
      <w:r w:rsidR="009B5954">
        <w:rPr>
          <w:rFonts w:ascii="Arial" w:hAnsi="Arial" w:cs="Arial"/>
          <w:sz w:val="22"/>
          <w:szCs w:val="22"/>
        </w:rPr>
        <w:t>A</w:t>
      </w:r>
      <w:r w:rsidR="003E25FD">
        <w:rPr>
          <w:rFonts w:ascii="Arial" w:hAnsi="Arial" w:cs="Arial"/>
          <w:sz w:val="22"/>
          <w:szCs w:val="22"/>
        </w:rPr>
        <w:t>n appropriate</w:t>
      </w:r>
      <w:r w:rsidR="007B5D21">
        <w:rPr>
          <w:rFonts w:ascii="Arial" w:hAnsi="Arial" w:cs="Arial"/>
          <w:sz w:val="22"/>
          <w:szCs w:val="22"/>
        </w:rPr>
        <w:t xml:space="preserve"> “</w:t>
      </w:r>
      <w:r w:rsidR="00595B6C" w:rsidRPr="00604209">
        <w:rPr>
          <w:rFonts w:ascii="Arial" w:hAnsi="Arial" w:cs="Arial"/>
          <w:sz w:val="22"/>
          <w:szCs w:val="22"/>
        </w:rPr>
        <w:t>cap and collar approach</w:t>
      </w:r>
      <w:r w:rsidR="007B5D21">
        <w:rPr>
          <w:rFonts w:ascii="Arial" w:hAnsi="Arial" w:cs="Arial"/>
          <w:sz w:val="22"/>
          <w:szCs w:val="22"/>
        </w:rPr>
        <w:t>” – discussed further below</w:t>
      </w:r>
      <w:r w:rsidR="00CF5566">
        <w:rPr>
          <w:rFonts w:ascii="Arial" w:hAnsi="Arial" w:cs="Arial"/>
          <w:sz w:val="22"/>
          <w:szCs w:val="22"/>
        </w:rPr>
        <w:t xml:space="preserve"> </w:t>
      </w:r>
      <w:r w:rsidR="009B5954">
        <w:rPr>
          <w:rFonts w:ascii="Arial" w:hAnsi="Arial" w:cs="Arial"/>
          <w:sz w:val="22"/>
          <w:szCs w:val="22"/>
        </w:rPr>
        <w:t>–</w:t>
      </w:r>
      <w:r w:rsidR="00595B6C" w:rsidRPr="00604209">
        <w:rPr>
          <w:rFonts w:ascii="Arial" w:hAnsi="Arial" w:cs="Arial"/>
          <w:sz w:val="22"/>
          <w:szCs w:val="22"/>
        </w:rPr>
        <w:t xml:space="preserve"> </w:t>
      </w:r>
      <w:r w:rsidR="00C877E6">
        <w:rPr>
          <w:rFonts w:ascii="Arial" w:hAnsi="Arial" w:cs="Arial"/>
          <w:sz w:val="22"/>
          <w:szCs w:val="22"/>
        </w:rPr>
        <w:t>combined with annual resets, would address ‘drift’</w:t>
      </w:r>
      <w:r w:rsidR="009B5954">
        <w:rPr>
          <w:rFonts w:ascii="Arial" w:hAnsi="Arial" w:cs="Arial"/>
          <w:sz w:val="22"/>
          <w:szCs w:val="22"/>
        </w:rPr>
        <w:t>, w</w:t>
      </w:r>
      <w:r w:rsidR="00595B6C" w:rsidRPr="00604209">
        <w:rPr>
          <w:rFonts w:ascii="Arial" w:hAnsi="Arial" w:cs="Arial"/>
          <w:sz w:val="22"/>
          <w:szCs w:val="22"/>
        </w:rPr>
        <w:t xml:space="preserve">hile still allowing </w:t>
      </w:r>
      <w:r w:rsidR="00C272BA" w:rsidRPr="00604209">
        <w:rPr>
          <w:rFonts w:ascii="Arial" w:hAnsi="Arial" w:cs="Arial"/>
          <w:sz w:val="22"/>
          <w:szCs w:val="22"/>
        </w:rPr>
        <w:t>competitive pressures, and innovation, to persist.</w:t>
      </w:r>
    </w:p>
    <w:p w:rsidR="00595B6C" w:rsidRPr="00604209" w:rsidRDefault="00595B6C" w:rsidP="002755D0">
      <w:pPr>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Lowering interchange caps. </w:t>
      </w:r>
    </w:p>
    <w:p w:rsidR="002755D0" w:rsidRPr="007B5D21" w:rsidRDefault="002755D0" w:rsidP="002755D0">
      <w:pPr>
        <w:autoSpaceDE w:val="0"/>
        <w:autoSpaceDN w:val="0"/>
        <w:adjustRightInd w:val="0"/>
        <w:contextualSpacing/>
        <w:rPr>
          <w:rFonts w:ascii="Arial" w:hAnsi="Arial" w:cs="Arial"/>
          <w:sz w:val="22"/>
          <w:szCs w:val="22"/>
        </w:rPr>
      </w:pPr>
    </w:p>
    <w:p w:rsidR="00F938B8" w:rsidRDefault="007B5D21" w:rsidP="002755D0">
      <w:pPr>
        <w:autoSpaceDE w:val="0"/>
        <w:autoSpaceDN w:val="0"/>
        <w:adjustRightInd w:val="0"/>
        <w:contextualSpacing/>
        <w:rPr>
          <w:rFonts w:ascii="Arial" w:hAnsi="Arial" w:cs="Arial"/>
          <w:sz w:val="22"/>
          <w:szCs w:val="22"/>
        </w:rPr>
      </w:pPr>
      <w:r>
        <w:rPr>
          <w:rFonts w:ascii="Arial" w:hAnsi="Arial" w:cs="Arial"/>
          <w:sz w:val="22"/>
          <w:szCs w:val="22"/>
        </w:rPr>
        <w:t xml:space="preserve">The </w:t>
      </w:r>
      <w:r w:rsidR="004D06C9">
        <w:rPr>
          <w:rFonts w:ascii="Arial" w:hAnsi="Arial" w:cs="Arial"/>
          <w:sz w:val="22"/>
          <w:szCs w:val="22"/>
        </w:rPr>
        <w:t>B</w:t>
      </w:r>
      <w:r>
        <w:rPr>
          <w:rFonts w:ascii="Arial" w:hAnsi="Arial" w:cs="Arial"/>
          <w:sz w:val="22"/>
          <w:szCs w:val="22"/>
        </w:rPr>
        <w:t xml:space="preserve">ank does not </w:t>
      </w:r>
      <w:r w:rsidR="00BD7160">
        <w:rPr>
          <w:rFonts w:ascii="Arial" w:hAnsi="Arial" w:cs="Arial"/>
          <w:sz w:val="22"/>
          <w:szCs w:val="22"/>
        </w:rPr>
        <w:t xml:space="preserve">accept </w:t>
      </w:r>
      <w:r>
        <w:rPr>
          <w:rFonts w:ascii="Arial" w:hAnsi="Arial" w:cs="Arial"/>
          <w:sz w:val="22"/>
          <w:szCs w:val="22"/>
        </w:rPr>
        <w:t xml:space="preserve">that there is any basis for the suggestion that interchange fees are currently too high.  We believe that the market has, in recent years, found equilibrium and </w:t>
      </w:r>
      <w:r w:rsidR="004D06C9">
        <w:rPr>
          <w:rFonts w:ascii="Arial" w:hAnsi="Arial" w:cs="Arial"/>
          <w:sz w:val="22"/>
          <w:szCs w:val="22"/>
        </w:rPr>
        <w:t>to move away from such a position will be disruptive for participants, with the consequences of such disruption falling disproportionately on cardholders.</w:t>
      </w:r>
    </w:p>
    <w:p w:rsidR="004D06C9" w:rsidRDefault="004D06C9" w:rsidP="002755D0">
      <w:pPr>
        <w:autoSpaceDE w:val="0"/>
        <w:autoSpaceDN w:val="0"/>
        <w:adjustRightInd w:val="0"/>
        <w:contextualSpacing/>
        <w:rPr>
          <w:rFonts w:ascii="Arial" w:hAnsi="Arial" w:cs="Arial"/>
          <w:sz w:val="22"/>
          <w:szCs w:val="22"/>
        </w:rPr>
      </w:pPr>
    </w:p>
    <w:p w:rsidR="004D06C9" w:rsidRDefault="004D06C9" w:rsidP="002755D0">
      <w:pPr>
        <w:autoSpaceDE w:val="0"/>
        <w:autoSpaceDN w:val="0"/>
        <w:adjustRightInd w:val="0"/>
        <w:contextualSpacing/>
        <w:rPr>
          <w:rFonts w:ascii="Arial" w:hAnsi="Arial" w:cs="Arial"/>
          <w:sz w:val="22"/>
          <w:szCs w:val="22"/>
        </w:rPr>
      </w:pPr>
      <w:r>
        <w:rPr>
          <w:rFonts w:ascii="Arial" w:hAnsi="Arial" w:cs="Arial"/>
          <w:sz w:val="22"/>
          <w:szCs w:val="22"/>
        </w:rPr>
        <w:t>The expectation of lower product prices following a reduction in merchant cost of card acceptance does not, in our view, stand up to scrutiny.</w:t>
      </w:r>
    </w:p>
    <w:p w:rsidR="004D06C9" w:rsidRDefault="004D06C9" w:rsidP="002755D0">
      <w:pPr>
        <w:autoSpaceDE w:val="0"/>
        <w:autoSpaceDN w:val="0"/>
        <w:adjustRightInd w:val="0"/>
        <w:contextualSpacing/>
        <w:rPr>
          <w:rFonts w:ascii="Arial" w:hAnsi="Arial" w:cs="Arial"/>
          <w:sz w:val="22"/>
          <w:szCs w:val="22"/>
        </w:rPr>
      </w:pPr>
    </w:p>
    <w:p w:rsidR="004D06C9" w:rsidRPr="007B5D21" w:rsidRDefault="004D06C9" w:rsidP="002755D0">
      <w:pPr>
        <w:autoSpaceDE w:val="0"/>
        <w:autoSpaceDN w:val="0"/>
        <w:adjustRightInd w:val="0"/>
        <w:contextualSpacing/>
        <w:rPr>
          <w:rFonts w:ascii="Arial" w:hAnsi="Arial" w:cs="Arial"/>
          <w:sz w:val="22"/>
          <w:szCs w:val="22"/>
        </w:rPr>
      </w:pPr>
      <w:r>
        <w:rPr>
          <w:rFonts w:ascii="Arial" w:hAnsi="Arial" w:cs="Arial"/>
          <w:sz w:val="22"/>
          <w:szCs w:val="22"/>
        </w:rPr>
        <w:t>In our response to issue (3) above, we endorse the possibility of transitioning to an annual reset period (away from the current three year interval).  A practical implication of such a relatively minor change is to remove the incentive</w:t>
      </w:r>
      <w:r w:rsidR="00CF5566">
        <w:rPr>
          <w:rFonts w:ascii="Arial" w:hAnsi="Arial" w:cs="Arial"/>
          <w:sz w:val="22"/>
          <w:szCs w:val="22"/>
        </w:rPr>
        <w:t xml:space="preserve"> and ability</w:t>
      </w:r>
      <w:r>
        <w:rPr>
          <w:rFonts w:ascii="Arial" w:hAnsi="Arial" w:cs="Arial"/>
          <w:sz w:val="22"/>
          <w:szCs w:val="22"/>
        </w:rPr>
        <w:t xml:space="preserve"> for </w:t>
      </w:r>
      <w:r w:rsidR="00C877E6">
        <w:rPr>
          <w:rFonts w:ascii="Arial" w:hAnsi="Arial" w:cs="Arial"/>
          <w:sz w:val="22"/>
          <w:szCs w:val="22"/>
        </w:rPr>
        <w:t>issuers to exploit</w:t>
      </w:r>
      <w:r>
        <w:rPr>
          <w:rFonts w:ascii="Arial" w:hAnsi="Arial" w:cs="Arial"/>
          <w:sz w:val="22"/>
          <w:szCs w:val="22"/>
        </w:rPr>
        <w:t xml:space="preserve"> the opportunity for </w:t>
      </w:r>
      <w:r w:rsidR="00C877E6">
        <w:rPr>
          <w:rFonts w:ascii="Arial" w:hAnsi="Arial" w:cs="Arial"/>
          <w:sz w:val="22"/>
          <w:szCs w:val="22"/>
        </w:rPr>
        <w:t>‘</w:t>
      </w:r>
      <w:r>
        <w:rPr>
          <w:rFonts w:ascii="Arial" w:hAnsi="Arial" w:cs="Arial"/>
          <w:sz w:val="22"/>
          <w:szCs w:val="22"/>
        </w:rPr>
        <w:t>drift</w:t>
      </w:r>
      <w:r w:rsidR="00C877E6">
        <w:rPr>
          <w:rFonts w:ascii="Arial" w:hAnsi="Arial" w:cs="Arial"/>
          <w:sz w:val="22"/>
          <w:szCs w:val="22"/>
        </w:rPr>
        <w:t>’</w:t>
      </w:r>
      <w:r>
        <w:rPr>
          <w:rFonts w:ascii="Arial" w:hAnsi="Arial" w:cs="Arial"/>
          <w:sz w:val="22"/>
          <w:szCs w:val="22"/>
        </w:rPr>
        <w:t xml:space="preserve"> – effectively introducing </w:t>
      </w:r>
      <w:r w:rsidR="00967F9F">
        <w:rPr>
          <w:rFonts w:ascii="Arial" w:hAnsi="Arial" w:cs="Arial"/>
          <w:sz w:val="22"/>
          <w:szCs w:val="22"/>
        </w:rPr>
        <w:t>considerable</w:t>
      </w:r>
      <w:r w:rsidR="00A40C6B">
        <w:rPr>
          <w:rFonts w:ascii="Arial" w:hAnsi="Arial" w:cs="Arial"/>
          <w:sz w:val="22"/>
          <w:szCs w:val="22"/>
        </w:rPr>
        <w:t xml:space="preserve"> </w:t>
      </w:r>
      <w:r>
        <w:rPr>
          <w:rFonts w:ascii="Arial" w:hAnsi="Arial" w:cs="Arial"/>
          <w:sz w:val="22"/>
          <w:szCs w:val="22"/>
        </w:rPr>
        <w:t xml:space="preserve">downward pressure on </w:t>
      </w:r>
      <w:r w:rsidR="00A86132">
        <w:rPr>
          <w:rFonts w:ascii="Arial" w:hAnsi="Arial" w:cs="Arial"/>
          <w:sz w:val="22"/>
          <w:szCs w:val="22"/>
        </w:rPr>
        <w:t xml:space="preserve">each Scheme’s weighted average </w:t>
      </w:r>
      <w:r>
        <w:rPr>
          <w:rFonts w:ascii="Arial" w:hAnsi="Arial" w:cs="Arial"/>
          <w:sz w:val="22"/>
          <w:szCs w:val="22"/>
        </w:rPr>
        <w:t xml:space="preserve">interchange fees.  In conjunction with the “cap and collar approach” discussed below, this removes the </w:t>
      </w:r>
      <w:r w:rsidR="009B5954">
        <w:rPr>
          <w:rFonts w:ascii="Arial" w:hAnsi="Arial" w:cs="Arial"/>
          <w:sz w:val="22"/>
          <w:szCs w:val="22"/>
        </w:rPr>
        <w:t>need</w:t>
      </w:r>
      <w:r>
        <w:rPr>
          <w:rFonts w:ascii="Arial" w:hAnsi="Arial" w:cs="Arial"/>
          <w:sz w:val="22"/>
          <w:szCs w:val="22"/>
        </w:rPr>
        <w:t xml:space="preserve"> for a blunt, and draconian, reduction in current caps.</w:t>
      </w:r>
    </w:p>
    <w:p w:rsidR="00F938B8" w:rsidRPr="007B5D21" w:rsidRDefault="00F938B8" w:rsidP="002755D0">
      <w:pPr>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bCs/>
          <w:color w:val="4F81BD" w:themeColor="accent1"/>
        </w:rPr>
      </w:pPr>
      <w:r w:rsidRPr="00A34470">
        <w:rPr>
          <w:rFonts w:ascii="Arial" w:hAnsi="Arial" w:cs="Arial"/>
          <w:b/>
          <w:bCs/>
          <w:color w:val="4F81BD" w:themeColor="accent1"/>
        </w:rPr>
        <w:t xml:space="preserve">Replacing weighted-average interchange caps with hard caps. </w:t>
      </w:r>
    </w:p>
    <w:p w:rsidR="002755D0" w:rsidRPr="004D06C9" w:rsidRDefault="002755D0" w:rsidP="002755D0">
      <w:pPr>
        <w:autoSpaceDE w:val="0"/>
        <w:autoSpaceDN w:val="0"/>
        <w:adjustRightInd w:val="0"/>
        <w:contextualSpacing/>
        <w:rPr>
          <w:rFonts w:ascii="Arial" w:hAnsi="Arial" w:cs="Arial"/>
          <w:bCs/>
          <w:sz w:val="22"/>
          <w:szCs w:val="22"/>
        </w:rPr>
      </w:pPr>
    </w:p>
    <w:p w:rsidR="00F938B8" w:rsidRDefault="004D06C9" w:rsidP="002755D0">
      <w:pPr>
        <w:autoSpaceDE w:val="0"/>
        <w:autoSpaceDN w:val="0"/>
        <w:adjustRightInd w:val="0"/>
        <w:contextualSpacing/>
        <w:rPr>
          <w:rFonts w:ascii="Arial" w:hAnsi="Arial" w:cs="Arial"/>
          <w:bCs/>
          <w:sz w:val="22"/>
          <w:szCs w:val="22"/>
        </w:rPr>
      </w:pPr>
      <w:r>
        <w:rPr>
          <w:rFonts w:ascii="Arial" w:hAnsi="Arial" w:cs="Arial"/>
          <w:bCs/>
          <w:sz w:val="22"/>
          <w:szCs w:val="22"/>
        </w:rPr>
        <w:t>Complementing the above discussion, we encourage the RBA to further explore the introduction of “caps and collars”.  We would envisage separate caps and collars for credit card interchange fees, and debit card interchange fees, based around the current weighted average rates.  To be more specific, we suggest consideration of a model</w:t>
      </w:r>
      <w:r w:rsidR="00C31B67">
        <w:rPr>
          <w:rFonts w:ascii="Arial" w:hAnsi="Arial" w:cs="Arial"/>
          <w:bCs/>
          <w:sz w:val="22"/>
          <w:szCs w:val="22"/>
        </w:rPr>
        <w:t xml:space="preserve"> involving:</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 xml:space="preserve">Retain current weighted average interchange </w:t>
      </w:r>
      <w:r w:rsidR="00A86132">
        <w:rPr>
          <w:rFonts w:ascii="Arial" w:hAnsi="Arial" w:cs="Arial"/>
          <w:bCs/>
        </w:rPr>
        <w:t>caps</w:t>
      </w:r>
      <w:r>
        <w:rPr>
          <w:rFonts w:ascii="Arial" w:hAnsi="Arial" w:cs="Arial"/>
          <w:bCs/>
        </w:rPr>
        <w:t xml:space="preserve"> to apply separately for credit card and debit card interchange fees</w:t>
      </w:r>
      <w:r w:rsidR="008F12DC">
        <w:rPr>
          <w:rFonts w:ascii="Arial" w:hAnsi="Arial" w:cs="Arial"/>
          <w:bCs/>
        </w:rPr>
        <w:t>.</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 xml:space="preserve">Introduction of a “cap and a collar” (separately for both debit and credit products) </w:t>
      </w:r>
      <w:r w:rsidR="00C877E6">
        <w:rPr>
          <w:rFonts w:ascii="Arial" w:hAnsi="Arial" w:cs="Arial"/>
          <w:bCs/>
        </w:rPr>
        <w:t xml:space="preserve">either side of the weighted average cap.  Setting an interchange rate </w:t>
      </w:r>
      <w:r>
        <w:rPr>
          <w:rFonts w:ascii="Arial" w:hAnsi="Arial" w:cs="Arial"/>
          <w:bCs/>
        </w:rPr>
        <w:t>above</w:t>
      </w:r>
      <w:r w:rsidR="00C877E6">
        <w:rPr>
          <w:rFonts w:ascii="Arial" w:hAnsi="Arial" w:cs="Arial"/>
          <w:bCs/>
        </w:rPr>
        <w:t xml:space="preserve"> the </w:t>
      </w:r>
      <w:r w:rsidR="00A86132">
        <w:rPr>
          <w:rFonts w:ascii="Arial" w:hAnsi="Arial" w:cs="Arial"/>
          <w:bCs/>
        </w:rPr>
        <w:t xml:space="preserve">hard </w:t>
      </w:r>
      <w:r w:rsidR="00C877E6">
        <w:rPr>
          <w:rFonts w:ascii="Arial" w:hAnsi="Arial" w:cs="Arial"/>
          <w:bCs/>
        </w:rPr>
        <w:t>cap</w:t>
      </w:r>
      <w:r>
        <w:rPr>
          <w:rFonts w:ascii="Arial" w:hAnsi="Arial" w:cs="Arial"/>
          <w:bCs/>
        </w:rPr>
        <w:t xml:space="preserve">, </w:t>
      </w:r>
      <w:r w:rsidR="00C877E6">
        <w:rPr>
          <w:rFonts w:ascii="Arial" w:hAnsi="Arial" w:cs="Arial"/>
          <w:bCs/>
        </w:rPr>
        <w:t>or</w:t>
      </w:r>
      <w:r>
        <w:rPr>
          <w:rFonts w:ascii="Arial" w:hAnsi="Arial" w:cs="Arial"/>
          <w:bCs/>
        </w:rPr>
        <w:t xml:space="preserve"> below</w:t>
      </w:r>
      <w:r w:rsidR="00C877E6">
        <w:rPr>
          <w:rFonts w:ascii="Arial" w:hAnsi="Arial" w:cs="Arial"/>
          <w:bCs/>
        </w:rPr>
        <w:t xml:space="preserve"> the </w:t>
      </w:r>
      <w:r w:rsidR="00A86132">
        <w:rPr>
          <w:rFonts w:ascii="Arial" w:hAnsi="Arial" w:cs="Arial"/>
          <w:bCs/>
        </w:rPr>
        <w:t xml:space="preserve">hard </w:t>
      </w:r>
      <w:r w:rsidR="00C877E6">
        <w:rPr>
          <w:rFonts w:ascii="Arial" w:hAnsi="Arial" w:cs="Arial"/>
          <w:bCs/>
        </w:rPr>
        <w:t xml:space="preserve">collar, would not be permitted. </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 xml:space="preserve">This would have the effect of moving interchange fees to </w:t>
      </w:r>
      <w:r w:rsidR="00A86132">
        <w:rPr>
          <w:rFonts w:ascii="Arial" w:hAnsi="Arial" w:cs="Arial"/>
          <w:bCs/>
        </w:rPr>
        <w:t xml:space="preserve">within </w:t>
      </w:r>
      <w:r>
        <w:rPr>
          <w:rFonts w:ascii="Arial" w:hAnsi="Arial" w:cs="Arial"/>
          <w:bCs/>
        </w:rPr>
        <w:t>a band around the current weighted average.</w:t>
      </w:r>
      <w:r w:rsidR="00CF5566">
        <w:rPr>
          <w:rFonts w:ascii="Arial" w:hAnsi="Arial" w:cs="Arial"/>
          <w:bCs/>
        </w:rPr>
        <w:t xml:space="preserve">  Such a band should be narrow eno</w:t>
      </w:r>
      <w:r w:rsidR="005635EB">
        <w:rPr>
          <w:rFonts w:ascii="Arial" w:hAnsi="Arial" w:cs="Arial"/>
          <w:bCs/>
        </w:rPr>
        <w:t>ugh to address concerns around ‘</w:t>
      </w:r>
      <w:r w:rsidR="00CF5566">
        <w:rPr>
          <w:rFonts w:ascii="Arial" w:hAnsi="Arial" w:cs="Arial"/>
          <w:bCs/>
        </w:rPr>
        <w:t>drift</w:t>
      </w:r>
      <w:r w:rsidR="005635EB">
        <w:rPr>
          <w:rFonts w:ascii="Arial" w:hAnsi="Arial" w:cs="Arial"/>
          <w:bCs/>
        </w:rPr>
        <w:t>’</w:t>
      </w:r>
      <w:r w:rsidR="00CF5566">
        <w:rPr>
          <w:rFonts w:ascii="Arial" w:hAnsi="Arial" w:cs="Arial"/>
          <w:bCs/>
        </w:rPr>
        <w:t xml:space="preserve"> and cross subsidisation, while also being broad enough to encourage issuer innovation, differentiation and competition.</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We would support retention of the current preferential rate applied to Charity transactions as an “exception” to this model.</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For clarity, we would see this applying to “cash out” debit transactions (against which a “negative” interchange fee is currently applied).</w:t>
      </w:r>
      <w:r w:rsidR="00CF5566">
        <w:rPr>
          <w:rFonts w:ascii="Arial" w:hAnsi="Arial" w:cs="Arial"/>
          <w:bCs/>
        </w:rPr>
        <w:t xml:space="preserve">  This should be re-aligned to a positive number within the “cap and collar”.</w:t>
      </w:r>
    </w:p>
    <w:p w:rsidR="00F21D5B" w:rsidRDefault="00F21D5B"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 xml:space="preserve">We do, however, suggest that Commercial, or Corporate, cards (both credit and debit) should be removed from this </w:t>
      </w:r>
      <w:r w:rsidR="00053F5F">
        <w:rPr>
          <w:rFonts w:ascii="Arial" w:hAnsi="Arial" w:cs="Arial"/>
          <w:bCs/>
        </w:rPr>
        <w:t xml:space="preserve">regulated </w:t>
      </w:r>
      <w:r>
        <w:rPr>
          <w:rFonts w:ascii="Arial" w:hAnsi="Arial" w:cs="Arial"/>
          <w:bCs/>
        </w:rPr>
        <w:t>regime given their fundamentally different nature when compared to consumer cards.  (Commercial cards invariably “transact” rather than “revolve”</w:t>
      </w:r>
      <w:r w:rsidR="002F02BB">
        <w:rPr>
          <w:rFonts w:ascii="Arial" w:hAnsi="Arial" w:cs="Arial"/>
          <w:bCs/>
        </w:rPr>
        <w:t>, incur costs from customisation, and capturing and delivering enhanced data and management reports,</w:t>
      </w:r>
      <w:r>
        <w:rPr>
          <w:rFonts w:ascii="Arial" w:hAnsi="Arial" w:cs="Arial"/>
          <w:bCs/>
        </w:rPr>
        <w:t xml:space="preserve"> and deliver considerable working capital </w:t>
      </w:r>
      <w:r w:rsidR="003706B5">
        <w:rPr>
          <w:rFonts w:ascii="Arial" w:hAnsi="Arial" w:cs="Arial"/>
          <w:bCs/>
        </w:rPr>
        <w:t>and productivity</w:t>
      </w:r>
      <w:r w:rsidR="008F12DC">
        <w:rPr>
          <w:rFonts w:ascii="Arial" w:hAnsi="Arial" w:cs="Arial"/>
          <w:bCs/>
        </w:rPr>
        <w:t xml:space="preserve"> </w:t>
      </w:r>
      <w:r>
        <w:rPr>
          <w:rFonts w:ascii="Arial" w:hAnsi="Arial" w:cs="Arial"/>
          <w:bCs/>
        </w:rPr>
        <w:t>benefits to the em</w:t>
      </w:r>
      <w:r w:rsidR="00A40C6B">
        <w:rPr>
          <w:rFonts w:ascii="Arial" w:hAnsi="Arial" w:cs="Arial"/>
          <w:bCs/>
        </w:rPr>
        <w:t>ployer / sponsor organisation.)</w:t>
      </w:r>
    </w:p>
    <w:p w:rsidR="00053F5F" w:rsidRDefault="00053F5F"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Similarly, Commercial prepaid cards should, in our view, be exempt from regulation under interchange fee caps.  (Further below, we suggest that consumer prepaid cards should be treated the same as debit cards – refer Issue (7) below</w:t>
      </w:r>
      <w:r w:rsidR="00A40C6B">
        <w:rPr>
          <w:rFonts w:ascii="Arial" w:hAnsi="Arial" w:cs="Arial"/>
          <w:bCs/>
        </w:rPr>
        <w:t>.</w:t>
      </w:r>
      <w:r w:rsidR="00967F9F">
        <w:rPr>
          <w:rFonts w:ascii="Arial" w:hAnsi="Arial" w:cs="Arial"/>
          <w:bCs/>
        </w:rPr>
        <w:t>)</w:t>
      </w:r>
    </w:p>
    <w:p w:rsidR="00C31B67" w:rsidRDefault="00967F9F"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We also suggest</w:t>
      </w:r>
      <w:r w:rsidR="00C31B67">
        <w:rPr>
          <w:rFonts w:ascii="Arial" w:hAnsi="Arial" w:cs="Arial"/>
          <w:bCs/>
        </w:rPr>
        <w:t xml:space="preserve">, as discussed in (6) below </w:t>
      </w:r>
      <w:r>
        <w:rPr>
          <w:rFonts w:ascii="Arial" w:hAnsi="Arial" w:cs="Arial"/>
          <w:bCs/>
        </w:rPr>
        <w:t xml:space="preserve">that consideration be given </w:t>
      </w:r>
      <w:r w:rsidR="00C31B67">
        <w:rPr>
          <w:rFonts w:ascii="Arial" w:hAnsi="Arial" w:cs="Arial"/>
          <w:bCs/>
        </w:rPr>
        <w:t>to express</w:t>
      </w:r>
      <w:r>
        <w:rPr>
          <w:rFonts w:ascii="Arial" w:hAnsi="Arial" w:cs="Arial"/>
          <w:bCs/>
        </w:rPr>
        <w:t>ing</w:t>
      </w:r>
      <w:r w:rsidR="00C31B67">
        <w:rPr>
          <w:rFonts w:ascii="Arial" w:hAnsi="Arial" w:cs="Arial"/>
          <w:bCs/>
        </w:rPr>
        <w:t xml:space="preserve"> </w:t>
      </w:r>
      <w:r w:rsidR="00A40C6B">
        <w:rPr>
          <w:rFonts w:ascii="Arial" w:hAnsi="Arial" w:cs="Arial"/>
          <w:bCs/>
        </w:rPr>
        <w:t>both credit and debit card interchange fees</w:t>
      </w:r>
      <w:r w:rsidR="00C31B67">
        <w:rPr>
          <w:rFonts w:ascii="Arial" w:hAnsi="Arial" w:cs="Arial"/>
          <w:bCs/>
        </w:rPr>
        <w:t xml:space="preserve"> on an ad-valorem basis.</w:t>
      </w:r>
    </w:p>
    <w:p w:rsidR="00C31B67" w:rsidRDefault="00C31B67" w:rsidP="00C31B67">
      <w:pPr>
        <w:pStyle w:val="ListParagraph"/>
        <w:numPr>
          <w:ilvl w:val="0"/>
          <w:numId w:val="44"/>
        </w:numPr>
        <w:autoSpaceDE w:val="0"/>
        <w:autoSpaceDN w:val="0"/>
        <w:adjustRightInd w:val="0"/>
        <w:contextualSpacing/>
        <w:rPr>
          <w:rFonts w:ascii="Arial" w:hAnsi="Arial" w:cs="Arial"/>
          <w:bCs/>
        </w:rPr>
      </w:pPr>
      <w:r>
        <w:rPr>
          <w:rFonts w:ascii="Arial" w:hAnsi="Arial" w:cs="Arial"/>
          <w:bCs/>
        </w:rPr>
        <w:t>Combined with more frequent reset periods, we believe that such a model would address the vast majority of concerns expressed in the RBA Issue paper.</w:t>
      </w:r>
    </w:p>
    <w:p w:rsidR="00F21D5B" w:rsidRDefault="00F21D5B" w:rsidP="00F21D5B">
      <w:pPr>
        <w:autoSpaceDE w:val="0"/>
        <w:autoSpaceDN w:val="0"/>
        <w:adjustRightInd w:val="0"/>
        <w:contextualSpacing/>
        <w:rPr>
          <w:rFonts w:ascii="Arial" w:hAnsi="Arial" w:cs="Arial"/>
          <w:bCs/>
          <w:sz w:val="22"/>
          <w:szCs w:val="22"/>
        </w:rPr>
      </w:pPr>
    </w:p>
    <w:p w:rsidR="00E8349A" w:rsidRDefault="00E8349A" w:rsidP="00F21D5B">
      <w:pPr>
        <w:autoSpaceDE w:val="0"/>
        <w:autoSpaceDN w:val="0"/>
        <w:adjustRightInd w:val="0"/>
        <w:contextualSpacing/>
        <w:rPr>
          <w:rFonts w:ascii="Arial" w:hAnsi="Arial" w:cs="Arial"/>
          <w:bCs/>
          <w:sz w:val="22"/>
          <w:szCs w:val="22"/>
        </w:rPr>
      </w:pPr>
      <w:r>
        <w:rPr>
          <w:rFonts w:ascii="Arial" w:hAnsi="Arial" w:cs="Arial"/>
          <w:bCs/>
          <w:sz w:val="22"/>
          <w:szCs w:val="22"/>
        </w:rPr>
        <w:t xml:space="preserve">A </w:t>
      </w:r>
      <w:r w:rsidR="00CF5566">
        <w:rPr>
          <w:rFonts w:ascii="Arial" w:hAnsi="Arial" w:cs="Arial"/>
          <w:bCs/>
          <w:sz w:val="22"/>
          <w:szCs w:val="22"/>
        </w:rPr>
        <w:t xml:space="preserve">complementary </w:t>
      </w:r>
      <w:r>
        <w:rPr>
          <w:rFonts w:ascii="Arial" w:hAnsi="Arial" w:cs="Arial"/>
          <w:bCs/>
          <w:sz w:val="22"/>
          <w:szCs w:val="22"/>
        </w:rPr>
        <w:t>reduction in the number of interchange fee categories would further assist with this simplified approach.</w:t>
      </w:r>
    </w:p>
    <w:p w:rsidR="00E8349A" w:rsidRPr="00F21D5B" w:rsidRDefault="00E8349A" w:rsidP="00F21D5B">
      <w:pPr>
        <w:autoSpaceDE w:val="0"/>
        <w:autoSpaceDN w:val="0"/>
        <w:adjustRightInd w:val="0"/>
        <w:contextualSpacing/>
        <w:rPr>
          <w:rFonts w:ascii="Arial" w:hAnsi="Arial" w:cs="Arial"/>
          <w:bCs/>
          <w:sz w:val="22"/>
          <w:szCs w:val="22"/>
        </w:rPr>
      </w:pPr>
    </w:p>
    <w:p w:rsidR="00F21D5B" w:rsidRDefault="00F21D5B" w:rsidP="00F21D5B">
      <w:pPr>
        <w:autoSpaceDE w:val="0"/>
        <w:autoSpaceDN w:val="0"/>
        <w:adjustRightInd w:val="0"/>
        <w:contextualSpacing/>
        <w:rPr>
          <w:rFonts w:ascii="Arial" w:hAnsi="Arial" w:cs="Arial"/>
          <w:bCs/>
          <w:sz w:val="22"/>
          <w:szCs w:val="22"/>
        </w:rPr>
      </w:pPr>
      <w:r>
        <w:rPr>
          <w:rFonts w:ascii="Arial" w:hAnsi="Arial" w:cs="Arial"/>
          <w:bCs/>
          <w:sz w:val="22"/>
          <w:szCs w:val="22"/>
        </w:rPr>
        <w:t xml:space="preserve">The main challenge in such a model as this is, of course, striking the appropriate level of the respective cap and collar.  We would be happy to engage with the RBA in such an exercise but would anticipate a compression of Interchange Fees </w:t>
      </w:r>
      <w:r w:rsidR="00E8349A">
        <w:rPr>
          <w:rFonts w:ascii="Arial" w:hAnsi="Arial" w:cs="Arial"/>
          <w:bCs/>
          <w:sz w:val="22"/>
          <w:szCs w:val="22"/>
        </w:rPr>
        <w:t xml:space="preserve">(both in number and quantum) </w:t>
      </w:r>
      <w:r>
        <w:rPr>
          <w:rFonts w:ascii="Arial" w:hAnsi="Arial" w:cs="Arial"/>
          <w:bCs/>
          <w:sz w:val="22"/>
          <w:szCs w:val="22"/>
        </w:rPr>
        <w:t>from those which are presented on page 27 of the Issues Paper</w:t>
      </w:r>
      <w:r w:rsidR="002356F3">
        <w:rPr>
          <w:rStyle w:val="FootnoteReference"/>
          <w:rFonts w:ascii="Arial" w:hAnsi="Arial" w:cs="Arial"/>
          <w:bCs/>
          <w:sz w:val="22"/>
          <w:szCs w:val="22"/>
        </w:rPr>
        <w:footnoteReference w:id="2"/>
      </w:r>
      <w:r w:rsidR="002356F3">
        <w:rPr>
          <w:rFonts w:ascii="Arial" w:hAnsi="Arial" w:cs="Arial"/>
          <w:bCs/>
          <w:sz w:val="22"/>
          <w:szCs w:val="22"/>
        </w:rPr>
        <w:t>.</w:t>
      </w:r>
    </w:p>
    <w:p w:rsidR="002356F3" w:rsidRDefault="002356F3" w:rsidP="00F21D5B">
      <w:pPr>
        <w:autoSpaceDE w:val="0"/>
        <w:autoSpaceDN w:val="0"/>
        <w:adjustRightInd w:val="0"/>
        <w:contextualSpacing/>
        <w:rPr>
          <w:rFonts w:ascii="Arial" w:hAnsi="Arial" w:cs="Arial"/>
          <w:bCs/>
          <w:sz w:val="22"/>
          <w:szCs w:val="22"/>
        </w:rPr>
      </w:pPr>
    </w:p>
    <w:p w:rsidR="002356F3" w:rsidRPr="00F21D5B" w:rsidRDefault="002356F3" w:rsidP="00F21D5B">
      <w:pPr>
        <w:autoSpaceDE w:val="0"/>
        <w:autoSpaceDN w:val="0"/>
        <w:adjustRightInd w:val="0"/>
        <w:contextualSpacing/>
        <w:rPr>
          <w:rFonts w:ascii="Arial" w:hAnsi="Arial" w:cs="Arial"/>
          <w:bCs/>
          <w:sz w:val="22"/>
          <w:szCs w:val="22"/>
        </w:rPr>
      </w:pPr>
      <w:r>
        <w:rPr>
          <w:rFonts w:ascii="Arial" w:hAnsi="Arial" w:cs="Arial"/>
          <w:bCs/>
          <w:sz w:val="22"/>
          <w:szCs w:val="22"/>
        </w:rPr>
        <w:t xml:space="preserve">This model, in conjunction with reduced opportunity, or incentive, for </w:t>
      </w:r>
      <w:r w:rsidR="005635EB">
        <w:rPr>
          <w:rFonts w:ascii="Arial" w:hAnsi="Arial" w:cs="Arial"/>
          <w:bCs/>
          <w:sz w:val="22"/>
          <w:szCs w:val="22"/>
        </w:rPr>
        <w:t>‘</w:t>
      </w:r>
      <w:r>
        <w:rPr>
          <w:rFonts w:ascii="Arial" w:hAnsi="Arial" w:cs="Arial"/>
          <w:bCs/>
          <w:sz w:val="22"/>
          <w:szCs w:val="22"/>
        </w:rPr>
        <w:t>drift</w:t>
      </w:r>
      <w:r w:rsidR="005635EB">
        <w:rPr>
          <w:rFonts w:ascii="Arial" w:hAnsi="Arial" w:cs="Arial"/>
          <w:bCs/>
          <w:sz w:val="22"/>
          <w:szCs w:val="22"/>
        </w:rPr>
        <w:t>’</w:t>
      </w:r>
      <w:r>
        <w:rPr>
          <w:rFonts w:ascii="Arial" w:hAnsi="Arial" w:cs="Arial"/>
          <w:bCs/>
          <w:sz w:val="22"/>
          <w:szCs w:val="22"/>
        </w:rPr>
        <w:t xml:space="preserve"> is, we believe, a compelling proposition where incremental fine tuning can be implemented with less risk of market disruption than more quantum, or extreme, measures. </w:t>
      </w:r>
    </w:p>
    <w:p w:rsidR="00F938B8" w:rsidRPr="00F21D5B" w:rsidRDefault="00F938B8" w:rsidP="002755D0">
      <w:pPr>
        <w:autoSpaceDE w:val="0"/>
        <w:autoSpaceDN w:val="0"/>
        <w:adjustRightInd w:val="0"/>
        <w:contextualSpacing/>
        <w:rPr>
          <w:rFonts w:ascii="Arial" w:hAnsi="Arial" w:cs="Arial"/>
          <w:bCs/>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Applying caps as the lesser of a fixed amount and a fixed percentage of transaction values.    </w:t>
      </w:r>
    </w:p>
    <w:p w:rsidR="002755D0" w:rsidRPr="00604209" w:rsidRDefault="002755D0" w:rsidP="00F938B8">
      <w:pPr>
        <w:rPr>
          <w:rFonts w:ascii="Arial" w:hAnsi="Arial" w:cs="Arial"/>
          <w:sz w:val="22"/>
          <w:szCs w:val="22"/>
        </w:rPr>
      </w:pPr>
    </w:p>
    <w:p w:rsidR="00F938B8" w:rsidRDefault="00C272BA" w:rsidP="00F938B8">
      <w:pPr>
        <w:rPr>
          <w:rFonts w:ascii="Arial" w:hAnsi="Arial" w:cs="Arial"/>
          <w:sz w:val="22"/>
          <w:szCs w:val="22"/>
        </w:rPr>
      </w:pPr>
      <w:r w:rsidRPr="00C272BA">
        <w:rPr>
          <w:rFonts w:ascii="Arial" w:hAnsi="Arial" w:cs="Arial"/>
          <w:sz w:val="22"/>
          <w:szCs w:val="22"/>
        </w:rPr>
        <w:t xml:space="preserve">The Bank does not support the setting of </w:t>
      </w:r>
      <w:r>
        <w:rPr>
          <w:rFonts w:ascii="Arial" w:hAnsi="Arial" w:cs="Arial"/>
          <w:sz w:val="22"/>
          <w:szCs w:val="22"/>
        </w:rPr>
        <w:t>interchange fees as</w:t>
      </w:r>
      <w:r w:rsidR="007B5D21">
        <w:rPr>
          <w:rFonts w:ascii="Arial" w:hAnsi="Arial" w:cs="Arial"/>
          <w:sz w:val="22"/>
          <w:szCs w:val="22"/>
        </w:rPr>
        <w:t xml:space="preserve"> the lesser of</w:t>
      </w:r>
      <w:r>
        <w:rPr>
          <w:rFonts w:ascii="Arial" w:hAnsi="Arial" w:cs="Arial"/>
          <w:sz w:val="22"/>
          <w:szCs w:val="22"/>
        </w:rPr>
        <w:t xml:space="preserve"> </w:t>
      </w:r>
      <w:r w:rsidRPr="00C272BA">
        <w:rPr>
          <w:rFonts w:ascii="Arial" w:hAnsi="Arial" w:cs="Arial"/>
          <w:i/>
          <w:sz w:val="22"/>
          <w:szCs w:val="22"/>
        </w:rPr>
        <w:t>either</w:t>
      </w:r>
      <w:r>
        <w:rPr>
          <w:rFonts w:ascii="Arial" w:hAnsi="Arial" w:cs="Arial"/>
          <w:sz w:val="22"/>
          <w:szCs w:val="22"/>
        </w:rPr>
        <w:t xml:space="preserve"> a flat fee </w:t>
      </w:r>
      <w:r w:rsidRPr="00C272BA">
        <w:rPr>
          <w:rFonts w:ascii="Arial" w:hAnsi="Arial" w:cs="Arial"/>
          <w:i/>
          <w:sz w:val="22"/>
          <w:szCs w:val="22"/>
        </w:rPr>
        <w:t>or</w:t>
      </w:r>
      <w:r>
        <w:rPr>
          <w:rFonts w:ascii="Arial" w:hAnsi="Arial" w:cs="Arial"/>
          <w:sz w:val="22"/>
          <w:szCs w:val="22"/>
        </w:rPr>
        <w:t xml:space="preserve"> an ad-valorem fee.  We </w:t>
      </w:r>
      <w:r w:rsidR="00BD7160">
        <w:rPr>
          <w:rFonts w:ascii="Arial" w:hAnsi="Arial" w:cs="Arial"/>
          <w:sz w:val="22"/>
          <w:szCs w:val="22"/>
        </w:rPr>
        <w:t xml:space="preserve">think </w:t>
      </w:r>
      <w:r>
        <w:rPr>
          <w:rFonts w:ascii="Arial" w:hAnsi="Arial" w:cs="Arial"/>
          <w:sz w:val="22"/>
          <w:szCs w:val="22"/>
        </w:rPr>
        <w:t xml:space="preserve">that such a model would be confusing for merchants, and confusing for cardholders in the event that surcharging were to be permitted (see below).  This model would also be difficult for an acquirer to implement – necessitating a sizeable lead time </w:t>
      </w:r>
      <w:r w:rsidR="00604209">
        <w:rPr>
          <w:rFonts w:ascii="Arial" w:hAnsi="Arial" w:cs="Arial"/>
          <w:sz w:val="22"/>
          <w:szCs w:val="22"/>
        </w:rPr>
        <w:t>(as foreshadowed in the Issues Paper</w:t>
      </w:r>
      <w:r w:rsidR="00CF5566">
        <w:rPr>
          <w:rFonts w:ascii="Arial" w:hAnsi="Arial" w:cs="Arial"/>
          <w:sz w:val="22"/>
          <w:szCs w:val="22"/>
        </w:rPr>
        <w:t>)</w:t>
      </w:r>
      <w:r w:rsidR="00604209">
        <w:rPr>
          <w:rFonts w:ascii="Arial" w:hAnsi="Arial" w:cs="Arial"/>
          <w:sz w:val="22"/>
          <w:szCs w:val="22"/>
        </w:rPr>
        <w:t xml:space="preserve"> </w:t>
      </w:r>
      <w:r>
        <w:rPr>
          <w:rFonts w:ascii="Arial" w:hAnsi="Arial" w:cs="Arial"/>
          <w:sz w:val="22"/>
          <w:szCs w:val="22"/>
        </w:rPr>
        <w:t>and involving considerable expense.</w:t>
      </w:r>
    </w:p>
    <w:p w:rsidR="00C272BA" w:rsidRDefault="00C272BA" w:rsidP="00F938B8">
      <w:pPr>
        <w:rPr>
          <w:rFonts w:ascii="Arial" w:hAnsi="Arial" w:cs="Arial"/>
          <w:sz w:val="22"/>
          <w:szCs w:val="22"/>
        </w:rPr>
      </w:pPr>
    </w:p>
    <w:p w:rsidR="00C272BA" w:rsidRDefault="00C272BA" w:rsidP="00F938B8">
      <w:pPr>
        <w:rPr>
          <w:rFonts w:ascii="Arial" w:hAnsi="Arial" w:cs="Arial"/>
          <w:sz w:val="22"/>
          <w:szCs w:val="22"/>
        </w:rPr>
      </w:pPr>
      <w:r>
        <w:rPr>
          <w:rFonts w:ascii="Arial" w:hAnsi="Arial" w:cs="Arial"/>
          <w:sz w:val="22"/>
          <w:szCs w:val="22"/>
        </w:rPr>
        <w:t xml:space="preserve">It is important to note that a number of the costs that are traditionally re-couped by way of </w:t>
      </w:r>
      <w:r w:rsidR="00A610D6">
        <w:rPr>
          <w:rFonts w:ascii="Arial" w:hAnsi="Arial" w:cs="Arial"/>
          <w:sz w:val="22"/>
          <w:szCs w:val="22"/>
        </w:rPr>
        <w:t xml:space="preserve">credit card </w:t>
      </w:r>
      <w:r>
        <w:rPr>
          <w:rFonts w:ascii="Arial" w:hAnsi="Arial" w:cs="Arial"/>
          <w:sz w:val="22"/>
          <w:szCs w:val="22"/>
        </w:rPr>
        <w:t>interchange fees vary according to the size of the transaction.  Thus, ad-valorem recovery, rather than flat cents per transaction, is appropriate.  Such cost categories include issuer costs in respect of fraud, issuer costs incurred in funding the interest free period on credit card transactions, and cost of capital.</w:t>
      </w:r>
    </w:p>
    <w:p w:rsidR="00C272BA" w:rsidRDefault="00C272BA" w:rsidP="00F938B8">
      <w:pPr>
        <w:rPr>
          <w:rFonts w:ascii="Arial" w:hAnsi="Arial" w:cs="Arial"/>
          <w:sz w:val="22"/>
          <w:szCs w:val="22"/>
        </w:rPr>
      </w:pPr>
    </w:p>
    <w:p w:rsidR="00C272BA" w:rsidRPr="00C272BA" w:rsidRDefault="00C272BA" w:rsidP="00F938B8">
      <w:pPr>
        <w:rPr>
          <w:rFonts w:ascii="Arial" w:hAnsi="Arial" w:cs="Arial"/>
          <w:sz w:val="22"/>
          <w:szCs w:val="22"/>
        </w:rPr>
      </w:pPr>
      <w:r>
        <w:rPr>
          <w:rFonts w:ascii="Arial" w:hAnsi="Arial" w:cs="Arial"/>
          <w:sz w:val="22"/>
          <w:szCs w:val="22"/>
        </w:rPr>
        <w:t xml:space="preserve">The Reserve Bank may wish to give consideration to transitioning all interchange fees to an ad-valorem approach, in lieu of the proposed </w:t>
      </w:r>
      <w:r w:rsidR="00604209">
        <w:rPr>
          <w:rFonts w:ascii="Arial" w:hAnsi="Arial" w:cs="Arial"/>
          <w:sz w:val="22"/>
          <w:szCs w:val="22"/>
        </w:rPr>
        <w:t>“lesser of” approach.</w:t>
      </w:r>
      <w:r w:rsidR="00A40C6B">
        <w:rPr>
          <w:rFonts w:ascii="Arial" w:hAnsi="Arial" w:cs="Arial"/>
          <w:sz w:val="22"/>
          <w:szCs w:val="22"/>
        </w:rPr>
        <w:t xml:space="preserve">  This would, we believe</w:t>
      </w:r>
      <w:r w:rsidR="00BD7160">
        <w:rPr>
          <w:rFonts w:ascii="Arial" w:hAnsi="Arial" w:cs="Arial"/>
          <w:sz w:val="22"/>
          <w:szCs w:val="22"/>
        </w:rPr>
        <w:t>,</w:t>
      </w:r>
      <w:r w:rsidR="00A40C6B">
        <w:rPr>
          <w:rFonts w:ascii="Arial" w:hAnsi="Arial" w:cs="Arial"/>
          <w:sz w:val="22"/>
          <w:szCs w:val="22"/>
        </w:rPr>
        <w:t xml:space="preserve"> assist in the acceptance of low value card transactions.</w:t>
      </w:r>
      <w:r w:rsidR="00757109">
        <w:rPr>
          <w:rFonts w:ascii="Arial" w:hAnsi="Arial" w:cs="Arial"/>
          <w:sz w:val="22"/>
          <w:szCs w:val="22"/>
        </w:rPr>
        <w:t xml:space="preserve">  An appropriate transition period would likely be necessary under such a</w:t>
      </w:r>
      <w:r w:rsidR="008F12DC">
        <w:rPr>
          <w:rFonts w:ascii="Arial" w:hAnsi="Arial" w:cs="Arial"/>
          <w:sz w:val="22"/>
          <w:szCs w:val="22"/>
        </w:rPr>
        <w:t>n</w:t>
      </w:r>
      <w:r w:rsidR="00757109">
        <w:rPr>
          <w:rFonts w:ascii="Arial" w:hAnsi="Arial" w:cs="Arial"/>
          <w:sz w:val="22"/>
          <w:szCs w:val="22"/>
        </w:rPr>
        <w:t xml:space="preserve"> approach.</w:t>
      </w:r>
    </w:p>
    <w:p w:rsidR="002755D0" w:rsidRPr="00604209" w:rsidRDefault="002755D0" w:rsidP="002755D0">
      <w:pPr>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Including prepaid cards within the caps for debit cards. </w:t>
      </w:r>
    </w:p>
    <w:p w:rsidR="002755D0" w:rsidRPr="00604209" w:rsidRDefault="002755D0" w:rsidP="002755D0">
      <w:pPr>
        <w:autoSpaceDE w:val="0"/>
        <w:autoSpaceDN w:val="0"/>
        <w:adjustRightInd w:val="0"/>
        <w:contextualSpacing/>
        <w:rPr>
          <w:rFonts w:ascii="Arial" w:hAnsi="Arial" w:cs="Arial"/>
          <w:sz w:val="22"/>
          <w:szCs w:val="22"/>
        </w:rPr>
      </w:pPr>
    </w:p>
    <w:p w:rsidR="00F938B8" w:rsidRPr="00604209" w:rsidRDefault="00604209" w:rsidP="002755D0">
      <w:pPr>
        <w:autoSpaceDE w:val="0"/>
        <w:autoSpaceDN w:val="0"/>
        <w:adjustRightInd w:val="0"/>
        <w:contextualSpacing/>
        <w:rPr>
          <w:rFonts w:ascii="Arial" w:hAnsi="Arial" w:cs="Arial"/>
          <w:sz w:val="22"/>
          <w:szCs w:val="22"/>
        </w:rPr>
      </w:pPr>
      <w:r w:rsidRPr="00604209">
        <w:rPr>
          <w:rFonts w:ascii="Arial" w:hAnsi="Arial" w:cs="Arial"/>
          <w:sz w:val="22"/>
          <w:szCs w:val="22"/>
        </w:rPr>
        <w:t>The Bank has always been of the view that debit card regulation applied also to prepaid cards.  To the extent that clarification is required, and we are surprised that this may be the case, then confirmation of the existing approach may be beneficial.</w:t>
      </w:r>
    </w:p>
    <w:p w:rsidR="00F938B8" w:rsidRPr="00604209" w:rsidRDefault="00F938B8" w:rsidP="002755D0">
      <w:pPr>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39"/>
        </w:numPr>
        <w:autoSpaceDE w:val="0"/>
        <w:autoSpaceDN w:val="0"/>
        <w:adjustRightInd w:val="0"/>
        <w:ind w:left="714" w:hanging="357"/>
        <w:contextualSpacing/>
        <w:rPr>
          <w:rFonts w:ascii="Arial" w:hAnsi="Arial" w:cs="Arial"/>
          <w:b/>
          <w:bCs/>
          <w:color w:val="4F81BD" w:themeColor="accent1"/>
        </w:rPr>
      </w:pPr>
      <w:r w:rsidRPr="00A34470">
        <w:rPr>
          <w:rFonts w:ascii="Arial" w:hAnsi="Arial" w:cs="Arial"/>
          <w:b/>
          <w:bCs/>
          <w:color w:val="4F81BD" w:themeColor="accent1"/>
        </w:rPr>
        <w:t xml:space="preserve">Allowing for ‘buying groups’ for smaller merchants to group together …. </w:t>
      </w:r>
      <w:proofErr w:type="gramStart"/>
      <w:r w:rsidRPr="00A34470">
        <w:rPr>
          <w:rFonts w:ascii="Arial" w:hAnsi="Arial" w:cs="Arial"/>
          <w:b/>
          <w:bCs/>
          <w:color w:val="4F81BD" w:themeColor="accent1"/>
        </w:rPr>
        <w:t>to</w:t>
      </w:r>
      <w:proofErr w:type="gramEnd"/>
      <w:r w:rsidRPr="00A34470">
        <w:rPr>
          <w:rFonts w:ascii="Arial" w:hAnsi="Arial" w:cs="Arial"/>
          <w:b/>
          <w:bCs/>
          <w:color w:val="4F81BD" w:themeColor="accent1"/>
        </w:rPr>
        <w:t xml:space="preserve"> negotiate to receive the lower interchange rates that are accessible to larger merchants. </w:t>
      </w:r>
    </w:p>
    <w:p w:rsidR="002755D0" w:rsidRPr="00604209" w:rsidRDefault="002755D0" w:rsidP="002755D0">
      <w:pPr>
        <w:autoSpaceDE w:val="0"/>
        <w:autoSpaceDN w:val="0"/>
        <w:adjustRightInd w:val="0"/>
        <w:contextualSpacing/>
        <w:rPr>
          <w:rFonts w:ascii="Arial" w:hAnsi="Arial" w:cs="Arial"/>
          <w:bCs/>
          <w:sz w:val="22"/>
          <w:szCs w:val="22"/>
        </w:rPr>
      </w:pPr>
    </w:p>
    <w:p w:rsidR="00F938B8" w:rsidRDefault="00604209" w:rsidP="002755D0">
      <w:pPr>
        <w:autoSpaceDE w:val="0"/>
        <w:autoSpaceDN w:val="0"/>
        <w:adjustRightInd w:val="0"/>
        <w:contextualSpacing/>
        <w:rPr>
          <w:rFonts w:ascii="Arial" w:hAnsi="Arial" w:cs="Arial"/>
          <w:bCs/>
          <w:sz w:val="22"/>
          <w:szCs w:val="22"/>
        </w:rPr>
      </w:pPr>
      <w:r>
        <w:rPr>
          <w:rFonts w:ascii="Arial" w:hAnsi="Arial" w:cs="Arial"/>
          <w:bCs/>
          <w:sz w:val="22"/>
          <w:szCs w:val="22"/>
        </w:rPr>
        <w:t xml:space="preserve">The Bank </w:t>
      </w:r>
      <w:r w:rsidR="00BD7160">
        <w:rPr>
          <w:rFonts w:ascii="Arial" w:hAnsi="Arial" w:cs="Arial"/>
          <w:bCs/>
          <w:sz w:val="22"/>
          <w:szCs w:val="22"/>
        </w:rPr>
        <w:t xml:space="preserve">is of the view </w:t>
      </w:r>
      <w:r>
        <w:rPr>
          <w:rFonts w:ascii="Arial" w:hAnsi="Arial" w:cs="Arial"/>
          <w:bCs/>
          <w:sz w:val="22"/>
          <w:szCs w:val="22"/>
        </w:rPr>
        <w:t>that allowing for such buying groups is an artificial construct that seeks to bring together retailers that otherwise have no common interest – other than aggregating purchasing power for a single purpose.</w:t>
      </w:r>
    </w:p>
    <w:p w:rsidR="00604209" w:rsidRDefault="00604209" w:rsidP="002755D0">
      <w:pPr>
        <w:autoSpaceDE w:val="0"/>
        <w:autoSpaceDN w:val="0"/>
        <w:adjustRightInd w:val="0"/>
        <w:contextualSpacing/>
        <w:rPr>
          <w:rFonts w:ascii="Arial" w:hAnsi="Arial" w:cs="Arial"/>
          <w:bCs/>
          <w:sz w:val="22"/>
          <w:szCs w:val="22"/>
        </w:rPr>
      </w:pPr>
    </w:p>
    <w:p w:rsidR="00604209" w:rsidRDefault="00604209" w:rsidP="002755D0">
      <w:pPr>
        <w:autoSpaceDE w:val="0"/>
        <w:autoSpaceDN w:val="0"/>
        <w:adjustRightInd w:val="0"/>
        <w:contextualSpacing/>
        <w:rPr>
          <w:rFonts w:ascii="Arial" w:hAnsi="Arial" w:cs="Arial"/>
          <w:bCs/>
          <w:sz w:val="22"/>
          <w:szCs w:val="22"/>
        </w:rPr>
      </w:pPr>
      <w:r>
        <w:rPr>
          <w:rFonts w:ascii="Arial" w:hAnsi="Arial" w:cs="Arial"/>
          <w:bCs/>
          <w:sz w:val="22"/>
          <w:szCs w:val="22"/>
        </w:rPr>
        <w:t>While we appreciate the objective here – to reduce disparity between the favourable rates enjoyed by large merchants and the rates otherwise charged to smaller enterprises – we believe that such an objective could be addressed by other initiatives discussed above</w:t>
      </w:r>
      <w:r w:rsidR="00CF5566">
        <w:rPr>
          <w:rFonts w:ascii="Arial" w:hAnsi="Arial" w:cs="Arial"/>
          <w:bCs/>
          <w:sz w:val="22"/>
          <w:szCs w:val="22"/>
        </w:rPr>
        <w:t xml:space="preserve"> – such as under Issue (5)</w:t>
      </w:r>
      <w:r w:rsidR="00757109">
        <w:rPr>
          <w:rFonts w:ascii="Arial" w:hAnsi="Arial" w:cs="Arial"/>
          <w:bCs/>
          <w:sz w:val="22"/>
          <w:szCs w:val="22"/>
        </w:rPr>
        <w:t xml:space="preserve"> above</w:t>
      </w:r>
      <w:r w:rsidR="00CF5566">
        <w:rPr>
          <w:rFonts w:ascii="Arial" w:hAnsi="Arial" w:cs="Arial"/>
          <w:bCs/>
          <w:sz w:val="22"/>
          <w:szCs w:val="22"/>
        </w:rPr>
        <w:t>.</w:t>
      </w:r>
    </w:p>
    <w:p w:rsidR="00604209" w:rsidRDefault="00604209" w:rsidP="002755D0">
      <w:pPr>
        <w:autoSpaceDE w:val="0"/>
        <w:autoSpaceDN w:val="0"/>
        <w:adjustRightInd w:val="0"/>
        <w:contextualSpacing/>
        <w:rPr>
          <w:rFonts w:ascii="Arial" w:hAnsi="Arial" w:cs="Arial"/>
          <w:bCs/>
          <w:sz w:val="22"/>
          <w:szCs w:val="22"/>
        </w:rPr>
      </w:pPr>
    </w:p>
    <w:p w:rsidR="00604209" w:rsidRPr="00604209" w:rsidRDefault="00604209" w:rsidP="002755D0">
      <w:pPr>
        <w:autoSpaceDE w:val="0"/>
        <w:autoSpaceDN w:val="0"/>
        <w:adjustRightInd w:val="0"/>
        <w:contextualSpacing/>
        <w:rPr>
          <w:rFonts w:ascii="Arial" w:hAnsi="Arial" w:cs="Arial"/>
          <w:bCs/>
          <w:sz w:val="22"/>
          <w:szCs w:val="22"/>
        </w:rPr>
      </w:pPr>
      <w:r>
        <w:rPr>
          <w:rFonts w:ascii="Arial" w:hAnsi="Arial" w:cs="Arial"/>
          <w:bCs/>
          <w:sz w:val="22"/>
          <w:szCs w:val="22"/>
        </w:rPr>
        <w:t xml:space="preserve">In a practical sense, we also question </w:t>
      </w:r>
      <w:r w:rsidR="003F2BB3">
        <w:rPr>
          <w:rFonts w:ascii="Arial" w:hAnsi="Arial" w:cs="Arial"/>
          <w:bCs/>
          <w:sz w:val="22"/>
          <w:szCs w:val="22"/>
        </w:rPr>
        <w:t xml:space="preserve">whether such buying groups would generate enough volume so as to be meaningful in terms of qualifying for more strategic rates – and we also anticipate a considerable implementation challenge </w:t>
      </w:r>
      <w:r w:rsidR="00757109">
        <w:rPr>
          <w:rFonts w:ascii="Arial" w:hAnsi="Arial" w:cs="Arial"/>
          <w:bCs/>
          <w:sz w:val="22"/>
          <w:szCs w:val="22"/>
        </w:rPr>
        <w:t xml:space="preserve">for acquirers </w:t>
      </w:r>
      <w:r w:rsidR="003F2BB3">
        <w:rPr>
          <w:rFonts w:ascii="Arial" w:hAnsi="Arial" w:cs="Arial"/>
          <w:bCs/>
          <w:sz w:val="22"/>
          <w:szCs w:val="22"/>
        </w:rPr>
        <w:t>across disparate merchants if this were to be implemented.</w:t>
      </w:r>
    </w:p>
    <w:p w:rsidR="00F938B8" w:rsidRPr="00604209" w:rsidRDefault="00F938B8" w:rsidP="002755D0">
      <w:pPr>
        <w:autoSpaceDE w:val="0"/>
        <w:autoSpaceDN w:val="0"/>
        <w:adjustRightInd w:val="0"/>
        <w:contextualSpacing/>
        <w:rPr>
          <w:rFonts w:ascii="Arial" w:hAnsi="Arial" w:cs="Arial"/>
          <w:bCs/>
          <w:sz w:val="22"/>
          <w:szCs w:val="22"/>
        </w:rPr>
      </w:pPr>
    </w:p>
    <w:p w:rsidR="002755D0" w:rsidRPr="00A34470" w:rsidRDefault="002755D0" w:rsidP="002755D0">
      <w:pPr>
        <w:pStyle w:val="ListParagraph"/>
        <w:numPr>
          <w:ilvl w:val="0"/>
          <w:numId w:val="41"/>
        </w:numPr>
        <w:autoSpaceDE w:val="0"/>
        <w:autoSpaceDN w:val="0"/>
        <w:adjustRightInd w:val="0"/>
        <w:ind w:left="714" w:hanging="357"/>
        <w:contextualSpacing/>
        <w:rPr>
          <w:rFonts w:ascii="Arial" w:hAnsi="Arial" w:cs="Arial"/>
          <w:b/>
          <w:color w:val="4F81BD" w:themeColor="accent1"/>
        </w:rPr>
      </w:pPr>
      <w:r w:rsidRPr="00A34470">
        <w:rPr>
          <w:rFonts w:ascii="Arial" w:hAnsi="Arial" w:cs="Arial"/>
          <w:b/>
          <w:bCs/>
          <w:color w:val="4F81BD" w:themeColor="accent1"/>
        </w:rPr>
        <w:t xml:space="preserve">A tiered surcharging system, perhaps …..  </w:t>
      </w:r>
    </w:p>
    <w:p w:rsidR="002755D0" w:rsidRPr="00A34470" w:rsidRDefault="002755D0" w:rsidP="002755D0">
      <w:pPr>
        <w:pStyle w:val="ListParagraph"/>
        <w:numPr>
          <w:ilvl w:val="0"/>
          <w:numId w:val="40"/>
        </w:numPr>
        <w:autoSpaceDE w:val="0"/>
        <w:autoSpaceDN w:val="0"/>
        <w:adjustRightInd w:val="0"/>
        <w:ind w:left="1800"/>
        <w:contextualSpacing/>
        <w:rPr>
          <w:rFonts w:ascii="Arial" w:hAnsi="Arial" w:cs="Arial"/>
          <w:b/>
          <w:bCs/>
          <w:color w:val="4F81BD" w:themeColor="accent1"/>
        </w:rPr>
      </w:pPr>
      <w:r w:rsidRPr="00A34470">
        <w:rPr>
          <w:rFonts w:ascii="Arial" w:hAnsi="Arial" w:cs="Arial"/>
          <w:b/>
          <w:bCs/>
          <w:color w:val="4F81BD" w:themeColor="accent1"/>
        </w:rPr>
        <w:t>Allowing low-cost system providers to prevent merchants from surcharging, to encourage consumers to use low-cost payment methods.</w:t>
      </w:r>
    </w:p>
    <w:p w:rsidR="002755D0" w:rsidRPr="00A34470" w:rsidRDefault="002755D0" w:rsidP="002755D0">
      <w:pPr>
        <w:pStyle w:val="ListParagraph"/>
        <w:numPr>
          <w:ilvl w:val="0"/>
          <w:numId w:val="40"/>
        </w:numPr>
        <w:autoSpaceDE w:val="0"/>
        <w:autoSpaceDN w:val="0"/>
        <w:adjustRightInd w:val="0"/>
        <w:ind w:left="1800"/>
        <w:contextualSpacing/>
        <w:rPr>
          <w:rFonts w:ascii="Arial" w:hAnsi="Arial" w:cs="Arial"/>
          <w:b/>
          <w:bCs/>
          <w:color w:val="4F81BD" w:themeColor="accent1"/>
        </w:rPr>
      </w:pPr>
      <w:r w:rsidRPr="00A34470">
        <w:rPr>
          <w:rFonts w:ascii="Arial" w:hAnsi="Arial" w:cs="Arial"/>
          <w:b/>
          <w:bCs/>
          <w:color w:val="4F81BD" w:themeColor="accent1"/>
        </w:rPr>
        <w:t>Allowing medium-cost providers to limit surcharges to limits set by the Board</w:t>
      </w:r>
    </w:p>
    <w:p w:rsidR="002755D0" w:rsidRPr="00A34470" w:rsidRDefault="002755D0" w:rsidP="002755D0">
      <w:pPr>
        <w:pStyle w:val="ListParagraph"/>
        <w:numPr>
          <w:ilvl w:val="0"/>
          <w:numId w:val="40"/>
        </w:numPr>
        <w:autoSpaceDE w:val="0"/>
        <w:autoSpaceDN w:val="0"/>
        <w:adjustRightInd w:val="0"/>
        <w:ind w:left="1800"/>
        <w:contextualSpacing/>
        <w:rPr>
          <w:rFonts w:ascii="Arial" w:hAnsi="Arial" w:cs="Arial"/>
          <w:b/>
          <w:bCs/>
          <w:color w:val="4F81BD" w:themeColor="accent1"/>
        </w:rPr>
      </w:pPr>
      <w:r w:rsidRPr="00A34470">
        <w:rPr>
          <w:rFonts w:ascii="Arial" w:hAnsi="Arial" w:cs="Arial"/>
          <w:b/>
          <w:bCs/>
          <w:color w:val="4F81BD" w:themeColor="accent1"/>
        </w:rPr>
        <w:t>Allowing high-cost providers to limit surcharges to the reasonable cost of acceptance</w:t>
      </w:r>
    </w:p>
    <w:p w:rsidR="002755D0" w:rsidRPr="002356F3" w:rsidRDefault="002755D0" w:rsidP="002755D0">
      <w:pPr>
        <w:autoSpaceDE w:val="0"/>
        <w:autoSpaceDN w:val="0"/>
        <w:adjustRightInd w:val="0"/>
        <w:rPr>
          <w:rFonts w:ascii="Arial" w:hAnsi="Arial" w:cs="Arial"/>
          <w:sz w:val="22"/>
          <w:szCs w:val="22"/>
        </w:rPr>
      </w:pPr>
    </w:p>
    <w:p w:rsidR="00F938B8" w:rsidRDefault="002356F3" w:rsidP="002755D0">
      <w:pPr>
        <w:autoSpaceDE w:val="0"/>
        <w:autoSpaceDN w:val="0"/>
        <w:adjustRightInd w:val="0"/>
        <w:rPr>
          <w:rFonts w:ascii="Arial" w:hAnsi="Arial" w:cs="Arial"/>
          <w:sz w:val="22"/>
          <w:szCs w:val="22"/>
        </w:rPr>
      </w:pPr>
      <w:r>
        <w:rPr>
          <w:rFonts w:ascii="Arial" w:hAnsi="Arial" w:cs="Arial"/>
          <w:sz w:val="22"/>
          <w:szCs w:val="22"/>
        </w:rPr>
        <w:t xml:space="preserve">The Bank believes that a tiered system of surcharging is likely to prove confusing for cardholders, bureaucratic, and difficult to implement for retailers and acquirers.  </w:t>
      </w:r>
      <w:r w:rsidR="00BD7160">
        <w:rPr>
          <w:rFonts w:ascii="Arial" w:hAnsi="Arial" w:cs="Arial"/>
          <w:sz w:val="22"/>
          <w:szCs w:val="22"/>
        </w:rPr>
        <w:t>S</w:t>
      </w:r>
      <w:r w:rsidR="00757109">
        <w:rPr>
          <w:rFonts w:ascii="Arial" w:hAnsi="Arial" w:cs="Arial"/>
          <w:sz w:val="22"/>
          <w:szCs w:val="22"/>
        </w:rPr>
        <w:t xml:space="preserve">uch an approach is thus unlikely to be adopted.  </w:t>
      </w:r>
      <w:r>
        <w:rPr>
          <w:rFonts w:ascii="Arial" w:hAnsi="Arial" w:cs="Arial"/>
          <w:sz w:val="22"/>
          <w:szCs w:val="22"/>
        </w:rPr>
        <w:t xml:space="preserve">An alternative, and preferable model in our view, would be to ban surcharging for those instruments subject to interchange fee regulation, while allowing merchant discretion for setting of </w:t>
      </w:r>
      <w:r w:rsidR="00357CEF">
        <w:rPr>
          <w:rFonts w:ascii="Arial" w:hAnsi="Arial" w:cs="Arial"/>
          <w:sz w:val="22"/>
          <w:szCs w:val="22"/>
        </w:rPr>
        <w:t>surcharges, if any,</w:t>
      </w:r>
      <w:r>
        <w:rPr>
          <w:rFonts w:ascii="Arial" w:hAnsi="Arial" w:cs="Arial"/>
          <w:sz w:val="22"/>
          <w:szCs w:val="22"/>
        </w:rPr>
        <w:t xml:space="preserve"> for otherwise unregulated </w:t>
      </w:r>
      <w:r w:rsidR="00912079">
        <w:rPr>
          <w:rFonts w:ascii="Arial" w:hAnsi="Arial" w:cs="Arial"/>
          <w:sz w:val="22"/>
          <w:szCs w:val="22"/>
        </w:rPr>
        <w:t>payments channels.</w:t>
      </w:r>
    </w:p>
    <w:p w:rsidR="00912079" w:rsidRDefault="00912079" w:rsidP="002755D0">
      <w:pPr>
        <w:autoSpaceDE w:val="0"/>
        <w:autoSpaceDN w:val="0"/>
        <w:adjustRightInd w:val="0"/>
        <w:rPr>
          <w:rFonts w:ascii="Arial" w:hAnsi="Arial" w:cs="Arial"/>
          <w:sz w:val="22"/>
          <w:szCs w:val="22"/>
        </w:rPr>
      </w:pPr>
    </w:p>
    <w:p w:rsidR="00912079" w:rsidRDefault="00912079" w:rsidP="002755D0">
      <w:pPr>
        <w:autoSpaceDE w:val="0"/>
        <w:autoSpaceDN w:val="0"/>
        <w:adjustRightInd w:val="0"/>
        <w:rPr>
          <w:rFonts w:ascii="Arial" w:hAnsi="Arial" w:cs="Arial"/>
          <w:sz w:val="22"/>
          <w:szCs w:val="22"/>
        </w:rPr>
      </w:pPr>
      <w:r>
        <w:rPr>
          <w:rFonts w:ascii="Arial" w:hAnsi="Arial" w:cs="Arial"/>
          <w:sz w:val="22"/>
          <w:szCs w:val="22"/>
        </w:rPr>
        <w:t>This approach should be considered in conjunction with, and complementary to, the above suggestion for a “cap and collar” around a weighted average interchange fee outcome, with annual reset periods.  With regulation, and effective lowering of interchange fees for regulated networks</w:t>
      </w:r>
      <w:r w:rsidR="00A86132">
        <w:rPr>
          <w:rFonts w:ascii="Arial" w:hAnsi="Arial" w:cs="Arial"/>
          <w:sz w:val="22"/>
          <w:szCs w:val="22"/>
        </w:rPr>
        <w:t xml:space="preserve"> via the elimination of ‘drift’</w:t>
      </w:r>
      <w:r>
        <w:rPr>
          <w:rFonts w:ascii="Arial" w:hAnsi="Arial" w:cs="Arial"/>
          <w:sz w:val="22"/>
          <w:szCs w:val="22"/>
        </w:rPr>
        <w:t xml:space="preserve">, the need for surcharging is significantly reduced – </w:t>
      </w:r>
      <w:r>
        <w:rPr>
          <w:rFonts w:ascii="Arial" w:hAnsi="Arial" w:cs="Arial"/>
          <w:sz w:val="22"/>
          <w:szCs w:val="22"/>
        </w:rPr>
        <w:lastRenderedPageBreak/>
        <w:t>especially in relation to what might (formerly) have been seen as high cost cards</w:t>
      </w:r>
      <w:r w:rsidR="0092072A">
        <w:rPr>
          <w:rFonts w:ascii="Arial" w:hAnsi="Arial" w:cs="Arial"/>
          <w:sz w:val="22"/>
          <w:szCs w:val="22"/>
        </w:rPr>
        <w:t xml:space="preserve"> to non-strategic merchants</w:t>
      </w:r>
      <w:r>
        <w:rPr>
          <w:rFonts w:ascii="Arial" w:hAnsi="Arial" w:cs="Arial"/>
          <w:sz w:val="22"/>
          <w:szCs w:val="22"/>
        </w:rPr>
        <w:t>.</w:t>
      </w:r>
    </w:p>
    <w:p w:rsidR="00912079" w:rsidRDefault="00912079" w:rsidP="002755D0">
      <w:pPr>
        <w:autoSpaceDE w:val="0"/>
        <w:autoSpaceDN w:val="0"/>
        <w:adjustRightInd w:val="0"/>
        <w:rPr>
          <w:rFonts w:ascii="Arial" w:hAnsi="Arial" w:cs="Arial"/>
          <w:sz w:val="22"/>
          <w:szCs w:val="22"/>
        </w:rPr>
      </w:pPr>
    </w:p>
    <w:p w:rsidR="00912079" w:rsidRPr="002356F3" w:rsidRDefault="00912079" w:rsidP="002755D0">
      <w:pPr>
        <w:autoSpaceDE w:val="0"/>
        <w:autoSpaceDN w:val="0"/>
        <w:adjustRightInd w:val="0"/>
        <w:rPr>
          <w:rFonts w:ascii="Arial" w:hAnsi="Arial" w:cs="Arial"/>
          <w:sz w:val="22"/>
          <w:szCs w:val="22"/>
        </w:rPr>
      </w:pPr>
      <w:r>
        <w:rPr>
          <w:rFonts w:ascii="Arial" w:hAnsi="Arial" w:cs="Arial"/>
          <w:sz w:val="22"/>
          <w:szCs w:val="22"/>
        </w:rPr>
        <w:t>With regulation (price capping) of an input cost, it is unnecessary, and arguably inequitable, to also allow surcharging.  We believe that “two bites at the cherry” is innapropriate.</w:t>
      </w:r>
    </w:p>
    <w:p w:rsidR="00F938B8" w:rsidRPr="002356F3" w:rsidRDefault="00F938B8" w:rsidP="002755D0">
      <w:pPr>
        <w:autoSpaceDE w:val="0"/>
        <w:autoSpaceDN w:val="0"/>
        <w:adjustRightInd w:val="0"/>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ind w:left="709" w:hanging="349"/>
        <w:contextualSpacing/>
        <w:rPr>
          <w:rFonts w:ascii="Arial" w:hAnsi="Arial" w:cs="Arial"/>
          <w:b/>
          <w:color w:val="4F81BD" w:themeColor="accent1"/>
        </w:rPr>
      </w:pPr>
      <w:r w:rsidRPr="00A34470">
        <w:rPr>
          <w:rFonts w:ascii="Arial" w:hAnsi="Arial" w:cs="Arial"/>
          <w:b/>
          <w:bCs/>
          <w:color w:val="4F81BD" w:themeColor="accent1"/>
        </w:rPr>
        <w:t xml:space="preserve">Targeted changes to reduce particular cases of excessive surcharging. </w:t>
      </w:r>
    </w:p>
    <w:p w:rsidR="002755D0" w:rsidRPr="003F2BB3" w:rsidRDefault="002755D0" w:rsidP="002755D0">
      <w:pPr>
        <w:tabs>
          <w:tab w:val="left" w:pos="851"/>
        </w:tabs>
        <w:autoSpaceDE w:val="0"/>
        <w:autoSpaceDN w:val="0"/>
        <w:adjustRightInd w:val="0"/>
        <w:contextualSpacing/>
        <w:rPr>
          <w:rFonts w:ascii="Arial" w:hAnsi="Arial" w:cs="Arial"/>
          <w:sz w:val="22"/>
          <w:szCs w:val="22"/>
        </w:rPr>
      </w:pPr>
    </w:p>
    <w:p w:rsidR="00F938B8" w:rsidRPr="003F2BB3" w:rsidRDefault="003F2BB3"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The Bank is strongly of the view that cases of “excessive” surcharging are indicative of market structure and price setting powers, and are best addressed under competition law, rather than seeking to do so under the regulation of payments systems.</w:t>
      </w:r>
    </w:p>
    <w:p w:rsidR="00F938B8" w:rsidRPr="003F2BB3" w:rsidRDefault="00F938B8"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contextualSpacing/>
        <w:rPr>
          <w:rFonts w:ascii="Arial" w:hAnsi="Arial" w:cs="Arial"/>
          <w:b/>
          <w:color w:val="4F81BD" w:themeColor="accent1"/>
        </w:rPr>
      </w:pPr>
      <w:r w:rsidRPr="00A34470">
        <w:rPr>
          <w:rFonts w:ascii="Arial" w:hAnsi="Arial" w:cs="Arial"/>
          <w:b/>
          <w:bCs/>
          <w:color w:val="4F81BD" w:themeColor="accent1"/>
        </w:rPr>
        <w:t xml:space="preserve">Any other changes to enforcement procedures and disclosure practices.  </w:t>
      </w:r>
    </w:p>
    <w:p w:rsidR="002755D0" w:rsidRPr="003F2BB3" w:rsidRDefault="002755D0" w:rsidP="00F938B8">
      <w:pPr>
        <w:rPr>
          <w:rFonts w:ascii="Arial" w:hAnsi="Arial" w:cs="Arial"/>
          <w:sz w:val="22"/>
          <w:szCs w:val="22"/>
        </w:rPr>
      </w:pPr>
    </w:p>
    <w:p w:rsidR="002755D0" w:rsidRPr="003F2BB3" w:rsidRDefault="003F2BB3"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The Bank endorses the importance of timely and fulsome disclosure of surcharging intent and also encourages the provision of non surcharged payment channels – helping cardholders to make informed choices</w:t>
      </w:r>
      <w:r w:rsidR="00EE6E85">
        <w:rPr>
          <w:rFonts w:ascii="Arial" w:hAnsi="Arial" w:cs="Arial"/>
          <w:sz w:val="22"/>
          <w:szCs w:val="22"/>
        </w:rPr>
        <w:t xml:space="preserve"> while also promoting competition.</w:t>
      </w:r>
      <w:r>
        <w:rPr>
          <w:rFonts w:ascii="Arial" w:hAnsi="Arial" w:cs="Arial"/>
          <w:sz w:val="22"/>
          <w:szCs w:val="22"/>
        </w:rPr>
        <w:t xml:space="preserve"> </w:t>
      </w:r>
    </w:p>
    <w:p w:rsidR="00F938B8" w:rsidRPr="003F2BB3" w:rsidRDefault="00F938B8"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ind w:left="851" w:hanging="491"/>
        <w:contextualSpacing/>
        <w:rPr>
          <w:rFonts w:ascii="Arial" w:hAnsi="Arial" w:cs="Arial"/>
          <w:b/>
          <w:color w:val="4F81BD" w:themeColor="accent1"/>
        </w:rPr>
      </w:pPr>
      <w:r w:rsidRPr="00A34470">
        <w:rPr>
          <w:rFonts w:ascii="Arial" w:hAnsi="Arial" w:cs="Arial"/>
          <w:b/>
          <w:bCs/>
          <w:color w:val="4F81BD" w:themeColor="accent1"/>
        </w:rPr>
        <w:t xml:space="preserve">Strengthened transparency over the cost of payments to merchants and cardholders. </w:t>
      </w:r>
      <w:r w:rsidRPr="00A34470">
        <w:rPr>
          <w:rFonts w:ascii="Arial" w:hAnsi="Arial" w:cs="Arial"/>
          <w:b/>
          <w:color w:val="4F81BD" w:themeColor="accent1"/>
        </w:rPr>
        <w:t xml:space="preserve"> </w:t>
      </w:r>
    </w:p>
    <w:p w:rsidR="002755D0" w:rsidRPr="00CE184A" w:rsidRDefault="002755D0" w:rsidP="002755D0">
      <w:pPr>
        <w:tabs>
          <w:tab w:val="left" w:pos="851"/>
        </w:tabs>
        <w:autoSpaceDE w:val="0"/>
        <w:autoSpaceDN w:val="0"/>
        <w:adjustRightInd w:val="0"/>
        <w:contextualSpacing/>
        <w:rPr>
          <w:rFonts w:ascii="Arial" w:hAnsi="Arial" w:cs="Arial"/>
          <w:sz w:val="22"/>
          <w:szCs w:val="22"/>
        </w:rPr>
      </w:pPr>
    </w:p>
    <w:p w:rsidR="00F938B8" w:rsidRDefault="00CE184A"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There are a number of aspects to this issue, viz:</w:t>
      </w:r>
    </w:p>
    <w:p w:rsidR="00CE184A" w:rsidRDefault="00CE184A" w:rsidP="00CE184A">
      <w:pPr>
        <w:pStyle w:val="ListParagraph"/>
        <w:numPr>
          <w:ilvl w:val="0"/>
          <w:numId w:val="43"/>
        </w:numPr>
        <w:tabs>
          <w:tab w:val="left" w:pos="851"/>
        </w:tabs>
        <w:autoSpaceDE w:val="0"/>
        <w:autoSpaceDN w:val="0"/>
        <w:adjustRightInd w:val="0"/>
        <w:contextualSpacing/>
        <w:rPr>
          <w:rFonts w:ascii="Arial" w:hAnsi="Arial" w:cs="Arial"/>
        </w:rPr>
      </w:pPr>
      <w:r>
        <w:rPr>
          <w:rFonts w:ascii="Arial" w:hAnsi="Arial" w:cs="Arial"/>
        </w:rPr>
        <w:t>Electronic identification of debit versus credit cards is conceptually desirable but has proven to be challenging to implement.  Keeping an expanding range of card numbers up to date, and able to be interrogated at the Point of Sale, is onerous and arguably unnecessary if other, incremental, initiatives discussed elsewhere are implemented.</w:t>
      </w:r>
    </w:p>
    <w:p w:rsidR="00CE184A" w:rsidRDefault="00CE184A" w:rsidP="00CE184A">
      <w:pPr>
        <w:pStyle w:val="ListParagraph"/>
        <w:numPr>
          <w:ilvl w:val="0"/>
          <w:numId w:val="43"/>
        </w:numPr>
        <w:tabs>
          <w:tab w:val="left" w:pos="851"/>
        </w:tabs>
        <w:autoSpaceDE w:val="0"/>
        <w:autoSpaceDN w:val="0"/>
        <w:adjustRightInd w:val="0"/>
        <w:contextualSpacing/>
        <w:rPr>
          <w:rFonts w:ascii="Arial" w:hAnsi="Arial" w:cs="Arial"/>
        </w:rPr>
      </w:pPr>
      <w:r>
        <w:rPr>
          <w:rFonts w:ascii="Arial" w:hAnsi="Arial" w:cs="Arial"/>
        </w:rPr>
        <w:t xml:space="preserve">It is even more difficult to electronically distinguish different categories (colours) of cards – and keep card number ranges up to date, without significant imposition on acquirers and merchants.  This is exacerbated when ranges of card numbers are “migrated” to different categories, without any visual change to the cards in question.  Visual differentiation </w:t>
      </w:r>
      <w:r w:rsidR="00E9076A">
        <w:rPr>
          <w:rFonts w:ascii="Arial" w:hAnsi="Arial" w:cs="Arial"/>
        </w:rPr>
        <w:t>of already crowded card “real estate” raises further challenges.  Again, this is onerous and arguably unnecessary if other, incremental, initiatives discussed elsewhere are implemented.</w:t>
      </w:r>
    </w:p>
    <w:p w:rsidR="00E9076A" w:rsidRPr="00CE184A" w:rsidRDefault="00E9076A" w:rsidP="00CE184A">
      <w:pPr>
        <w:pStyle w:val="ListParagraph"/>
        <w:numPr>
          <w:ilvl w:val="0"/>
          <w:numId w:val="43"/>
        </w:numPr>
        <w:tabs>
          <w:tab w:val="left" w:pos="851"/>
        </w:tabs>
        <w:autoSpaceDE w:val="0"/>
        <w:autoSpaceDN w:val="0"/>
        <w:adjustRightInd w:val="0"/>
        <w:contextualSpacing/>
        <w:rPr>
          <w:rFonts w:ascii="Arial" w:hAnsi="Arial" w:cs="Arial"/>
        </w:rPr>
      </w:pPr>
      <w:r>
        <w:rPr>
          <w:rFonts w:ascii="Arial" w:hAnsi="Arial" w:cs="Arial"/>
        </w:rPr>
        <w:t xml:space="preserve">The provision </w:t>
      </w:r>
      <w:r w:rsidR="00C877E6">
        <w:rPr>
          <w:rFonts w:ascii="Arial" w:hAnsi="Arial" w:cs="Arial"/>
        </w:rPr>
        <w:t xml:space="preserve">by acquirers </w:t>
      </w:r>
      <w:r>
        <w:rPr>
          <w:rFonts w:ascii="Arial" w:hAnsi="Arial" w:cs="Arial"/>
        </w:rPr>
        <w:t xml:space="preserve">of merchant pricing details that separately shows interchange fee and merchant service fees applying to different card types is a competitive matter and regulation thereof cannot be justified.  </w:t>
      </w:r>
      <w:r w:rsidR="0092072A">
        <w:rPr>
          <w:rFonts w:ascii="Arial" w:hAnsi="Arial" w:cs="Arial"/>
        </w:rPr>
        <w:t>Providing additional pricing and statement d</w:t>
      </w:r>
      <w:r>
        <w:rPr>
          <w:rFonts w:ascii="Arial" w:hAnsi="Arial" w:cs="Arial"/>
        </w:rPr>
        <w:t xml:space="preserve">etail </w:t>
      </w:r>
      <w:r w:rsidR="0092072A">
        <w:rPr>
          <w:rFonts w:ascii="Arial" w:hAnsi="Arial" w:cs="Arial"/>
        </w:rPr>
        <w:t>(</w:t>
      </w:r>
      <w:r>
        <w:rPr>
          <w:rFonts w:ascii="Arial" w:hAnsi="Arial" w:cs="Arial"/>
        </w:rPr>
        <w:t>and complexity</w:t>
      </w:r>
      <w:r w:rsidR="0092072A">
        <w:rPr>
          <w:rFonts w:ascii="Arial" w:hAnsi="Arial" w:cs="Arial"/>
        </w:rPr>
        <w:t>)</w:t>
      </w:r>
      <w:r>
        <w:rPr>
          <w:rFonts w:ascii="Arial" w:hAnsi="Arial" w:cs="Arial"/>
        </w:rPr>
        <w:t xml:space="preserve"> </w:t>
      </w:r>
      <w:r w:rsidR="00CF5566">
        <w:rPr>
          <w:rFonts w:ascii="Arial" w:hAnsi="Arial" w:cs="Arial"/>
        </w:rPr>
        <w:t xml:space="preserve">also </w:t>
      </w:r>
      <w:r>
        <w:rPr>
          <w:rFonts w:ascii="Arial" w:hAnsi="Arial" w:cs="Arial"/>
        </w:rPr>
        <w:t xml:space="preserve">overlooks the simplicity </w:t>
      </w:r>
      <w:r w:rsidR="00F10A31">
        <w:rPr>
          <w:rFonts w:ascii="Arial" w:hAnsi="Arial" w:cs="Arial"/>
        </w:rPr>
        <w:t>(such as</w:t>
      </w:r>
      <w:r w:rsidR="00A86132">
        <w:rPr>
          <w:rFonts w:ascii="Arial" w:hAnsi="Arial" w:cs="Arial"/>
        </w:rPr>
        <w:t xml:space="preserve"> blended pricing </w:t>
      </w:r>
      <w:r w:rsidR="00F10A31">
        <w:rPr>
          <w:rFonts w:ascii="Arial" w:hAnsi="Arial" w:cs="Arial"/>
        </w:rPr>
        <w:t xml:space="preserve">or pricing that includes monthly card turnover) </w:t>
      </w:r>
      <w:r>
        <w:rPr>
          <w:rFonts w:ascii="Arial" w:hAnsi="Arial" w:cs="Arial"/>
        </w:rPr>
        <w:t>that, in our experience, many merchants value highly.</w:t>
      </w:r>
      <w:r w:rsidR="00CF5566">
        <w:rPr>
          <w:rFonts w:ascii="Arial" w:hAnsi="Arial" w:cs="Arial"/>
        </w:rPr>
        <w:t xml:space="preserve">  For clarity, we believe that provision of “interchange plus” pricing should remain a competitive matter – offered by some, but not necessarily all, acquirers</w:t>
      </w:r>
      <w:r w:rsidR="00967F9F">
        <w:rPr>
          <w:rFonts w:ascii="Arial" w:hAnsi="Arial" w:cs="Arial"/>
        </w:rPr>
        <w:t xml:space="preserve"> and likely accepted by some, but not all, merchants</w:t>
      </w:r>
      <w:r w:rsidR="00CF5566">
        <w:rPr>
          <w:rFonts w:ascii="Arial" w:hAnsi="Arial" w:cs="Arial"/>
        </w:rPr>
        <w:t>.</w:t>
      </w:r>
    </w:p>
    <w:p w:rsidR="00F938B8" w:rsidRDefault="00F938B8" w:rsidP="002755D0">
      <w:pPr>
        <w:tabs>
          <w:tab w:val="left" w:pos="851"/>
        </w:tabs>
        <w:autoSpaceDE w:val="0"/>
        <w:autoSpaceDN w:val="0"/>
        <w:adjustRightInd w:val="0"/>
        <w:contextualSpacing/>
        <w:rPr>
          <w:rFonts w:ascii="Arial" w:hAnsi="Arial" w:cs="Arial"/>
          <w:sz w:val="22"/>
          <w:szCs w:val="22"/>
        </w:rPr>
      </w:pPr>
    </w:p>
    <w:p w:rsidR="00912079" w:rsidRDefault="00912079"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In effect, the above discussed “cap and collar” with regulated weighted average interchange fees renders this issue redundant.</w:t>
      </w:r>
    </w:p>
    <w:p w:rsidR="00912079" w:rsidRPr="00CE184A" w:rsidRDefault="00912079"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ind w:left="851" w:hanging="491"/>
        <w:contextualSpacing/>
        <w:rPr>
          <w:rFonts w:ascii="Arial" w:hAnsi="Arial" w:cs="Arial"/>
          <w:b/>
          <w:bCs/>
          <w:color w:val="4F81BD" w:themeColor="accent1"/>
        </w:rPr>
      </w:pPr>
      <w:r w:rsidRPr="00A34470">
        <w:rPr>
          <w:rFonts w:ascii="Arial" w:hAnsi="Arial" w:cs="Arial"/>
          <w:b/>
          <w:bCs/>
          <w:color w:val="4F81BD" w:themeColor="accent1"/>
        </w:rPr>
        <w:t xml:space="preserve">Further easing of ‘honour-all-cards’ rules to allow merchants to decline to accept cards with high interchange fees. </w:t>
      </w:r>
    </w:p>
    <w:p w:rsidR="002755D0" w:rsidRPr="00EE6E85" w:rsidRDefault="002755D0" w:rsidP="00F938B8">
      <w:pPr>
        <w:rPr>
          <w:rFonts w:ascii="Arial" w:hAnsi="Arial" w:cs="Arial"/>
          <w:bCs/>
          <w:sz w:val="22"/>
          <w:szCs w:val="22"/>
        </w:rPr>
      </w:pPr>
    </w:p>
    <w:p w:rsidR="002755D0" w:rsidRDefault="00EE6E85" w:rsidP="002755D0">
      <w:pPr>
        <w:tabs>
          <w:tab w:val="left" w:pos="851"/>
        </w:tabs>
        <w:autoSpaceDE w:val="0"/>
        <w:autoSpaceDN w:val="0"/>
        <w:adjustRightInd w:val="0"/>
        <w:contextualSpacing/>
        <w:rPr>
          <w:rFonts w:ascii="Arial" w:hAnsi="Arial" w:cs="Arial"/>
          <w:bCs/>
          <w:sz w:val="22"/>
          <w:szCs w:val="22"/>
        </w:rPr>
      </w:pPr>
      <w:r>
        <w:rPr>
          <w:rFonts w:ascii="Arial" w:hAnsi="Arial" w:cs="Arial"/>
          <w:bCs/>
          <w:sz w:val="22"/>
          <w:szCs w:val="22"/>
        </w:rPr>
        <w:t xml:space="preserve">The </w:t>
      </w:r>
      <w:r w:rsidR="008F12DC">
        <w:rPr>
          <w:rFonts w:ascii="Arial" w:hAnsi="Arial" w:cs="Arial"/>
          <w:bCs/>
          <w:sz w:val="22"/>
          <w:szCs w:val="22"/>
        </w:rPr>
        <w:t>“</w:t>
      </w:r>
      <w:r>
        <w:rPr>
          <w:rFonts w:ascii="Arial" w:hAnsi="Arial" w:cs="Arial"/>
          <w:bCs/>
          <w:sz w:val="22"/>
          <w:szCs w:val="22"/>
        </w:rPr>
        <w:t xml:space="preserve">Honour All Cards” rule is a central tenet of individual card payment networks.  The Bank does not support any easing of existing rules in this respect.  Consumer confidence that their “Scheme X” card, regardless of colour or features, will be accepted wherever they see the sign </w:t>
      </w:r>
      <w:r w:rsidR="0092072A">
        <w:rPr>
          <w:rFonts w:ascii="Arial" w:hAnsi="Arial" w:cs="Arial"/>
          <w:bCs/>
          <w:sz w:val="22"/>
          <w:szCs w:val="22"/>
        </w:rPr>
        <w:t>stating</w:t>
      </w:r>
      <w:r>
        <w:rPr>
          <w:rFonts w:ascii="Arial" w:hAnsi="Arial" w:cs="Arial"/>
          <w:bCs/>
          <w:sz w:val="22"/>
          <w:szCs w:val="22"/>
        </w:rPr>
        <w:t xml:space="preserve"> “Scheme X Cards Accepted Here</w:t>
      </w:r>
      <w:proofErr w:type="gramStart"/>
      <w:r w:rsidR="008F12DC">
        <w:rPr>
          <w:rFonts w:ascii="Arial" w:hAnsi="Arial" w:cs="Arial"/>
          <w:bCs/>
          <w:sz w:val="22"/>
          <w:szCs w:val="22"/>
        </w:rPr>
        <w:t>”</w:t>
      </w:r>
      <w:r w:rsidR="00967F9F">
        <w:rPr>
          <w:rFonts w:ascii="Arial" w:hAnsi="Arial" w:cs="Arial"/>
          <w:bCs/>
          <w:sz w:val="22"/>
          <w:szCs w:val="22"/>
        </w:rPr>
        <w:t>,</w:t>
      </w:r>
      <w:proofErr w:type="gramEnd"/>
      <w:r>
        <w:rPr>
          <w:rFonts w:ascii="Arial" w:hAnsi="Arial" w:cs="Arial"/>
          <w:bCs/>
          <w:sz w:val="22"/>
          <w:szCs w:val="22"/>
        </w:rPr>
        <w:t xml:space="preserve"> is vital.  A watering down of this proposition to the effect that only “</w:t>
      </w:r>
      <w:r w:rsidRPr="00EE6E85">
        <w:rPr>
          <w:rFonts w:ascii="Arial" w:hAnsi="Arial" w:cs="Arial"/>
          <w:bCs/>
          <w:i/>
          <w:sz w:val="22"/>
          <w:szCs w:val="22"/>
        </w:rPr>
        <w:t>Some</w:t>
      </w:r>
      <w:r>
        <w:rPr>
          <w:rFonts w:ascii="Arial" w:hAnsi="Arial" w:cs="Arial"/>
          <w:bCs/>
          <w:sz w:val="22"/>
          <w:szCs w:val="22"/>
        </w:rPr>
        <w:t xml:space="preserve"> Scheme X Cards Accepted Here” is a significant weakening of the cardholder value proposition</w:t>
      </w:r>
      <w:r w:rsidR="00826EA7">
        <w:rPr>
          <w:rFonts w:ascii="Arial" w:hAnsi="Arial" w:cs="Arial"/>
          <w:bCs/>
          <w:sz w:val="22"/>
          <w:szCs w:val="22"/>
        </w:rPr>
        <w:t xml:space="preserve">.  This </w:t>
      </w:r>
      <w:r>
        <w:rPr>
          <w:rFonts w:ascii="Arial" w:hAnsi="Arial" w:cs="Arial"/>
          <w:bCs/>
          <w:sz w:val="22"/>
          <w:szCs w:val="22"/>
        </w:rPr>
        <w:t>would be a backward step in terms of promoting card usage and the ongoing migration to more efficient forms of payment.</w:t>
      </w:r>
    </w:p>
    <w:p w:rsidR="00CF28D9" w:rsidRDefault="00CF28D9" w:rsidP="002755D0">
      <w:pPr>
        <w:tabs>
          <w:tab w:val="left" w:pos="851"/>
        </w:tabs>
        <w:autoSpaceDE w:val="0"/>
        <w:autoSpaceDN w:val="0"/>
        <w:adjustRightInd w:val="0"/>
        <w:contextualSpacing/>
        <w:rPr>
          <w:rFonts w:ascii="Arial" w:hAnsi="Arial" w:cs="Arial"/>
          <w:bCs/>
          <w:sz w:val="22"/>
          <w:szCs w:val="22"/>
        </w:rPr>
      </w:pPr>
    </w:p>
    <w:p w:rsidR="00CF28D9" w:rsidRPr="00EE6E85" w:rsidRDefault="00CF28D9" w:rsidP="002755D0">
      <w:pPr>
        <w:tabs>
          <w:tab w:val="left" w:pos="851"/>
        </w:tabs>
        <w:autoSpaceDE w:val="0"/>
        <w:autoSpaceDN w:val="0"/>
        <w:adjustRightInd w:val="0"/>
        <w:contextualSpacing/>
        <w:rPr>
          <w:rFonts w:ascii="Arial" w:hAnsi="Arial" w:cs="Arial"/>
          <w:bCs/>
          <w:sz w:val="22"/>
          <w:szCs w:val="22"/>
        </w:rPr>
      </w:pPr>
      <w:r>
        <w:rPr>
          <w:rFonts w:ascii="Arial" w:hAnsi="Arial" w:cs="Arial"/>
          <w:bCs/>
          <w:sz w:val="22"/>
          <w:szCs w:val="22"/>
        </w:rPr>
        <w:lastRenderedPageBreak/>
        <w:t xml:space="preserve">Again, the </w:t>
      </w:r>
      <w:r>
        <w:rPr>
          <w:rFonts w:ascii="Arial" w:hAnsi="Arial" w:cs="Arial"/>
          <w:sz w:val="22"/>
          <w:szCs w:val="22"/>
        </w:rPr>
        <w:t xml:space="preserve">above discussed “cap and collar” with regulated weighted average interchange fees reduces the need to challenge this </w:t>
      </w:r>
      <w:r w:rsidR="004D1082">
        <w:rPr>
          <w:rFonts w:ascii="Arial" w:hAnsi="Arial" w:cs="Arial"/>
          <w:sz w:val="22"/>
          <w:szCs w:val="22"/>
        </w:rPr>
        <w:t>tenet of card payment networks.</w:t>
      </w:r>
    </w:p>
    <w:p w:rsidR="00F938B8" w:rsidRPr="00EE6E85" w:rsidRDefault="00F938B8" w:rsidP="002755D0">
      <w:pPr>
        <w:tabs>
          <w:tab w:val="left" w:pos="851"/>
        </w:tabs>
        <w:autoSpaceDE w:val="0"/>
        <w:autoSpaceDN w:val="0"/>
        <w:adjustRightInd w:val="0"/>
        <w:contextualSpacing/>
        <w:rPr>
          <w:rFonts w:ascii="Arial" w:hAnsi="Arial" w:cs="Arial"/>
          <w:bCs/>
          <w:sz w:val="22"/>
          <w:szCs w:val="22"/>
        </w:rPr>
      </w:pPr>
    </w:p>
    <w:p w:rsidR="002755D0" w:rsidRPr="00A34470" w:rsidRDefault="002755D0" w:rsidP="002755D0">
      <w:pPr>
        <w:pStyle w:val="ListParagraph"/>
        <w:numPr>
          <w:ilvl w:val="0"/>
          <w:numId w:val="41"/>
        </w:numPr>
        <w:tabs>
          <w:tab w:val="left" w:pos="851"/>
        </w:tabs>
        <w:autoSpaceDE w:val="0"/>
        <w:autoSpaceDN w:val="0"/>
        <w:adjustRightInd w:val="0"/>
        <w:contextualSpacing/>
        <w:rPr>
          <w:rFonts w:ascii="Arial" w:hAnsi="Arial" w:cs="Arial"/>
          <w:b/>
          <w:color w:val="4F81BD" w:themeColor="accent1"/>
        </w:rPr>
      </w:pPr>
      <w:r w:rsidRPr="00A34470">
        <w:rPr>
          <w:rFonts w:ascii="Arial" w:hAnsi="Arial" w:cs="Arial"/>
          <w:b/>
          <w:bCs/>
          <w:color w:val="4F81BD" w:themeColor="accent1"/>
        </w:rPr>
        <w:t xml:space="preserve">Facilitation of differential surcharging by merchants. </w:t>
      </w:r>
    </w:p>
    <w:p w:rsidR="002755D0" w:rsidRPr="003441FA" w:rsidRDefault="002755D0" w:rsidP="002755D0">
      <w:pPr>
        <w:tabs>
          <w:tab w:val="left" w:pos="851"/>
        </w:tabs>
        <w:autoSpaceDE w:val="0"/>
        <w:autoSpaceDN w:val="0"/>
        <w:adjustRightInd w:val="0"/>
        <w:contextualSpacing/>
        <w:rPr>
          <w:rFonts w:ascii="Arial" w:hAnsi="Arial" w:cs="Arial"/>
          <w:sz w:val="22"/>
          <w:szCs w:val="22"/>
        </w:rPr>
      </w:pPr>
    </w:p>
    <w:p w:rsidR="00F938B8" w:rsidRDefault="003441FA"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 xml:space="preserve">Differential surcharging for otherwise </w:t>
      </w:r>
      <w:proofErr w:type="gramStart"/>
      <w:r>
        <w:rPr>
          <w:rFonts w:ascii="Arial" w:hAnsi="Arial" w:cs="Arial"/>
          <w:sz w:val="22"/>
          <w:szCs w:val="22"/>
        </w:rPr>
        <w:t>unregulated payments networks is</w:t>
      </w:r>
      <w:proofErr w:type="gramEnd"/>
      <w:r>
        <w:rPr>
          <w:rFonts w:ascii="Arial" w:hAnsi="Arial" w:cs="Arial"/>
          <w:sz w:val="22"/>
          <w:szCs w:val="22"/>
        </w:rPr>
        <w:t xml:space="preserve"> really, in our view, a matter of merchant choice.  Competitive pressures would</w:t>
      </w:r>
      <w:r w:rsidR="00C30503">
        <w:rPr>
          <w:rFonts w:ascii="Arial" w:hAnsi="Arial" w:cs="Arial"/>
          <w:sz w:val="22"/>
          <w:szCs w:val="22"/>
        </w:rPr>
        <w:t xml:space="preserve"> we believe</w:t>
      </w:r>
      <w:r>
        <w:rPr>
          <w:rFonts w:ascii="Arial" w:hAnsi="Arial" w:cs="Arial"/>
          <w:sz w:val="22"/>
          <w:szCs w:val="22"/>
        </w:rPr>
        <w:t>, in conjunction with no surcharging for regulated networks, act to exert downward pressure on surcharging levels.</w:t>
      </w:r>
    </w:p>
    <w:p w:rsidR="003441FA" w:rsidRDefault="003441FA" w:rsidP="002755D0">
      <w:pPr>
        <w:tabs>
          <w:tab w:val="left" w:pos="851"/>
        </w:tabs>
        <w:autoSpaceDE w:val="0"/>
        <w:autoSpaceDN w:val="0"/>
        <w:adjustRightInd w:val="0"/>
        <w:contextualSpacing/>
        <w:rPr>
          <w:rFonts w:ascii="Arial" w:hAnsi="Arial" w:cs="Arial"/>
          <w:sz w:val="22"/>
          <w:szCs w:val="22"/>
        </w:rPr>
      </w:pPr>
    </w:p>
    <w:p w:rsidR="003441FA" w:rsidRPr="003441FA" w:rsidRDefault="003441FA"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 xml:space="preserve">However, we do not believe that it would be good market practice for merchants to be required to inform customers of their cost of card acceptance.  Again, this is a matter of merchant choice and </w:t>
      </w:r>
      <w:r w:rsidR="00C30503">
        <w:rPr>
          <w:rFonts w:ascii="Arial" w:hAnsi="Arial" w:cs="Arial"/>
          <w:sz w:val="22"/>
          <w:szCs w:val="22"/>
        </w:rPr>
        <w:t>should be considered in the same context as a merchant considers disclosure of any input cost.</w:t>
      </w:r>
    </w:p>
    <w:p w:rsidR="00F938B8" w:rsidRPr="003441FA" w:rsidRDefault="00F938B8"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ind w:left="851" w:hanging="491"/>
        <w:contextualSpacing/>
        <w:rPr>
          <w:rFonts w:ascii="Arial" w:hAnsi="Arial" w:cs="Arial"/>
          <w:b/>
          <w:color w:val="4F81BD" w:themeColor="accent1"/>
        </w:rPr>
      </w:pPr>
      <w:r w:rsidRPr="00A34470">
        <w:rPr>
          <w:rFonts w:ascii="Arial" w:hAnsi="Arial" w:cs="Arial"/>
          <w:b/>
          <w:bCs/>
          <w:color w:val="4F81BD" w:themeColor="accent1"/>
        </w:rPr>
        <w:t xml:space="preserve">Ensuring that merchants have the ability to choose to route their transactions via lower-cost networks or processors. </w:t>
      </w:r>
    </w:p>
    <w:p w:rsidR="002755D0" w:rsidRPr="00EE6E85" w:rsidRDefault="002755D0" w:rsidP="00F938B8">
      <w:pPr>
        <w:rPr>
          <w:rFonts w:ascii="Arial" w:hAnsi="Arial" w:cs="Arial"/>
          <w:sz w:val="22"/>
          <w:szCs w:val="22"/>
        </w:rPr>
      </w:pPr>
    </w:p>
    <w:p w:rsidR="00F938B8" w:rsidRPr="00EE6E85" w:rsidRDefault="00EE6E85" w:rsidP="00F938B8">
      <w:pPr>
        <w:rPr>
          <w:rFonts w:ascii="Arial" w:hAnsi="Arial" w:cs="Arial"/>
          <w:sz w:val="22"/>
          <w:szCs w:val="22"/>
        </w:rPr>
      </w:pPr>
      <w:r>
        <w:rPr>
          <w:rFonts w:ascii="Arial" w:hAnsi="Arial" w:cs="Arial"/>
          <w:sz w:val="22"/>
          <w:szCs w:val="22"/>
        </w:rPr>
        <w:t>The Bank does not support</w:t>
      </w:r>
      <w:r w:rsidR="002D1338">
        <w:rPr>
          <w:rFonts w:ascii="Arial" w:hAnsi="Arial" w:cs="Arial"/>
          <w:sz w:val="22"/>
          <w:szCs w:val="22"/>
        </w:rPr>
        <w:t xml:space="preserve"> allowing merchants the ability to route transactions via alternate networks.  Apart from the technical challenges inherent in this proposal, and the technical inefficiencies it would introduce, such an option overrides cardholder selection of card brand and card features – and potentially negates the benefit that drove a cardholder to select a certain card in the first place – such as the provision of insurance protection which would be jeopardised if an alternate network were to be selected by the merchant at the point of sale.</w:t>
      </w:r>
    </w:p>
    <w:p w:rsidR="002755D0" w:rsidRPr="00EE6E85" w:rsidRDefault="002755D0"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autoSpaceDE w:val="0"/>
        <w:autoSpaceDN w:val="0"/>
        <w:adjustRightInd w:val="0"/>
        <w:ind w:left="851" w:hanging="491"/>
        <w:contextualSpacing/>
        <w:rPr>
          <w:rFonts w:ascii="Arial" w:hAnsi="Arial" w:cs="Arial"/>
          <w:b/>
          <w:color w:val="4F81BD" w:themeColor="accent1"/>
        </w:rPr>
      </w:pPr>
      <w:r w:rsidRPr="00A34470">
        <w:rPr>
          <w:rFonts w:ascii="Arial" w:hAnsi="Arial" w:cs="Arial"/>
          <w:b/>
          <w:bCs/>
          <w:color w:val="4F81BD" w:themeColor="accent1"/>
        </w:rPr>
        <w:t xml:space="preserve">Clarifying arrangements for competing payment options within a single device or application. </w:t>
      </w:r>
    </w:p>
    <w:p w:rsidR="002755D0" w:rsidRPr="002D1338" w:rsidRDefault="002755D0" w:rsidP="002755D0">
      <w:pPr>
        <w:tabs>
          <w:tab w:val="left" w:pos="851"/>
        </w:tabs>
        <w:autoSpaceDE w:val="0"/>
        <w:autoSpaceDN w:val="0"/>
        <w:adjustRightInd w:val="0"/>
        <w:contextualSpacing/>
        <w:rPr>
          <w:rFonts w:ascii="Arial" w:hAnsi="Arial" w:cs="Arial"/>
          <w:sz w:val="22"/>
          <w:szCs w:val="22"/>
        </w:rPr>
      </w:pPr>
    </w:p>
    <w:p w:rsidR="00F938B8" w:rsidRDefault="002D1338"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In August 2013, RBA announced that agreement had been reached between the three debit card networks over dual-network debit cards.  These agreements have been kept confidential between the RBA and the respective network.  If these agreements are now found to be wanting, then clarification through greater transparency and more rigorous enforcement may be required.</w:t>
      </w:r>
    </w:p>
    <w:p w:rsidR="002D1338" w:rsidRDefault="002D1338" w:rsidP="002755D0">
      <w:pPr>
        <w:tabs>
          <w:tab w:val="left" w:pos="851"/>
        </w:tabs>
        <w:autoSpaceDE w:val="0"/>
        <w:autoSpaceDN w:val="0"/>
        <w:adjustRightInd w:val="0"/>
        <w:contextualSpacing/>
        <w:rPr>
          <w:rFonts w:ascii="Arial" w:hAnsi="Arial" w:cs="Arial"/>
          <w:sz w:val="22"/>
          <w:szCs w:val="22"/>
        </w:rPr>
      </w:pPr>
    </w:p>
    <w:p w:rsidR="002D1338" w:rsidRPr="002D1338" w:rsidRDefault="002D1338" w:rsidP="002755D0">
      <w:pPr>
        <w:tabs>
          <w:tab w:val="left" w:pos="851"/>
        </w:tabs>
        <w:autoSpaceDE w:val="0"/>
        <w:autoSpaceDN w:val="0"/>
        <w:adjustRightInd w:val="0"/>
        <w:contextualSpacing/>
        <w:rPr>
          <w:rFonts w:ascii="Arial" w:hAnsi="Arial" w:cs="Arial"/>
          <w:sz w:val="22"/>
          <w:szCs w:val="22"/>
        </w:rPr>
      </w:pPr>
      <w:r>
        <w:rPr>
          <w:rFonts w:ascii="Arial" w:hAnsi="Arial" w:cs="Arial"/>
          <w:sz w:val="22"/>
          <w:szCs w:val="22"/>
        </w:rPr>
        <w:t>A central element of this issue is, to our view, the ability for card issuers to have the right to select which application is “Priority One”, rather than have that di</w:t>
      </w:r>
      <w:r w:rsidR="006166AA">
        <w:rPr>
          <w:rFonts w:ascii="Arial" w:hAnsi="Arial" w:cs="Arial"/>
          <w:sz w:val="22"/>
          <w:szCs w:val="22"/>
        </w:rPr>
        <w:t>ctated by a card network.  Clarification and confirmation of this would be a welcome development.</w:t>
      </w:r>
    </w:p>
    <w:p w:rsidR="00F938B8" w:rsidRPr="002D1338" w:rsidRDefault="00F938B8" w:rsidP="002755D0">
      <w:pPr>
        <w:tabs>
          <w:tab w:val="left" w:pos="851"/>
        </w:tabs>
        <w:autoSpaceDE w:val="0"/>
        <w:autoSpaceDN w:val="0"/>
        <w:adjustRightInd w:val="0"/>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ind w:left="850" w:hanging="493"/>
        <w:contextualSpacing/>
        <w:rPr>
          <w:rFonts w:ascii="Arial" w:hAnsi="Arial" w:cs="Arial"/>
          <w:b/>
          <w:color w:val="4F81BD" w:themeColor="accent1"/>
        </w:rPr>
      </w:pPr>
      <w:r w:rsidRPr="00A34470">
        <w:rPr>
          <w:rFonts w:ascii="Arial" w:hAnsi="Arial" w:cs="Arial"/>
          <w:b/>
          <w:color w:val="4F81BD" w:themeColor="accent1"/>
        </w:rPr>
        <w:t xml:space="preserve">Stakeholder views on the appropriate regulatory arrangements for prepaid cards </w:t>
      </w:r>
    </w:p>
    <w:p w:rsidR="002755D0" w:rsidRPr="006166AA" w:rsidRDefault="002755D0" w:rsidP="00F938B8">
      <w:pPr>
        <w:rPr>
          <w:rFonts w:ascii="Arial" w:hAnsi="Arial" w:cs="Arial"/>
          <w:sz w:val="22"/>
          <w:szCs w:val="22"/>
        </w:rPr>
      </w:pPr>
    </w:p>
    <w:p w:rsidR="002755D0" w:rsidRPr="006166AA" w:rsidRDefault="006166AA" w:rsidP="002755D0">
      <w:pPr>
        <w:tabs>
          <w:tab w:val="left" w:pos="851"/>
        </w:tabs>
        <w:contextualSpacing/>
        <w:rPr>
          <w:rFonts w:ascii="Arial" w:hAnsi="Arial" w:cs="Arial"/>
          <w:sz w:val="22"/>
          <w:szCs w:val="22"/>
        </w:rPr>
      </w:pPr>
      <w:r>
        <w:rPr>
          <w:rFonts w:ascii="Arial" w:hAnsi="Arial" w:cs="Arial"/>
          <w:sz w:val="22"/>
          <w:szCs w:val="22"/>
        </w:rPr>
        <w:t xml:space="preserve">Further to Issue 7 above, the Bank believes that debit card regulation should encompass prepaid cards.  We </w:t>
      </w:r>
      <w:r w:rsidR="001B67EF">
        <w:rPr>
          <w:rFonts w:ascii="Arial" w:hAnsi="Arial" w:cs="Arial"/>
          <w:sz w:val="22"/>
          <w:szCs w:val="22"/>
        </w:rPr>
        <w:t xml:space="preserve">understand </w:t>
      </w:r>
      <w:r>
        <w:rPr>
          <w:rFonts w:ascii="Arial" w:hAnsi="Arial" w:cs="Arial"/>
          <w:sz w:val="22"/>
          <w:szCs w:val="22"/>
        </w:rPr>
        <w:t>that this is currently the case; confirmation of the existing approach may be beneficial.</w:t>
      </w:r>
    </w:p>
    <w:p w:rsidR="00F938B8" w:rsidRPr="006166AA" w:rsidRDefault="00F938B8" w:rsidP="002755D0">
      <w:pPr>
        <w:tabs>
          <w:tab w:val="left" w:pos="851"/>
        </w:tabs>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ind w:left="850" w:hanging="493"/>
        <w:contextualSpacing/>
        <w:rPr>
          <w:rFonts w:ascii="Arial" w:hAnsi="Arial" w:cs="Arial"/>
          <w:b/>
          <w:color w:val="4F81BD" w:themeColor="accent1"/>
        </w:rPr>
      </w:pPr>
      <w:r w:rsidRPr="00A34470">
        <w:rPr>
          <w:rFonts w:ascii="Arial" w:hAnsi="Arial" w:cs="Arial"/>
          <w:b/>
          <w:color w:val="4F81BD" w:themeColor="accent1"/>
        </w:rPr>
        <w:t>Other issues concerning card payments and their role in the broader retail payments system</w:t>
      </w:r>
    </w:p>
    <w:p w:rsidR="002755D0" w:rsidRPr="003E02D6" w:rsidRDefault="002755D0" w:rsidP="002755D0">
      <w:pPr>
        <w:tabs>
          <w:tab w:val="left" w:pos="851"/>
        </w:tabs>
        <w:contextualSpacing/>
        <w:rPr>
          <w:rFonts w:ascii="Arial" w:hAnsi="Arial" w:cs="Arial"/>
          <w:sz w:val="22"/>
          <w:szCs w:val="22"/>
        </w:rPr>
      </w:pPr>
    </w:p>
    <w:p w:rsidR="00F938B8" w:rsidRDefault="00EF5B6D" w:rsidP="002755D0">
      <w:pPr>
        <w:tabs>
          <w:tab w:val="left" w:pos="851"/>
        </w:tabs>
        <w:contextualSpacing/>
        <w:rPr>
          <w:rFonts w:ascii="Arial" w:hAnsi="Arial" w:cs="Arial"/>
          <w:sz w:val="22"/>
          <w:szCs w:val="22"/>
        </w:rPr>
      </w:pPr>
      <w:r>
        <w:rPr>
          <w:rFonts w:ascii="Arial" w:hAnsi="Arial" w:cs="Arial"/>
          <w:sz w:val="22"/>
          <w:szCs w:val="22"/>
        </w:rPr>
        <w:t xml:space="preserve">Earlier in this Submission, the Bank made comment on a number of principles and themes.  We repeat the view that competition, investment and innovation is evident </w:t>
      </w:r>
      <w:r w:rsidR="00F10A31">
        <w:rPr>
          <w:rFonts w:ascii="Arial" w:hAnsi="Arial" w:cs="Arial"/>
          <w:sz w:val="22"/>
          <w:szCs w:val="22"/>
        </w:rPr>
        <w:t xml:space="preserve">in the market for card payments, </w:t>
      </w:r>
      <w:r w:rsidR="00357CEF">
        <w:rPr>
          <w:rFonts w:ascii="Arial" w:hAnsi="Arial" w:cs="Arial"/>
          <w:sz w:val="22"/>
          <w:szCs w:val="22"/>
        </w:rPr>
        <w:t>while acknowledging</w:t>
      </w:r>
      <w:r>
        <w:rPr>
          <w:rFonts w:ascii="Arial" w:hAnsi="Arial" w:cs="Arial"/>
          <w:sz w:val="22"/>
          <w:szCs w:val="22"/>
        </w:rPr>
        <w:t xml:space="preserve"> that light-handed regulation can play an important role in promoting the movement away from less efficient forms of payment such as cheques and cash.  We take this opportunity to urge further RBA action in </w:t>
      </w:r>
      <w:r w:rsidR="00357CEF">
        <w:rPr>
          <w:rFonts w:ascii="Arial" w:hAnsi="Arial" w:cs="Arial"/>
          <w:sz w:val="22"/>
          <w:szCs w:val="22"/>
        </w:rPr>
        <w:t>support of such a migration</w:t>
      </w:r>
      <w:r>
        <w:rPr>
          <w:rFonts w:ascii="Arial" w:hAnsi="Arial" w:cs="Arial"/>
          <w:sz w:val="22"/>
          <w:szCs w:val="22"/>
        </w:rPr>
        <w:t>.</w:t>
      </w:r>
    </w:p>
    <w:p w:rsidR="00C30503" w:rsidRDefault="00C30503" w:rsidP="002755D0">
      <w:pPr>
        <w:tabs>
          <w:tab w:val="left" w:pos="851"/>
        </w:tabs>
        <w:contextualSpacing/>
        <w:rPr>
          <w:rFonts w:ascii="Arial" w:hAnsi="Arial" w:cs="Arial"/>
          <w:sz w:val="22"/>
          <w:szCs w:val="22"/>
        </w:rPr>
      </w:pPr>
    </w:p>
    <w:p w:rsidR="00C30503" w:rsidRDefault="00C30503" w:rsidP="002755D0">
      <w:pPr>
        <w:tabs>
          <w:tab w:val="left" w:pos="851"/>
        </w:tabs>
        <w:contextualSpacing/>
        <w:rPr>
          <w:rFonts w:ascii="Arial" w:hAnsi="Arial" w:cs="Arial"/>
          <w:sz w:val="22"/>
          <w:szCs w:val="22"/>
        </w:rPr>
      </w:pPr>
      <w:r>
        <w:rPr>
          <w:rFonts w:ascii="Arial" w:hAnsi="Arial" w:cs="Arial"/>
          <w:sz w:val="22"/>
          <w:szCs w:val="22"/>
        </w:rPr>
        <w:t xml:space="preserve">It is also important to stress the two sided nature of the cards payments network.  In our opinion, the current debate has tended to overlook the importance of, and potential impact on, </w:t>
      </w:r>
      <w:r w:rsidR="00E8349A">
        <w:rPr>
          <w:rFonts w:ascii="Arial" w:hAnsi="Arial" w:cs="Arial"/>
          <w:sz w:val="22"/>
          <w:szCs w:val="22"/>
        </w:rPr>
        <w:t>cardholders.  The above discussion has deliberately sought to re-balance this debate.</w:t>
      </w:r>
    </w:p>
    <w:p w:rsidR="00436BB6" w:rsidRDefault="00436BB6" w:rsidP="002755D0">
      <w:pPr>
        <w:tabs>
          <w:tab w:val="left" w:pos="851"/>
        </w:tabs>
        <w:contextualSpacing/>
        <w:rPr>
          <w:rFonts w:ascii="Arial" w:hAnsi="Arial" w:cs="Arial"/>
          <w:sz w:val="22"/>
          <w:szCs w:val="22"/>
        </w:rPr>
      </w:pPr>
    </w:p>
    <w:p w:rsidR="00EF5B6D" w:rsidRPr="00EF5B6D" w:rsidRDefault="00EF5B6D" w:rsidP="00EF5B6D">
      <w:pPr>
        <w:tabs>
          <w:tab w:val="left" w:pos="851"/>
        </w:tabs>
        <w:contextualSpacing/>
        <w:rPr>
          <w:rFonts w:ascii="Arial" w:hAnsi="Arial" w:cs="Arial"/>
          <w:sz w:val="22"/>
          <w:szCs w:val="22"/>
        </w:rPr>
      </w:pPr>
      <w:r w:rsidRPr="00EF5B6D">
        <w:rPr>
          <w:rFonts w:ascii="Arial" w:hAnsi="Arial" w:cs="Arial"/>
          <w:sz w:val="22"/>
          <w:szCs w:val="22"/>
        </w:rPr>
        <w:lastRenderedPageBreak/>
        <w:t>Interchange fees have been shown to be an important component of network growth and efficiency</w:t>
      </w:r>
      <w:r>
        <w:rPr>
          <w:rFonts w:ascii="Arial" w:hAnsi="Arial" w:cs="Arial"/>
          <w:sz w:val="22"/>
          <w:szCs w:val="22"/>
        </w:rPr>
        <w:t xml:space="preserve"> a</w:t>
      </w:r>
      <w:r w:rsidRPr="00EF5B6D">
        <w:rPr>
          <w:rFonts w:ascii="Arial" w:hAnsi="Arial" w:cs="Arial"/>
          <w:sz w:val="22"/>
          <w:szCs w:val="22"/>
        </w:rPr>
        <w:t>nd while some incremental fine tuning of regulation may be possible – introduced with a view to minimising market disruption – it is important that any regulatory response be cognisant of the size of the issue being addressed.  Erring on the side of less intrusive regulation, rather than more, is to be preferred.</w:t>
      </w:r>
    </w:p>
    <w:p w:rsidR="00E8349A" w:rsidRPr="00EF5B6D" w:rsidRDefault="00E8349A" w:rsidP="002755D0">
      <w:pPr>
        <w:tabs>
          <w:tab w:val="left" w:pos="851"/>
        </w:tabs>
        <w:contextualSpacing/>
        <w:rPr>
          <w:rFonts w:ascii="Arial" w:hAnsi="Arial" w:cs="Arial"/>
          <w:sz w:val="22"/>
          <w:szCs w:val="22"/>
        </w:rPr>
      </w:pPr>
    </w:p>
    <w:p w:rsidR="002755D0" w:rsidRPr="00A34470" w:rsidRDefault="002755D0" w:rsidP="002755D0">
      <w:pPr>
        <w:pStyle w:val="ListParagraph"/>
        <w:numPr>
          <w:ilvl w:val="0"/>
          <w:numId w:val="41"/>
        </w:numPr>
        <w:tabs>
          <w:tab w:val="left" w:pos="851"/>
        </w:tabs>
        <w:ind w:left="850" w:hanging="493"/>
        <w:contextualSpacing/>
        <w:rPr>
          <w:rFonts w:ascii="Arial" w:hAnsi="Arial" w:cs="Arial"/>
          <w:b/>
          <w:color w:val="4F81BD" w:themeColor="accent1"/>
        </w:rPr>
      </w:pPr>
      <w:r w:rsidRPr="00A34470">
        <w:rPr>
          <w:rFonts w:ascii="Arial" w:hAnsi="Arial" w:cs="Arial"/>
          <w:b/>
          <w:color w:val="4F81BD" w:themeColor="accent1"/>
        </w:rPr>
        <w:t xml:space="preserve">Additional measures that the Bank should consider in a review of the regulatory framework </w:t>
      </w:r>
    </w:p>
    <w:p w:rsidR="00021C53" w:rsidRPr="00EF5B6D" w:rsidRDefault="00021C53" w:rsidP="002452DC">
      <w:pPr>
        <w:rPr>
          <w:rFonts w:ascii="Arial" w:hAnsi="Arial" w:cs="Arial"/>
          <w:sz w:val="22"/>
          <w:szCs w:val="22"/>
        </w:rPr>
      </w:pPr>
    </w:p>
    <w:p w:rsidR="00EF5B6D" w:rsidRPr="00EF5B6D" w:rsidRDefault="00EF5B6D" w:rsidP="002452DC">
      <w:pPr>
        <w:rPr>
          <w:rFonts w:ascii="Arial" w:hAnsi="Arial" w:cs="Arial"/>
          <w:sz w:val="22"/>
          <w:szCs w:val="22"/>
        </w:rPr>
      </w:pPr>
      <w:r>
        <w:rPr>
          <w:rFonts w:ascii="Arial" w:hAnsi="Arial" w:cs="Arial"/>
          <w:sz w:val="22"/>
          <w:szCs w:val="22"/>
        </w:rPr>
        <w:t xml:space="preserve">We will happily expand further on any of the </w:t>
      </w:r>
      <w:proofErr w:type="gramStart"/>
      <w:r>
        <w:rPr>
          <w:rFonts w:ascii="Arial" w:hAnsi="Arial" w:cs="Arial"/>
          <w:sz w:val="22"/>
          <w:szCs w:val="22"/>
        </w:rPr>
        <w:t>above,</w:t>
      </w:r>
      <w:proofErr w:type="gramEnd"/>
      <w:r>
        <w:rPr>
          <w:rFonts w:ascii="Arial" w:hAnsi="Arial" w:cs="Arial"/>
          <w:sz w:val="22"/>
          <w:szCs w:val="22"/>
        </w:rPr>
        <w:t xml:space="preserve"> or related matters</w:t>
      </w:r>
      <w:r w:rsidR="00956615">
        <w:rPr>
          <w:rFonts w:ascii="Arial" w:hAnsi="Arial" w:cs="Arial"/>
          <w:sz w:val="22"/>
          <w:szCs w:val="22"/>
        </w:rPr>
        <w:t>,</w:t>
      </w:r>
      <w:r w:rsidR="00436BB6">
        <w:rPr>
          <w:rFonts w:ascii="Arial" w:hAnsi="Arial" w:cs="Arial"/>
          <w:sz w:val="22"/>
          <w:szCs w:val="22"/>
        </w:rPr>
        <w:t xml:space="preserve"> when we meet to discuss this Submission.</w:t>
      </w:r>
    </w:p>
    <w:p w:rsidR="008A17BC" w:rsidRDefault="008A17BC" w:rsidP="002452DC">
      <w:pPr>
        <w:rPr>
          <w:rFonts w:ascii="Arial" w:hAnsi="Arial" w:cs="Arial"/>
          <w:sz w:val="22"/>
          <w:szCs w:val="22"/>
        </w:rPr>
      </w:pPr>
    </w:p>
    <w:p w:rsidR="00EF5B6D" w:rsidRDefault="00E8349A" w:rsidP="002452DC">
      <w:pPr>
        <w:rPr>
          <w:rFonts w:ascii="Arial" w:hAnsi="Arial" w:cs="Arial"/>
          <w:sz w:val="22"/>
          <w:szCs w:val="22"/>
        </w:rPr>
      </w:pPr>
      <w:r>
        <w:rPr>
          <w:rFonts w:ascii="Arial" w:hAnsi="Arial" w:cs="Arial"/>
          <w:sz w:val="22"/>
          <w:szCs w:val="22"/>
        </w:rPr>
        <w:t>In the meantime, t</w:t>
      </w:r>
      <w:r w:rsidR="00E9076A">
        <w:rPr>
          <w:rFonts w:ascii="Arial" w:hAnsi="Arial" w:cs="Arial"/>
          <w:sz w:val="22"/>
          <w:szCs w:val="22"/>
        </w:rPr>
        <w:t>he above discussion canvasses a range of issues and responses thereto.  At a high level, and by way of summary, we see merit in further exploring a “solutions package” that might include the following:</w:t>
      </w:r>
    </w:p>
    <w:p w:rsidR="00EF5B6D" w:rsidRDefault="00EF5B6D" w:rsidP="002452DC">
      <w:pPr>
        <w:rPr>
          <w:rFonts w:ascii="Arial" w:hAnsi="Arial" w:cs="Arial"/>
          <w:sz w:val="22"/>
          <w:szCs w:val="22"/>
        </w:rPr>
      </w:pPr>
    </w:p>
    <w:p w:rsidR="00EF5B6D" w:rsidRDefault="00C30503" w:rsidP="00C30503">
      <w:pPr>
        <w:pStyle w:val="ListParagraph"/>
        <w:numPr>
          <w:ilvl w:val="0"/>
          <w:numId w:val="42"/>
        </w:numPr>
        <w:rPr>
          <w:rFonts w:ascii="Arial" w:hAnsi="Arial" w:cs="Arial"/>
        </w:rPr>
      </w:pPr>
      <w:r>
        <w:rPr>
          <w:rFonts w:ascii="Arial" w:hAnsi="Arial" w:cs="Arial"/>
        </w:rPr>
        <w:t>Restrict price regulation to those instances where a genuine multi-lateral interchange fee is in place;</w:t>
      </w:r>
    </w:p>
    <w:p w:rsidR="00C30503" w:rsidRDefault="00C30503" w:rsidP="00C30503">
      <w:pPr>
        <w:pStyle w:val="ListParagraph"/>
        <w:numPr>
          <w:ilvl w:val="0"/>
          <w:numId w:val="42"/>
        </w:numPr>
        <w:rPr>
          <w:rFonts w:ascii="Arial" w:hAnsi="Arial" w:cs="Arial"/>
        </w:rPr>
      </w:pPr>
      <w:r>
        <w:rPr>
          <w:rFonts w:ascii="Arial" w:hAnsi="Arial" w:cs="Arial"/>
        </w:rPr>
        <w:t>Introduce a “cap and collar” approach (separately for debit and for credit networks) around the current weighted average interchange fee;</w:t>
      </w:r>
    </w:p>
    <w:p w:rsidR="00C30503" w:rsidRDefault="00C30503" w:rsidP="00C30503">
      <w:pPr>
        <w:pStyle w:val="ListParagraph"/>
        <w:numPr>
          <w:ilvl w:val="0"/>
          <w:numId w:val="42"/>
        </w:numPr>
        <w:rPr>
          <w:rFonts w:ascii="Arial" w:hAnsi="Arial" w:cs="Arial"/>
        </w:rPr>
      </w:pPr>
      <w:r>
        <w:rPr>
          <w:rFonts w:ascii="Arial" w:hAnsi="Arial" w:cs="Arial"/>
        </w:rPr>
        <w:t>Introduce annual reset periods; and</w:t>
      </w:r>
    </w:p>
    <w:p w:rsidR="00C30503" w:rsidRDefault="00C30503" w:rsidP="00C30503">
      <w:pPr>
        <w:pStyle w:val="ListParagraph"/>
        <w:numPr>
          <w:ilvl w:val="0"/>
          <w:numId w:val="42"/>
        </w:numPr>
        <w:rPr>
          <w:rFonts w:ascii="Arial" w:hAnsi="Arial" w:cs="Arial"/>
        </w:rPr>
      </w:pPr>
      <w:r>
        <w:rPr>
          <w:rFonts w:ascii="Arial" w:hAnsi="Arial" w:cs="Arial"/>
        </w:rPr>
        <w:t>Permit surcharging for unregulated networks only.</w:t>
      </w:r>
    </w:p>
    <w:p w:rsidR="00C30503" w:rsidRPr="00C30503" w:rsidRDefault="00C30503" w:rsidP="00C30503">
      <w:pPr>
        <w:rPr>
          <w:rFonts w:ascii="Arial" w:hAnsi="Arial" w:cs="Arial"/>
          <w:sz w:val="22"/>
          <w:szCs w:val="22"/>
        </w:rPr>
      </w:pPr>
    </w:p>
    <w:p w:rsidR="00C30503" w:rsidRPr="00C30503" w:rsidRDefault="001B67EF" w:rsidP="00C30503">
      <w:pPr>
        <w:rPr>
          <w:rFonts w:ascii="Arial" w:hAnsi="Arial" w:cs="Arial"/>
          <w:sz w:val="22"/>
          <w:szCs w:val="22"/>
        </w:rPr>
      </w:pPr>
      <w:r>
        <w:rPr>
          <w:rFonts w:ascii="Arial" w:hAnsi="Arial" w:cs="Arial"/>
          <w:sz w:val="22"/>
          <w:szCs w:val="22"/>
        </w:rPr>
        <w:t>In our view,</w:t>
      </w:r>
      <w:r w:rsidR="00C30503">
        <w:rPr>
          <w:rFonts w:ascii="Arial" w:hAnsi="Arial" w:cs="Arial"/>
          <w:sz w:val="22"/>
          <w:szCs w:val="22"/>
        </w:rPr>
        <w:t xml:space="preserve"> such a model, further embellished with points of detail discussed above, will address the vast majority of issues articulated in the RBA’s Issues Paper</w:t>
      </w:r>
      <w:r w:rsidR="00E8349A">
        <w:rPr>
          <w:rFonts w:ascii="Arial" w:hAnsi="Arial" w:cs="Arial"/>
          <w:sz w:val="22"/>
          <w:szCs w:val="22"/>
        </w:rPr>
        <w:t>.  We believe that this approach would result in less market disruption than a more interventionist approach, minimis</w:t>
      </w:r>
      <w:r w:rsidR="00B36297">
        <w:rPr>
          <w:rFonts w:ascii="Arial" w:hAnsi="Arial" w:cs="Arial"/>
          <w:sz w:val="22"/>
          <w:szCs w:val="22"/>
        </w:rPr>
        <w:t>ing</w:t>
      </w:r>
      <w:r w:rsidR="00E8349A">
        <w:rPr>
          <w:rFonts w:ascii="Arial" w:hAnsi="Arial" w:cs="Arial"/>
          <w:sz w:val="22"/>
          <w:szCs w:val="22"/>
        </w:rPr>
        <w:t xml:space="preserve"> adverse cardholder impacts, and significantly simplify</w:t>
      </w:r>
      <w:r w:rsidR="00B36297">
        <w:rPr>
          <w:rFonts w:ascii="Arial" w:hAnsi="Arial" w:cs="Arial"/>
          <w:sz w:val="22"/>
          <w:szCs w:val="22"/>
        </w:rPr>
        <w:t>ing</w:t>
      </w:r>
      <w:r w:rsidR="00E8349A">
        <w:rPr>
          <w:rFonts w:ascii="Arial" w:hAnsi="Arial" w:cs="Arial"/>
          <w:sz w:val="22"/>
          <w:szCs w:val="22"/>
        </w:rPr>
        <w:t xml:space="preserve"> merchant pricing.</w:t>
      </w:r>
    </w:p>
    <w:p w:rsidR="00021C53" w:rsidRPr="0018305B" w:rsidRDefault="00021C53" w:rsidP="002452DC">
      <w:pPr>
        <w:rPr>
          <w:rFonts w:ascii="Arial" w:hAnsi="Arial" w:cs="Arial"/>
          <w:sz w:val="22"/>
          <w:szCs w:val="22"/>
        </w:rPr>
      </w:pPr>
    </w:p>
    <w:p w:rsidR="0061318D" w:rsidRPr="0018305B" w:rsidRDefault="002452DC" w:rsidP="002452DC">
      <w:pPr>
        <w:rPr>
          <w:rFonts w:ascii="Arial" w:hAnsi="Arial" w:cs="Arial"/>
          <w:sz w:val="22"/>
          <w:szCs w:val="22"/>
        </w:rPr>
      </w:pPr>
      <w:r w:rsidRPr="0018305B">
        <w:rPr>
          <w:rFonts w:ascii="Arial" w:hAnsi="Arial" w:cs="Arial"/>
          <w:sz w:val="22"/>
          <w:szCs w:val="22"/>
        </w:rPr>
        <w:t xml:space="preserve">Thank you again for the opportunity </w:t>
      </w:r>
      <w:r w:rsidR="00485181" w:rsidRPr="0018305B">
        <w:rPr>
          <w:rFonts w:ascii="Arial" w:hAnsi="Arial" w:cs="Arial"/>
          <w:sz w:val="22"/>
          <w:szCs w:val="22"/>
        </w:rPr>
        <w:t xml:space="preserve">to </w:t>
      </w:r>
      <w:r w:rsidR="00021C53">
        <w:rPr>
          <w:rFonts w:ascii="Arial" w:hAnsi="Arial" w:cs="Arial"/>
          <w:sz w:val="22"/>
          <w:szCs w:val="22"/>
        </w:rPr>
        <w:t xml:space="preserve">lodge this </w:t>
      </w:r>
      <w:r w:rsidR="00DE456D">
        <w:rPr>
          <w:rFonts w:ascii="Arial" w:hAnsi="Arial" w:cs="Arial"/>
          <w:sz w:val="22"/>
          <w:szCs w:val="22"/>
        </w:rPr>
        <w:t>S</w:t>
      </w:r>
      <w:r w:rsidR="00021C53">
        <w:rPr>
          <w:rFonts w:ascii="Arial" w:hAnsi="Arial" w:cs="Arial"/>
          <w:sz w:val="22"/>
          <w:szCs w:val="22"/>
        </w:rPr>
        <w:t>ubmission</w:t>
      </w:r>
      <w:r w:rsidR="00B3691D">
        <w:rPr>
          <w:rFonts w:ascii="Arial" w:hAnsi="Arial" w:cs="Arial"/>
          <w:sz w:val="22"/>
          <w:szCs w:val="22"/>
        </w:rPr>
        <w:t xml:space="preserve">.  </w:t>
      </w:r>
      <w:r w:rsidR="0061318D" w:rsidRPr="0018305B">
        <w:rPr>
          <w:rFonts w:ascii="Arial" w:hAnsi="Arial" w:cs="Arial"/>
          <w:sz w:val="22"/>
          <w:szCs w:val="22"/>
        </w:rPr>
        <w:t xml:space="preserve">We </w:t>
      </w:r>
      <w:r w:rsidR="00021C53">
        <w:rPr>
          <w:rFonts w:ascii="Arial" w:hAnsi="Arial" w:cs="Arial"/>
          <w:sz w:val="22"/>
          <w:szCs w:val="22"/>
        </w:rPr>
        <w:t xml:space="preserve">look forward to discussing the above, and related, matters with you </w:t>
      </w:r>
      <w:r w:rsidR="00B3691D">
        <w:rPr>
          <w:rFonts w:ascii="Arial" w:hAnsi="Arial" w:cs="Arial"/>
          <w:sz w:val="22"/>
          <w:szCs w:val="22"/>
        </w:rPr>
        <w:t>and to that end</w:t>
      </w:r>
      <w:r w:rsidR="002755D0">
        <w:rPr>
          <w:rFonts w:ascii="Arial" w:hAnsi="Arial" w:cs="Arial"/>
          <w:sz w:val="22"/>
          <w:szCs w:val="22"/>
        </w:rPr>
        <w:t xml:space="preserve"> we ask that you </w:t>
      </w:r>
      <w:r w:rsidR="00B3691D">
        <w:rPr>
          <w:rFonts w:ascii="Arial" w:hAnsi="Arial" w:cs="Arial"/>
          <w:sz w:val="22"/>
          <w:szCs w:val="22"/>
        </w:rPr>
        <w:t>contact the undersigned</w:t>
      </w:r>
      <w:r w:rsidR="002755D0">
        <w:rPr>
          <w:rFonts w:ascii="Arial" w:hAnsi="Arial" w:cs="Arial"/>
          <w:sz w:val="22"/>
          <w:szCs w:val="22"/>
        </w:rPr>
        <w:t xml:space="preserve"> to arrange a suitable opportunity</w:t>
      </w:r>
      <w:r w:rsidR="0061318D" w:rsidRPr="0018305B">
        <w:rPr>
          <w:rFonts w:ascii="Arial" w:hAnsi="Arial" w:cs="Arial"/>
          <w:sz w:val="22"/>
          <w:szCs w:val="22"/>
        </w:rPr>
        <w:t>.</w:t>
      </w:r>
    </w:p>
    <w:p w:rsidR="0061318D" w:rsidRDefault="0061318D" w:rsidP="002452DC">
      <w:pPr>
        <w:rPr>
          <w:rFonts w:ascii="Arial" w:hAnsi="Arial" w:cs="Arial"/>
          <w:sz w:val="22"/>
          <w:szCs w:val="22"/>
        </w:rPr>
      </w:pPr>
    </w:p>
    <w:p w:rsidR="002452DC" w:rsidRPr="0018305B" w:rsidRDefault="002452DC" w:rsidP="00E9632C">
      <w:pPr>
        <w:rPr>
          <w:rFonts w:ascii="Arial" w:hAnsi="Arial" w:cs="Arial"/>
          <w:sz w:val="22"/>
          <w:szCs w:val="22"/>
        </w:rPr>
      </w:pPr>
    </w:p>
    <w:p w:rsidR="005400E8" w:rsidRPr="0018305B" w:rsidRDefault="005400E8" w:rsidP="001C05C7">
      <w:pPr>
        <w:jc w:val="both"/>
        <w:rPr>
          <w:rFonts w:ascii="Arial" w:hAnsi="Arial" w:cs="Arial"/>
          <w:sz w:val="22"/>
          <w:szCs w:val="22"/>
        </w:rPr>
      </w:pPr>
      <w:r w:rsidRPr="0018305B">
        <w:rPr>
          <w:rFonts w:ascii="Arial" w:hAnsi="Arial" w:cs="Arial"/>
          <w:sz w:val="22"/>
          <w:szCs w:val="22"/>
        </w:rPr>
        <w:t>Yours sincerely</w:t>
      </w:r>
    </w:p>
    <w:p w:rsidR="005400E8" w:rsidRPr="004946C3" w:rsidRDefault="005400E8" w:rsidP="001C05C7">
      <w:pPr>
        <w:jc w:val="both"/>
        <w:rPr>
          <w:rFonts w:ascii="Arial" w:hAnsi="Arial" w:cs="Arial"/>
          <w:sz w:val="22"/>
          <w:szCs w:val="22"/>
        </w:rPr>
      </w:pPr>
    </w:p>
    <w:p w:rsidR="0061318D" w:rsidRPr="004946C3" w:rsidRDefault="0061318D" w:rsidP="001C05C7">
      <w:pPr>
        <w:jc w:val="both"/>
        <w:rPr>
          <w:rFonts w:ascii="Arial" w:hAnsi="Arial" w:cs="Arial"/>
          <w:sz w:val="22"/>
          <w:szCs w:val="22"/>
        </w:rPr>
      </w:pPr>
    </w:p>
    <w:p w:rsidR="0061318D" w:rsidRPr="004946C3" w:rsidRDefault="0061318D" w:rsidP="001C05C7">
      <w:pPr>
        <w:jc w:val="both"/>
        <w:rPr>
          <w:rFonts w:ascii="Arial" w:hAnsi="Arial" w:cs="Arial"/>
          <w:sz w:val="22"/>
          <w:szCs w:val="22"/>
        </w:rPr>
      </w:pPr>
    </w:p>
    <w:p w:rsidR="0018305B" w:rsidRPr="003244ED" w:rsidRDefault="00A91B3D" w:rsidP="001C05C7">
      <w:pPr>
        <w:jc w:val="both"/>
        <w:rPr>
          <w:rFonts w:ascii="Arial" w:hAnsi="Arial" w:cs="Arial"/>
          <w:i/>
          <w:sz w:val="22"/>
          <w:szCs w:val="22"/>
        </w:rPr>
      </w:pPr>
      <w:r>
        <w:rPr>
          <w:rFonts w:ascii="Arial" w:hAnsi="Arial" w:cs="Arial"/>
          <w:i/>
          <w:sz w:val="22"/>
          <w:szCs w:val="22"/>
        </w:rPr>
        <w:t xml:space="preserve">   </w:t>
      </w:r>
      <w:proofErr w:type="gramStart"/>
      <w:r>
        <w:rPr>
          <w:rFonts w:ascii="Arial" w:hAnsi="Arial" w:cs="Arial"/>
          <w:i/>
          <w:sz w:val="22"/>
          <w:szCs w:val="22"/>
        </w:rPr>
        <w:t>[  Signed</w:t>
      </w:r>
      <w:proofErr w:type="gramEnd"/>
      <w:r>
        <w:rPr>
          <w:rFonts w:ascii="Arial" w:hAnsi="Arial" w:cs="Arial"/>
          <w:i/>
          <w:sz w:val="22"/>
          <w:szCs w:val="22"/>
        </w:rPr>
        <w:t xml:space="preserve">  ]</w:t>
      </w:r>
    </w:p>
    <w:p w:rsidR="004946C3" w:rsidRPr="004946C3" w:rsidRDefault="004946C3" w:rsidP="001C05C7">
      <w:pPr>
        <w:jc w:val="both"/>
        <w:rPr>
          <w:rFonts w:ascii="Arial" w:hAnsi="Arial" w:cs="Arial"/>
          <w:sz w:val="22"/>
          <w:szCs w:val="22"/>
        </w:rPr>
      </w:pPr>
    </w:p>
    <w:p w:rsidR="005400E8" w:rsidRPr="004946C3" w:rsidRDefault="005400E8" w:rsidP="001C05C7">
      <w:pPr>
        <w:jc w:val="both"/>
        <w:rPr>
          <w:rFonts w:ascii="Arial" w:hAnsi="Arial" w:cs="Arial"/>
          <w:sz w:val="22"/>
          <w:szCs w:val="22"/>
        </w:rPr>
      </w:pPr>
    </w:p>
    <w:p w:rsidR="00FE0251" w:rsidRPr="004946C3" w:rsidRDefault="00FE0251" w:rsidP="001C05C7">
      <w:pPr>
        <w:jc w:val="both"/>
        <w:rPr>
          <w:rFonts w:ascii="Arial" w:hAnsi="Arial" w:cs="Arial"/>
          <w:sz w:val="22"/>
          <w:szCs w:val="22"/>
        </w:rPr>
      </w:pPr>
    </w:p>
    <w:p w:rsidR="005400E8" w:rsidRPr="0018305B" w:rsidRDefault="005400E8" w:rsidP="001C05C7">
      <w:pPr>
        <w:jc w:val="both"/>
        <w:rPr>
          <w:rFonts w:ascii="Arial" w:hAnsi="Arial" w:cs="Arial"/>
          <w:sz w:val="22"/>
          <w:szCs w:val="22"/>
        </w:rPr>
      </w:pPr>
      <w:r w:rsidRPr="0018305B">
        <w:rPr>
          <w:rFonts w:ascii="Arial" w:hAnsi="Arial" w:cs="Arial"/>
          <w:sz w:val="22"/>
          <w:szCs w:val="22"/>
        </w:rPr>
        <w:t>Stuart Woodward</w:t>
      </w:r>
    </w:p>
    <w:p w:rsidR="005400E8" w:rsidRPr="0018305B" w:rsidRDefault="005400E8" w:rsidP="001C05C7">
      <w:pPr>
        <w:jc w:val="both"/>
        <w:rPr>
          <w:rFonts w:ascii="Arial" w:hAnsi="Arial" w:cs="Arial"/>
          <w:sz w:val="22"/>
          <w:szCs w:val="22"/>
        </w:rPr>
      </w:pPr>
      <w:r w:rsidRPr="0018305B">
        <w:rPr>
          <w:rFonts w:ascii="Arial" w:hAnsi="Arial" w:cs="Arial"/>
          <w:sz w:val="22"/>
          <w:szCs w:val="22"/>
        </w:rPr>
        <w:t>General Manager</w:t>
      </w:r>
    </w:p>
    <w:p w:rsidR="005400E8" w:rsidRPr="0018305B" w:rsidRDefault="001C7EFF" w:rsidP="001C05C7">
      <w:pPr>
        <w:jc w:val="both"/>
        <w:rPr>
          <w:rFonts w:ascii="Arial" w:hAnsi="Arial" w:cs="Arial"/>
          <w:sz w:val="22"/>
          <w:szCs w:val="22"/>
        </w:rPr>
      </w:pPr>
      <w:r w:rsidRPr="0018305B">
        <w:rPr>
          <w:rFonts w:ascii="Arial" w:hAnsi="Arial" w:cs="Arial"/>
          <w:sz w:val="22"/>
          <w:szCs w:val="22"/>
        </w:rPr>
        <w:t>Representation</w:t>
      </w:r>
    </w:p>
    <w:sectPr w:rsidR="005400E8" w:rsidRPr="0018305B" w:rsidSect="00ED1448">
      <w:headerReference w:type="even" r:id="rId12"/>
      <w:headerReference w:type="default" r:id="rId13"/>
      <w:pgSz w:w="11907" w:h="16834" w:code="9"/>
      <w:pgMar w:top="425" w:right="1361" w:bottom="1247" w:left="1361" w:header="624"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A5A" w:rsidRDefault="00663A5A">
      <w:r>
        <w:separator/>
      </w:r>
    </w:p>
  </w:endnote>
  <w:endnote w:type="continuationSeparator" w:id="0">
    <w:p w:rsidR="00663A5A" w:rsidRDefault="0066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Univers (WN)">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A5A" w:rsidRDefault="00663A5A">
      <w:r>
        <w:separator/>
      </w:r>
    </w:p>
  </w:footnote>
  <w:footnote w:type="continuationSeparator" w:id="0">
    <w:p w:rsidR="00663A5A" w:rsidRDefault="00663A5A">
      <w:r>
        <w:continuationSeparator/>
      </w:r>
    </w:p>
  </w:footnote>
  <w:footnote w:id="1">
    <w:p w:rsidR="00173960" w:rsidRPr="00F21D5B" w:rsidRDefault="00173960">
      <w:pPr>
        <w:pStyle w:val="FootnoteText"/>
        <w:rPr>
          <w:rFonts w:ascii="Arial" w:hAnsi="Arial" w:cs="Arial"/>
          <w:sz w:val="16"/>
          <w:szCs w:val="16"/>
        </w:rPr>
      </w:pPr>
      <w:r w:rsidRPr="00F21D5B">
        <w:rPr>
          <w:rStyle w:val="FootnoteReference"/>
          <w:rFonts w:ascii="Arial" w:hAnsi="Arial" w:cs="Arial"/>
          <w:sz w:val="16"/>
          <w:szCs w:val="16"/>
        </w:rPr>
        <w:footnoteRef/>
      </w:r>
      <w:r w:rsidRPr="00F21D5B">
        <w:rPr>
          <w:rFonts w:ascii="Arial" w:hAnsi="Arial" w:cs="Arial"/>
          <w:sz w:val="16"/>
          <w:szCs w:val="16"/>
        </w:rPr>
        <w:t xml:space="preserve">  </w:t>
      </w:r>
      <w:hyperlink r:id="rId1" w:history="1">
        <w:r w:rsidR="00021C53" w:rsidRPr="00F21D5B">
          <w:rPr>
            <w:rStyle w:val="Hyperlink"/>
            <w:rFonts w:ascii="Arial" w:hAnsi="Arial" w:cs="Arial"/>
            <w:sz w:val="16"/>
            <w:szCs w:val="16"/>
          </w:rPr>
          <w:t>http://www.rba.gov.au/payments-system/reforms/review-of-card-payments-regulation/review-of-card-payments-regulation-issues-paper.html</w:t>
        </w:r>
      </w:hyperlink>
      <w:r w:rsidR="00021C53" w:rsidRPr="00F21D5B">
        <w:rPr>
          <w:rFonts w:ascii="Arial" w:hAnsi="Arial" w:cs="Arial"/>
          <w:sz w:val="16"/>
          <w:szCs w:val="16"/>
        </w:rPr>
        <w:t xml:space="preserve"> </w:t>
      </w:r>
      <w:r w:rsidRPr="00F21D5B">
        <w:rPr>
          <w:rFonts w:ascii="Arial" w:hAnsi="Arial" w:cs="Arial"/>
          <w:sz w:val="16"/>
          <w:szCs w:val="16"/>
        </w:rPr>
        <w:t xml:space="preserve"> </w:t>
      </w:r>
    </w:p>
  </w:footnote>
  <w:footnote w:id="2">
    <w:p w:rsidR="002356F3" w:rsidRPr="002356F3" w:rsidRDefault="002356F3">
      <w:pPr>
        <w:pStyle w:val="FootnoteText"/>
        <w:rPr>
          <w:rFonts w:ascii="Arial" w:hAnsi="Arial" w:cs="Arial"/>
          <w:sz w:val="16"/>
          <w:szCs w:val="16"/>
        </w:rPr>
      </w:pPr>
      <w:r w:rsidRPr="002356F3">
        <w:rPr>
          <w:rStyle w:val="FootnoteReference"/>
          <w:rFonts w:ascii="Arial" w:hAnsi="Arial" w:cs="Arial"/>
          <w:sz w:val="16"/>
          <w:szCs w:val="16"/>
        </w:rPr>
        <w:footnoteRef/>
      </w:r>
      <w:r w:rsidRPr="002356F3">
        <w:rPr>
          <w:rFonts w:ascii="Arial" w:hAnsi="Arial" w:cs="Arial"/>
          <w:sz w:val="16"/>
          <w:szCs w:val="16"/>
        </w:rPr>
        <w:t xml:space="preserve">  Ibid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63A5A" w:rsidRDefault="00663A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sidR="00F42DCB">
      <w:rPr>
        <w:rStyle w:val="PageNumber"/>
        <w:rFonts w:ascii="Arial" w:hAnsi="Arial"/>
        <w:noProof/>
      </w:rPr>
      <w:t>8</w:t>
    </w:r>
    <w:r>
      <w:rPr>
        <w:rStyle w:val="PageNumber"/>
        <w:rFonts w:ascii="Arial" w:hAnsi="Arial"/>
      </w:rPr>
      <w:fldChar w:fldCharType="end"/>
    </w:r>
  </w:p>
  <w:p w:rsidR="00663A5A" w:rsidRDefault="00663A5A">
    <w:pPr>
      <w:pStyle w:val="Header"/>
    </w:pPr>
  </w:p>
  <w:p w:rsidR="00663A5A" w:rsidRDefault="00663A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9307D2E"/>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61E061E0"/>
    <w:lvl w:ilvl="0">
      <w:numFmt w:val="bullet"/>
      <w:lvlText w:val="*"/>
      <w:lvlJc w:val="left"/>
    </w:lvl>
  </w:abstractNum>
  <w:abstractNum w:abstractNumId="2">
    <w:nsid w:val="0EEE029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nsid w:val="112C7589"/>
    <w:multiLevelType w:val="hybridMultilevel"/>
    <w:tmpl w:val="C03C589E"/>
    <w:lvl w:ilvl="0" w:tplc="B0FC421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19602259"/>
    <w:multiLevelType w:val="hybridMultilevel"/>
    <w:tmpl w:val="D082B0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969121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nsid w:val="1C094284"/>
    <w:multiLevelType w:val="hybridMultilevel"/>
    <w:tmpl w:val="40BE4A68"/>
    <w:lvl w:ilvl="0" w:tplc="F3B61A0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1DF7523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nsid w:val="217A7B7D"/>
    <w:multiLevelType w:val="singleLevel"/>
    <w:tmpl w:val="F47CF97C"/>
    <w:lvl w:ilvl="0">
      <w:start w:val="1"/>
      <w:numFmt w:val="bullet"/>
      <w:pStyle w:val="ListBullet"/>
      <w:lvlText w:val=""/>
      <w:lvlJc w:val="left"/>
      <w:pPr>
        <w:tabs>
          <w:tab w:val="num" w:pos="720"/>
        </w:tabs>
        <w:ind w:left="720" w:hanging="720"/>
      </w:pPr>
      <w:rPr>
        <w:rFonts w:ascii="Symbol" w:hAnsi="Symbol" w:hint="default"/>
      </w:rPr>
    </w:lvl>
  </w:abstractNum>
  <w:abstractNum w:abstractNumId="9">
    <w:nsid w:val="31751429"/>
    <w:multiLevelType w:val="hybridMultilevel"/>
    <w:tmpl w:val="2DBC0374"/>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58B4839"/>
    <w:multiLevelType w:val="hybridMultilevel"/>
    <w:tmpl w:val="FDDEBB68"/>
    <w:lvl w:ilvl="0" w:tplc="0C090001">
      <w:start w:val="1"/>
      <w:numFmt w:val="bullet"/>
      <w:lvlText w:val=""/>
      <w:lvlJc w:val="left"/>
      <w:pPr>
        <w:ind w:left="720" w:hanging="360"/>
      </w:pPr>
      <w:rPr>
        <w:rFonts w:ascii="Symbol" w:hAnsi="Symbol" w:hint="default"/>
      </w:r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1">
    <w:nsid w:val="36AF0A68"/>
    <w:multiLevelType w:val="hybridMultilevel"/>
    <w:tmpl w:val="C5E68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76E2E5C"/>
    <w:multiLevelType w:val="hybridMultilevel"/>
    <w:tmpl w:val="8F36AA20"/>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13">
    <w:nsid w:val="38DA506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4">
    <w:nsid w:val="39B62C97"/>
    <w:multiLevelType w:val="hybridMultilevel"/>
    <w:tmpl w:val="D200D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3A076473"/>
    <w:multiLevelType w:val="hybridMultilevel"/>
    <w:tmpl w:val="B21C6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3C9E2CB1"/>
    <w:multiLevelType w:val="hybridMultilevel"/>
    <w:tmpl w:val="83082A1A"/>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2CD62C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8">
    <w:nsid w:val="44471BB9"/>
    <w:multiLevelType w:val="hybridMultilevel"/>
    <w:tmpl w:val="7C50AE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4A9F777E"/>
    <w:multiLevelType w:val="hybridMultilevel"/>
    <w:tmpl w:val="0D78FAC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0">
    <w:nsid w:val="4C88401D"/>
    <w:multiLevelType w:val="hybridMultilevel"/>
    <w:tmpl w:val="993E5D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4D255C36"/>
    <w:multiLevelType w:val="hybridMultilevel"/>
    <w:tmpl w:val="41607B8E"/>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2">
    <w:nsid w:val="529741F2"/>
    <w:multiLevelType w:val="hybridMultilevel"/>
    <w:tmpl w:val="25A21E0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nsid w:val="57895C19"/>
    <w:multiLevelType w:val="hybridMultilevel"/>
    <w:tmpl w:val="E1B0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597F180A"/>
    <w:multiLevelType w:val="hybridMultilevel"/>
    <w:tmpl w:val="C40695E4"/>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25">
    <w:nsid w:val="5B94791B"/>
    <w:multiLevelType w:val="hybridMultilevel"/>
    <w:tmpl w:val="6F8A58B2"/>
    <w:lvl w:ilvl="0" w:tplc="6936A812">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5DC87D4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7">
    <w:nsid w:val="5EFB05C0"/>
    <w:multiLevelType w:val="hybridMultilevel"/>
    <w:tmpl w:val="CF4A06FA"/>
    <w:lvl w:ilvl="0" w:tplc="2B5CF6D8">
      <w:start w:val="1"/>
      <w:numFmt w:val="bullet"/>
      <w:lvlText w:val=""/>
      <w:lvlJc w:val="left"/>
      <w:pPr>
        <w:tabs>
          <w:tab w:val="num" w:pos="1080"/>
        </w:tabs>
        <w:ind w:left="1080" w:hanging="360"/>
      </w:pPr>
      <w:rPr>
        <w:rFonts w:ascii="Symbol" w:hAnsi="Symbol" w:hint="default"/>
        <w:sz w:val="22"/>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8">
    <w:nsid w:val="5FB8637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9">
    <w:nsid w:val="5FE9430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0">
    <w:nsid w:val="64E04048"/>
    <w:multiLevelType w:val="hybridMultilevel"/>
    <w:tmpl w:val="4AB0A1CA"/>
    <w:lvl w:ilvl="0" w:tplc="38D6BEC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680C57D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2">
    <w:nsid w:val="69813F79"/>
    <w:multiLevelType w:val="hybridMultilevel"/>
    <w:tmpl w:val="7222E010"/>
    <w:lvl w:ilvl="0" w:tplc="0C090001">
      <w:start w:val="1"/>
      <w:numFmt w:val="bullet"/>
      <w:lvlText w:val=""/>
      <w:lvlJc w:val="left"/>
      <w:pPr>
        <w:ind w:left="1080" w:hanging="360"/>
      </w:pPr>
      <w:rPr>
        <w:rFonts w:ascii="Symbol" w:hAnsi="Symbol" w:hint="default"/>
      </w:rPr>
    </w:lvl>
    <w:lvl w:ilvl="1" w:tplc="0C090019">
      <w:start w:val="1"/>
      <w:numFmt w:val="decimal"/>
      <w:lvlText w:val="%2."/>
      <w:lvlJc w:val="left"/>
      <w:pPr>
        <w:tabs>
          <w:tab w:val="num" w:pos="1800"/>
        </w:tabs>
        <w:ind w:left="1800" w:hanging="360"/>
      </w:pPr>
    </w:lvl>
    <w:lvl w:ilvl="2" w:tplc="0C09001B">
      <w:start w:val="1"/>
      <w:numFmt w:val="decimal"/>
      <w:lvlText w:val="%3."/>
      <w:lvlJc w:val="left"/>
      <w:pPr>
        <w:tabs>
          <w:tab w:val="num" w:pos="2520"/>
        </w:tabs>
        <w:ind w:left="2520" w:hanging="360"/>
      </w:pPr>
    </w:lvl>
    <w:lvl w:ilvl="3" w:tplc="0C09000F">
      <w:start w:val="1"/>
      <w:numFmt w:val="decimal"/>
      <w:lvlText w:val="%4."/>
      <w:lvlJc w:val="left"/>
      <w:pPr>
        <w:tabs>
          <w:tab w:val="num" w:pos="3240"/>
        </w:tabs>
        <w:ind w:left="3240" w:hanging="360"/>
      </w:pPr>
    </w:lvl>
    <w:lvl w:ilvl="4" w:tplc="0C090019">
      <w:start w:val="1"/>
      <w:numFmt w:val="decimal"/>
      <w:lvlText w:val="%5."/>
      <w:lvlJc w:val="left"/>
      <w:pPr>
        <w:tabs>
          <w:tab w:val="num" w:pos="3960"/>
        </w:tabs>
        <w:ind w:left="3960" w:hanging="360"/>
      </w:pPr>
    </w:lvl>
    <w:lvl w:ilvl="5" w:tplc="0C09001B">
      <w:start w:val="1"/>
      <w:numFmt w:val="decimal"/>
      <w:lvlText w:val="%6."/>
      <w:lvlJc w:val="left"/>
      <w:pPr>
        <w:tabs>
          <w:tab w:val="num" w:pos="4680"/>
        </w:tabs>
        <w:ind w:left="4680" w:hanging="360"/>
      </w:pPr>
    </w:lvl>
    <w:lvl w:ilvl="6" w:tplc="0C09000F">
      <w:start w:val="1"/>
      <w:numFmt w:val="decimal"/>
      <w:lvlText w:val="%7."/>
      <w:lvlJc w:val="left"/>
      <w:pPr>
        <w:tabs>
          <w:tab w:val="num" w:pos="5400"/>
        </w:tabs>
        <w:ind w:left="5400" w:hanging="360"/>
      </w:pPr>
    </w:lvl>
    <w:lvl w:ilvl="7" w:tplc="0C090019">
      <w:start w:val="1"/>
      <w:numFmt w:val="decimal"/>
      <w:lvlText w:val="%8."/>
      <w:lvlJc w:val="left"/>
      <w:pPr>
        <w:tabs>
          <w:tab w:val="num" w:pos="6120"/>
        </w:tabs>
        <w:ind w:left="6120" w:hanging="360"/>
      </w:pPr>
    </w:lvl>
    <w:lvl w:ilvl="8" w:tplc="0C09001B">
      <w:start w:val="1"/>
      <w:numFmt w:val="decimal"/>
      <w:lvlText w:val="%9."/>
      <w:lvlJc w:val="left"/>
      <w:pPr>
        <w:tabs>
          <w:tab w:val="num" w:pos="6840"/>
        </w:tabs>
        <w:ind w:left="6840" w:hanging="360"/>
      </w:pPr>
    </w:lvl>
  </w:abstractNum>
  <w:abstractNum w:abstractNumId="33">
    <w:nsid w:val="6A5B7352"/>
    <w:multiLevelType w:val="hybridMultilevel"/>
    <w:tmpl w:val="B43276D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6B003227"/>
    <w:multiLevelType w:val="hybridMultilevel"/>
    <w:tmpl w:val="8026A54A"/>
    <w:lvl w:ilvl="0" w:tplc="2B5CF6D8">
      <w:start w:val="1"/>
      <w:numFmt w:val="bullet"/>
      <w:lvlText w:val=""/>
      <w:lvlJc w:val="left"/>
      <w:pPr>
        <w:tabs>
          <w:tab w:val="num" w:pos="720"/>
        </w:tabs>
        <w:ind w:left="720" w:hanging="360"/>
      </w:pPr>
      <w:rPr>
        <w:rFonts w:ascii="Symbol" w:hAnsi="Symbol" w:hint="default"/>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5">
    <w:nsid w:val="730902E1"/>
    <w:multiLevelType w:val="hybridMultilevel"/>
    <w:tmpl w:val="30243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73B3700E"/>
    <w:multiLevelType w:val="hybridMultilevel"/>
    <w:tmpl w:val="35D6D380"/>
    <w:lvl w:ilvl="0" w:tplc="9C54C006">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76DA6AB5"/>
    <w:multiLevelType w:val="hybridMultilevel"/>
    <w:tmpl w:val="E42045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8">
    <w:nsid w:val="7842464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9">
    <w:nsid w:val="7C5221AF"/>
    <w:multiLevelType w:val="hybridMultilevel"/>
    <w:tmpl w:val="811C6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nsid w:val="7C813D7A"/>
    <w:multiLevelType w:val="hybridMultilevel"/>
    <w:tmpl w:val="70FCE34C"/>
    <w:lvl w:ilvl="0" w:tplc="E4EE1DE6">
      <w:start w:val="1"/>
      <w:numFmt w:val="lowerLetter"/>
      <w:lvlText w:val="(%1)"/>
      <w:lvlJc w:val="left"/>
      <w:pPr>
        <w:ind w:left="1074" w:hanging="360"/>
      </w:pPr>
      <w:rPr>
        <w:rFonts w:hint="default"/>
      </w:rPr>
    </w:lvl>
    <w:lvl w:ilvl="1" w:tplc="0C090019" w:tentative="1">
      <w:start w:val="1"/>
      <w:numFmt w:val="lowerLetter"/>
      <w:lvlText w:val="%2."/>
      <w:lvlJc w:val="left"/>
      <w:pPr>
        <w:ind w:left="1794" w:hanging="360"/>
      </w:pPr>
    </w:lvl>
    <w:lvl w:ilvl="2" w:tplc="0C09001B" w:tentative="1">
      <w:start w:val="1"/>
      <w:numFmt w:val="lowerRoman"/>
      <w:lvlText w:val="%3."/>
      <w:lvlJc w:val="right"/>
      <w:pPr>
        <w:ind w:left="2514" w:hanging="180"/>
      </w:pPr>
    </w:lvl>
    <w:lvl w:ilvl="3" w:tplc="0C09000F" w:tentative="1">
      <w:start w:val="1"/>
      <w:numFmt w:val="decimal"/>
      <w:lvlText w:val="%4."/>
      <w:lvlJc w:val="left"/>
      <w:pPr>
        <w:ind w:left="3234" w:hanging="360"/>
      </w:pPr>
    </w:lvl>
    <w:lvl w:ilvl="4" w:tplc="0C090019" w:tentative="1">
      <w:start w:val="1"/>
      <w:numFmt w:val="lowerLetter"/>
      <w:lvlText w:val="%5."/>
      <w:lvlJc w:val="left"/>
      <w:pPr>
        <w:ind w:left="3954" w:hanging="360"/>
      </w:pPr>
    </w:lvl>
    <w:lvl w:ilvl="5" w:tplc="0C09001B" w:tentative="1">
      <w:start w:val="1"/>
      <w:numFmt w:val="lowerRoman"/>
      <w:lvlText w:val="%6."/>
      <w:lvlJc w:val="right"/>
      <w:pPr>
        <w:ind w:left="4674" w:hanging="180"/>
      </w:pPr>
    </w:lvl>
    <w:lvl w:ilvl="6" w:tplc="0C09000F" w:tentative="1">
      <w:start w:val="1"/>
      <w:numFmt w:val="decimal"/>
      <w:lvlText w:val="%7."/>
      <w:lvlJc w:val="left"/>
      <w:pPr>
        <w:ind w:left="5394" w:hanging="360"/>
      </w:pPr>
    </w:lvl>
    <w:lvl w:ilvl="7" w:tplc="0C090019" w:tentative="1">
      <w:start w:val="1"/>
      <w:numFmt w:val="lowerLetter"/>
      <w:lvlText w:val="%8."/>
      <w:lvlJc w:val="left"/>
      <w:pPr>
        <w:ind w:left="6114" w:hanging="360"/>
      </w:pPr>
    </w:lvl>
    <w:lvl w:ilvl="8" w:tplc="0C09001B" w:tentative="1">
      <w:start w:val="1"/>
      <w:numFmt w:val="lowerRoman"/>
      <w:lvlText w:val="%9."/>
      <w:lvlJc w:val="right"/>
      <w:pPr>
        <w:ind w:left="6834" w:hanging="180"/>
      </w:pPr>
    </w:lvl>
  </w:abstractNum>
  <w:abstractNum w:abstractNumId="41">
    <w:nsid w:val="7DDC30B9"/>
    <w:multiLevelType w:val="hybridMultilevel"/>
    <w:tmpl w:val="C97663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29"/>
  </w:num>
  <w:num w:numId="4">
    <w:abstractNumId w:val="7"/>
  </w:num>
  <w:num w:numId="5">
    <w:abstractNumId w:val="26"/>
  </w:num>
  <w:num w:numId="6">
    <w:abstractNumId w:val="2"/>
  </w:num>
  <w:num w:numId="7">
    <w:abstractNumId w:val="17"/>
  </w:num>
  <w:num w:numId="8">
    <w:abstractNumId w:val="28"/>
  </w:num>
  <w:num w:numId="9">
    <w:abstractNumId w:val="31"/>
  </w:num>
  <w:num w:numId="10">
    <w:abstractNumId w:val="38"/>
  </w:num>
  <w:num w:numId="11">
    <w:abstractNumId w:val="13"/>
  </w:num>
  <w:num w:numId="12">
    <w:abstractNumId w:val="5"/>
  </w:num>
  <w:num w:numId="13">
    <w:abstractNumId w:val="21"/>
  </w:num>
  <w:num w:numId="14">
    <w:abstractNumId w:val="34"/>
  </w:num>
  <w:num w:numId="15">
    <w:abstractNumId w:val="27"/>
  </w:num>
  <w:num w:numId="16">
    <w:abstractNumId w:val="1"/>
    <w:lvlOverride w:ilvl="0">
      <w:lvl w:ilvl="0">
        <w:numFmt w:val="bullet"/>
        <w:lvlText w:val=""/>
        <w:legacy w:legacy="1" w:legacySpace="0" w:legacyIndent="0"/>
        <w:lvlJc w:val="left"/>
        <w:rPr>
          <w:rFonts w:ascii="Symbol" w:hAnsi="Symbol" w:hint="default"/>
        </w:rPr>
      </w:lvl>
    </w:lvlOverride>
  </w:num>
  <w:num w:numId="17">
    <w:abstractNumId w:val="9"/>
  </w:num>
  <w:num w:numId="18">
    <w:abstractNumId w:val="16"/>
  </w:num>
  <w:num w:numId="1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37"/>
  </w:num>
  <w:num w:numId="25">
    <w:abstractNumId w:val="11"/>
  </w:num>
  <w:num w:numId="26">
    <w:abstractNumId w:val="4"/>
  </w:num>
  <w:num w:numId="27">
    <w:abstractNumId w:val="36"/>
  </w:num>
  <w:num w:numId="28">
    <w:abstractNumId w:val="25"/>
  </w:num>
  <w:num w:numId="29">
    <w:abstractNumId w:val="18"/>
  </w:num>
  <w:num w:numId="30">
    <w:abstractNumId w:val="6"/>
  </w:num>
  <w:num w:numId="31">
    <w:abstractNumId w:val="3"/>
  </w:num>
  <w:num w:numId="32">
    <w:abstractNumId w:val="33"/>
  </w:num>
  <w:num w:numId="33">
    <w:abstractNumId w:val="23"/>
  </w:num>
  <w:num w:numId="34">
    <w:abstractNumId w:val="22"/>
  </w:num>
  <w:num w:numId="35">
    <w:abstractNumId w:val="15"/>
  </w:num>
  <w:num w:numId="36">
    <w:abstractNumId w:val="20"/>
  </w:num>
  <w:num w:numId="37">
    <w:abstractNumId w:val="19"/>
  </w:num>
  <w:num w:numId="38">
    <w:abstractNumId w:val="39"/>
  </w:num>
  <w:num w:numId="39">
    <w:abstractNumId w:val="30"/>
  </w:num>
  <w:num w:numId="40">
    <w:abstractNumId w:val="40"/>
  </w:num>
  <w:num w:numId="41">
    <w:abstractNumId w:val="30"/>
    <w:lvlOverride w:ilvl="0">
      <w:lvl w:ilvl="0" w:tplc="38D6BECC">
        <w:start w:val="1"/>
        <w:numFmt w:val="decimal"/>
        <w:lvlText w:val="(%1)"/>
        <w:lvlJc w:val="left"/>
        <w:pPr>
          <w:ind w:left="720" w:hanging="360"/>
        </w:pPr>
        <w:rPr>
          <w:rFonts w:hint="default"/>
        </w:rPr>
      </w:lvl>
    </w:lvlOverride>
    <w:lvlOverride w:ilvl="1">
      <w:lvl w:ilvl="1" w:tplc="0C090019" w:tentative="1">
        <w:start w:val="1"/>
        <w:numFmt w:val="lowerLetter"/>
        <w:lvlText w:val="%2."/>
        <w:lvlJc w:val="left"/>
        <w:pPr>
          <w:ind w:left="1440" w:hanging="360"/>
        </w:pPr>
      </w:lvl>
    </w:lvlOverride>
    <w:lvlOverride w:ilvl="2">
      <w:lvl w:ilvl="2" w:tplc="0C09001B" w:tentative="1">
        <w:start w:val="1"/>
        <w:numFmt w:val="lowerRoman"/>
        <w:lvlText w:val="%3."/>
        <w:lvlJc w:val="right"/>
        <w:pPr>
          <w:ind w:left="2160" w:hanging="180"/>
        </w:pPr>
      </w:lvl>
    </w:lvlOverride>
    <w:lvlOverride w:ilvl="3">
      <w:lvl w:ilvl="3" w:tplc="0C09000F" w:tentative="1">
        <w:start w:val="1"/>
        <w:numFmt w:val="decimal"/>
        <w:lvlText w:val="%4."/>
        <w:lvlJc w:val="left"/>
        <w:pPr>
          <w:ind w:left="2880" w:hanging="360"/>
        </w:pPr>
      </w:lvl>
    </w:lvlOverride>
    <w:lvlOverride w:ilvl="4">
      <w:lvl w:ilvl="4" w:tplc="0C090019" w:tentative="1">
        <w:start w:val="1"/>
        <w:numFmt w:val="lowerLetter"/>
        <w:lvlText w:val="%5."/>
        <w:lvlJc w:val="left"/>
        <w:pPr>
          <w:ind w:left="3600" w:hanging="360"/>
        </w:pPr>
      </w:lvl>
    </w:lvlOverride>
    <w:lvlOverride w:ilvl="5">
      <w:lvl w:ilvl="5" w:tplc="0C09001B" w:tentative="1">
        <w:start w:val="1"/>
        <w:numFmt w:val="lowerRoman"/>
        <w:lvlText w:val="%6."/>
        <w:lvlJc w:val="right"/>
        <w:pPr>
          <w:ind w:left="4320" w:hanging="180"/>
        </w:pPr>
      </w:lvl>
    </w:lvlOverride>
    <w:lvlOverride w:ilvl="6">
      <w:lvl w:ilvl="6" w:tplc="0C09000F" w:tentative="1">
        <w:start w:val="1"/>
        <w:numFmt w:val="decimal"/>
        <w:lvlText w:val="%7."/>
        <w:lvlJc w:val="left"/>
        <w:pPr>
          <w:ind w:left="5040" w:hanging="360"/>
        </w:pPr>
      </w:lvl>
    </w:lvlOverride>
    <w:lvlOverride w:ilvl="7">
      <w:lvl w:ilvl="7" w:tplc="0C090019" w:tentative="1">
        <w:start w:val="1"/>
        <w:numFmt w:val="lowerLetter"/>
        <w:lvlText w:val="%8."/>
        <w:lvlJc w:val="left"/>
        <w:pPr>
          <w:ind w:left="5760" w:hanging="360"/>
        </w:pPr>
      </w:lvl>
    </w:lvlOverride>
    <w:lvlOverride w:ilvl="8">
      <w:lvl w:ilvl="8" w:tplc="0C09001B" w:tentative="1">
        <w:start w:val="1"/>
        <w:numFmt w:val="lowerRoman"/>
        <w:lvlText w:val="%9."/>
        <w:lvlJc w:val="right"/>
        <w:pPr>
          <w:ind w:left="6480" w:hanging="180"/>
        </w:pPr>
      </w:lvl>
    </w:lvlOverride>
  </w:num>
  <w:num w:numId="42">
    <w:abstractNumId w:val="41"/>
  </w:num>
  <w:num w:numId="43">
    <w:abstractNumId w:val="35"/>
  </w:num>
  <w:num w:numId="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o:colormenu v:ext="edit" fillcolor="none" strokecolor="re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0E8"/>
    <w:rsid w:val="00017B8C"/>
    <w:rsid w:val="00021C53"/>
    <w:rsid w:val="00026035"/>
    <w:rsid w:val="00031575"/>
    <w:rsid w:val="000435EE"/>
    <w:rsid w:val="00044008"/>
    <w:rsid w:val="00046648"/>
    <w:rsid w:val="00053377"/>
    <w:rsid w:val="00053F5F"/>
    <w:rsid w:val="00056ED7"/>
    <w:rsid w:val="00063934"/>
    <w:rsid w:val="0007536F"/>
    <w:rsid w:val="00080C9F"/>
    <w:rsid w:val="000B5887"/>
    <w:rsid w:val="000D3138"/>
    <w:rsid w:val="000D5932"/>
    <w:rsid w:val="000E62FA"/>
    <w:rsid w:val="000F6CA7"/>
    <w:rsid w:val="000F7599"/>
    <w:rsid w:val="00106A5B"/>
    <w:rsid w:val="00116445"/>
    <w:rsid w:val="001172A8"/>
    <w:rsid w:val="0012612F"/>
    <w:rsid w:val="00173960"/>
    <w:rsid w:val="0018305B"/>
    <w:rsid w:val="001840A3"/>
    <w:rsid w:val="001B1F81"/>
    <w:rsid w:val="001B2B99"/>
    <w:rsid w:val="001B67EF"/>
    <w:rsid w:val="001B6D1A"/>
    <w:rsid w:val="001C05C7"/>
    <w:rsid w:val="001C5F3C"/>
    <w:rsid w:val="001C6AE9"/>
    <w:rsid w:val="001C7EFF"/>
    <w:rsid w:val="001D5A7B"/>
    <w:rsid w:val="001D7959"/>
    <w:rsid w:val="001E75D8"/>
    <w:rsid w:val="001F7B2D"/>
    <w:rsid w:val="0020338B"/>
    <w:rsid w:val="0021254F"/>
    <w:rsid w:val="00214E5D"/>
    <w:rsid w:val="00217DF4"/>
    <w:rsid w:val="00232EB9"/>
    <w:rsid w:val="002343DD"/>
    <w:rsid w:val="002356F3"/>
    <w:rsid w:val="00242D77"/>
    <w:rsid w:val="002452DC"/>
    <w:rsid w:val="00247AE7"/>
    <w:rsid w:val="00263C47"/>
    <w:rsid w:val="00267284"/>
    <w:rsid w:val="0027018D"/>
    <w:rsid w:val="002755D0"/>
    <w:rsid w:val="00297F62"/>
    <w:rsid w:val="002A60A2"/>
    <w:rsid w:val="002C6FC7"/>
    <w:rsid w:val="002D1338"/>
    <w:rsid w:val="002D7756"/>
    <w:rsid w:val="002F02BB"/>
    <w:rsid w:val="002F20DB"/>
    <w:rsid w:val="00300ACC"/>
    <w:rsid w:val="003155BC"/>
    <w:rsid w:val="003244ED"/>
    <w:rsid w:val="00332669"/>
    <w:rsid w:val="00336823"/>
    <w:rsid w:val="00340DEB"/>
    <w:rsid w:val="00342CCD"/>
    <w:rsid w:val="003441FA"/>
    <w:rsid w:val="00347320"/>
    <w:rsid w:val="00357CEF"/>
    <w:rsid w:val="00363DEA"/>
    <w:rsid w:val="00363E8A"/>
    <w:rsid w:val="003706B5"/>
    <w:rsid w:val="00371521"/>
    <w:rsid w:val="00372CBA"/>
    <w:rsid w:val="003B1AB1"/>
    <w:rsid w:val="003B725C"/>
    <w:rsid w:val="003D2ECE"/>
    <w:rsid w:val="003D72C0"/>
    <w:rsid w:val="003E0007"/>
    <w:rsid w:val="003E02D6"/>
    <w:rsid w:val="003E25FD"/>
    <w:rsid w:val="003F2BB3"/>
    <w:rsid w:val="004005BD"/>
    <w:rsid w:val="00404872"/>
    <w:rsid w:val="00422E06"/>
    <w:rsid w:val="0043063D"/>
    <w:rsid w:val="00436BB6"/>
    <w:rsid w:val="004409E0"/>
    <w:rsid w:val="00446551"/>
    <w:rsid w:val="00462E9B"/>
    <w:rsid w:val="004642E5"/>
    <w:rsid w:val="00464619"/>
    <w:rsid w:val="0046487C"/>
    <w:rsid w:val="00485181"/>
    <w:rsid w:val="00492AF3"/>
    <w:rsid w:val="004946C3"/>
    <w:rsid w:val="004A63AD"/>
    <w:rsid w:val="004A67E0"/>
    <w:rsid w:val="004B7C7C"/>
    <w:rsid w:val="004C226E"/>
    <w:rsid w:val="004C62D2"/>
    <w:rsid w:val="004D06C9"/>
    <w:rsid w:val="004D1082"/>
    <w:rsid w:val="004D4859"/>
    <w:rsid w:val="004D624B"/>
    <w:rsid w:val="004F062A"/>
    <w:rsid w:val="0050427A"/>
    <w:rsid w:val="00520B4E"/>
    <w:rsid w:val="005264FD"/>
    <w:rsid w:val="005400E8"/>
    <w:rsid w:val="005635EB"/>
    <w:rsid w:val="00563C8F"/>
    <w:rsid w:val="00584539"/>
    <w:rsid w:val="00584DEA"/>
    <w:rsid w:val="00590A35"/>
    <w:rsid w:val="00591885"/>
    <w:rsid w:val="00595B6C"/>
    <w:rsid w:val="005A048D"/>
    <w:rsid w:val="005B3050"/>
    <w:rsid w:val="005B50D4"/>
    <w:rsid w:val="005C11CA"/>
    <w:rsid w:val="005D54DA"/>
    <w:rsid w:val="005E77CB"/>
    <w:rsid w:val="005F70C1"/>
    <w:rsid w:val="00604209"/>
    <w:rsid w:val="0061318D"/>
    <w:rsid w:val="006166AA"/>
    <w:rsid w:val="00621294"/>
    <w:rsid w:val="00622ED1"/>
    <w:rsid w:val="00635EB8"/>
    <w:rsid w:val="006369A1"/>
    <w:rsid w:val="006378D8"/>
    <w:rsid w:val="00641145"/>
    <w:rsid w:val="00642DAA"/>
    <w:rsid w:val="0064712E"/>
    <w:rsid w:val="00663A5A"/>
    <w:rsid w:val="0068772A"/>
    <w:rsid w:val="0069794A"/>
    <w:rsid w:val="006A46D2"/>
    <w:rsid w:val="006C6A78"/>
    <w:rsid w:val="006E5C06"/>
    <w:rsid w:val="006E7B75"/>
    <w:rsid w:val="0070434C"/>
    <w:rsid w:val="00707AF4"/>
    <w:rsid w:val="007207CD"/>
    <w:rsid w:val="00721D67"/>
    <w:rsid w:val="0073228A"/>
    <w:rsid w:val="007463CD"/>
    <w:rsid w:val="00757109"/>
    <w:rsid w:val="007731AF"/>
    <w:rsid w:val="007754D5"/>
    <w:rsid w:val="00777A72"/>
    <w:rsid w:val="00786AD1"/>
    <w:rsid w:val="0079379A"/>
    <w:rsid w:val="007A3F97"/>
    <w:rsid w:val="007A6383"/>
    <w:rsid w:val="007B0BE8"/>
    <w:rsid w:val="007B5D21"/>
    <w:rsid w:val="007E6840"/>
    <w:rsid w:val="00806DF4"/>
    <w:rsid w:val="00813751"/>
    <w:rsid w:val="00826EA7"/>
    <w:rsid w:val="0083502C"/>
    <w:rsid w:val="0084358A"/>
    <w:rsid w:val="0084533E"/>
    <w:rsid w:val="00865FD9"/>
    <w:rsid w:val="00882CAA"/>
    <w:rsid w:val="00887A33"/>
    <w:rsid w:val="008A17BC"/>
    <w:rsid w:val="008A3D9C"/>
    <w:rsid w:val="008B1601"/>
    <w:rsid w:val="008B39BD"/>
    <w:rsid w:val="008C122B"/>
    <w:rsid w:val="008D291B"/>
    <w:rsid w:val="008E4B1D"/>
    <w:rsid w:val="008E504A"/>
    <w:rsid w:val="008F12DC"/>
    <w:rsid w:val="008F5986"/>
    <w:rsid w:val="008F6ABA"/>
    <w:rsid w:val="00912079"/>
    <w:rsid w:val="0092072A"/>
    <w:rsid w:val="00922245"/>
    <w:rsid w:val="009257CA"/>
    <w:rsid w:val="00936181"/>
    <w:rsid w:val="00940063"/>
    <w:rsid w:val="00956615"/>
    <w:rsid w:val="009619CD"/>
    <w:rsid w:val="00963D2B"/>
    <w:rsid w:val="009643B9"/>
    <w:rsid w:val="00965B92"/>
    <w:rsid w:val="00967F9F"/>
    <w:rsid w:val="00971027"/>
    <w:rsid w:val="00976AFA"/>
    <w:rsid w:val="009932BA"/>
    <w:rsid w:val="009A638C"/>
    <w:rsid w:val="009A6D44"/>
    <w:rsid w:val="009B5954"/>
    <w:rsid w:val="009C0A36"/>
    <w:rsid w:val="009C5B30"/>
    <w:rsid w:val="009D4C97"/>
    <w:rsid w:val="009E60CF"/>
    <w:rsid w:val="009F5946"/>
    <w:rsid w:val="00A10047"/>
    <w:rsid w:val="00A245FE"/>
    <w:rsid w:val="00A34470"/>
    <w:rsid w:val="00A376A3"/>
    <w:rsid w:val="00A40C6B"/>
    <w:rsid w:val="00A45554"/>
    <w:rsid w:val="00A610D6"/>
    <w:rsid w:val="00A86132"/>
    <w:rsid w:val="00A907D5"/>
    <w:rsid w:val="00A91B3D"/>
    <w:rsid w:val="00A97F42"/>
    <w:rsid w:val="00AB062D"/>
    <w:rsid w:val="00AC69F4"/>
    <w:rsid w:val="00AD52D6"/>
    <w:rsid w:val="00AD5525"/>
    <w:rsid w:val="00AD7FD7"/>
    <w:rsid w:val="00AF192F"/>
    <w:rsid w:val="00AF4FE6"/>
    <w:rsid w:val="00B00285"/>
    <w:rsid w:val="00B12B86"/>
    <w:rsid w:val="00B21D0B"/>
    <w:rsid w:val="00B36297"/>
    <w:rsid w:val="00B3650E"/>
    <w:rsid w:val="00B3691D"/>
    <w:rsid w:val="00B42342"/>
    <w:rsid w:val="00B5359A"/>
    <w:rsid w:val="00B65313"/>
    <w:rsid w:val="00B7008B"/>
    <w:rsid w:val="00B72B99"/>
    <w:rsid w:val="00B819C2"/>
    <w:rsid w:val="00B8334D"/>
    <w:rsid w:val="00B937B4"/>
    <w:rsid w:val="00B9433D"/>
    <w:rsid w:val="00BA55DD"/>
    <w:rsid w:val="00BB1B0E"/>
    <w:rsid w:val="00BB41EE"/>
    <w:rsid w:val="00BB6523"/>
    <w:rsid w:val="00BB6E73"/>
    <w:rsid w:val="00BC5CCD"/>
    <w:rsid w:val="00BD7160"/>
    <w:rsid w:val="00BD760C"/>
    <w:rsid w:val="00BE2014"/>
    <w:rsid w:val="00BE33DA"/>
    <w:rsid w:val="00C16571"/>
    <w:rsid w:val="00C16D0E"/>
    <w:rsid w:val="00C16EAB"/>
    <w:rsid w:val="00C2315A"/>
    <w:rsid w:val="00C272BA"/>
    <w:rsid w:val="00C276E0"/>
    <w:rsid w:val="00C30503"/>
    <w:rsid w:val="00C31B67"/>
    <w:rsid w:val="00C35F6C"/>
    <w:rsid w:val="00C73598"/>
    <w:rsid w:val="00C877E6"/>
    <w:rsid w:val="00CA6A34"/>
    <w:rsid w:val="00CB6840"/>
    <w:rsid w:val="00CC0A2D"/>
    <w:rsid w:val="00CC1335"/>
    <w:rsid w:val="00CC177B"/>
    <w:rsid w:val="00CE184A"/>
    <w:rsid w:val="00CE5A2F"/>
    <w:rsid w:val="00CF01A7"/>
    <w:rsid w:val="00CF0C4C"/>
    <w:rsid w:val="00CF28D9"/>
    <w:rsid w:val="00CF5566"/>
    <w:rsid w:val="00D06638"/>
    <w:rsid w:val="00D1179B"/>
    <w:rsid w:val="00D159E4"/>
    <w:rsid w:val="00D41D53"/>
    <w:rsid w:val="00D61E9A"/>
    <w:rsid w:val="00D706E9"/>
    <w:rsid w:val="00D8068C"/>
    <w:rsid w:val="00DA2E5D"/>
    <w:rsid w:val="00DD4A21"/>
    <w:rsid w:val="00DE456D"/>
    <w:rsid w:val="00DE7331"/>
    <w:rsid w:val="00DF4186"/>
    <w:rsid w:val="00DF6EAD"/>
    <w:rsid w:val="00E02DFE"/>
    <w:rsid w:val="00E0425B"/>
    <w:rsid w:val="00E1406C"/>
    <w:rsid w:val="00E151A7"/>
    <w:rsid w:val="00E22E3A"/>
    <w:rsid w:val="00E27DCB"/>
    <w:rsid w:val="00E3398A"/>
    <w:rsid w:val="00E5021E"/>
    <w:rsid w:val="00E57487"/>
    <w:rsid w:val="00E60791"/>
    <w:rsid w:val="00E61851"/>
    <w:rsid w:val="00E8349A"/>
    <w:rsid w:val="00E9076A"/>
    <w:rsid w:val="00E9632C"/>
    <w:rsid w:val="00EB6FA0"/>
    <w:rsid w:val="00EC3F79"/>
    <w:rsid w:val="00EC7338"/>
    <w:rsid w:val="00ED1448"/>
    <w:rsid w:val="00EE6E85"/>
    <w:rsid w:val="00EF5B6D"/>
    <w:rsid w:val="00F10A31"/>
    <w:rsid w:val="00F150DC"/>
    <w:rsid w:val="00F21D5B"/>
    <w:rsid w:val="00F243BB"/>
    <w:rsid w:val="00F261E5"/>
    <w:rsid w:val="00F329BB"/>
    <w:rsid w:val="00F402AF"/>
    <w:rsid w:val="00F40BCE"/>
    <w:rsid w:val="00F42DCB"/>
    <w:rsid w:val="00F44BF6"/>
    <w:rsid w:val="00F508D7"/>
    <w:rsid w:val="00F55BC3"/>
    <w:rsid w:val="00F63E96"/>
    <w:rsid w:val="00F72F2F"/>
    <w:rsid w:val="00F77A1C"/>
    <w:rsid w:val="00F8151E"/>
    <w:rsid w:val="00F82BF5"/>
    <w:rsid w:val="00F938B8"/>
    <w:rsid w:val="00FA155F"/>
    <w:rsid w:val="00FB07D5"/>
    <w:rsid w:val="00FD2BEE"/>
    <w:rsid w:val="00FE0251"/>
    <w:rsid w:val="00FE72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41">
      <o:colormenu v:ext="edit" fillcolor="none" stroke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semiHidden/>
    <w:rsid w:val="00B72B99"/>
    <w:rPr>
      <w:sz w:val="16"/>
      <w:szCs w:val="16"/>
    </w:rPr>
  </w:style>
  <w:style w:type="paragraph" w:styleId="CommentText">
    <w:name w:val="annotation text"/>
    <w:basedOn w:val="Normal"/>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semiHidden/>
    <w:rsid w:val="00B72B99"/>
  </w:style>
  <w:style w:type="character" w:styleId="FootnoteReference">
    <w:name w:val="footnote reference"/>
    <w:basedOn w:val="DefaultParagraphFont"/>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 w:type="paragraph" w:customStyle="1" w:styleId="Default">
    <w:name w:val="Default"/>
    <w:rsid w:val="002755D0"/>
    <w:pPr>
      <w:autoSpaceDE w:val="0"/>
      <w:autoSpaceDN w:val="0"/>
      <w:adjustRightInd w:val="0"/>
    </w:pPr>
    <w:rPr>
      <w:rFonts w:ascii="Palatino Linotype" w:eastAsiaTheme="minorHAnsi" w:hAnsi="Palatino Linotype" w:cs="Palatino Linotype"/>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semiHidden/>
    <w:rsid w:val="00B72B99"/>
    <w:rPr>
      <w:sz w:val="16"/>
      <w:szCs w:val="16"/>
    </w:rPr>
  </w:style>
  <w:style w:type="paragraph" w:styleId="CommentText">
    <w:name w:val="annotation text"/>
    <w:basedOn w:val="Normal"/>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semiHidden/>
    <w:rsid w:val="00B72B99"/>
  </w:style>
  <w:style w:type="character" w:styleId="FootnoteReference">
    <w:name w:val="footnote reference"/>
    <w:basedOn w:val="DefaultParagraphFont"/>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 w:type="paragraph" w:customStyle="1" w:styleId="Default">
    <w:name w:val="Default"/>
    <w:rsid w:val="002755D0"/>
    <w:pPr>
      <w:autoSpaceDE w:val="0"/>
      <w:autoSpaceDN w:val="0"/>
      <w:adjustRightInd w:val="0"/>
    </w:pPr>
    <w:rPr>
      <w:rFonts w:ascii="Palatino Linotype" w:eastAsiaTheme="minorHAnsi" w:hAnsi="Palatino Linotype" w:cs="Palatino Linotype"/>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260116">
      <w:bodyDiv w:val="1"/>
      <w:marLeft w:val="0"/>
      <w:marRight w:val="0"/>
      <w:marTop w:val="0"/>
      <w:marBottom w:val="0"/>
      <w:divBdr>
        <w:top w:val="none" w:sz="0" w:space="0" w:color="auto"/>
        <w:left w:val="none" w:sz="0" w:space="0" w:color="auto"/>
        <w:bottom w:val="none" w:sz="0" w:space="0" w:color="auto"/>
        <w:right w:val="none" w:sz="0" w:space="0" w:color="auto"/>
      </w:divBdr>
    </w:div>
    <w:div w:id="800464946">
      <w:bodyDiv w:val="1"/>
      <w:marLeft w:val="0"/>
      <w:marRight w:val="0"/>
      <w:marTop w:val="0"/>
      <w:marBottom w:val="0"/>
      <w:divBdr>
        <w:top w:val="none" w:sz="0" w:space="0" w:color="auto"/>
        <w:left w:val="none" w:sz="0" w:space="0" w:color="auto"/>
        <w:bottom w:val="none" w:sz="0" w:space="0" w:color="auto"/>
        <w:right w:val="none" w:sz="0" w:space="0" w:color="auto"/>
      </w:divBdr>
    </w:div>
    <w:div w:id="893271065">
      <w:bodyDiv w:val="1"/>
      <w:marLeft w:val="0"/>
      <w:marRight w:val="0"/>
      <w:marTop w:val="0"/>
      <w:marBottom w:val="0"/>
      <w:divBdr>
        <w:top w:val="none" w:sz="0" w:space="0" w:color="auto"/>
        <w:left w:val="none" w:sz="0" w:space="0" w:color="auto"/>
        <w:bottom w:val="none" w:sz="0" w:space="0" w:color="auto"/>
        <w:right w:val="none" w:sz="0" w:space="0" w:color="auto"/>
      </w:divBdr>
    </w:div>
    <w:div w:id="178068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woodward@cba.com.a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rba.gov.au/payments-system/reforms/review-of-card-payments-regulation/review-of-card-payments-regulation-issues-paper.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698E7-A04C-4786-8F82-E576797C4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Letter.dot</Template>
  <TotalTime>1</TotalTime>
  <Pages>8</Pages>
  <Words>3843</Words>
  <Characters>21233</Characters>
  <Application>Microsoft Office Word</Application>
  <DocSecurity>4</DocSecurity>
  <Lines>452</Lines>
  <Paragraphs>120</Paragraphs>
  <ScaleCrop>false</ScaleCrop>
  <HeadingPairs>
    <vt:vector size="2" baseType="variant">
      <vt:variant>
        <vt:lpstr>Title</vt:lpstr>
      </vt:variant>
      <vt:variant>
        <vt:i4>1</vt:i4>
      </vt:variant>
    </vt:vector>
  </HeadingPairs>
  <TitlesOfParts>
    <vt:vector size="1" baseType="lpstr">
      <vt:lpstr>Commonwealth Bank of Australia</vt:lpstr>
    </vt:vector>
  </TitlesOfParts>
  <Company>CBA</Company>
  <LinksUpToDate>false</LinksUpToDate>
  <CharactersWithSpaces>25138</CharactersWithSpaces>
  <SharedDoc>false</SharedDoc>
  <HLinks>
    <vt:vector size="12" baseType="variant">
      <vt:variant>
        <vt:i4>4522041</vt:i4>
      </vt:variant>
      <vt:variant>
        <vt:i4>0</vt:i4>
      </vt:variant>
      <vt:variant>
        <vt:i4>0</vt:i4>
      </vt:variant>
      <vt:variant>
        <vt:i4>5</vt:i4>
      </vt:variant>
      <vt:variant>
        <vt:lpwstr>mailto:adjudication@accc.gov.au</vt:lpwstr>
      </vt:variant>
      <vt:variant>
        <vt:lpwstr/>
      </vt:variant>
      <vt:variant>
        <vt:i4>6553643</vt:i4>
      </vt:variant>
      <vt:variant>
        <vt:i4>0</vt:i4>
      </vt:variant>
      <vt:variant>
        <vt:i4>0</vt:i4>
      </vt:variant>
      <vt:variant>
        <vt:i4>5</vt:i4>
      </vt:variant>
      <vt:variant>
        <vt:lpwstr>http://personal.macquarie.com.au/personal/products/credit_cards/platinum_card.htm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Bank of Australia</dc:title>
  <dc:creator>Commonwealth Bank of Australia</dc:creator>
  <cp:lastModifiedBy>JIMENEZ, Ivan</cp:lastModifiedBy>
  <cp:revision>2</cp:revision>
  <cp:lastPrinted>2015-04-21T22:17:00Z</cp:lastPrinted>
  <dcterms:created xsi:type="dcterms:W3CDTF">2015-05-06T04:51:00Z</dcterms:created>
  <dcterms:modified xsi:type="dcterms:W3CDTF">2015-05-06T04:51:00Z</dcterms:modified>
</cp:coreProperties>
</file>