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DA4" w:rsidRDefault="00A41DA4" w:rsidP="00391C57">
      <w:pPr>
        <w:contextualSpacing/>
        <w:rPr>
          <w:rFonts w:ascii="Verdana" w:hAnsi="Verdana"/>
          <w:sz w:val="20"/>
          <w:szCs w:val="20"/>
          <w:lang w:val="en-US"/>
        </w:rPr>
      </w:pPr>
    </w:p>
    <w:p w:rsidR="00391C57" w:rsidRPr="00391C57" w:rsidRDefault="00391C57" w:rsidP="00391C57">
      <w:pPr>
        <w:contextualSpacing/>
        <w:rPr>
          <w:rFonts w:ascii="Verdana" w:hAnsi="Verdana"/>
          <w:sz w:val="20"/>
          <w:szCs w:val="20"/>
          <w:lang w:val="en-US"/>
        </w:rPr>
      </w:pPr>
      <w:r>
        <w:rPr>
          <w:rFonts w:ascii="Verdana" w:hAnsi="Verdana"/>
          <w:sz w:val="20"/>
          <w:szCs w:val="20"/>
          <w:lang w:val="en-US"/>
        </w:rPr>
        <w:t>24</w:t>
      </w:r>
      <w:r w:rsidRPr="00391C57">
        <w:rPr>
          <w:rFonts w:ascii="Verdana" w:hAnsi="Verdana"/>
          <w:sz w:val="20"/>
          <w:szCs w:val="20"/>
          <w:lang w:val="en-US"/>
        </w:rPr>
        <w:t xml:space="preserve"> April 2015</w:t>
      </w:r>
    </w:p>
    <w:p w:rsidR="00391C57" w:rsidRDefault="00391C57" w:rsidP="00391C57">
      <w:pPr>
        <w:contextualSpacing/>
        <w:rPr>
          <w:rFonts w:ascii="Verdana" w:hAnsi="Verdana"/>
          <w:sz w:val="20"/>
          <w:szCs w:val="20"/>
          <w:lang w:val="en-US"/>
        </w:rPr>
      </w:pPr>
    </w:p>
    <w:p w:rsidR="00A41DA4" w:rsidRPr="00391C57" w:rsidRDefault="00A41DA4" w:rsidP="00391C57">
      <w:pPr>
        <w:contextualSpacing/>
        <w:rPr>
          <w:rFonts w:ascii="Verdana" w:hAnsi="Verdana"/>
          <w:sz w:val="20"/>
          <w:szCs w:val="20"/>
          <w:lang w:val="en-US"/>
        </w:rPr>
      </w:pPr>
    </w:p>
    <w:p w:rsidR="00391C57" w:rsidRPr="00391C57" w:rsidRDefault="00391C57" w:rsidP="00391C57">
      <w:pPr>
        <w:contextualSpacing/>
        <w:rPr>
          <w:rFonts w:ascii="Verdana" w:hAnsi="Verdana"/>
          <w:sz w:val="20"/>
          <w:szCs w:val="20"/>
          <w:lang w:val="en-US"/>
        </w:rPr>
      </w:pPr>
      <w:r>
        <w:rPr>
          <w:rFonts w:ascii="Verdana" w:hAnsi="Verdana"/>
          <w:sz w:val="20"/>
          <w:szCs w:val="20"/>
          <w:lang w:val="en-US"/>
        </w:rPr>
        <w:t>D</w:t>
      </w:r>
      <w:r w:rsidRPr="00391C57">
        <w:rPr>
          <w:rFonts w:ascii="Verdana" w:hAnsi="Verdana"/>
          <w:sz w:val="20"/>
          <w:szCs w:val="20"/>
          <w:lang w:val="en-US"/>
        </w:rPr>
        <w:t>r</w:t>
      </w:r>
      <w:r w:rsidR="008533B0">
        <w:rPr>
          <w:rFonts w:ascii="Verdana" w:hAnsi="Verdana"/>
          <w:sz w:val="20"/>
          <w:szCs w:val="20"/>
          <w:lang w:val="en-US"/>
        </w:rPr>
        <w:t>.</w:t>
      </w:r>
      <w:r w:rsidRPr="00391C57">
        <w:rPr>
          <w:rFonts w:ascii="Verdana" w:hAnsi="Verdana"/>
          <w:sz w:val="20"/>
          <w:szCs w:val="20"/>
          <w:lang w:val="en-US"/>
        </w:rPr>
        <w:t xml:space="preserve"> Tony Richards</w:t>
      </w:r>
    </w:p>
    <w:p w:rsidR="00391C57" w:rsidRPr="00391C57" w:rsidRDefault="00391C57" w:rsidP="00391C57">
      <w:pPr>
        <w:contextualSpacing/>
        <w:rPr>
          <w:rFonts w:ascii="Verdana" w:hAnsi="Verdana"/>
          <w:sz w:val="20"/>
          <w:szCs w:val="20"/>
          <w:lang w:val="en-US"/>
        </w:rPr>
      </w:pPr>
      <w:r w:rsidRPr="00391C57">
        <w:rPr>
          <w:rFonts w:ascii="Verdana" w:hAnsi="Verdana"/>
          <w:sz w:val="20"/>
          <w:szCs w:val="20"/>
          <w:lang w:val="en-US"/>
        </w:rPr>
        <w:t xml:space="preserve">Head of Payments Policy Department </w:t>
      </w:r>
    </w:p>
    <w:p w:rsidR="00391C57" w:rsidRPr="00391C57" w:rsidRDefault="00391C57" w:rsidP="00391C57">
      <w:pPr>
        <w:contextualSpacing/>
        <w:rPr>
          <w:rFonts w:ascii="Verdana" w:hAnsi="Verdana"/>
          <w:sz w:val="20"/>
          <w:szCs w:val="20"/>
          <w:lang w:val="en-US"/>
        </w:rPr>
      </w:pPr>
      <w:r w:rsidRPr="00391C57">
        <w:rPr>
          <w:rFonts w:ascii="Verdana" w:hAnsi="Verdana"/>
          <w:sz w:val="20"/>
          <w:szCs w:val="20"/>
          <w:lang w:val="en-US"/>
        </w:rPr>
        <w:t>Reserve Bank of Australia</w:t>
      </w:r>
    </w:p>
    <w:p w:rsidR="00391C57" w:rsidRPr="00391C57" w:rsidRDefault="00391C57" w:rsidP="00391C57">
      <w:pPr>
        <w:contextualSpacing/>
        <w:rPr>
          <w:rFonts w:ascii="Verdana" w:hAnsi="Verdana"/>
          <w:sz w:val="20"/>
          <w:szCs w:val="20"/>
          <w:lang w:val="en-US"/>
        </w:rPr>
      </w:pPr>
      <w:r w:rsidRPr="00391C57">
        <w:rPr>
          <w:rFonts w:ascii="Verdana" w:hAnsi="Verdana"/>
          <w:sz w:val="20"/>
          <w:szCs w:val="20"/>
          <w:lang w:val="en-US"/>
        </w:rPr>
        <w:t>GPO Box 3947</w:t>
      </w:r>
    </w:p>
    <w:p w:rsidR="00391C57" w:rsidRPr="00391C57" w:rsidRDefault="00391C57" w:rsidP="00391C57">
      <w:pPr>
        <w:contextualSpacing/>
        <w:rPr>
          <w:rFonts w:ascii="Verdana" w:hAnsi="Verdana"/>
          <w:sz w:val="20"/>
          <w:szCs w:val="20"/>
          <w:lang w:val="en-US"/>
        </w:rPr>
      </w:pPr>
      <w:r w:rsidRPr="00391C57">
        <w:rPr>
          <w:rFonts w:ascii="Verdana" w:hAnsi="Verdana"/>
          <w:sz w:val="20"/>
          <w:szCs w:val="20"/>
          <w:lang w:val="en-US"/>
        </w:rPr>
        <w:t xml:space="preserve">Sydney NSW 2001 </w:t>
      </w:r>
    </w:p>
    <w:p w:rsidR="00391C57" w:rsidRDefault="00391C57" w:rsidP="00391C57">
      <w:pPr>
        <w:contextualSpacing/>
        <w:rPr>
          <w:rFonts w:ascii="Verdana" w:hAnsi="Verdana"/>
          <w:sz w:val="20"/>
          <w:szCs w:val="20"/>
          <w:lang w:val="en-US"/>
        </w:rPr>
      </w:pPr>
    </w:p>
    <w:p w:rsidR="00A41DA4" w:rsidRPr="00391C57" w:rsidRDefault="00A41DA4" w:rsidP="00391C57">
      <w:pPr>
        <w:contextualSpacing/>
        <w:rPr>
          <w:rFonts w:ascii="Verdana" w:hAnsi="Verdana"/>
          <w:sz w:val="20"/>
          <w:szCs w:val="20"/>
          <w:lang w:val="en-US"/>
        </w:rPr>
      </w:pPr>
    </w:p>
    <w:p w:rsidR="00391C57" w:rsidRDefault="00391C57" w:rsidP="00391C57">
      <w:pPr>
        <w:widowControl w:val="0"/>
        <w:autoSpaceDE w:val="0"/>
        <w:autoSpaceDN w:val="0"/>
        <w:adjustRightInd w:val="0"/>
        <w:spacing w:after="240"/>
        <w:contextualSpacing/>
        <w:rPr>
          <w:rFonts w:ascii="Verdana" w:hAnsi="Verdana"/>
          <w:sz w:val="20"/>
          <w:szCs w:val="20"/>
        </w:rPr>
      </w:pPr>
      <w:r w:rsidRPr="00391C57">
        <w:rPr>
          <w:rFonts w:ascii="Verdana" w:hAnsi="Verdana" w:cs="Arial"/>
          <w:sz w:val="20"/>
          <w:szCs w:val="20"/>
          <w:lang w:val="en-US"/>
        </w:rPr>
        <w:t xml:space="preserve">By email: </w:t>
      </w:r>
      <w:hyperlink r:id="rId8" w:history="1">
        <w:r w:rsidR="008533B0" w:rsidRPr="00342E64">
          <w:rPr>
            <w:rStyle w:val="Hyperlink"/>
            <w:rFonts w:cs="Arial"/>
            <w:sz w:val="20"/>
            <w:szCs w:val="20"/>
            <w:lang w:val="en-US"/>
          </w:rPr>
          <w:t>pysubmissions@rba.gov.au</w:t>
        </w:r>
      </w:hyperlink>
    </w:p>
    <w:p w:rsidR="00391C57" w:rsidRPr="00391C57" w:rsidRDefault="00391C57" w:rsidP="00391C57">
      <w:pPr>
        <w:widowControl w:val="0"/>
        <w:autoSpaceDE w:val="0"/>
        <w:autoSpaceDN w:val="0"/>
        <w:adjustRightInd w:val="0"/>
        <w:spacing w:after="240"/>
        <w:contextualSpacing/>
        <w:rPr>
          <w:rFonts w:ascii="Verdana" w:hAnsi="Verdana" w:cs="Arial"/>
          <w:sz w:val="20"/>
          <w:szCs w:val="20"/>
          <w:lang w:val="en-US"/>
        </w:rPr>
      </w:pPr>
    </w:p>
    <w:p w:rsidR="00391C57" w:rsidRDefault="00391C57" w:rsidP="00391C57">
      <w:pPr>
        <w:contextualSpacing/>
        <w:rPr>
          <w:rFonts w:ascii="Verdana" w:hAnsi="Verdana"/>
          <w:sz w:val="20"/>
          <w:szCs w:val="20"/>
        </w:rPr>
      </w:pPr>
    </w:p>
    <w:p w:rsidR="00391C57" w:rsidRPr="00391C57" w:rsidRDefault="00391C57" w:rsidP="00391C57">
      <w:pPr>
        <w:contextualSpacing/>
        <w:rPr>
          <w:rFonts w:ascii="Verdana" w:hAnsi="Verdana"/>
          <w:sz w:val="20"/>
          <w:szCs w:val="20"/>
          <w:lang w:val="en-US"/>
        </w:rPr>
      </w:pPr>
      <w:r w:rsidRPr="00391C57">
        <w:rPr>
          <w:rFonts w:ascii="Verdana" w:hAnsi="Verdana"/>
          <w:sz w:val="20"/>
          <w:szCs w:val="20"/>
        </w:rPr>
        <w:t>Dear</w:t>
      </w:r>
      <w:r w:rsidRPr="00391C57">
        <w:rPr>
          <w:rFonts w:ascii="Verdana" w:hAnsi="Verdana"/>
          <w:sz w:val="20"/>
          <w:szCs w:val="20"/>
          <w:lang w:val="en-US"/>
        </w:rPr>
        <w:t xml:space="preserve"> </w:t>
      </w:r>
      <w:r>
        <w:rPr>
          <w:rFonts w:ascii="Verdana" w:hAnsi="Verdana"/>
          <w:sz w:val="20"/>
          <w:szCs w:val="20"/>
          <w:lang w:val="en-US"/>
        </w:rPr>
        <w:t>D</w:t>
      </w:r>
      <w:r w:rsidRPr="00391C57">
        <w:rPr>
          <w:rFonts w:ascii="Verdana" w:hAnsi="Verdana"/>
          <w:sz w:val="20"/>
          <w:szCs w:val="20"/>
          <w:lang w:val="en-US"/>
        </w:rPr>
        <w:t>r</w:t>
      </w:r>
      <w:r w:rsidR="008533B0">
        <w:rPr>
          <w:rFonts w:ascii="Verdana" w:hAnsi="Verdana"/>
          <w:sz w:val="20"/>
          <w:szCs w:val="20"/>
          <w:lang w:val="en-US"/>
        </w:rPr>
        <w:t>.</w:t>
      </w:r>
      <w:r w:rsidRPr="00391C57">
        <w:rPr>
          <w:rFonts w:ascii="Verdana" w:hAnsi="Verdana"/>
          <w:sz w:val="20"/>
          <w:szCs w:val="20"/>
          <w:lang w:val="en-US"/>
        </w:rPr>
        <w:t xml:space="preserve"> Richards,</w:t>
      </w:r>
    </w:p>
    <w:p w:rsidR="00391C57" w:rsidRPr="00391C57" w:rsidRDefault="00391C57" w:rsidP="00391C57">
      <w:pPr>
        <w:contextualSpacing/>
        <w:rPr>
          <w:rFonts w:ascii="Verdana" w:hAnsi="Verdana"/>
          <w:sz w:val="20"/>
          <w:szCs w:val="20"/>
        </w:rPr>
      </w:pPr>
    </w:p>
    <w:p w:rsidR="00391C57" w:rsidRPr="00391C57" w:rsidRDefault="00391C57" w:rsidP="00391C57">
      <w:pPr>
        <w:contextualSpacing/>
        <w:rPr>
          <w:rFonts w:ascii="Verdana" w:hAnsi="Verdana"/>
          <w:b/>
          <w:sz w:val="20"/>
          <w:szCs w:val="20"/>
          <w:lang w:val="en-US"/>
        </w:rPr>
      </w:pPr>
      <w:r w:rsidRPr="00391C57">
        <w:rPr>
          <w:rFonts w:ascii="Verdana" w:hAnsi="Verdana"/>
          <w:b/>
          <w:sz w:val="20"/>
          <w:szCs w:val="20"/>
          <w:lang w:val="en-US"/>
        </w:rPr>
        <w:t>Response to Review of Card Payments Regulation - Issues Paper</w:t>
      </w:r>
    </w:p>
    <w:p w:rsidR="00391C57" w:rsidRPr="00391C57" w:rsidRDefault="00391C57" w:rsidP="00391C57">
      <w:pPr>
        <w:contextualSpacing/>
        <w:rPr>
          <w:rFonts w:ascii="Verdana" w:hAnsi="Verdana"/>
          <w:b/>
          <w:sz w:val="20"/>
          <w:szCs w:val="20"/>
        </w:rPr>
      </w:pPr>
    </w:p>
    <w:p w:rsidR="00391C57" w:rsidRPr="00391C57" w:rsidRDefault="00391C57" w:rsidP="00391C57">
      <w:pPr>
        <w:contextualSpacing/>
        <w:rPr>
          <w:rFonts w:ascii="Verdana" w:hAnsi="Verdana"/>
          <w:i/>
          <w:sz w:val="20"/>
          <w:szCs w:val="20"/>
          <w:lang w:val="en-US"/>
        </w:rPr>
      </w:pPr>
      <w:r w:rsidRPr="00391C57">
        <w:rPr>
          <w:rFonts w:ascii="Verdana" w:hAnsi="Verdana"/>
          <w:sz w:val="20"/>
          <w:szCs w:val="20"/>
        </w:rPr>
        <w:t xml:space="preserve">Cuscal appreciates the opportunity to respond to the </w:t>
      </w:r>
      <w:r w:rsidR="003A2593" w:rsidRPr="00391C57">
        <w:rPr>
          <w:rFonts w:ascii="Verdana" w:hAnsi="Verdana"/>
          <w:sz w:val="20"/>
          <w:szCs w:val="20"/>
        </w:rPr>
        <w:t>R</w:t>
      </w:r>
      <w:r w:rsidR="003A2593">
        <w:rPr>
          <w:rFonts w:ascii="Verdana" w:hAnsi="Verdana"/>
          <w:sz w:val="20"/>
          <w:szCs w:val="20"/>
        </w:rPr>
        <w:t xml:space="preserve">eserve </w:t>
      </w:r>
      <w:r w:rsidRPr="00391C57">
        <w:rPr>
          <w:rFonts w:ascii="Verdana" w:hAnsi="Verdana"/>
          <w:sz w:val="20"/>
          <w:szCs w:val="20"/>
        </w:rPr>
        <w:t>B</w:t>
      </w:r>
      <w:r w:rsidR="003A2593">
        <w:rPr>
          <w:rFonts w:ascii="Verdana" w:hAnsi="Verdana"/>
          <w:sz w:val="20"/>
          <w:szCs w:val="20"/>
        </w:rPr>
        <w:t xml:space="preserve">ank of </w:t>
      </w:r>
      <w:r w:rsidRPr="00391C57">
        <w:rPr>
          <w:rFonts w:ascii="Verdana" w:hAnsi="Verdana"/>
          <w:sz w:val="20"/>
          <w:szCs w:val="20"/>
        </w:rPr>
        <w:t>A</w:t>
      </w:r>
      <w:r w:rsidR="003A2593">
        <w:rPr>
          <w:rFonts w:ascii="Verdana" w:hAnsi="Verdana"/>
          <w:sz w:val="20"/>
          <w:szCs w:val="20"/>
        </w:rPr>
        <w:t>ustralia</w:t>
      </w:r>
      <w:r w:rsidRPr="00391C57">
        <w:rPr>
          <w:rFonts w:ascii="Verdana" w:hAnsi="Verdana"/>
          <w:sz w:val="20"/>
          <w:szCs w:val="20"/>
        </w:rPr>
        <w:t xml:space="preserve">’s </w:t>
      </w:r>
      <w:r w:rsidR="003A2593">
        <w:rPr>
          <w:rFonts w:ascii="Verdana" w:hAnsi="Verdana"/>
          <w:sz w:val="20"/>
          <w:szCs w:val="20"/>
        </w:rPr>
        <w:t xml:space="preserve">(RBA) </w:t>
      </w:r>
      <w:r w:rsidRPr="00391C57">
        <w:rPr>
          <w:rFonts w:ascii="Verdana" w:hAnsi="Verdana"/>
          <w:sz w:val="20"/>
          <w:szCs w:val="20"/>
        </w:rPr>
        <w:t xml:space="preserve">March 2015 </w:t>
      </w:r>
      <w:r w:rsidRPr="00391C57">
        <w:rPr>
          <w:rFonts w:ascii="Verdana" w:hAnsi="Verdana"/>
          <w:i/>
          <w:sz w:val="20"/>
          <w:szCs w:val="20"/>
          <w:lang w:val="en-US"/>
        </w:rPr>
        <w:t>Review of Card Payments Regulation - Issues Paper.</w:t>
      </w:r>
      <w:bookmarkStart w:id="0" w:name="_GoBack"/>
      <w:bookmarkEnd w:id="0"/>
    </w:p>
    <w:p w:rsidR="00391C57" w:rsidRPr="00391C57" w:rsidRDefault="00391C57" w:rsidP="00391C57">
      <w:pPr>
        <w:contextualSpacing/>
        <w:rPr>
          <w:rFonts w:ascii="Verdana" w:hAnsi="Verdana"/>
          <w:sz w:val="20"/>
          <w:szCs w:val="20"/>
          <w:lang w:val="en-US"/>
        </w:rPr>
      </w:pPr>
    </w:p>
    <w:p w:rsidR="00391C57" w:rsidRPr="00391C57" w:rsidRDefault="00391C57" w:rsidP="00391C57">
      <w:pPr>
        <w:contextualSpacing/>
        <w:rPr>
          <w:rFonts w:ascii="Verdana" w:hAnsi="Verdana"/>
          <w:sz w:val="20"/>
          <w:szCs w:val="20"/>
          <w:lang w:val="en-US"/>
        </w:rPr>
      </w:pPr>
      <w:r w:rsidRPr="00391C57">
        <w:rPr>
          <w:rFonts w:ascii="Verdana" w:hAnsi="Verdana"/>
          <w:sz w:val="20"/>
          <w:szCs w:val="20"/>
        </w:rPr>
        <w:t xml:space="preserve">Cuscal is an </w:t>
      </w:r>
      <w:r w:rsidRPr="00391C57">
        <w:rPr>
          <w:rFonts w:ascii="Verdana" w:hAnsi="Verdana"/>
          <w:sz w:val="20"/>
          <w:szCs w:val="20"/>
          <w:lang w:val="en-US"/>
        </w:rPr>
        <w:t xml:space="preserve">end-to-end payments provider that services more than 100 established and challenger brand clients with access to Australia's financial </w:t>
      </w:r>
      <w:r>
        <w:rPr>
          <w:rFonts w:ascii="Verdana" w:hAnsi="Verdana"/>
          <w:sz w:val="20"/>
          <w:szCs w:val="20"/>
          <w:lang w:val="en-US"/>
        </w:rPr>
        <w:t xml:space="preserve">system and payments landscape. </w:t>
      </w:r>
      <w:r w:rsidRPr="00391C57">
        <w:rPr>
          <w:rFonts w:ascii="Verdana" w:hAnsi="Verdana"/>
          <w:sz w:val="20"/>
          <w:szCs w:val="20"/>
          <w:lang w:val="en-US"/>
        </w:rPr>
        <w:t>In providing services to our clients Cuscal acts in the capacity of a third party payment processor, card Issuer and card Acquirer.</w:t>
      </w:r>
    </w:p>
    <w:p w:rsidR="00391C57" w:rsidRPr="00391C57" w:rsidRDefault="00391C57" w:rsidP="00391C57">
      <w:pPr>
        <w:contextualSpacing/>
        <w:rPr>
          <w:rFonts w:ascii="Verdana" w:hAnsi="Verdana"/>
          <w:sz w:val="20"/>
          <w:szCs w:val="20"/>
          <w:lang w:val="en-US"/>
        </w:rPr>
      </w:pPr>
    </w:p>
    <w:p w:rsidR="00391C57" w:rsidRPr="00391C57" w:rsidRDefault="00391C57" w:rsidP="00391C57">
      <w:pPr>
        <w:contextualSpacing/>
        <w:rPr>
          <w:rFonts w:ascii="Verdana" w:hAnsi="Verdana"/>
          <w:sz w:val="20"/>
          <w:szCs w:val="20"/>
          <w:lang w:val="en-US"/>
        </w:rPr>
      </w:pPr>
      <w:r w:rsidRPr="00391C57">
        <w:rPr>
          <w:rFonts w:ascii="Verdana" w:hAnsi="Verdana"/>
          <w:sz w:val="20"/>
          <w:szCs w:val="20"/>
          <w:lang w:val="en-US"/>
        </w:rPr>
        <w:t>Our response reflects our views from each of our above capacities in which we act and provides specific comment in the following areas:</w:t>
      </w:r>
    </w:p>
    <w:p w:rsidR="00391C57" w:rsidRPr="00391C57" w:rsidRDefault="00391C57" w:rsidP="00391C57">
      <w:pPr>
        <w:contextualSpacing/>
        <w:rPr>
          <w:rFonts w:ascii="Verdana" w:hAnsi="Verdana"/>
          <w:sz w:val="20"/>
          <w:szCs w:val="20"/>
          <w:lang w:val="en-US"/>
        </w:rPr>
      </w:pPr>
    </w:p>
    <w:p w:rsidR="00391C57" w:rsidRPr="00391C57" w:rsidRDefault="003A2593" w:rsidP="00391C57">
      <w:pPr>
        <w:pStyle w:val="ListParagraph"/>
        <w:numPr>
          <w:ilvl w:val="0"/>
          <w:numId w:val="28"/>
        </w:numPr>
        <w:rPr>
          <w:rFonts w:ascii="Verdana" w:hAnsi="Verdana"/>
          <w:sz w:val="20"/>
          <w:szCs w:val="20"/>
          <w:lang w:val="en-US"/>
        </w:rPr>
      </w:pPr>
      <w:r>
        <w:rPr>
          <w:rFonts w:ascii="Verdana" w:hAnsi="Verdana"/>
          <w:sz w:val="20"/>
          <w:szCs w:val="20"/>
          <w:lang w:val="en-US"/>
        </w:rPr>
        <w:t>Interchange</w:t>
      </w:r>
    </w:p>
    <w:p w:rsidR="00391C57" w:rsidRPr="00391C57" w:rsidRDefault="00391C57" w:rsidP="00391C57">
      <w:pPr>
        <w:pStyle w:val="ListParagraph"/>
        <w:numPr>
          <w:ilvl w:val="0"/>
          <w:numId w:val="28"/>
        </w:numPr>
        <w:rPr>
          <w:rFonts w:ascii="Verdana" w:hAnsi="Verdana"/>
          <w:sz w:val="20"/>
          <w:szCs w:val="20"/>
          <w:lang w:val="en-US"/>
        </w:rPr>
      </w:pPr>
      <w:r w:rsidRPr="00391C57">
        <w:rPr>
          <w:rFonts w:ascii="Verdana" w:hAnsi="Verdana"/>
          <w:sz w:val="20"/>
          <w:szCs w:val="20"/>
          <w:lang w:val="en-US"/>
        </w:rPr>
        <w:t>Surcharging</w:t>
      </w:r>
    </w:p>
    <w:p w:rsidR="00391C57" w:rsidRPr="00391C57" w:rsidRDefault="00391C57" w:rsidP="00391C57">
      <w:pPr>
        <w:pStyle w:val="ListParagraph"/>
        <w:numPr>
          <w:ilvl w:val="0"/>
          <w:numId w:val="28"/>
        </w:numPr>
        <w:rPr>
          <w:rFonts w:ascii="Verdana" w:hAnsi="Verdana"/>
          <w:sz w:val="20"/>
          <w:szCs w:val="20"/>
          <w:lang w:val="en-US"/>
        </w:rPr>
      </w:pPr>
      <w:proofErr w:type="spellStart"/>
      <w:r w:rsidRPr="00391C57">
        <w:rPr>
          <w:rFonts w:ascii="Verdana" w:hAnsi="Verdana"/>
          <w:sz w:val="20"/>
          <w:szCs w:val="20"/>
          <w:lang w:val="en-US"/>
        </w:rPr>
        <w:t>Honour</w:t>
      </w:r>
      <w:proofErr w:type="spellEnd"/>
      <w:r w:rsidRPr="00391C57">
        <w:rPr>
          <w:rFonts w:ascii="Verdana" w:hAnsi="Verdana"/>
          <w:sz w:val="20"/>
          <w:szCs w:val="20"/>
          <w:lang w:val="en-US"/>
        </w:rPr>
        <w:t xml:space="preserve"> all card rule</w:t>
      </w:r>
    </w:p>
    <w:p w:rsidR="00391C57" w:rsidRPr="00391C57" w:rsidRDefault="00391C57" w:rsidP="00391C57">
      <w:pPr>
        <w:pStyle w:val="ListParagraph"/>
        <w:numPr>
          <w:ilvl w:val="0"/>
          <w:numId w:val="28"/>
        </w:numPr>
        <w:rPr>
          <w:rFonts w:ascii="Verdana" w:hAnsi="Verdana"/>
          <w:sz w:val="20"/>
          <w:szCs w:val="20"/>
          <w:lang w:val="en-US"/>
        </w:rPr>
      </w:pPr>
      <w:r w:rsidRPr="00391C57">
        <w:rPr>
          <w:rFonts w:ascii="Verdana" w:hAnsi="Verdana"/>
          <w:sz w:val="20"/>
          <w:szCs w:val="20"/>
          <w:lang w:val="en-US"/>
        </w:rPr>
        <w:t>Merchant transaction routing; and</w:t>
      </w:r>
    </w:p>
    <w:p w:rsidR="00391C57" w:rsidRPr="00391C57" w:rsidRDefault="00391C57" w:rsidP="00391C57">
      <w:pPr>
        <w:pStyle w:val="ListParagraph"/>
        <w:numPr>
          <w:ilvl w:val="0"/>
          <w:numId w:val="28"/>
        </w:numPr>
        <w:rPr>
          <w:rFonts w:ascii="Verdana" w:hAnsi="Verdana"/>
          <w:sz w:val="20"/>
          <w:szCs w:val="20"/>
          <w:lang w:val="en-US"/>
        </w:rPr>
      </w:pPr>
      <w:r w:rsidRPr="00391C57">
        <w:rPr>
          <w:rFonts w:ascii="Verdana" w:hAnsi="Verdana"/>
          <w:sz w:val="20"/>
          <w:szCs w:val="20"/>
          <w:lang w:val="en-US"/>
        </w:rPr>
        <w:t>Competing payments on a single device.</w:t>
      </w:r>
    </w:p>
    <w:p w:rsidR="00391C57" w:rsidRPr="00391C57" w:rsidRDefault="00391C57" w:rsidP="00391C57">
      <w:pPr>
        <w:spacing w:before="200"/>
        <w:contextualSpacing/>
        <w:rPr>
          <w:rFonts w:ascii="Verdana" w:hAnsi="Verdana"/>
          <w:b/>
          <w:sz w:val="20"/>
          <w:szCs w:val="20"/>
          <w:lang w:val="en-US"/>
        </w:rPr>
      </w:pPr>
      <w:proofErr w:type="spellStart"/>
      <w:r w:rsidRPr="00391C57">
        <w:rPr>
          <w:rFonts w:ascii="Verdana" w:hAnsi="Verdana"/>
          <w:b/>
          <w:sz w:val="20"/>
          <w:szCs w:val="20"/>
          <w:lang w:val="en-US"/>
        </w:rPr>
        <w:t>Cuscal’s</w:t>
      </w:r>
      <w:proofErr w:type="spellEnd"/>
      <w:r w:rsidRPr="00391C57">
        <w:rPr>
          <w:rFonts w:ascii="Verdana" w:hAnsi="Verdana"/>
          <w:b/>
          <w:sz w:val="20"/>
          <w:szCs w:val="20"/>
          <w:lang w:val="en-US"/>
        </w:rPr>
        <w:t xml:space="preserve"> high-level views</w:t>
      </w:r>
    </w:p>
    <w:p w:rsidR="00391C57" w:rsidRPr="00391C57" w:rsidRDefault="00391C57" w:rsidP="00391C57">
      <w:pPr>
        <w:contextualSpacing/>
        <w:rPr>
          <w:rFonts w:ascii="Verdana" w:hAnsi="Verdana"/>
          <w:sz w:val="20"/>
          <w:szCs w:val="20"/>
          <w:lang w:val="en-US"/>
        </w:rPr>
      </w:pPr>
    </w:p>
    <w:p w:rsidR="00391C57" w:rsidRPr="00391C57" w:rsidRDefault="00391C57" w:rsidP="00391C57">
      <w:pPr>
        <w:contextualSpacing/>
        <w:rPr>
          <w:rFonts w:ascii="Verdana" w:hAnsi="Verdana"/>
          <w:sz w:val="20"/>
          <w:szCs w:val="20"/>
          <w:lang w:val="en-US"/>
        </w:rPr>
      </w:pPr>
      <w:proofErr w:type="spellStart"/>
      <w:r w:rsidRPr="00391C57">
        <w:rPr>
          <w:rFonts w:ascii="Verdana" w:hAnsi="Verdana"/>
          <w:sz w:val="20"/>
          <w:szCs w:val="20"/>
          <w:lang w:val="en-US"/>
        </w:rPr>
        <w:t>Cuscal</w:t>
      </w:r>
      <w:r w:rsidR="003A2593">
        <w:rPr>
          <w:rFonts w:ascii="Verdana" w:hAnsi="Verdana"/>
          <w:sz w:val="20"/>
          <w:szCs w:val="20"/>
          <w:lang w:val="en-US"/>
        </w:rPr>
        <w:t>’s</w:t>
      </w:r>
      <w:proofErr w:type="spellEnd"/>
      <w:r w:rsidRPr="00391C57">
        <w:rPr>
          <w:rFonts w:ascii="Verdana" w:hAnsi="Verdana"/>
          <w:sz w:val="20"/>
          <w:szCs w:val="20"/>
          <w:lang w:val="en-US"/>
        </w:rPr>
        <w:t xml:space="preserve"> high-level views to the topics raised in the “Issues Paper” are that:</w:t>
      </w:r>
    </w:p>
    <w:p w:rsidR="00391C57" w:rsidRPr="00391C57" w:rsidRDefault="00391C57" w:rsidP="00391C57">
      <w:pPr>
        <w:contextualSpacing/>
        <w:rPr>
          <w:rFonts w:ascii="Verdana" w:hAnsi="Verdana"/>
          <w:sz w:val="20"/>
          <w:szCs w:val="20"/>
          <w:lang w:val="en-US"/>
        </w:rPr>
      </w:pPr>
    </w:p>
    <w:p w:rsidR="00391C57" w:rsidRPr="00391C57" w:rsidRDefault="00391C57" w:rsidP="00391C57">
      <w:pPr>
        <w:pStyle w:val="ListParagraph"/>
        <w:numPr>
          <w:ilvl w:val="0"/>
          <w:numId w:val="29"/>
        </w:numPr>
        <w:ind w:left="714" w:hanging="357"/>
        <w:rPr>
          <w:rFonts w:ascii="Verdana" w:hAnsi="Verdana"/>
          <w:sz w:val="20"/>
          <w:szCs w:val="20"/>
          <w:lang w:val="en-US"/>
        </w:rPr>
      </w:pPr>
      <w:r w:rsidRPr="00391C57">
        <w:rPr>
          <w:rFonts w:ascii="Verdana" w:hAnsi="Verdana"/>
          <w:sz w:val="20"/>
          <w:szCs w:val="20"/>
          <w:lang w:val="en-US"/>
        </w:rPr>
        <w:t>There is no sound economic basis for reducing interchange fees further, however, some action is warranted to redu</w:t>
      </w:r>
      <w:r w:rsidR="00022153">
        <w:rPr>
          <w:rFonts w:ascii="Verdana" w:hAnsi="Verdana"/>
          <w:sz w:val="20"/>
          <w:szCs w:val="20"/>
          <w:lang w:val="en-US"/>
        </w:rPr>
        <w:t>ce interchange fee upward drift</w:t>
      </w:r>
    </w:p>
    <w:p w:rsidR="00391C57" w:rsidRPr="00391C57" w:rsidRDefault="00391C57" w:rsidP="00391C57">
      <w:pPr>
        <w:pStyle w:val="ListParagraph"/>
        <w:numPr>
          <w:ilvl w:val="0"/>
          <w:numId w:val="29"/>
        </w:numPr>
        <w:ind w:left="714" w:hanging="357"/>
        <w:rPr>
          <w:rFonts w:ascii="Verdana" w:hAnsi="Verdana"/>
          <w:sz w:val="20"/>
          <w:szCs w:val="20"/>
          <w:lang w:val="en-US"/>
        </w:rPr>
      </w:pPr>
      <w:r w:rsidRPr="00391C57">
        <w:rPr>
          <w:rFonts w:ascii="Verdana" w:hAnsi="Verdana"/>
          <w:sz w:val="20"/>
          <w:szCs w:val="20"/>
          <w:lang w:val="en-US"/>
        </w:rPr>
        <w:t>Excessive surcharging by merchants should be reduced by developing a transparent and enforceable definition of reasonable cost of acceptance and that it should be policed by ASIC using specifically developed l</w:t>
      </w:r>
      <w:r w:rsidR="00022153">
        <w:rPr>
          <w:rFonts w:ascii="Verdana" w:hAnsi="Verdana"/>
          <w:sz w:val="20"/>
          <w:szCs w:val="20"/>
          <w:lang w:val="en-US"/>
        </w:rPr>
        <w:t>egislation</w:t>
      </w:r>
      <w:r w:rsidR="00C32097">
        <w:rPr>
          <w:rFonts w:ascii="Verdana" w:hAnsi="Verdana"/>
          <w:sz w:val="20"/>
          <w:szCs w:val="20"/>
          <w:lang w:val="en-US"/>
        </w:rPr>
        <w:t xml:space="preserve">. </w:t>
      </w:r>
      <w:r w:rsidR="00C32097" w:rsidRPr="00C32097">
        <w:rPr>
          <w:rFonts w:ascii="Verdana" w:eastAsia="Times New Roman" w:hAnsi="Verdana"/>
          <w:iCs/>
          <w:sz w:val="20"/>
          <w:szCs w:val="20"/>
        </w:rPr>
        <w:t>ASIC should be appropriately fu</w:t>
      </w:r>
      <w:r w:rsidR="00C32097">
        <w:rPr>
          <w:rFonts w:ascii="Verdana" w:eastAsia="Times New Roman" w:hAnsi="Verdana"/>
          <w:iCs/>
          <w:sz w:val="20"/>
          <w:szCs w:val="20"/>
        </w:rPr>
        <w:t>nded to undertake this activity</w:t>
      </w:r>
    </w:p>
    <w:p w:rsidR="00391C57" w:rsidRPr="00391C57" w:rsidRDefault="00391C57" w:rsidP="00391C57">
      <w:pPr>
        <w:pStyle w:val="ListParagraph"/>
        <w:numPr>
          <w:ilvl w:val="0"/>
          <w:numId w:val="29"/>
        </w:numPr>
        <w:ind w:left="714" w:hanging="357"/>
        <w:rPr>
          <w:rFonts w:ascii="Verdana" w:hAnsi="Verdana"/>
          <w:sz w:val="20"/>
          <w:szCs w:val="20"/>
          <w:lang w:val="en-US"/>
        </w:rPr>
      </w:pPr>
      <w:r w:rsidRPr="00391C57">
        <w:rPr>
          <w:rFonts w:ascii="Verdana" w:hAnsi="Verdana"/>
          <w:sz w:val="20"/>
          <w:szCs w:val="20"/>
          <w:lang w:val="en-US"/>
        </w:rPr>
        <w:t>The extension of the “</w:t>
      </w:r>
      <w:proofErr w:type="spellStart"/>
      <w:r w:rsidRPr="00391C57">
        <w:rPr>
          <w:rFonts w:ascii="Verdana" w:hAnsi="Verdana"/>
          <w:sz w:val="20"/>
          <w:szCs w:val="20"/>
          <w:lang w:val="en-US"/>
        </w:rPr>
        <w:t>honour</w:t>
      </w:r>
      <w:proofErr w:type="spellEnd"/>
      <w:r w:rsidRPr="00391C57">
        <w:rPr>
          <w:rFonts w:ascii="Verdana" w:hAnsi="Verdana"/>
          <w:sz w:val="20"/>
          <w:szCs w:val="20"/>
          <w:lang w:val="en-US"/>
        </w:rPr>
        <w:t xml:space="preserve">-all-rule” to decline cards with high interchange fees should not </w:t>
      </w:r>
      <w:r w:rsidR="00022153">
        <w:rPr>
          <w:rFonts w:ascii="Verdana" w:hAnsi="Verdana"/>
          <w:sz w:val="20"/>
          <w:szCs w:val="20"/>
          <w:lang w:val="en-US"/>
        </w:rPr>
        <w:t>be adopted as it is impractical</w:t>
      </w:r>
    </w:p>
    <w:p w:rsidR="00391C57" w:rsidRPr="00391C57" w:rsidRDefault="00391C57" w:rsidP="00391C57">
      <w:pPr>
        <w:pStyle w:val="ListParagraph"/>
        <w:numPr>
          <w:ilvl w:val="0"/>
          <w:numId w:val="29"/>
        </w:numPr>
        <w:ind w:left="714" w:hanging="357"/>
        <w:rPr>
          <w:rFonts w:ascii="Verdana" w:hAnsi="Verdana"/>
          <w:sz w:val="20"/>
          <w:szCs w:val="20"/>
        </w:rPr>
      </w:pPr>
      <w:r w:rsidRPr="00391C57">
        <w:rPr>
          <w:rFonts w:ascii="Verdana" w:hAnsi="Verdana"/>
          <w:sz w:val="20"/>
          <w:szCs w:val="20"/>
        </w:rPr>
        <w:t>While there is some merit in exploring changes to routing, it is a complex situation and it is likely to be impractical to implement any regulatory solution that does not impact consumers who also have rights in how transactions should be routed or in a way which does not further exacerbate the position of smaller vs larger merchants; and</w:t>
      </w:r>
    </w:p>
    <w:p w:rsidR="00391C57" w:rsidRPr="00391C57" w:rsidRDefault="00391C57" w:rsidP="00391C57">
      <w:pPr>
        <w:pStyle w:val="ListParagraph"/>
        <w:numPr>
          <w:ilvl w:val="0"/>
          <w:numId w:val="29"/>
        </w:numPr>
        <w:ind w:left="714" w:hanging="357"/>
        <w:rPr>
          <w:rFonts w:ascii="Verdana" w:hAnsi="Verdana"/>
          <w:color w:val="000000" w:themeColor="text1"/>
          <w:sz w:val="20"/>
          <w:szCs w:val="20"/>
        </w:rPr>
      </w:pPr>
      <w:r w:rsidRPr="00391C57">
        <w:rPr>
          <w:rFonts w:ascii="Verdana" w:hAnsi="Verdana"/>
          <w:color w:val="000000" w:themeColor="text1"/>
          <w:sz w:val="20"/>
          <w:szCs w:val="20"/>
        </w:rPr>
        <w:t xml:space="preserve">We do support limited interventions, which would ensure that there </w:t>
      </w:r>
      <w:r w:rsidR="003A2593">
        <w:rPr>
          <w:rFonts w:ascii="Verdana" w:hAnsi="Verdana"/>
          <w:color w:val="000000" w:themeColor="text1"/>
          <w:sz w:val="20"/>
          <w:szCs w:val="20"/>
        </w:rPr>
        <w:t>is</w:t>
      </w:r>
      <w:r w:rsidRPr="00391C57">
        <w:rPr>
          <w:rFonts w:ascii="Verdana" w:hAnsi="Verdana"/>
          <w:color w:val="000000" w:themeColor="text1"/>
          <w:sz w:val="20"/>
          <w:szCs w:val="20"/>
        </w:rPr>
        <w:t xml:space="preserve"> no security, tokenisation, or other restrictions on the availability of competition and choice between competing payments on a </w:t>
      </w:r>
      <w:r w:rsidRPr="00391C57">
        <w:rPr>
          <w:rFonts w:ascii="Verdana" w:hAnsi="Verdana"/>
          <w:color w:val="000000" w:themeColor="text1"/>
          <w:sz w:val="20"/>
          <w:szCs w:val="20"/>
          <w:lang w:val="en-US"/>
        </w:rPr>
        <w:t>single device</w:t>
      </w:r>
      <w:r w:rsidRPr="00391C57">
        <w:rPr>
          <w:rFonts w:ascii="Verdana" w:hAnsi="Verdana"/>
          <w:color w:val="000000" w:themeColor="text1"/>
          <w:sz w:val="20"/>
          <w:szCs w:val="20"/>
        </w:rPr>
        <w:t>.</w:t>
      </w:r>
    </w:p>
    <w:p w:rsidR="00391C57" w:rsidRDefault="00391C57" w:rsidP="00391C57">
      <w:pPr>
        <w:contextualSpacing/>
        <w:rPr>
          <w:rFonts w:ascii="Verdana" w:hAnsi="Verdana"/>
          <w:sz w:val="20"/>
          <w:szCs w:val="20"/>
        </w:rPr>
      </w:pPr>
      <w:r w:rsidRPr="00391C57">
        <w:rPr>
          <w:rFonts w:ascii="Verdana" w:hAnsi="Verdana"/>
          <w:sz w:val="20"/>
          <w:szCs w:val="20"/>
        </w:rPr>
        <w:lastRenderedPageBreak/>
        <w:t xml:space="preserve">It is also worth noting that </w:t>
      </w:r>
      <w:proofErr w:type="spellStart"/>
      <w:r w:rsidRPr="00391C57">
        <w:rPr>
          <w:rFonts w:ascii="Verdana" w:hAnsi="Verdana"/>
          <w:sz w:val="20"/>
          <w:szCs w:val="20"/>
        </w:rPr>
        <w:t>Cuscal’s</w:t>
      </w:r>
      <w:proofErr w:type="spellEnd"/>
      <w:r w:rsidRPr="00391C57">
        <w:rPr>
          <w:rFonts w:ascii="Verdana" w:hAnsi="Verdana"/>
          <w:sz w:val="20"/>
          <w:szCs w:val="20"/>
        </w:rPr>
        <w:t xml:space="preserve"> views are largely in line with those of Australian Payments Clearing Association </w:t>
      </w:r>
      <w:r w:rsidR="003A2593">
        <w:rPr>
          <w:rFonts w:ascii="Verdana" w:hAnsi="Verdana"/>
          <w:sz w:val="20"/>
          <w:szCs w:val="20"/>
        </w:rPr>
        <w:t xml:space="preserve">(APCA) </w:t>
      </w:r>
      <w:r w:rsidRPr="00391C57">
        <w:rPr>
          <w:rFonts w:ascii="Verdana" w:hAnsi="Verdana"/>
          <w:sz w:val="20"/>
          <w:szCs w:val="20"/>
        </w:rPr>
        <w:t>the payments industry peak self-regulatory and lobbying body.</w:t>
      </w:r>
    </w:p>
    <w:p w:rsidR="008533B0" w:rsidRPr="00391C57" w:rsidRDefault="008533B0" w:rsidP="00391C57">
      <w:pPr>
        <w:contextualSpacing/>
        <w:rPr>
          <w:rFonts w:ascii="Verdana" w:hAnsi="Verdana"/>
          <w:sz w:val="20"/>
          <w:szCs w:val="20"/>
        </w:rPr>
      </w:pPr>
    </w:p>
    <w:p w:rsidR="00391C57" w:rsidRPr="00391C57" w:rsidRDefault="00391C57" w:rsidP="00391C57">
      <w:pPr>
        <w:contextualSpacing/>
        <w:rPr>
          <w:rFonts w:ascii="Verdana" w:hAnsi="Verdana"/>
          <w:sz w:val="20"/>
          <w:szCs w:val="20"/>
          <w:lang w:val="en-US"/>
        </w:rPr>
      </w:pPr>
      <w:r w:rsidRPr="00391C57">
        <w:rPr>
          <w:rFonts w:ascii="Verdana" w:hAnsi="Verdana"/>
          <w:sz w:val="20"/>
          <w:szCs w:val="20"/>
          <w:lang w:val="en-US"/>
        </w:rPr>
        <w:t xml:space="preserve">However, before providing specific comment on the above areas, we would like to make some more general comments about the reform process to date and the potential lessons we can learn from it in responding to the </w:t>
      </w:r>
      <w:r w:rsidRPr="00391C57">
        <w:rPr>
          <w:rFonts w:ascii="Verdana" w:hAnsi="Verdana"/>
          <w:i/>
          <w:sz w:val="20"/>
          <w:szCs w:val="20"/>
          <w:lang w:val="en-US"/>
        </w:rPr>
        <w:t>Review of Card Payments Regulation - Issues Paper</w:t>
      </w:r>
      <w:r w:rsidRPr="00391C57">
        <w:rPr>
          <w:rFonts w:ascii="Verdana" w:hAnsi="Verdana"/>
          <w:sz w:val="20"/>
          <w:szCs w:val="20"/>
          <w:lang w:val="en-US"/>
        </w:rPr>
        <w:t xml:space="preserve">.  </w:t>
      </w:r>
    </w:p>
    <w:p w:rsidR="00391C57" w:rsidRPr="00391C57" w:rsidRDefault="00391C57" w:rsidP="00391C57">
      <w:pPr>
        <w:contextualSpacing/>
        <w:rPr>
          <w:rFonts w:ascii="Verdana" w:hAnsi="Verdana"/>
          <w:b/>
          <w:sz w:val="20"/>
          <w:szCs w:val="20"/>
          <w:lang w:val="en-US"/>
        </w:rPr>
      </w:pPr>
    </w:p>
    <w:p w:rsidR="00391C57" w:rsidRDefault="00391C57" w:rsidP="00391C57">
      <w:pPr>
        <w:contextualSpacing/>
        <w:rPr>
          <w:rFonts w:ascii="Verdana" w:hAnsi="Verdana"/>
          <w:b/>
          <w:sz w:val="20"/>
          <w:szCs w:val="20"/>
          <w:lang w:val="en-US"/>
        </w:rPr>
      </w:pPr>
      <w:r w:rsidRPr="00391C57">
        <w:rPr>
          <w:rFonts w:ascii="Verdana" w:hAnsi="Verdana"/>
          <w:b/>
          <w:sz w:val="20"/>
          <w:szCs w:val="20"/>
          <w:lang w:val="en-US"/>
        </w:rPr>
        <w:t>General comment about the reform process to date</w:t>
      </w:r>
    </w:p>
    <w:p w:rsidR="00391C57" w:rsidRPr="00391C57" w:rsidRDefault="00391C57" w:rsidP="00391C57">
      <w:pPr>
        <w:contextualSpacing/>
        <w:rPr>
          <w:rFonts w:ascii="Verdana" w:hAnsi="Verdana"/>
          <w:b/>
          <w:sz w:val="20"/>
          <w:szCs w:val="20"/>
          <w:lang w:val="en-US"/>
        </w:rPr>
      </w:pPr>
    </w:p>
    <w:p w:rsidR="00391C57" w:rsidRDefault="00391C57" w:rsidP="00391C57">
      <w:pPr>
        <w:contextualSpacing/>
        <w:rPr>
          <w:rFonts w:ascii="Verdana" w:hAnsi="Verdana"/>
          <w:sz w:val="20"/>
          <w:szCs w:val="20"/>
        </w:rPr>
      </w:pPr>
      <w:r w:rsidRPr="00391C57">
        <w:rPr>
          <w:rFonts w:ascii="Verdana" w:hAnsi="Verdana"/>
          <w:sz w:val="20"/>
          <w:szCs w:val="20"/>
        </w:rPr>
        <w:t>For credit cards between April 2001 and December 2014 there has been over 15 major regulatory decisions</w:t>
      </w:r>
      <w:r w:rsidRPr="00391C57">
        <w:rPr>
          <w:rStyle w:val="FootnoteReference"/>
          <w:rFonts w:ascii="Verdana" w:hAnsi="Verdana"/>
          <w:sz w:val="20"/>
          <w:szCs w:val="20"/>
        </w:rPr>
        <w:footnoteReference w:id="1"/>
      </w:r>
      <w:r w:rsidRPr="00391C57">
        <w:rPr>
          <w:rFonts w:ascii="Verdana" w:hAnsi="Verdana"/>
          <w:sz w:val="20"/>
          <w:szCs w:val="20"/>
        </w:rPr>
        <w:t xml:space="preserve"> covering:</w:t>
      </w:r>
    </w:p>
    <w:p w:rsidR="00391C57" w:rsidRPr="00391C57" w:rsidRDefault="00391C57" w:rsidP="00391C57">
      <w:pPr>
        <w:contextualSpacing/>
        <w:rPr>
          <w:rFonts w:ascii="Verdana" w:hAnsi="Verdana"/>
          <w:sz w:val="20"/>
          <w:szCs w:val="20"/>
        </w:rPr>
      </w:pPr>
    </w:p>
    <w:p w:rsidR="00391C57" w:rsidRPr="00391C57" w:rsidRDefault="003A2593" w:rsidP="00391C57">
      <w:pPr>
        <w:pStyle w:val="ListParagraph"/>
        <w:numPr>
          <w:ilvl w:val="0"/>
          <w:numId w:val="28"/>
        </w:numPr>
        <w:ind w:left="714" w:hanging="357"/>
        <w:rPr>
          <w:rFonts w:ascii="Verdana" w:hAnsi="Verdana"/>
          <w:sz w:val="20"/>
          <w:szCs w:val="20"/>
          <w:lang w:val="en-US"/>
        </w:rPr>
      </w:pPr>
      <w:r>
        <w:rPr>
          <w:rFonts w:ascii="Verdana" w:hAnsi="Verdana"/>
          <w:sz w:val="20"/>
          <w:szCs w:val="20"/>
          <w:lang w:val="en-US"/>
        </w:rPr>
        <w:t>Designation of card Schemes (2)</w:t>
      </w:r>
    </w:p>
    <w:p w:rsidR="00391C57" w:rsidRPr="00391C57" w:rsidRDefault="003A2593" w:rsidP="00391C57">
      <w:pPr>
        <w:pStyle w:val="ListParagraph"/>
        <w:numPr>
          <w:ilvl w:val="0"/>
          <w:numId w:val="28"/>
        </w:numPr>
        <w:ind w:left="714" w:hanging="357"/>
        <w:rPr>
          <w:rFonts w:ascii="Verdana" w:hAnsi="Verdana"/>
          <w:sz w:val="20"/>
          <w:szCs w:val="20"/>
          <w:lang w:val="en-US"/>
        </w:rPr>
      </w:pPr>
      <w:r>
        <w:rPr>
          <w:rFonts w:ascii="Verdana" w:hAnsi="Verdana"/>
          <w:sz w:val="20"/>
          <w:szCs w:val="20"/>
          <w:lang w:val="en-US"/>
        </w:rPr>
        <w:t>Interchange fee setting (6)</w:t>
      </w:r>
    </w:p>
    <w:p w:rsidR="00391C57" w:rsidRPr="00391C57" w:rsidRDefault="003A2593" w:rsidP="00391C57">
      <w:pPr>
        <w:pStyle w:val="ListParagraph"/>
        <w:numPr>
          <w:ilvl w:val="0"/>
          <w:numId w:val="28"/>
        </w:numPr>
        <w:ind w:left="714" w:hanging="357"/>
        <w:rPr>
          <w:rFonts w:ascii="Verdana" w:hAnsi="Verdana"/>
          <w:sz w:val="20"/>
          <w:szCs w:val="20"/>
          <w:lang w:val="en-US"/>
        </w:rPr>
      </w:pPr>
      <w:r>
        <w:rPr>
          <w:rFonts w:ascii="Verdana" w:hAnsi="Verdana"/>
          <w:sz w:val="20"/>
          <w:szCs w:val="20"/>
          <w:lang w:val="en-US"/>
        </w:rPr>
        <w:t>Merchant pricing (2)</w:t>
      </w:r>
    </w:p>
    <w:p w:rsidR="00391C57" w:rsidRPr="00391C57" w:rsidRDefault="00391C57" w:rsidP="00391C57">
      <w:pPr>
        <w:pStyle w:val="ListParagraph"/>
        <w:numPr>
          <w:ilvl w:val="0"/>
          <w:numId w:val="28"/>
        </w:numPr>
        <w:ind w:left="714" w:hanging="357"/>
        <w:rPr>
          <w:rFonts w:ascii="Verdana" w:hAnsi="Verdana"/>
          <w:sz w:val="20"/>
          <w:szCs w:val="20"/>
          <w:lang w:val="en-US"/>
        </w:rPr>
      </w:pPr>
      <w:r w:rsidRPr="00391C57">
        <w:rPr>
          <w:rFonts w:ascii="Verdana" w:hAnsi="Verdana"/>
          <w:sz w:val="20"/>
          <w:szCs w:val="20"/>
          <w:lang w:val="en-US"/>
        </w:rPr>
        <w:t>Access regimes (3); and</w:t>
      </w:r>
    </w:p>
    <w:p w:rsidR="00391C57" w:rsidRPr="00391C57" w:rsidRDefault="00391C57" w:rsidP="00391C57">
      <w:pPr>
        <w:pStyle w:val="ListParagraph"/>
        <w:numPr>
          <w:ilvl w:val="0"/>
          <w:numId w:val="28"/>
        </w:numPr>
        <w:ind w:left="714" w:hanging="357"/>
        <w:rPr>
          <w:rFonts w:ascii="Verdana" w:hAnsi="Verdana"/>
          <w:sz w:val="20"/>
          <w:szCs w:val="20"/>
          <w:lang w:val="en-US"/>
        </w:rPr>
      </w:pPr>
      <w:r w:rsidRPr="00391C57">
        <w:rPr>
          <w:rFonts w:ascii="Verdana" w:hAnsi="Verdana"/>
          <w:sz w:val="20"/>
          <w:szCs w:val="20"/>
          <w:lang w:val="en-US"/>
        </w:rPr>
        <w:t>Surcharging (2).</w:t>
      </w:r>
    </w:p>
    <w:p w:rsidR="00391C57" w:rsidRDefault="00391C57" w:rsidP="00391C57">
      <w:pPr>
        <w:contextualSpacing/>
        <w:rPr>
          <w:rFonts w:ascii="Verdana" w:hAnsi="Verdana"/>
          <w:sz w:val="20"/>
          <w:szCs w:val="20"/>
        </w:rPr>
      </w:pPr>
      <w:r w:rsidRPr="00391C57">
        <w:rPr>
          <w:rFonts w:ascii="Verdana" w:hAnsi="Verdana"/>
          <w:sz w:val="20"/>
          <w:szCs w:val="20"/>
        </w:rPr>
        <w:t>Similarly for debit cards between February 2004 and December 2014 there has been over 17 major regulatory decisions covering:</w:t>
      </w:r>
    </w:p>
    <w:p w:rsidR="00391C57" w:rsidRPr="00391C57" w:rsidRDefault="00391C57" w:rsidP="00391C57">
      <w:pPr>
        <w:contextualSpacing/>
        <w:rPr>
          <w:rFonts w:ascii="Verdana" w:hAnsi="Verdana"/>
          <w:sz w:val="20"/>
          <w:szCs w:val="20"/>
        </w:rPr>
      </w:pPr>
    </w:p>
    <w:p w:rsidR="00391C57" w:rsidRPr="00391C57" w:rsidRDefault="003A2593" w:rsidP="00391C57">
      <w:pPr>
        <w:pStyle w:val="ListParagraph"/>
        <w:numPr>
          <w:ilvl w:val="0"/>
          <w:numId w:val="28"/>
        </w:numPr>
        <w:ind w:left="714" w:hanging="357"/>
        <w:rPr>
          <w:rFonts w:ascii="Verdana" w:hAnsi="Verdana"/>
          <w:sz w:val="20"/>
          <w:szCs w:val="20"/>
          <w:lang w:val="en-US"/>
        </w:rPr>
      </w:pPr>
      <w:r>
        <w:rPr>
          <w:rFonts w:ascii="Verdana" w:hAnsi="Verdana"/>
          <w:sz w:val="20"/>
          <w:szCs w:val="20"/>
          <w:lang w:val="en-US"/>
        </w:rPr>
        <w:t>Designation of card Schemes (3)</w:t>
      </w:r>
    </w:p>
    <w:p w:rsidR="00391C57" w:rsidRPr="00391C57" w:rsidRDefault="003A2593" w:rsidP="00391C57">
      <w:pPr>
        <w:pStyle w:val="ListParagraph"/>
        <w:numPr>
          <w:ilvl w:val="0"/>
          <w:numId w:val="28"/>
        </w:numPr>
        <w:ind w:left="714" w:hanging="357"/>
        <w:rPr>
          <w:rFonts w:ascii="Verdana" w:hAnsi="Verdana"/>
          <w:sz w:val="20"/>
          <w:szCs w:val="20"/>
          <w:lang w:val="en-US"/>
        </w:rPr>
      </w:pPr>
      <w:r>
        <w:rPr>
          <w:rFonts w:ascii="Verdana" w:hAnsi="Verdana"/>
          <w:sz w:val="20"/>
          <w:szCs w:val="20"/>
          <w:lang w:val="en-US"/>
        </w:rPr>
        <w:t>Access regimes (4)</w:t>
      </w:r>
    </w:p>
    <w:p w:rsidR="00391C57" w:rsidRPr="00391C57" w:rsidRDefault="003A2593" w:rsidP="00391C57">
      <w:pPr>
        <w:pStyle w:val="ListParagraph"/>
        <w:numPr>
          <w:ilvl w:val="0"/>
          <w:numId w:val="28"/>
        </w:numPr>
        <w:ind w:left="714" w:hanging="357"/>
        <w:rPr>
          <w:rFonts w:ascii="Verdana" w:hAnsi="Verdana"/>
          <w:sz w:val="20"/>
          <w:szCs w:val="20"/>
          <w:lang w:val="en-US"/>
        </w:rPr>
      </w:pPr>
      <w:r>
        <w:rPr>
          <w:rFonts w:ascii="Verdana" w:hAnsi="Verdana"/>
          <w:sz w:val="20"/>
          <w:szCs w:val="20"/>
          <w:lang w:val="en-US"/>
        </w:rPr>
        <w:t>Interchange fee setting (7)</w:t>
      </w:r>
    </w:p>
    <w:p w:rsidR="00391C57" w:rsidRPr="00391C57" w:rsidRDefault="00391C57" w:rsidP="00391C57">
      <w:pPr>
        <w:pStyle w:val="ListParagraph"/>
        <w:numPr>
          <w:ilvl w:val="0"/>
          <w:numId w:val="28"/>
        </w:numPr>
        <w:ind w:left="714" w:hanging="357"/>
        <w:rPr>
          <w:rFonts w:ascii="Verdana" w:hAnsi="Verdana"/>
          <w:sz w:val="20"/>
          <w:szCs w:val="20"/>
          <w:lang w:val="en-US"/>
        </w:rPr>
      </w:pPr>
      <w:r w:rsidRPr="00391C57">
        <w:rPr>
          <w:rFonts w:ascii="Verdana" w:hAnsi="Verdana"/>
          <w:sz w:val="20"/>
          <w:szCs w:val="20"/>
          <w:lang w:val="en-US"/>
        </w:rPr>
        <w:t>Surcharging (2); and</w:t>
      </w:r>
    </w:p>
    <w:p w:rsidR="00391C57" w:rsidRPr="00391C57" w:rsidRDefault="00391C57" w:rsidP="00391C57">
      <w:pPr>
        <w:pStyle w:val="ListParagraph"/>
        <w:numPr>
          <w:ilvl w:val="0"/>
          <w:numId w:val="28"/>
        </w:numPr>
        <w:ind w:left="714" w:hanging="357"/>
        <w:rPr>
          <w:rFonts w:ascii="Verdana" w:hAnsi="Verdana"/>
          <w:sz w:val="20"/>
          <w:szCs w:val="20"/>
          <w:lang w:val="en-US"/>
        </w:rPr>
      </w:pPr>
      <w:proofErr w:type="spellStart"/>
      <w:r w:rsidRPr="00391C57">
        <w:rPr>
          <w:rFonts w:ascii="Verdana" w:hAnsi="Verdana"/>
          <w:sz w:val="20"/>
          <w:szCs w:val="20"/>
          <w:lang w:val="en-US"/>
        </w:rPr>
        <w:t>Honour</w:t>
      </w:r>
      <w:proofErr w:type="spellEnd"/>
      <w:r w:rsidRPr="00391C57">
        <w:rPr>
          <w:rFonts w:ascii="Verdana" w:hAnsi="Verdana"/>
          <w:sz w:val="20"/>
          <w:szCs w:val="20"/>
          <w:lang w:val="en-US"/>
        </w:rPr>
        <w:t xml:space="preserve"> all cards (1).</w:t>
      </w:r>
    </w:p>
    <w:p w:rsidR="00391C57" w:rsidRPr="00391C57" w:rsidRDefault="00391C57" w:rsidP="00391C57">
      <w:pPr>
        <w:contextualSpacing/>
        <w:rPr>
          <w:rFonts w:ascii="Verdana" w:hAnsi="Verdana"/>
          <w:sz w:val="20"/>
          <w:szCs w:val="20"/>
          <w:lang w:val="en-US"/>
        </w:rPr>
      </w:pPr>
      <w:r w:rsidRPr="00391C57">
        <w:rPr>
          <w:rFonts w:ascii="Verdana" w:hAnsi="Verdana"/>
          <w:sz w:val="20"/>
          <w:szCs w:val="20"/>
          <w:lang w:val="en-US"/>
        </w:rPr>
        <w:t>This is a significant amount of regulatory change with a number of them being made to rectify some unintended consequences particularly for interchange and surcharging.</w:t>
      </w:r>
    </w:p>
    <w:p w:rsidR="00391C57" w:rsidRDefault="00391C57" w:rsidP="00391C57">
      <w:pPr>
        <w:contextualSpacing/>
        <w:rPr>
          <w:rFonts w:ascii="Verdana" w:hAnsi="Verdana"/>
          <w:sz w:val="20"/>
          <w:szCs w:val="20"/>
        </w:rPr>
      </w:pPr>
    </w:p>
    <w:p w:rsidR="00391C57" w:rsidRDefault="00391C57" w:rsidP="00391C57">
      <w:pPr>
        <w:contextualSpacing/>
        <w:rPr>
          <w:rFonts w:ascii="Verdana" w:hAnsi="Verdana"/>
          <w:sz w:val="20"/>
          <w:szCs w:val="20"/>
        </w:rPr>
      </w:pPr>
      <w:r w:rsidRPr="00391C57">
        <w:rPr>
          <w:rFonts w:ascii="Verdana" w:hAnsi="Verdana"/>
          <w:sz w:val="20"/>
          <w:szCs w:val="20"/>
        </w:rPr>
        <w:t>With the current “Issues Paper” the RBA is seeking input on what could potentially lead to up to 15 further regulatory changes covering:</w:t>
      </w:r>
    </w:p>
    <w:p w:rsidR="00391C57" w:rsidRPr="00391C57" w:rsidRDefault="00391C57" w:rsidP="00391C57">
      <w:pPr>
        <w:contextualSpacing/>
        <w:rPr>
          <w:rFonts w:ascii="Verdana" w:hAnsi="Verdana"/>
          <w:sz w:val="20"/>
          <w:szCs w:val="20"/>
        </w:rPr>
      </w:pPr>
    </w:p>
    <w:p w:rsidR="00391C57" w:rsidRPr="00391C57" w:rsidRDefault="00391C57" w:rsidP="00391C57">
      <w:pPr>
        <w:pStyle w:val="ListParagraph"/>
        <w:numPr>
          <w:ilvl w:val="0"/>
          <w:numId w:val="28"/>
        </w:numPr>
        <w:ind w:left="714" w:hanging="357"/>
        <w:rPr>
          <w:rFonts w:ascii="Verdana" w:hAnsi="Verdana"/>
          <w:sz w:val="20"/>
          <w:szCs w:val="20"/>
          <w:lang w:val="en-US"/>
        </w:rPr>
      </w:pPr>
      <w:r w:rsidRPr="00391C57">
        <w:rPr>
          <w:rFonts w:ascii="Verdana" w:hAnsi="Verdana"/>
          <w:sz w:val="20"/>
          <w:szCs w:val="20"/>
          <w:lang w:val="en-US"/>
        </w:rPr>
        <w:t>Interchange fee setting (8)</w:t>
      </w:r>
    </w:p>
    <w:p w:rsidR="00391C57" w:rsidRPr="00391C57" w:rsidRDefault="00391C57" w:rsidP="00391C57">
      <w:pPr>
        <w:pStyle w:val="ListParagraph"/>
        <w:numPr>
          <w:ilvl w:val="0"/>
          <w:numId w:val="28"/>
        </w:numPr>
        <w:ind w:left="714" w:hanging="357"/>
        <w:rPr>
          <w:rFonts w:ascii="Verdana" w:hAnsi="Verdana"/>
          <w:sz w:val="20"/>
          <w:szCs w:val="20"/>
          <w:lang w:val="en-US"/>
        </w:rPr>
      </w:pPr>
      <w:r w:rsidRPr="00391C57">
        <w:rPr>
          <w:rFonts w:ascii="Verdana" w:hAnsi="Verdana"/>
          <w:sz w:val="20"/>
          <w:szCs w:val="20"/>
          <w:lang w:val="en-US"/>
        </w:rPr>
        <w:t>Surcharging (4)</w:t>
      </w:r>
    </w:p>
    <w:p w:rsidR="00391C57" w:rsidRPr="00391C57" w:rsidRDefault="00391C57" w:rsidP="00391C57">
      <w:pPr>
        <w:pStyle w:val="ListParagraph"/>
        <w:numPr>
          <w:ilvl w:val="0"/>
          <w:numId w:val="28"/>
        </w:numPr>
        <w:ind w:left="714" w:hanging="357"/>
        <w:rPr>
          <w:rFonts w:ascii="Verdana" w:hAnsi="Verdana"/>
          <w:sz w:val="20"/>
          <w:szCs w:val="20"/>
          <w:lang w:val="en-US"/>
        </w:rPr>
      </w:pPr>
      <w:proofErr w:type="spellStart"/>
      <w:r w:rsidRPr="00391C57">
        <w:rPr>
          <w:rFonts w:ascii="Verdana" w:hAnsi="Verdana"/>
          <w:sz w:val="20"/>
          <w:szCs w:val="20"/>
          <w:lang w:val="en-US"/>
        </w:rPr>
        <w:t>Honour</w:t>
      </w:r>
      <w:proofErr w:type="spellEnd"/>
      <w:r w:rsidRPr="00391C57">
        <w:rPr>
          <w:rFonts w:ascii="Verdana" w:hAnsi="Verdana"/>
          <w:sz w:val="20"/>
          <w:szCs w:val="20"/>
          <w:lang w:val="en-US"/>
        </w:rPr>
        <w:t xml:space="preserve"> all cards (1)</w:t>
      </w:r>
    </w:p>
    <w:p w:rsidR="00391C57" w:rsidRPr="00391C57" w:rsidRDefault="00391C57" w:rsidP="00391C57">
      <w:pPr>
        <w:pStyle w:val="ListParagraph"/>
        <w:numPr>
          <w:ilvl w:val="0"/>
          <w:numId w:val="28"/>
        </w:numPr>
        <w:ind w:left="714" w:hanging="357"/>
        <w:rPr>
          <w:rFonts w:ascii="Verdana" w:hAnsi="Verdana"/>
          <w:sz w:val="20"/>
          <w:szCs w:val="20"/>
          <w:lang w:val="en-US"/>
        </w:rPr>
      </w:pPr>
      <w:r w:rsidRPr="00391C57">
        <w:rPr>
          <w:rFonts w:ascii="Verdana" w:hAnsi="Verdana"/>
          <w:sz w:val="20"/>
          <w:szCs w:val="20"/>
          <w:lang w:val="en-US"/>
        </w:rPr>
        <w:t>Merchant transaction routing (1)</w:t>
      </w:r>
    </w:p>
    <w:p w:rsidR="00391C57" w:rsidRPr="00391C57" w:rsidRDefault="00391C57" w:rsidP="00391C57">
      <w:pPr>
        <w:pStyle w:val="ListParagraph"/>
        <w:numPr>
          <w:ilvl w:val="0"/>
          <w:numId w:val="28"/>
        </w:numPr>
        <w:ind w:left="714" w:hanging="357"/>
        <w:rPr>
          <w:rFonts w:ascii="Verdana" w:hAnsi="Verdana"/>
          <w:sz w:val="20"/>
          <w:szCs w:val="20"/>
          <w:lang w:val="en-US"/>
        </w:rPr>
      </w:pPr>
      <w:r w:rsidRPr="00391C57">
        <w:rPr>
          <w:rFonts w:ascii="Verdana" w:hAnsi="Verdana"/>
          <w:sz w:val="20"/>
          <w:szCs w:val="20"/>
          <w:lang w:val="en-US"/>
        </w:rPr>
        <w:t>Competing payments on a single device (1)</w:t>
      </w:r>
    </w:p>
    <w:p w:rsidR="00391C57" w:rsidRDefault="00391C57" w:rsidP="00391C57">
      <w:pPr>
        <w:contextualSpacing/>
        <w:rPr>
          <w:rFonts w:ascii="Verdana" w:hAnsi="Verdana"/>
          <w:sz w:val="20"/>
          <w:szCs w:val="20"/>
          <w:lang w:val="en-US"/>
        </w:rPr>
      </w:pPr>
      <w:r w:rsidRPr="00391C57">
        <w:rPr>
          <w:rFonts w:ascii="Verdana" w:hAnsi="Verdana"/>
          <w:sz w:val="20"/>
          <w:szCs w:val="20"/>
          <w:lang w:val="en-US"/>
        </w:rPr>
        <w:t>If this were the case this would be an unprecedented level of regulatory change particularly for interchange fee setting and surcharging</w:t>
      </w:r>
      <w:r>
        <w:rPr>
          <w:rFonts w:ascii="Verdana" w:hAnsi="Verdana"/>
          <w:sz w:val="20"/>
          <w:szCs w:val="20"/>
          <w:lang w:val="en-US"/>
        </w:rPr>
        <w:t>.</w:t>
      </w:r>
      <w:r w:rsidRPr="00391C57">
        <w:rPr>
          <w:rFonts w:ascii="Verdana" w:hAnsi="Verdana"/>
          <w:sz w:val="20"/>
          <w:szCs w:val="20"/>
          <w:lang w:val="en-US"/>
        </w:rPr>
        <w:t xml:space="preserve"> As has been seen from the past this level of regulatory intervention could lead to a number of unintended consequences and the need for further regulation to attempt to rectify it.  </w:t>
      </w:r>
    </w:p>
    <w:p w:rsidR="00391C57" w:rsidRPr="00391C57" w:rsidRDefault="00391C57" w:rsidP="00391C57">
      <w:pPr>
        <w:contextualSpacing/>
        <w:rPr>
          <w:rFonts w:ascii="Verdana" w:hAnsi="Verdana"/>
          <w:sz w:val="20"/>
          <w:szCs w:val="20"/>
          <w:lang w:val="en-US"/>
        </w:rPr>
      </w:pPr>
    </w:p>
    <w:p w:rsidR="00391C57" w:rsidRPr="00391C57" w:rsidRDefault="00391C57" w:rsidP="00391C57">
      <w:pPr>
        <w:contextualSpacing/>
        <w:rPr>
          <w:rFonts w:ascii="Verdana" w:hAnsi="Verdana"/>
          <w:sz w:val="20"/>
          <w:szCs w:val="20"/>
          <w:lang w:val="en-US"/>
        </w:rPr>
      </w:pPr>
      <w:r w:rsidRPr="00391C57">
        <w:rPr>
          <w:rFonts w:ascii="Verdana" w:hAnsi="Verdana"/>
          <w:sz w:val="20"/>
          <w:szCs w:val="20"/>
          <w:lang w:val="en-US"/>
        </w:rPr>
        <w:t>To avoid this risk Cuscal suggest</w:t>
      </w:r>
      <w:r w:rsidR="003A2593">
        <w:rPr>
          <w:rFonts w:ascii="Verdana" w:hAnsi="Verdana"/>
          <w:sz w:val="20"/>
          <w:szCs w:val="20"/>
          <w:lang w:val="en-US"/>
        </w:rPr>
        <w:t>s</w:t>
      </w:r>
      <w:r w:rsidRPr="00391C57">
        <w:rPr>
          <w:rFonts w:ascii="Verdana" w:hAnsi="Verdana"/>
          <w:sz w:val="20"/>
          <w:szCs w:val="20"/>
          <w:lang w:val="en-US"/>
        </w:rPr>
        <w:t xml:space="preserve"> that a more measured approach </w:t>
      </w:r>
      <w:proofErr w:type="gramStart"/>
      <w:r w:rsidRPr="00391C57">
        <w:rPr>
          <w:rFonts w:ascii="Verdana" w:hAnsi="Verdana"/>
          <w:sz w:val="20"/>
          <w:szCs w:val="20"/>
          <w:lang w:val="en-US"/>
        </w:rPr>
        <w:t>be</w:t>
      </w:r>
      <w:proofErr w:type="gramEnd"/>
      <w:r w:rsidRPr="00391C57">
        <w:rPr>
          <w:rFonts w:ascii="Verdana" w:hAnsi="Verdana"/>
          <w:sz w:val="20"/>
          <w:szCs w:val="20"/>
          <w:lang w:val="en-US"/>
        </w:rPr>
        <w:t xml:space="preserve"> taken using only minimal incremental change for interchange and surcharging be adopted and that cost benefit to all stakeholders should be taken into account before regulating. </w:t>
      </w:r>
    </w:p>
    <w:p w:rsidR="00391C57" w:rsidRDefault="00391C57" w:rsidP="00391C57">
      <w:pPr>
        <w:contextualSpacing/>
        <w:rPr>
          <w:rFonts w:ascii="Verdana" w:hAnsi="Verdana"/>
          <w:b/>
          <w:sz w:val="20"/>
          <w:szCs w:val="20"/>
        </w:rPr>
      </w:pPr>
    </w:p>
    <w:p w:rsidR="008533B0" w:rsidRDefault="008533B0" w:rsidP="00391C57">
      <w:pPr>
        <w:contextualSpacing/>
        <w:rPr>
          <w:rFonts w:ascii="Verdana" w:hAnsi="Verdana"/>
          <w:b/>
          <w:sz w:val="20"/>
          <w:szCs w:val="20"/>
        </w:rPr>
      </w:pPr>
    </w:p>
    <w:p w:rsidR="008533B0" w:rsidRDefault="008533B0" w:rsidP="00391C57">
      <w:pPr>
        <w:contextualSpacing/>
        <w:rPr>
          <w:rFonts w:ascii="Verdana" w:hAnsi="Verdana"/>
          <w:b/>
          <w:sz w:val="20"/>
          <w:szCs w:val="20"/>
        </w:rPr>
      </w:pPr>
    </w:p>
    <w:p w:rsidR="008533B0" w:rsidRDefault="008533B0" w:rsidP="00391C57">
      <w:pPr>
        <w:contextualSpacing/>
        <w:rPr>
          <w:rFonts w:ascii="Verdana" w:hAnsi="Verdana"/>
          <w:b/>
          <w:sz w:val="20"/>
          <w:szCs w:val="20"/>
        </w:rPr>
      </w:pPr>
    </w:p>
    <w:p w:rsidR="008533B0" w:rsidRDefault="008533B0" w:rsidP="00391C57">
      <w:pPr>
        <w:contextualSpacing/>
        <w:rPr>
          <w:rFonts w:ascii="Verdana" w:hAnsi="Verdana"/>
          <w:b/>
          <w:sz w:val="20"/>
          <w:szCs w:val="20"/>
        </w:rPr>
      </w:pPr>
    </w:p>
    <w:p w:rsidR="008533B0" w:rsidRDefault="008533B0" w:rsidP="00391C57">
      <w:pPr>
        <w:contextualSpacing/>
        <w:rPr>
          <w:rFonts w:ascii="Verdana" w:hAnsi="Verdana"/>
          <w:b/>
          <w:sz w:val="20"/>
          <w:szCs w:val="20"/>
        </w:rPr>
      </w:pPr>
    </w:p>
    <w:p w:rsidR="00391C57" w:rsidRPr="00391C57" w:rsidRDefault="00391C57" w:rsidP="00391C57">
      <w:pPr>
        <w:contextualSpacing/>
        <w:rPr>
          <w:rFonts w:ascii="Verdana" w:hAnsi="Verdana"/>
          <w:b/>
          <w:sz w:val="20"/>
          <w:szCs w:val="20"/>
        </w:rPr>
      </w:pPr>
      <w:r w:rsidRPr="00391C57">
        <w:rPr>
          <w:rFonts w:ascii="Verdana" w:hAnsi="Verdana"/>
          <w:b/>
          <w:sz w:val="20"/>
          <w:szCs w:val="20"/>
        </w:rPr>
        <w:lastRenderedPageBreak/>
        <w:t>Specific responses to issues posed by the RBA and/or FSI Report</w:t>
      </w:r>
    </w:p>
    <w:p w:rsidR="00391C57" w:rsidRDefault="00391C57" w:rsidP="00391C57">
      <w:pPr>
        <w:contextualSpacing/>
        <w:rPr>
          <w:rFonts w:ascii="Verdana" w:hAnsi="Verdana"/>
          <w:b/>
          <w:sz w:val="20"/>
          <w:szCs w:val="20"/>
        </w:rPr>
      </w:pPr>
    </w:p>
    <w:p w:rsidR="00391C57" w:rsidRDefault="00391C57" w:rsidP="00391C57">
      <w:pPr>
        <w:contextualSpacing/>
        <w:rPr>
          <w:rFonts w:ascii="Verdana" w:hAnsi="Verdana"/>
          <w:b/>
          <w:sz w:val="20"/>
          <w:szCs w:val="20"/>
        </w:rPr>
      </w:pPr>
      <w:r w:rsidRPr="00391C57">
        <w:rPr>
          <w:rFonts w:ascii="Verdana" w:hAnsi="Verdana"/>
          <w:b/>
          <w:sz w:val="20"/>
          <w:szCs w:val="20"/>
        </w:rPr>
        <w:t>Introduction</w:t>
      </w:r>
    </w:p>
    <w:p w:rsidR="00391C57" w:rsidRPr="00391C57" w:rsidRDefault="00391C57" w:rsidP="00391C57">
      <w:pPr>
        <w:contextualSpacing/>
        <w:rPr>
          <w:rFonts w:ascii="Verdana" w:hAnsi="Verdana"/>
          <w:b/>
          <w:sz w:val="20"/>
          <w:szCs w:val="20"/>
        </w:rPr>
      </w:pPr>
    </w:p>
    <w:p w:rsidR="00391C57" w:rsidRDefault="00391C57" w:rsidP="00391C57">
      <w:pPr>
        <w:contextualSpacing/>
        <w:rPr>
          <w:rFonts w:ascii="Verdana" w:hAnsi="Verdana"/>
          <w:sz w:val="20"/>
          <w:szCs w:val="20"/>
        </w:rPr>
      </w:pPr>
      <w:proofErr w:type="spellStart"/>
      <w:r w:rsidRPr="00391C57">
        <w:rPr>
          <w:rFonts w:ascii="Verdana" w:hAnsi="Verdana"/>
          <w:sz w:val="20"/>
          <w:szCs w:val="20"/>
        </w:rPr>
        <w:t>Cuscal’s</w:t>
      </w:r>
      <w:proofErr w:type="spellEnd"/>
      <w:r w:rsidRPr="00391C57">
        <w:rPr>
          <w:rFonts w:ascii="Verdana" w:hAnsi="Verdana"/>
          <w:sz w:val="20"/>
          <w:szCs w:val="20"/>
        </w:rPr>
        <w:t xml:space="preserve"> response for each of the specific issues for which comment was sought follows.  The specific issues that are commented on are shown in italics.</w:t>
      </w:r>
    </w:p>
    <w:p w:rsidR="00391C57" w:rsidRDefault="00391C57" w:rsidP="00391C57">
      <w:pPr>
        <w:contextualSpacing/>
        <w:rPr>
          <w:rFonts w:ascii="Verdana" w:hAnsi="Verdana"/>
          <w:sz w:val="20"/>
          <w:szCs w:val="20"/>
        </w:rPr>
      </w:pPr>
    </w:p>
    <w:p w:rsidR="00391C57" w:rsidRDefault="00391C57" w:rsidP="00391C57">
      <w:pPr>
        <w:contextualSpacing/>
        <w:rPr>
          <w:rFonts w:ascii="Verdana" w:hAnsi="Verdana"/>
          <w:b/>
          <w:sz w:val="20"/>
          <w:szCs w:val="20"/>
        </w:rPr>
      </w:pPr>
      <w:r w:rsidRPr="00391C57">
        <w:rPr>
          <w:rFonts w:ascii="Verdana" w:hAnsi="Verdana"/>
          <w:b/>
          <w:sz w:val="20"/>
          <w:szCs w:val="20"/>
        </w:rPr>
        <w:t>Interchange</w:t>
      </w:r>
    </w:p>
    <w:p w:rsidR="00391C57" w:rsidRPr="00391C57" w:rsidRDefault="00391C57" w:rsidP="00391C57">
      <w:pPr>
        <w:contextualSpacing/>
        <w:rPr>
          <w:rFonts w:ascii="Verdana" w:hAnsi="Verdana"/>
          <w:b/>
          <w:sz w:val="20"/>
          <w:szCs w:val="20"/>
        </w:rPr>
      </w:pPr>
    </w:p>
    <w:p w:rsidR="00391C57" w:rsidRDefault="00391C57" w:rsidP="00391C57">
      <w:pPr>
        <w:contextualSpacing/>
        <w:rPr>
          <w:rFonts w:ascii="Verdana" w:hAnsi="Verdana"/>
          <w:b/>
          <w:i/>
          <w:sz w:val="20"/>
          <w:szCs w:val="20"/>
          <w:lang w:val="en-US"/>
        </w:rPr>
      </w:pPr>
      <w:r w:rsidRPr="00391C57">
        <w:rPr>
          <w:rFonts w:ascii="Verdana" w:hAnsi="Verdana"/>
          <w:b/>
          <w:i/>
          <w:sz w:val="20"/>
          <w:szCs w:val="20"/>
          <w:lang w:val="en-US"/>
        </w:rPr>
        <w:t xml:space="preserve">Publishing thresholds for which payment system providers will be subject to interchange or related regulation, possibly based on transaction values and/or market shares. </w:t>
      </w:r>
    </w:p>
    <w:p w:rsidR="00391C57" w:rsidRPr="00391C57" w:rsidRDefault="00391C57" w:rsidP="00391C57">
      <w:pPr>
        <w:contextualSpacing/>
        <w:rPr>
          <w:rFonts w:ascii="Verdana" w:hAnsi="Verdana"/>
          <w:b/>
          <w:i/>
          <w:sz w:val="20"/>
          <w:szCs w:val="20"/>
        </w:rPr>
      </w:pPr>
    </w:p>
    <w:p w:rsidR="00391C57" w:rsidRDefault="00391C57" w:rsidP="00391C57">
      <w:pPr>
        <w:contextualSpacing/>
        <w:rPr>
          <w:rFonts w:ascii="Verdana" w:hAnsi="Verdana"/>
          <w:sz w:val="20"/>
          <w:szCs w:val="20"/>
        </w:rPr>
      </w:pPr>
      <w:r w:rsidRPr="00391C57">
        <w:rPr>
          <w:rFonts w:ascii="Verdana" w:hAnsi="Verdana"/>
          <w:sz w:val="20"/>
          <w:szCs w:val="20"/>
        </w:rPr>
        <w:t>Cuscal supports this approach so as to provide new and existing providers greater regulatory certainty and to create a more transparent level playing field.</w:t>
      </w:r>
    </w:p>
    <w:p w:rsidR="00391C57" w:rsidRPr="00391C57" w:rsidRDefault="00391C57" w:rsidP="00391C57">
      <w:pPr>
        <w:contextualSpacing/>
        <w:rPr>
          <w:rFonts w:ascii="Verdana" w:hAnsi="Verdana"/>
          <w:sz w:val="20"/>
          <w:szCs w:val="20"/>
        </w:rPr>
      </w:pPr>
    </w:p>
    <w:p w:rsidR="00391C57" w:rsidRDefault="00391C57" w:rsidP="00391C57">
      <w:pPr>
        <w:contextualSpacing/>
        <w:rPr>
          <w:rFonts w:ascii="Verdana" w:hAnsi="Verdana"/>
          <w:b/>
          <w:i/>
          <w:sz w:val="20"/>
          <w:szCs w:val="20"/>
          <w:lang w:val="en-US"/>
        </w:rPr>
      </w:pPr>
      <w:r w:rsidRPr="00391C57">
        <w:rPr>
          <w:rFonts w:ascii="Verdana" w:hAnsi="Verdana"/>
          <w:b/>
          <w:i/>
          <w:sz w:val="20"/>
          <w:szCs w:val="20"/>
          <w:lang w:val="en-US"/>
        </w:rPr>
        <w:t xml:space="preserve">Broadening interchange fee caps to include other payments between Schemes and issuers. </w:t>
      </w:r>
    </w:p>
    <w:p w:rsidR="00391C57" w:rsidRPr="00391C57" w:rsidRDefault="00391C57" w:rsidP="00391C57">
      <w:pPr>
        <w:contextualSpacing/>
        <w:rPr>
          <w:rFonts w:ascii="Verdana" w:hAnsi="Verdana"/>
          <w:b/>
          <w:i/>
          <w:sz w:val="20"/>
          <w:szCs w:val="20"/>
          <w:lang w:val="en-US"/>
        </w:rPr>
      </w:pPr>
    </w:p>
    <w:p w:rsidR="00391C57" w:rsidRDefault="00391C57" w:rsidP="00391C57">
      <w:pPr>
        <w:contextualSpacing/>
        <w:rPr>
          <w:rFonts w:ascii="Verdana" w:hAnsi="Verdana"/>
          <w:sz w:val="20"/>
          <w:szCs w:val="20"/>
          <w:lang w:val="en-US"/>
        </w:rPr>
      </w:pPr>
      <w:r w:rsidRPr="00391C57">
        <w:rPr>
          <w:rFonts w:ascii="Verdana" w:hAnsi="Verdana"/>
          <w:sz w:val="20"/>
          <w:szCs w:val="20"/>
        </w:rPr>
        <w:t xml:space="preserve">Cuscal does not support the regulation of </w:t>
      </w:r>
      <w:r w:rsidRPr="00391C57">
        <w:rPr>
          <w:rFonts w:ascii="Verdana" w:hAnsi="Verdana"/>
          <w:sz w:val="20"/>
          <w:szCs w:val="20"/>
          <w:lang w:val="en-US"/>
        </w:rPr>
        <w:t>marketing fees, sign-on fees, incentive fees and rebates as it interferes with and constrains the commercial freedom of payment providers in the market place and could lead to unintended consequences such as reducing competition and innovation.</w:t>
      </w:r>
    </w:p>
    <w:p w:rsidR="00391C57" w:rsidRPr="00391C57" w:rsidRDefault="00391C57" w:rsidP="00391C57">
      <w:pPr>
        <w:contextualSpacing/>
        <w:rPr>
          <w:rFonts w:ascii="Verdana" w:hAnsi="Verdana"/>
          <w:sz w:val="20"/>
          <w:szCs w:val="20"/>
          <w:lang w:val="en-US"/>
        </w:rPr>
      </w:pPr>
    </w:p>
    <w:p w:rsidR="00391C57" w:rsidRDefault="00391C57" w:rsidP="00391C57">
      <w:pPr>
        <w:contextualSpacing/>
        <w:rPr>
          <w:rFonts w:ascii="Verdana" w:hAnsi="Verdana"/>
          <w:b/>
          <w:i/>
          <w:sz w:val="20"/>
          <w:szCs w:val="20"/>
          <w:lang w:val="en-US"/>
        </w:rPr>
      </w:pPr>
      <w:r w:rsidRPr="00391C57">
        <w:rPr>
          <w:rFonts w:ascii="Verdana" w:hAnsi="Verdana"/>
          <w:b/>
          <w:i/>
          <w:sz w:val="20"/>
          <w:szCs w:val="20"/>
          <w:lang w:val="en-US"/>
        </w:rPr>
        <w:t>Making changes to the interchange benchmark system to reduce the upward ‘drift’ in average interchange rates inherent in the current three-year reset cycle.</w:t>
      </w:r>
    </w:p>
    <w:p w:rsidR="00391C57" w:rsidRPr="00391C57" w:rsidRDefault="00391C57" w:rsidP="00391C57">
      <w:pPr>
        <w:contextualSpacing/>
        <w:rPr>
          <w:rFonts w:ascii="Verdana" w:hAnsi="Verdana"/>
          <w:b/>
          <w:i/>
          <w:sz w:val="20"/>
          <w:szCs w:val="20"/>
          <w:lang w:val="en-US"/>
        </w:rPr>
      </w:pPr>
    </w:p>
    <w:p w:rsidR="00391C57" w:rsidRDefault="00391C57" w:rsidP="00391C57">
      <w:pPr>
        <w:contextualSpacing/>
        <w:rPr>
          <w:rFonts w:ascii="Verdana" w:hAnsi="Verdana"/>
          <w:sz w:val="20"/>
          <w:szCs w:val="20"/>
        </w:rPr>
      </w:pPr>
      <w:r w:rsidRPr="00391C57">
        <w:rPr>
          <w:rFonts w:ascii="Verdana" w:hAnsi="Verdana"/>
          <w:sz w:val="20"/>
          <w:szCs w:val="20"/>
        </w:rPr>
        <w:t>Cuscal supports making a minimal change to the system to reduce interchange upward “drift” by recalculating interch</w:t>
      </w:r>
      <w:r w:rsidR="003A2593">
        <w:rPr>
          <w:rFonts w:ascii="Verdana" w:hAnsi="Verdana"/>
          <w:sz w:val="20"/>
          <w:szCs w:val="20"/>
        </w:rPr>
        <w:t xml:space="preserve">ange rates on an annual basis. </w:t>
      </w:r>
      <w:r w:rsidRPr="00391C57">
        <w:rPr>
          <w:rFonts w:ascii="Verdana" w:hAnsi="Verdana"/>
          <w:sz w:val="20"/>
          <w:szCs w:val="20"/>
        </w:rPr>
        <w:t>We believe this strikes the optimal balance between minimising complexity, achieving effectiveness and reducing implementation cost. This approach has the added benefit of minimising unintended consequences because of its minimalist level of change.</w:t>
      </w:r>
    </w:p>
    <w:p w:rsidR="00391C57" w:rsidRPr="00391C57" w:rsidRDefault="00391C57" w:rsidP="00391C57">
      <w:pPr>
        <w:contextualSpacing/>
        <w:rPr>
          <w:rFonts w:ascii="Verdana" w:hAnsi="Verdana"/>
          <w:sz w:val="20"/>
          <w:szCs w:val="20"/>
        </w:rPr>
      </w:pPr>
    </w:p>
    <w:p w:rsidR="00391C57" w:rsidRDefault="00391C57" w:rsidP="00391C57">
      <w:pPr>
        <w:contextualSpacing/>
        <w:rPr>
          <w:rFonts w:ascii="Verdana" w:hAnsi="Verdana"/>
          <w:sz w:val="20"/>
          <w:szCs w:val="20"/>
        </w:rPr>
      </w:pPr>
      <w:r w:rsidRPr="00391C57">
        <w:rPr>
          <w:rFonts w:ascii="Verdana" w:hAnsi="Verdana"/>
          <w:sz w:val="20"/>
          <w:szCs w:val="20"/>
        </w:rPr>
        <w:t>In addition this creates a more level playing field for issuers whose demographics do not support a high level of issuance of “premium cards”.</w:t>
      </w:r>
    </w:p>
    <w:p w:rsidR="00391C57" w:rsidRPr="00391C57" w:rsidRDefault="00391C57" w:rsidP="00391C57">
      <w:pPr>
        <w:contextualSpacing/>
        <w:rPr>
          <w:rFonts w:ascii="Verdana" w:hAnsi="Verdana"/>
          <w:sz w:val="20"/>
          <w:szCs w:val="20"/>
        </w:rPr>
      </w:pPr>
    </w:p>
    <w:p w:rsidR="00391C57" w:rsidRDefault="00391C57" w:rsidP="00391C57">
      <w:pPr>
        <w:contextualSpacing/>
        <w:rPr>
          <w:rFonts w:ascii="Verdana" w:hAnsi="Verdana"/>
          <w:b/>
          <w:i/>
          <w:sz w:val="20"/>
          <w:szCs w:val="20"/>
          <w:lang w:val="en-US"/>
        </w:rPr>
      </w:pPr>
      <w:r w:rsidRPr="00391C57">
        <w:rPr>
          <w:rFonts w:ascii="Verdana" w:hAnsi="Verdana"/>
          <w:b/>
          <w:i/>
          <w:sz w:val="20"/>
          <w:szCs w:val="20"/>
          <w:lang w:val="en-US"/>
        </w:rPr>
        <w:t xml:space="preserve">Lowering interchange caps. </w:t>
      </w:r>
    </w:p>
    <w:p w:rsidR="00391C57" w:rsidRPr="00391C57" w:rsidRDefault="00391C57" w:rsidP="00391C57">
      <w:pPr>
        <w:contextualSpacing/>
        <w:rPr>
          <w:rFonts w:ascii="Verdana" w:hAnsi="Verdana"/>
          <w:b/>
          <w:i/>
          <w:sz w:val="20"/>
          <w:szCs w:val="20"/>
          <w:lang w:val="en-US"/>
        </w:rPr>
      </w:pPr>
    </w:p>
    <w:p w:rsidR="00391C57" w:rsidRDefault="00391C57" w:rsidP="00391C57">
      <w:pPr>
        <w:contextualSpacing/>
        <w:rPr>
          <w:rFonts w:ascii="Verdana" w:hAnsi="Verdana"/>
          <w:sz w:val="20"/>
          <w:szCs w:val="20"/>
        </w:rPr>
      </w:pPr>
      <w:r w:rsidRPr="00391C57">
        <w:rPr>
          <w:rFonts w:ascii="Verdana" w:hAnsi="Verdana"/>
          <w:sz w:val="20"/>
          <w:szCs w:val="20"/>
        </w:rPr>
        <w:t>The FSI report has not made a strong case for reducing interchange below 50 basis points for credit cards or $0.12 for debit cards</w:t>
      </w:r>
      <w:r>
        <w:rPr>
          <w:rFonts w:ascii="Verdana" w:hAnsi="Verdana"/>
          <w:sz w:val="20"/>
          <w:szCs w:val="20"/>
        </w:rPr>
        <w:t xml:space="preserve">. </w:t>
      </w:r>
      <w:r w:rsidRPr="00391C57">
        <w:rPr>
          <w:rFonts w:ascii="Verdana" w:hAnsi="Verdana"/>
          <w:sz w:val="20"/>
          <w:szCs w:val="20"/>
        </w:rPr>
        <w:t xml:space="preserve">All they have done is </w:t>
      </w:r>
      <w:proofErr w:type="gramStart"/>
      <w:r w:rsidR="003A2593">
        <w:rPr>
          <w:rFonts w:ascii="Verdana" w:hAnsi="Verdana"/>
          <w:sz w:val="20"/>
          <w:szCs w:val="20"/>
        </w:rPr>
        <w:t>provide</w:t>
      </w:r>
      <w:proofErr w:type="gramEnd"/>
      <w:r w:rsidRPr="00391C57">
        <w:rPr>
          <w:rFonts w:ascii="Verdana" w:hAnsi="Verdana"/>
          <w:sz w:val="20"/>
          <w:szCs w:val="20"/>
        </w:rPr>
        <w:t xml:space="preserve"> examples of what other jurisdictions have done (primarily the EU) which are not directly applicable to Australia. Comparable countries like Canada have average interchange rates in excess of 150 basis points for credit cards.</w:t>
      </w:r>
    </w:p>
    <w:p w:rsidR="00391C57" w:rsidRPr="00391C57" w:rsidRDefault="00391C57" w:rsidP="00391C57">
      <w:pPr>
        <w:contextualSpacing/>
        <w:rPr>
          <w:rFonts w:ascii="Verdana" w:hAnsi="Verdana"/>
          <w:sz w:val="20"/>
          <w:szCs w:val="20"/>
        </w:rPr>
      </w:pPr>
    </w:p>
    <w:p w:rsidR="00391C57" w:rsidRDefault="001E4A89" w:rsidP="00391C57">
      <w:pPr>
        <w:contextualSpacing/>
        <w:rPr>
          <w:rFonts w:ascii="Verdana" w:hAnsi="Verdana" w:cs="Arial"/>
          <w:sz w:val="20"/>
          <w:szCs w:val="20"/>
          <w:lang w:val="en-US"/>
        </w:rPr>
      </w:pPr>
      <w:r w:rsidRPr="00391C57">
        <w:rPr>
          <w:rFonts w:ascii="Verdana" w:hAnsi="Verdana"/>
          <w:sz w:val="20"/>
          <w:szCs w:val="20"/>
        </w:rPr>
        <w:t>Furthermore</w:t>
      </w:r>
      <w:r>
        <w:rPr>
          <w:rFonts w:ascii="Verdana" w:hAnsi="Verdana"/>
          <w:sz w:val="20"/>
          <w:szCs w:val="20"/>
        </w:rPr>
        <w:t>,</w:t>
      </w:r>
      <w:r w:rsidR="00391C57" w:rsidRPr="00391C57">
        <w:rPr>
          <w:rFonts w:ascii="Verdana" w:hAnsi="Verdana"/>
          <w:sz w:val="20"/>
          <w:szCs w:val="20"/>
        </w:rPr>
        <w:t xml:space="preserve"> in their 2007/08 review when</w:t>
      </w:r>
      <w:r w:rsidR="00391C57" w:rsidRPr="00391C57">
        <w:rPr>
          <w:rFonts w:ascii="Verdana" w:hAnsi="Verdana" w:cs="Arial"/>
          <w:sz w:val="20"/>
          <w:szCs w:val="20"/>
          <w:lang w:val="en-US"/>
        </w:rPr>
        <w:t xml:space="preserve"> considering the move from 50 to 30 basis points, the RBA sought industry commitment to enhanced innovat</w:t>
      </w:r>
      <w:r w:rsidR="00022153">
        <w:rPr>
          <w:rFonts w:ascii="Verdana" w:hAnsi="Verdana" w:cs="Arial"/>
          <w:sz w:val="20"/>
          <w:szCs w:val="20"/>
          <w:lang w:val="en-US"/>
        </w:rPr>
        <w:t xml:space="preserve">ion through the development of </w:t>
      </w:r>
      <w:proofErr w:type="spellStart"/>
      <w:r w:rsidR="00022153">
        <w:rPr>
          <w:rFonts w:ascii="Verdana" w:hAnsi="Verdana" w:cs="Arial"/>
          <w:sz w:val="20"/>
          <w:szCs w:val="20"/>
          <w:lang w:val="en-US"/>
        </w:rPr>
        <w:t>e</w:t>
      </w:r>
      <w:r w:rsidR="00391C57" w:rsidRPr="00391C57">
        <w:rPr>
          <w:rFonts w:ascii="Verdana" w:hAnsi="Verdana" w:cs="Arial"/>
          <w:sz w:val="20"/>
          <w:szCs w:val="20"/>
          <w:lang w:val="en-US"/>
        </w:rPr>
        <w:t>PAL</w:t>
      </w:r>
      <w:proofErr w:type="spellEnd"/>
      <w:r w:rsidR="00391C57" w:rsidRPr="00391C57">
        <w:rPr>
          <w:rFonts w:ascii="Verdana" w:hAnsi="Verdana" w:cs="Arial"/>
          <w:sz w:val="20"/>
          <w:szCs w:val="20"/>
          <w:lang w:val="en-US"/>
        </w:rPr>
        <w:t xml:space="preserve"> and a new online payments offering in order for interchange rates to remain unchanged.</w:t>
      </w:r>
    </w:p>
    <w:p w:rsidR="00391C57" w:rsidRPr="00391C57" w:rsidRDefault="00391C57" w:rsidP="00391C57">
      <w:pPr>
        <w:contextualSpacing/>
        <w:rPr>
          <w:rFonts w:ascii="Verdana" w:hAnsi="Verdana" w:cs="Arial"/>
          <w:sz w:val="20"/>
          <w:szCs w:val="20"/>
          <w:lang w:val="en-US"/>
        </w:rPr>
      </w:pPr>
    </w:p>
    <w:p w:rsidR="00391C57" w:rsidRDefault="00391C57" w:rsidP="00391C57">
      <w:pPr>
        <w:contextualSpacing/>
        <w:rPr>
          <w:rFonts w:ascii="Verdana" w:hAnsi="Verdana" w:cs="Arial"/>
          <w:sz w:val="20"/>
          <w:szCs w:val="20"/>
          <w:lang w:val="en-US"/>
        </w:rPr>
      </w:pPr>
      <w:r w:rsidRPr="00391C57">
        <w:rPr>
          <w:rFonts w:ascii="Verdana" w:hAnsi="Verdana"/>
          <w:sz w:val="20"/>
          <w:szCs w:val="20"/>
          <w:lang w:val="en-US"/>
        </w:rPr>
        <w:t xml:space="preserve">Since then the </w:t>
      </w:r>
      <w:r w:rsidRPr="00391C57">
        <w:rPr>
          <w:rFonts w:ascii="Verdana" w:hAnsi="Verdana" w:cs="Arial"/>
          <w:sz w:val="20"/>
          <w:szCs w:val="20"/>
          <w:lang w:val="en-US"/>
        </w:rPr>
        <w:t xml:space="preserve">Australian industry has demonstrated its commitment to enhancing competition and innovation through the development of </w:t>
      </w:r>
      <w:proofErr w:type="spellStart"/>
      <w:r w:rsidRPr="00391C57">
        <w:rPr>
          <w:rFonts w:ascii="Verdana" w:hAnsi="Verdana" w:cs="Arial"/>
          <w:sz w:val="20"/>
          <w:szCs w:val="20"/>
          <w:lang w:val="en-US"/>
        </w:rPr>
        <w:t>ePAL</w:t>
      </w:r>
      <w:proofErr w:type="spellEnd"/>
      <w:r w:rsidRPr="00391C57">
        <w:rPr>
          <w:rFonts w:ascii="Verdana" w:hAnsi="Verdana" w:cs="Arial"/>
          <w:sz w:val="20"/>
          <w:szCs w:val="20"/>
          <w:lang w:val="en-US"/>
        </w:rPr>
        <w:t xml:space="preserve"> and the New Payments Platform.</w:t>
      </w:r>
    </w:p>
    <w:p w:rsidR="00391C57" w:rsidRDefault="00391C57" w:rsidP="00391C57">
      <w:pPr>
        <w:contextualSpacing/>
        <w:rPr>
          <w:rFonts w:ascii="Verdana" w:hAnsi="Verdana"/>
          <w:sz w:val="20"/>
          <w:szCs w:val="20"/>
        </w:rPr>
      </w:pPr>
    </w:p>
    <w:p w:rsidR="008533B0" w:rsidRDefault="008533B0" w:rsidP="00391C57">
      <w:pPr>
        <w:contextualSpacing/>
        <w:rPr>
          <w:rFonts w:ascii="Verdana" w:hAnsi="Verdana"/>
          <w:sz w:val="20"/>
          <w:szCs w:val="20"/>
        </w:rPr>
      </w:pPr>
    </w:p>
    <w:p w:rsidR="008533B0" w:rsidRPr="00391C57" w:rsidRDefault="008533B0" w:rsidP="00391C57">
      <w:pPr>
        <w:contextualSpacing/>
        <w:rPr>
          <w:rFonts w:ascii="Verdana" w:hAnsi="Verdana"/>
          <w:sz w:val="20"/>
          <w:szCs w:val="20"/>
        </w:rPr>
      </w:pPr>
    </w:p>
    <w:p w:rsidR="00391C57" w:rsidRDefault="00391C57" w:rsidP="00391C57">
      <w:pPr>
        <w:contextualSpacing/>
        <w:rPr>
          <w:rFonts w:ascii="Verdana" w:hAnsi="Verdana"/>
          <w:b/>
          <w:i/>
          <w:sz w:val="20"/>
          <w:szCs w:val="20"/>
          <w:lang w:val="en-US"/>
        </w:rPr>
      </w:pPr>
      <w:proofErr w:type="gramStart"/>
      <w:r w:rsidRPr="00391C57">
        <w:rPr>
          <w:rFonts w:ascii="Verdana" w:hAnsi="Verdana"/>
          <w:b/>
          <w:i/>
          <w:sz w:val="20"/>
          <w:szCs w:val="20"/>
          <w:lang w:val="en-US"/>
        </w:rPr>
        <w:lastRenderedPageBreak/>
        <w:t>Replacing weighted-average interchange caps with hard caps.</w:t>
      </w:r>
      <w:proofErr w:type="gramEnd"/>
      <w:r w:rsidRPr="00391C57">
        <w:rPr>
          <w:rFonts w:ascii="Verdana" w:hAnsi="Verdana"/>
          <w:b/>
          <w:i/>
          <w:sz w:val="20"/>
          <w:szCs w:val="20"/>
          <w:lang w:val="en-US"/>
        </w:rPr>
        <w:t xml:space="preserve"> </w:t>
      </w:r>
    </w:p>
    <w:p w:rsidR="00391C57" w:rsidRPr="00391C57" w:rsidRDefault="00391C57" w:rsidP="00391C57">
      <w:pPr>
        <w:contextualSpacing/>
        <w:rPr>
          <w:rFonts w:ascii="Verdana" w:hAnsi="Verdana"/>
          <w:b/>
          <w:i/>
          <w:sz w:val="20"/>
          <w:szCs w:val="20"/>
          <w:lang w:val="en-US"/>
        </w:rPr>
      </w:pPr>
    </w:p>
    <w:p w:rsidR="00391C57" w:rsidRDefault="00391C57" w:rsidP="00391C57">
      <w:pPr>
        <w:contextualSpacing/>
        <w:rPr>
          <w:rFonts w:ascii="Verdana" w:hAnsi="Verdana"/>
          <w:sz w:val="20"/>
          <w:szCs w:val="20"/>
          <w:lang w:val="en-US"/>
        </w:rPr>
      </w:pPr>
      <w:r w:rsidRPr="00391C57">
        <w:rPr>
          <w:rFonts w:ascii="Verdana" w:hAnsi="Verdana"/>
          <w:sz w:val="20"/>
          <w:szCs w:val="20"/>
          <w:lang w:val="en-US"/>
        </w:rPr>
        <w:t>Cuscal does not support a hard cap as the weighted average provides flexibility in interchange rates and ensures some level of competitiveness between Schemes. A hard cap could see the maximum become the minimum and certain groups, such as charities, could lose their zero interchange status.</w:t>
      </w:r>
    </w:p>
    <w:p w:rsidR="00391C57" w:rsidRPr="00391C57" w:rsidRDefault="00391C57" w:rsidP="00391C57">
      <w:pPr>
        <w:contextualSpacing/>
        <w:rPr>
          <w:rFonts w:ascii="Verdana" w:hAnsi="Verdana"/>
          <w:sz w:val="20"/>
          <w:szCs w:val="20"/>
          <w:lang w:val="en-US"/>
        </w:rPr>
      </w:pPr>
    </w:p>
    <w:p w:rsidR="00391C57" w:rsidRDefault="00391C57" w:rsidP="00391C57">
      <w:pPr>
        <w:contextualSpacing/>
        <w:rPr>
          <w:rFonts w:ascii="Verdana" w:hAnsi="Verdana"/>
          <w:sz w:val="20"/>
          <w:szCs w:val="20"/>
          <w:lang w:val="en-US"/>
        </w:rPr>
      </w:pPr>
      <w:r w:rsidRPr="00391C57">
        <w:rPr>
          <w:rFonts w:ascii="Verdana" w:hAnsi="Verdana"/>
          <w:sz w:val="20"/>
          <w:szCs w:val="20"/>
          <w:lang w:val="en-US"/>
        </w:rPr>
        <w:t>However, Cuscal has some sympathy in exploring a potential “Cap” that does not overly disrupt existing arrangements in such a way that has been proposed by APCA.</w:t>
      </w:r>
    </w:p>
    <w:p w:rsidR="008533B0" w:rsidRPr="00391C57" w:rsidRDefault="008533B0" w:rsidP="00391C57">
      <w:pPr>
        <w:contextualSpacing/>
        <w:rPr>
          <w:rFonts w:ascii="Verdana" w:hAnsi="Verdana"/>
          <w:sz w:val="20"/>
          <w:szCs w:val="20"/>
          <w:lang w:val="en-US"/>
        </w:rPr>
      </w:pPr>
    </w:p>
    <w:p w:rsidR="00391C57" w:rsidRDefault="00391C57" w:rsidP="00391C57">
      <w:pPr>
        <w:contextualSpacing/>
        <w:rPr>
          <w:rFonts w:ascii="Verdana" w:hAnsi="Verdana"/>
          <w:b/>
          <w:i/>
          <w:sz w:val="20"/>
          <w:szCs w:val="20"/>
          <w:lang w:val="en-US"/>
        </w:rPr>
      </w:pPr>
      <w:r w:rsidRPr="00391C57">
        <w:rPr>
          <w:rFonts w:ascii="Verdana" w:hAnsi="Verdana"/>
          <w:b/>
          <w:i/>
          <w:sz w:val="20"/>
          <w:szCs w:val="20"/>
          <w:lang w:val="en-US"/>
        </w:rPr>
        <w:t>Applying caps as the lesser of a fixed amount and a fixed percentage of transaction values.</w:t>
      </w:r>
    </w:p>
    <w:p w:rsidR="00391C57" w:rsidRPr="00391C57" w:rsidRDefault="00391C57" w:rsidP="00391C57">
      <w:pPr>
        <w:contextualSpacing/>
        <w:rPr>
          <w:rFonts w:ascii="Verdana" w:hAnsi="Verdana"/>
          <w:b/>
          <w:i/>
          <w:sz w:val="20"/>
          <w:szCs w:val="20"/>
          <w:lang w:val="en-US"/>
        </w:rPr>
      </w:pPr>
    </w:p>
    <w:p w:rsidR="00391C57" w:rsidRDefault="00391C57" w:rsidP="00391C57">
      <w:pPr>
        <w:contextualSpacing/>
        <w:rPr>
          <w:rFonts w:ascii="Verdana" w:hAnsi="Verdana"/>
          <w:sz w:val="20"/>
          <w:szCs w:val="20"/>
          <w:lang w:val="en-US"/>
        </w:rPr>
      </w:pPr>
      <w:r w:rsidRPr="00391C57">
        <w:rPr>
          <w:rFonts w:ascii="Verdana" w:hAnsi="Verdana"/>
          <w:sz w:val="20"/>
          <w:szCs w:val="20"/>
          <w:lang w:val="en-US"/>
        </w:rPr>
        <w:t xml:space="preserve">Cuscal does not support this approach as </w:t>
      </w:r>
      <w:r w:rsidR="00C32097">
        <w:rPr>
          <w:rFonts w:ascii="Verdana" w:hAnsi="Verdana"/>
          <w:sz w:val="20"/>
          <w:szCs w:val="20"/>
          <w:lang w:val="en-US"/>
        </w:rPr>
        <w:t xml:space="preserve">it </w:t>
      </w:r>
      <w:r w:rsidRPr="00391C57">
        <w:rPr>
          <w:rFonts w:ascii="Verdana" w:hAnsi="Verdana"/>
          <w:sz w:val="20"/>
          <w:szCs w:val="20"/>
          <w:lang w:val="en-US"/>
        </w:rPr>
        <w:t>is comple</w:t>
      </w:r>
      <w:r w:rsidR="00C32097">
        <w:rPr>
          <w:rFonts w:ascii="Verdana" w:hAnsi="Verdana"/>
          <w:sz w:val="20"/>
          <w:szCs w:val="20"/>
          <w:lang w:val="en-US"/>
        </w:rPr>
        <w:t>x and as a result will decrease</w:t>
      </w:r>
      <w:r w:rsidRPr="00391C57">
        <w:rPr>
          <w:rFonts w:ascii="Verdana" w:hAnsi="Verdana"/>
          <w:sz w:val="20"/>
          <w:szCs w:val="20"/>
          <w:lang w:val="en-US"/>
        </w:rPr>
        <w:t xml:space="preserve"> surcha</w:t>
      </w:r>
      <w:r>
        <w:rPr>
          <w:rFonts w:ascii="Verdana" w:hAnsi="Verdana"/>
          <w:sz w:val="20"/>
          <w:szCs w:val="20"/>
          <w:lang w:val="en-US"/>
        </w:rPr>
        <w:t xml:space="preserve">rging transparency. </w:t>
      </w:r>
      <w:r w:rsidR="003A2593">
        <w:rPr>
          <w:rFonts w:ascii="Verdana" w:hAnsi="Verdana"/>
          <w:sz w:val="20"/>
          <w:szCs w:val="20"/>
          <w:lang w:val="en-US"/>
        </w:rPr>
        <w:t>F</w:t>
      </w:r>
      <w:r w:rsidR="003A2593" w:rsidRPr="00391C57">
        <w:rPr>
          <w:rFonts w:ascii="Verdana" w:hAnsi="Verdana"/>
          <w:sz w:val="20"/>
          <w:szCs w:val="20"/>
          <w:lang w:val="en-US"/>
        </w:rPr>
        <w:t>urthermore</w:t>
      </w:r>
      <w:r w:rsidRPr="00391C57">
        <w:rPr>
          <w:rFonts w:ascii="Verdana" w:hAnsi="Verdana"/>
          <w:sz w:val="20"/>
          <w:szCs w:val="20"/>
          <w:lang w:val="en-US"/>
        </w:rPr>
        <w:t xml:space="preserve"> its complexity significantly increases implementation and operating costs for Schemes, Issuers and Acquirers. </w:t>
      </w:r>
    </w:p>
    <w:p w:rsidR="00391C57" w:rsidRPr="00391C57" w:rsidRDefault="00391C57" w:rsidP="00391C57">
      <w:pPr>
        <w:contextualSpacing/>
        <w:rPr>
          <w:rFonts w:ascii="Verdana" w:hAnsi="Verdana"/>
          <w:sz w:val="20"/>
          <w:szCs w:val="20"/>
          <w:lang w:val="en-US"/>
        </w:rPr>
      </w:pPr>
    </w:p>
    <w:p w:rsidR="00391C57" w:rsidRDefault="00391C57" w:rsidP="00391C57">
      <w:pPr>
        <w:contextualSpacing/>
        <w:rPr>
          <w:rFonts w:ascii="Verdana" w:hAnsi="Verdana"/>
          <w:b/>
          <w:i/>
          <w:sz w:val="20"/>
          <w:szCs w:val="20"/>
          <w:lang w:val="en-US"/>
        </w:rPr>
      </w:pPr>
      <w:proofErr w:type="gramStart"/>
      <w:r w:rsidRPr="00391C57">
        <w:rPr>
          <w:rFonts w:ascii="Verdana" w:hAnsi="Verdana"/>
          <w:b/>
          <w:i/>
          <w:sz w:val="20"/>
          <w:szCs w:val="20"/>
          <w:lang w:val="en-US"/>
        </w:rPr>
        <w:t>Including prepaid cards within the caps for debit cards.</w:t>
      </w:r>
      <w:proofErr w:type="gramEnd"/>
    </w:p>
    <w:p w:rsidR="00391C57" w:rsidRPr="00391C57" w:rsidRDefault="00391C57" w:rsidP="00391C57">
      <w:pPr>
        <w:contextualSpacing/>
        <w:rPr>
          <w:rFonts w:ascii="Verdana" w:hAnsi="Verdana"/>
          <w:b/>
          <w:i/>
          <w:sz w:val="20"/>
          <w:szCs w:val="20"/>
          <w:lang w:val="en-US"/>
        </w:rPr>
      </w:pPr>
    </w:p>
    <w:p w:rsidR="00391C57" w:rsidRDefault="00391C57" w:rsidP="00391C57">
      <w:pPr>
        <w:contextualSpacing/>
        <w:rPr>
          <w:rFonts w:ascii="Verdana" w:hAnsi="Verdana"/>
          <w:sz w:val="20"/>
          <w:szCs w:val="20"/>
          <w:lang w:val="en-US"/>
        </w:rPr>
      </w:pPr>
      <w:r w:rsidRPr="00391C57">
        <w:rPr>
          <w:rFonts w:ascii="Verdana" w:hAnsi="Verdana"/>
          <w:sz w:val="20"/>
          <w:szCs w:val="20"/>
          <w:lang w:val="en-US"/>
        </w:rPr>
        <w:t>Cuscal support</w:t>
      </w:r>
      <w:r w:rsidR="003A2593">
        <w:rPr>
          <w:rFonts w:ascii="Verdana" w:hAnsi="Verdana"/>
          <w:sz w:val="20"/>
          <w:szCs w:val="20"/>
          <w:lang w:val="en-US"/>
        </w:rPr>
        <w:t>s</w:t>
      </w:r>
      <w:r w:rsidRPr="00391C57">
        <w:rPr>
          <w:rFonts w:ascii="Verdana" w:hAnsi="Verdana"/>
          <w:sz w:val="20"/>
          <w:szCs w:val="20"/>
          <w:lang w:val="en-US"/>
        </w:rPr>
        <w:t xml:space="preserve"> this on the basis of competitive neutrality.</w:t>
      </w:r>
    </w:p>
    <w:p w:rsidR="00391C57" w:rsidRPr="00391C57" w:rsidRDefault="00391C57" w:rsidP="00391C57">
      <w:pPr>
        <w:contextualSpacing/>
        <w:rPr>
          <w:rFonts w:ascii="Verdana" w:hAnsi="Verdana"/>
          <w:sz w:val="20"/>
          <w:szCs w:val="20"/>
          <w:lang w:val="en-US"/>
        </w:rPr>
      </w:pPr>
    </w:p>
    <w:p w:rsidR="00391C57" w:rsidRDefault="00391C57" w:rsidP="00391C57">
      <w:pPr>
        <w:contextualSpacing/>
        <w:rPr>
          <w:rFonts w:ascii="Verdana" w:hAnsi="Verdana"/>
          <w:b/>
          <w:i/>
          <w:sz w:val="20"/>
          <w:szCs w:val="20"/>
          <w:lang w:val="en-US"/>
        </w:rPr>
      </w:pPr>
      <w:proofErr w:type="gramStart"/>
      <w:r w:rsidRPr="00391C57">
        <w:rPr>
          <w:rFonts w:ascii="Verdana" w:hAnsi="Verdana"/>
          <w:b/>
          <w:i/>
          <w:sz w:val="20"/>
          <w:szCs w:val="20"/>
          <w:lang w:val="en-US"/>
        </w:rPr>
        <w:t>Allowing for ‘buying groups’ for smaller merchants to group together (subject to any competition law restrictions) negotiating for lower interchange rates that are accessible to larger merchants.</w:t>
      </w:r>
      <w:proofErr w:type="gramEnd"/>
    </w:p>
    <w:p w:rsidR="00391C57" w:rsidRPr="00391C57" w:rsidRDefault="00391C57" w:rsidP="00391C57">
      <w:pPr>
        <w:contextualSpacing/>
        <w:rPr>
          <w:rFonts w:ascii="Verdana" w:hAnsi="Verdana"/>
          <w:b/>
          <w:i/>
          <w:sz w:val="20"/>
          <w:szCs w:val="20"/>
          <w:lang w:val="en-US"/>
        </w:rPr>
      </w:pPr>
    </w:p>
    <w:p w:rsidR="00391C57" w:rsidRPr="00391C57" w:rsidRDefault="00391C57" w:rsidP="00391C57">
      <w:pPr>
        <w:contextualSpacing/>
        <w:rPr>
          <w:rFonts w:ascii="Verdana" w:hAnsi="Verdana"/>
          <w:sz w:val="20"/>
          <w:szCs w:val="20"/>
          <w:lang w:val="en-US"/>
        </w:rPr>
      </w:pPr>
      <w:r w:rsidRPr="00391C57">
        <w:rPr>
          <w:rFonts w:ascii="Verdana" w:hAnsi="Verdana"/>
          <w:sz w:val="20"/>
          <w:szCs w:val="20"/>
          <w:lang w:val="en-US"/>
        </w:rPr>
        <w:t>Cuscal support</w:t>
      </w:r>
      <w:r w:rsidR="003A2593">
        <w:rPr>
          <w:rFonts w:ascii="Verdana" w:hAnsi="Verdana"/>
          <w:sz w:val="20"/>
          <w:szCs w:val="20"/>
          <w:lang w:val="en-US"/>
        </w:rPr>
        <w:t>s</w:t>
      </w:r>
      <w:r w:rsidRPr="00391C57">
        <w:rPr>
          <w:rFonts w:ascii="Verdana" w:hAnsi="Verdana"/>
          <w:sz w:val="20"/>
          <w:szCs w:val="20"/>
          <w:lang w:val="en-US"/>
        </w:rPr>
        <w:t xml:space="preserve"> this approach being considered.</w:t>
      </w:r>
    </w:p>
    <w:p w:rsidR="00391C57" w:rsidRPr="00391C57" w:rsidRDefault="00391C57" w:rsidP="00391C57">
      <w:pPr>
        <w:contextualSpacing/>
        <w:rPr>
          <w:rFonts w:ascii="Verdana" w:hAnsi="Verdana"/>
          <w:b/>
          <w:sz w:val="20"/>
          <w:szCs w:val="20"/>
        </w:rPr>
      </w:pPr>
    </w:p>
    <w:p w:rsidR="00391C57" w:rsidRDefault="00391C57" w:rsidP="00391C57">
      <w:pPr>
        <w:contextualSpacing/>
        <w:rPr>
          <w:rFonts w:ascii="Verdana" w:hAnsi="Verdana"/>
          <w:b/>
          <w:sz w:val="20"/>
          <w:szCs w:val="20"/>
        </w:rPr>
      </w:pPr>
      <w:r w:rsidRPr="00391C57">
        <w:rPr>
          <w:rFonts w:ascii="Verdana" w:hAnsi="Verdana"/>
          <w:b/>
          <w:sz w:val="20"/>
          <w:szCs w:val="20"/>
        </w:rPr>
        <w:t>Surcharging</w:t>
      </w:r>
    </w:p>
    <w:p w:rsidR="00391C57" w:rsidRPr="00391C57" w:rsidRDefault="00391C57" w:rsidP="00391C57">
      <w:pPr>
        <w:contextualSpacing/>
        <w:rPr>
          <w:rFonts w:ascii="Verdana" w:hAnsi="Verdana"/>
          <w:b/>
          <w:sz w:val="20"/>
          <w:szCs w:val="20"/>
        </w:rPr>
      </w:pPr>
    </w:p>
    <w:p w:rsidR="00391C57" w:rsidRDefault="00391C57" w:rsidP="00391C57">
      <w:pPr>
        <w:contextualSpacing/>
        <w:rPr>
          <w:rFonts w:ascii="Verdana" w:hAnsi="Verdana"/>
          <w:b/>
          <w:i/>
          <w:sz w:val="20"/>
          <w:szCs w:val="20"/>
          <w:lang w:val="en-US"/>
        </w:rPr>
      </w:pPr>
      <w:proofErr w:type="gramStart"/>
      <w:r w:rsidRPr="00391C57">
        <w:rPr>
          <w:rFonts w:ascii="Verdana" w:hAnsi="Verdana"/>
          <w:b/>
          <w:i/>
          <w:sz w:val="20"/>
          <w:szCs w:val="20"/>
          <w:lang w:val="en-US"/>
        </w:rPr>
        <w:t>A tiered surcharging system, perhaps along the lines of the FSI recommendations.</w:t>
      </w:r>
      <w:proofErr w:type="gramEnd"/>
      <w:r w:rsidRPr="00391C57">
        <w:rPr>
          <w:rFonts w:ascii="Verdana" w:hAnsi="Verdana"/>
          <w:b/>
          <w:i/>
          <w:sz w:val="20"/>
          <w:szCs w:val="20"/>
          <w:lang w:val="en-US"/>
        </w:rPr>
        <w:t xml:space="preserve"> </w:t>
      </w:r>
    </w:p>
    <w:p w:rsidR="00391C57" w:rsidRPr="00391C57" w:rsidRDefault="00391C57" w:rsidP="00391C57">
      <w:pPr>
        <w:contextualSpacing/>
        <w:rPr>
          <w:rFonts w:ascii="Verdana" w:hAnsi="Verdana"/>
          <w:b/>
          <w:i/>
          <w:sz w:val="20"/>
          <w:szCs w:val="20"/>
          <w:lang w:val="en-US"/>
        </w:rPr>
      </w:pPr>
    </w:p>
    <w:p w:rsidR="00391C57" w:rsidRDefault="00391C57" w:rsidP="00391C57">
      <w:pPr>
        <w:contextualSpacing/>
        <w:rPr>
          <w:rFonts w:ascii="Verdana" w:hAnsi="Verdana"/>
          <w:sz w:val="20"/>
          <w:szCs w:val="20"/>
          <w:lang w:val="en-US"/>
        </w:rPr>
      </w:pPr>
      <w:r w:rsidRPr="00391C57">
        <w:rPr>
          <w:rFonts w:ascii="Verdana" w:hAnsi="Verdana"/>
          <w:sz w:val="20"/>
          <w:szCs w:val="20"/>
          <w:lang w:val="en-US"/>
        </w:rPr>
        <w:t xml:space="preserve">Cuscal does not support this approach as its complexity decreases surcharging transparency for merchants and </w:t>
      </w:r>
      <w:r w:rsidR="003A2593">
        <w:rPr>
          <w:rFonts w:ascii="Verdana" w:hAnsi="Verdana"/>
          <w:sz w:val="20"/>
          <w:szCs w:val="20"/>
          <w:lang w:val="en-US"/>
        </w:rPr>
        <w:t>additionally</w:t>
      </w:r>
      <w:r w:rsidRPr="00391C57">
        <w:rPr>
          <w:rFonts w:ascii="Verdana" w:hAnsi="Verdana"/>
          <w:sz w:val="20"/>
          <w:szCs w:val="20"/>
          <w:lang w:val="en-US"/>
        </w:rPr>
        <w:t xml:space="preserve"> the same complexity significantly increase implementation and operating costs for Schemes, Issuers and Acquirers. </w:t>
      </w:r>
    </w:p>
    <w:p w:rsidR="00391C57" w:rsidRPr="00391C57" w:rsidRDefault="00391C57" w:rsidP="00391C57">
      <w:pPr>
        <w:contextualSpacing/>
        <w:rPr>
          <w:rFonts w:ascii="Verdana" w:hAnsi="Verdana"/>
          <w:sz w:val="20"/>
          <w:szCs w:val="20"/>
          <w:lang w:val="en-US"/>
        </w:rPr>
      </w:pPr>
    </w:p>
    <w:p w:rsidR="00391C57" w:rsidRDefault="00391C57" w:rsidP="00391C57">
      <w:pPr>
        <w:contextualSpacing/>
        <w:rPr>
          <w:rFonts w:ascii="Verdana" w:hAnsi="Verdana"/>
          <w:b/>
          <w:i/>
          <w:sz w:val="20"/>
          <w:szCs w:val="20"/>
          <w:lang w:val="en-US"/>
        </w:rPr>
      </w:pPr>
      <w:proofErr w:type="gramStart"/>
      <w:r w:rsidRPr="00391C57">
        <w:rPr>
          <w:rFonts w:ascii="Verdana" w:hAnsi="Verdana"/>
          <w:b/>
          <w:i/>
          <w:sz w:val="20"/>
          <w:szCs w:val="20"/>
          <w:lang w:val="en-US"/>
        </w:rPr>
        <w:t>Targeted changes to reduce particular cases of excessive surcharging.</w:t>
      </w:r>
      <w:proofErr w:type="gramEnd"/>
    </w:p>
    <w:p w:rsidR="00391C57" w:rsidRPr="00391C57" w:rsidRDefault="00391C57" w:rsidP="00391C57">
      <w:pPr>
        <w:contextualSpacing/>
        <w:rPr>
          <w:rFonts w:ascii="Verdana" w:hAnsi="Verdana"/>
          <w:b/>
          <w:i/>
          <w:sz w:val="20"/>
          <w:szCs w:val="20"/>
          <w:lang w:val="en-US"/>
        </w:rPr>
      </w:pPr>
    </w:p>
    <w:p w:rsidR="00391C57" w:rsidRDefault="003A2593" w:rsidP="00391C57">
      <w:pPr>
        <w:contextualSpacing/>
        <w:rPr>
          <w:rFonts w:ascii="Verdana" w:hAnsi="Verdana"/>
          <w:sz w:val="20"/>
          <w:szCs w:val="20"/>
          <w:lang w:val="en-US"/>
        </w:rPr>
      </w:pPr>
      <w:r>
        <w:rPr>
          <w:rFonts w:ascii="Verdana" w:hAnsi="Verdana"/>
          <w:sz w:val="20"/>
          <w:szCs w:val="20"/>
          <w:lang w:val="en-US"/>
        </w:rPr>
        <w:t>Cuscal does not support this</w:t>
      </w:r>
      <w:r w:rsidR="00391C57" w:rsidRPr="00391C57">
        <w:rPr>
          <w:rFonts w:ascii="Verdana" w:hAnsi="Verdana"/>
          <w:sz w:val="20"/>
          <w:szCs w:val="20"/>
          <w:lang w:val="en-US"/>
        </w:rPr>
        <w:t xml:space="preserve"> as a uniform solution is required for all merchants to ensure competitive neutrality. </w:t>
      </w:r>
    </w:p>
    <w:p w:rsidR="00391C57" w:rsidRPr="00391C57" w:rsidRDefault="00391C57" w:rsidP="00391C57">
      <w:pPr>
        <w:contextualSpacing/>
        <w:rPr>
          <w:rFonts w:ascii="Verdana" w:hAnsi="Verdana"/>
          <w:sz w:val="20"/>
          <w:szCs w:val="20"/>
          <w:lang w:val="en-US"/>
        </w:rPr>
      </w:pPr>
    </w:p>
    <w:p w:rsidR="00391C57" w:rsidRDefault="00391C57" w:rsidP="00391C57">
      <w:pPr>
        <w:contextualSpacing/>
        <w:rPr>
          <w:rFonts w:ascii="Verdana" w:hAnsi="Verdana"/>
          <w:b/>
          <w:i/>
          <w:sz w:val="20"/>
          <w:szCs w:val="20"/>
          <w:lang w:val="en-US"/>
        </w:rPr>
      </w:pPr>
      <w:proofErr w:type="gramStart"/>
      <w:r w:rsidRPr="00391C57">
        <w:rPr>
          <w:rFonts w:ascii="Verdana" w:hAnsi="Verdana"/>
          <w:b/>
          <w:i/>
          <w:sz w:val="20"/>
          <w:szCs w:val="20"/>
          <w:lang w:val="en-US"/>
        </w:rPr>
        <w:t>Any other changes to enforcement procedures and disclosure practices.</w:t>
      </w:r>
      <w:proofErr w:type="gramEnd"/>
    </w:p>
    <w:p w:rsidR="00391C57" w:rsidRPr="00391C57" w:rsidRDefault="00391C57" w:rsidP="00391C57">
      <w:pPr>
        <w:contextualSpacing/>
        <w:rPr>
          <w:rFonts w:ascii="Verdana" w:hAnsi="Verdana"/>
          <w:b/>
          <w:i/>
          <w:sz w:val="20"/>
          <w:szCs w:val="20"/>
          <w:lang w:val="en-US"/>
        </w:rPr>
      </w:pPr>
    </w:p>
    <w:p w:rsidR="00391C57" w:rsidRDefault="00391C57" w:rsidP="00391C57">
      <w:pPr>
        <w:contextualSpacing/>
        <w:rPr>
          <w:rFonts w:ascii="Verdana" w:hAnsi="Verdana"/>
          <w:sz w:val="20"/>
          <w:szCs w:val="20"/>
          <w:lang w:val="en-US"/>
        </w:rPr>
      </w:pPr>
      <w:r w:rsidRPr="00391C57">
        <w:rPr>
          <w:rFonts w:ascii="Verdana" w:hAnsi="Verdana"/>
          <w:sz w:val="20"/>
          <w:szCs w:val="20"/>
          <w:lang w:val="en-US"/>
        </w:rPr>
        <w:t xml:space="preserve">Cuscal believes that developing a transparent and enforceable definition of reasonable cost of acceptance that is policed by ASIC using specifically developed legislation can reduce excessive surcharging by merchants.   </w:t>
      </w:r>
    </w:p>
    <w:p w:rsidR="00391C57" w:rsidRPr="00391C57" w:rsidRDefault="00391C57" w:rsidP="00391C57">
      <w:pPr>
        <w:contextualSpacing/>
        <w:rPr>
          <w:rFonts w:ascii="Verdana" w:hAnsi="Verdana"/>
          <w:sz w:val="20"/>
          <w:szCs w:val="20"/>
          <w:lang w:val="en-US"/>
        </w:rPr>
      </w:pPr>
    </w:p>
    <w:p w:rsidR="00391C57" w:rsidRDefault="00391C57" w:rsidP="00391C57">
      <w:pPr>
        <w:contextualSpacing/>
        <w:rPr>
          <w:rFonts w:ascii="Verdana" w:hAnsi="Verdana"/>
          <w:sz w:val="20"/>
          <w:szCs w:val="20"/>
          <w:lang w:val="en-US"/>
        </w:rPr>
      </w:pPr>
      <w:r w:rsidRPr="00391C57">
        <w:rPr>
          <w:rFonts w:ascii="Verdana" w:hAnsi="Verdana"/>
          <w:sz w:val="20"/>
          <w:szCs w:val="20"/>
          <w:lang w:val="en-US"/>
        </w:rPr>
        <w:t>Cuscal also believes that there are a number of high profile examples of excessive surcharging beyond the reasonable costs of acceptance that can be observed in the market and that action taken by an appropriate regulator to explore these examples will help improve market practice more generally.</w:t>
      </w:r>
    </w:p>
    <w:p w:rsidR="00391C57" w:rsidRDefault="00391C57" w:rsidP="00391C57">
      <w:pPr>
        <w:contextualSpacing/>
        <w:rPr>
          <w:rFonts w:ascii="Verdana" w:hAnsi="Verdana"/>
          <w:b/>
          <w:i/>
          <w:sz w:val="20"/>
          <w:szCs w:val="20"/>
          <w:lang w:val="en-US"/>
        </w:rPr>
      </w:pPr>
    </w:p>
    <w:p w:rsidR="008533B0" w:rsidRDefault="008533B0" w:rsidP="00391C57">
      <w:pPr>
        <w:contextualSpacing/>
        <w:rPr>
          <w:rFonts w:ascii="Verdana" w:hAnsi="Verdana"/>
          <w:b/>
          <w:i/>
          <w:sz w:val="20"/>
          <w:szCs w:val="20"/>
          <w:lang w:val="en-US"/>
        </w:rPr>
      </w:pPr>
    </w:p>
    <w:p w:rsidR="008533B0" w:rsidRDefault="008533B0" w:rsidP="00391C57">
      <w:pPr>
        <w:contextualSpacing/>
        <w:rPr>
          <w:rFonts w:ascii="Verdana" w:hAnsi="Verdana"/>
          <w:b/>
          <w:i/>
          <w:sz w:val="20"/>
          <w:szCs w:val="20"/>
          <w:lang w:val="en-US"/>
        </w:rPr>
      </w:pPr>
    </w:p>
    <w:p w:rsidR="008533B0" w:rsidRDefault="008533B0" w:rsidP="00391C57">
      <w:pPr>
        <w:contextualSpacing/>
        <w:rPr>
          <w:rFonts w:ascii="Verdana" w:hAnsi="Verdana"/>
          <w:b/>
          <w:i/>
          <w:sz w:val="20"/>
          <w:szCs w:val="20"/>
          <w:lang w:val="en-US"/>
        </w:rPr>
      </w:pPr>
    </w:p>
    <w:p w:rsidR="008533B0" w:rsidRPr="00391C57" w:rsidRDefault="008533B0" w:rsidP="00391C57">
      <w:pPr>
        <w:contextualSpacing/>
        <w:rPr>
          <w:rFonts w:ascii="Verdana" w:hAnsi="Verdana"/>
          <w:b/>
          <w:i/>
          <w:sz w:val="20"/>
          <w:szCs w:val="20"/>
          <w:lang w:val="en-US"/>
        </w:rPr>
      </w:pPr>
    </w:p>
    <w:p w:rsidR="00391C57" w:rsidRDefault="00391C57" w:rsidP="00391C57">
      <w:pPr>
        <w:contextualSpacing/>
        <w:rPr>
          <w:rFonts w:ascii="Verdana" w:hAnsi="Verdana"/>
          <w:b/>
          <w:i/>
          <w:sz w:val="20"/>
          <w:szCs w:val="20"/>
          <w:lang w:val="en-US"/>
        </w:rPr>
      </w:pPr>
      <w:proofErr w:type="gramStart"/>
      <w:r w:rsidRPr="00391C57">
        <w:rPr>
          <w:rFonts w:ascii="Verdana" w:hAnsi="Verdana"/>
          <w:b/>
          <w:i/>
          <w:sz w:val="20"/>
          <w:szCs w:val="20"/>
          <w:lang w:val="en-US"/>
        </w:rPr>
        <w:lastRenderedPageBreak/>
        <w:t>Facilitation of differential surcharging by merchants.</w:t>
      </w:r>
      <w:proofErr w:type="gramEnd"/>
      <w:r w:rsidRPr="00391C57">
        <w:rPr>
          <w:rFonts w:ascii="Verdana" w:hAnsi="Verdana"/>
          <w:b/>
          <w:i/>
          <w:sz w:val="20"/>
          <w:szCs w:val="20"/>
          <w:lang w:val="en-US"/>
        </w:rPr>
        <w:t xml:space="preserve"> </w:t>
      </w:r>
    </w:p>
    <w:p w:rsidR="00391C57" w:rsidRPr="00391C57" w:rsidRDefault="00391C57" w:rsidP="00391C57">
      <w:pPr>
        <w:contextualSpacing/>
        <w:rPr>
          <w:rFonts w:ascii="Verdana" w:hAnsi="Verdana"/>
          <w:b/>
          <w:i/>
          <w:sz w:val="20"/>
          <w:szCs w:val="20"/>
          <w:lang w:val="en-US"/>
        </w:rPr>
      </w:pPr>
    </w:p>
    <w:p w:rsidR="00391C57" w:rsidRDefault="00391C57" w:rsidP="00391C57">
      <w:pPr>
        <w:contextualSpacing/>
        <w:rPr>
          <w:rFonts w:ascii="Verdana" w:hAnsi="Verdana"/>
          <w:sz w:val="20"/>
          <w:szCs w:val="20"/>
          <w:lang w:val="en-US"/>
        </w:rPr>
      </w:pPr>
      <w:r w:rsidRPr="00391C57">
        <w:rPr>
          <w:rFonts w:ascii="Verdana" w:hAnsi="Verdana"/>
          <w:sz w:val="20"/>
          <w:szCs w:val="20"/>
          <w:lang w:val="en-US"/>
        </w:rPr>
        <w:t>Cuscal, at an intellectual level has a level of support to explore mechanisms that require Schemes/Acquirers to:</w:t>
      </w:r>
    </w:p>
    <w:p w:rsidR="00391C57" w:rsidRPr="00391C57" w:rsidRDefault="00391C57" w:rsidP="00391C57">
      <w:pPr>
        <w:contextualSpacing/>
        <w:rPr>
          <w:rFonts w:ascii="Verdana" w:hAnsi="Verdana"/>
          <w:sz w:val="20"/>
          <w:szCs w:val="20"/>
          <w:lang w:val="en-US"/>
        </w:rPr>
      </w:pPr>
    </w:p>
    <w:p w:rsidR="00391C57" w:rsidRPr="00391C57" w:rsidRDefault="00391C57" w:rsidP="00391C57">
      <w:pPr>
        <w:pStyle w:val="ListParagraph"/>
        <w:numPr>
          <w:ilvl w:val="0"/>
          <w:numId w:val="30"/>
        </w:numPr>
        <w:rPr>
          <w:rFonts w:ascii="Verdana" w:hAnsi="Verdana"/>
          <w:sz w:val="20"/>
          <w:szCs w:val="20"/>
          <w:lang w:val="en-US"/>
        </w:rPr>
      </w:pPr>
      <w:r w:rsidRPr="00391C57">
        <w:rPr>
          <w:rFonts w:ascii="Verdana" w:hAnsi="Verdana"/>
          <w:sz w:val="20"/>
          <w:szCs w:val="20"/>
          <w:lang w:val="en-US"/>
        </w:rPr>
        <w:t>Enable merchants to differentially surcharge; and</w:t>
      </w:r>
    </w:p>
    <w:p w:rsidR="00391C57" w:rsidRPr="00391C57" w:rsidRDefault="00391C57" w:rsidP="00391C57">
      <w:pPr>
        <w:pStyle w:val="ListParagraph"/>
        <w:numPr>
          <w:ilvl w:val="0"/>
          <w:numId w:val="30"/>
        </w:numPr>
        <w:rPr>
          <w:rFonts w:ascii="Verdana" w:hAnsi="Verdana"/>
          <w:sz w:val="20"/>
          <w:szCs w:val="20"/>
          <w:lang w:val="en-US"/>
        </w:rPr>
      </w:pPr>
      <w:r w:rsidRPr="00391C57">
        <w:rPr>
          <w:rFonts w:ascii="Verdana" w:hAnsi="Verdana"/>
          <w:sz w:val="20"/>
          <w:szCs w:val="20"/>
          <w:lang w:val="en-US"/>
        </w:rPr>
        <w:t>Change Scheme rules to allow merchants to inform customers of their card acceptance costs to justify their surcharging policies.</w:t>
      </w:r>
    </w:p>
    <w:p w:rsidR="00391C57" w:rsidRPr="00391C57" w:rsidRDefault="00391C57" w:rsidP="00391C57">
      <w:pPr>
        <w:contextualSpacing/>
        <w:rPr>
          <w:rFonts w:ascii="Verdana" w:hAnsi="Verdana"/>
          <w:sz w:val="20"/>
          <w:szCs w:val="20"/>
          <w:lang w:val="en-US"/>
        </w:rPr>
      </w:pPr>
      <w:r w:rsidRPr="00391C57">
        <w:rPr>
          <w:rFonts w:ascii="Verdana" w:hAnsi="Verdana"/>
          <w:sz w:val="20"/>
          <w:szCs w:val="20"/>
          <w:lang w:val="en-US"/>
        </w:rPr>
        <w:t>However, we believe that the approach will be impracticable to communicate to customers and that the implementation and operating costs will outweigh the benefits, particularly if these costs are passed on to consumers by Issuers and Acquirers.</w:t>
      </w:r>
    </w:p>
    <w:p w:rsidR="00391C57" w:rsidRDefault="00391C57" w:rsidP="00391C57">
      <w:pPr>
        <w:contextualSpacing/>
        <w:rPr>
          <w:rFonts w:ascii="Verdana" w:hAnsi="Verdana"/>
          <w:b/>
          <w:sz w:val="20"/>
          <w:szCs w:val="20"/>
        </w:rPr>
      </w:pPr>
    </w:p>
    <w:p w:rsidR="00391C57" w:rsidRDefault="00391C57" w:rsidP="00391C57">
      <w:pPr>
        <w:contextualSpacing/>
        <w:rPr>
          <w:rFonts w:ascii="Verdana" w:hAnsi="Verdana"/>
          <w:b/>
          <w:sz w:val="20"/>
          <w:szCs w:val="20"/>
        </w:rPr>
      </w:pPr>
      <w:r w:rsidRPr="00391C57">
        <w:rPr>
          <w:rFonts w:ascii="Verdana" w:hAnsi="Verdana"/>
          <w:b/>
          <w:sz w:val="20"/>
          <w:szCs w:val="20"/>
        </w:rPr>
        <w:t>Honour all cards rule</w:t>
      </w:r>
    </w:p>
    <w:p w:rsidR="00391C57" w:rsidRPr="00391C57" w:rsidRDefault="00391C57" w:rsidP="00391C57">
      <w:pPr>
        <w:contextualSpacing/>
        <w:rPr>
          <w:rFonts w:ascii="Verdana" w:hAnsi="Verdana"/>
          <w:b/>
          <w:sz w:val="20"/>
          <w:szCs w:val="20"/>
        </w:rPr>
      </w:pPr>
    </w:p>
    <w:p w:rsidR="00391C57" w:rsidRDefault="00391C57" w:rsidP="00391C57">
      <w:pPr>
        <w:contextualSpacing/>
        <w:rPr>
          <w:rFonts w:ascii="Verdana" w:hAnsi="Verdana"/>
          <w:b/>
          <w:i/>
          <w:sz w:val="20"/>
          <w:szCs w:val="20"/>
          <w:lang w:val="en-US"/>
        </w:rPr>
      </w:pPr>
      <w:r w:rsidRPr="00391C57">
        <w:rPr>
          <w:rFonts w:ascii="Verdana" w:hAnsi="Verdana"/>
          <w:b/>
          <w:i/>
          <w:sz w:val="20"/>
          <w:szCs w:val="20"/>
          <w:lang w:val="en-US"/>
        </w:rPr>
        <w:t>Further easing of ‘</w:t>
      </w:r>
      <w:proofErr w:type="spellStart"/>
      <w:r w:rsidRPr="00391C57">
        <w:rPr>
          <w:rFonts w:ascii="Verdana" w:hAnsi="Verdana"/>
          <w:b/>
          <w:i/>
          <w:sz w:val="20"/>
          <w:szCs w:val="20"/>
          <w:lang w:val="en-US"/>
        </w:rPr>
        <w:t>honour</w:t>
      </w:r>
      <w:proofErr w:type="spellEnd"/>
      <w:r w:rsidRPr="00391C57">
        <w:rPr>
          <w:rFonts w:ascii="Verdana" w:hAnsi="Verdana"/>
          <w:b/>
          <w:i/>
          <w:sz w:val="20"/>
          <w:szCs w:val="20"/>
          <w:lang w:val="en-US"/>
        </w:rPr>
        <w:t xml:space="preserve">-all-cards’ rules to allow merchants to decline to accept cards with high interchange fees. </w:t>
      </w:r>
    </w:p>
    <w:p w:rsidR="00391C57" w:rsidRPr="00391C57" w:rsidRDefault="00391C57" w:rsidP="00391C57">
      <w:pPr>
        <w:contextualSpacing/>
        <w:rPr>
          <w:rFonts w:ascii="Verdana" w:hAnsi="Verdana"/>
          <w:b/>
          <w:i/>
          <w:sz w:val="20"/>
          <w:szCs w:val="20"/>
          <w:lang w:val="en-US"/>
        </w:rPr>
      </w:pPr>
    </w:p>
    <w:p w:rsidR="00391C57" w:rsidRPr="00391C57" w:rsidRDefault="00391C57" w:rsidP="00391C57">
      <w:pPr>
        <w:contextualSpacing/>
        <w:rPr>
          <w:rFonts w:ascii="Verdana" w:hAnsi="Verdana"/>
          <w:sz w:val="20"/>
          <w:szCs w:val="20"/>
        </w:rPr>
      </w:pPr>
      <w:r w:rsidRPr="00391C57">
        <w:rPr>
          <w:rFonts w:ascii="Verdana" w:hAnsi="Verdana"/>
          <w:sz w:val="20"/>
          <w:szCs w:val="20"/>
        </w:rPr>
        <w:t xml:space="preserve">Cuscal does not support this approach because it introduces a level of complexity into the interaction with consumers that will be difficult to communicate with consumers particularly </w:t>
      </w:r>
      <w:r>
        <w:rPr>
          <w:rFonts w:ascii="Verdana" w:hAnsi="Verdana"/>
          <w:sz w:val="20"/>
          <w:szCs w:val="20"/>
        </w:rPr>
        <w:t xml:space="preserve">in a point-of-sales situation. </w:t>
      </w:r>
      <w:r w:rsidRPr="00391C57">
        <w:rPr>
          <w:rFonts w:ascii="Verdana" w:hAnsi="Verdana"/>
          <w:sz w:val="20"/>
          <w:szCs w:val="20"/>
        </w:rPr>
        <w:t xml:space="preserve">It is also very likely to increase payment interaction time for the consumer and reduce their level of satisfaction. </w:t>
      </w:r>
      <w:r w:rsidR="003A2593">
        <w:rPr>
          <w:rFonts w:ascii="Verdana" w:hAnsi="Verdana"/>
          <w:sz w:val="20"/>
          <w:szCs w:val="20"/>
        </w:rPr>
        <w:t>F</w:t>
      </w:r>
      <w:r w:rsidR="003A2593" w:rsidRPr="00391C57">
        <w:rPr>
          <w:rFonts w:ascii="Verdana" w:hAnsi="Verdana"/>
          <w:sz w:val="20"/>
          <w:szCs w:val="20"/>
        </w:rPr>
        <w:t>urthermore</w:t>
      </w:r>
      <w:r w:rsidRPr="00391C57">
        <w:rPr>
          <w:rFonts w:ascii="Verdana" w:hAnsi="Verdana"/>
          <w:sz w:val="20"/>
          <w:szCs w:val="20"/>
        </w:rPr>
        <w:t>, we struggle to see how this potential change could work in a contactless payment situation using a card.</w:t>
      </w:r>
    </w:p>
    <w:p w:rsidR="00391C57" w:rsidRPr="00391C57" w:rsidRDefault="00391C57" w:rsidP="00391C57">
      <w:pPr>
        <w:contextualSpacing/>
        <w:rPr>
          <w:rFonts w:ascii="Verdana" w:hAnsi="Verdana"/>
          <w:b/>
          <w:sz w:val="20"/>
          <w:szCs w:val="20"/>
        </w:rPr>
      </w:pPr>
    </w:p>
    <w:p w:rsidR="00391C57" w:rsidRDefault="00391C57" w:rsidP="00391C57">
      <w:pPr>
        <w:contextualSpacing/>
        <w:rPr>
          <w:rFonts w:ascii="Verdana" w:hAnsi="Verdana"/>
          <w:b/>
          <w:sz w:val="20"/>
          <w:szCs w:val="20"/>
        </w:rPr>
      </w:pPr>
      <w:r w:rsidRPr="00391C57">
        <w:rPr>
          <w:rFonts w:ascii="Verdana" w:hAnsi="Verdana"/>
          <w:b/>
          <w:sz w:val="20"/>
          <w:szCs w:val="20"/>
        </w:rPr>
        <w:t>Merchant transaction routing</w:t>
      </w:r>
    </w:p>
    <w:p w:rsidR="00391C57" w:rsidRPr="00391C57" w:rsidRDefault="00391C57" w:rsidP="00391C57">
      <w:pPr>
        <w:contextualSpacing/>
        <w:rPr>
          <w:rFonts w:ascii="Verdana" w:hAnsi="Verdana"/>
          <w:b/>
          <w:sz w:val="20"/>
          <w:szCs w:val="20"/>
        </w:rPr>
      </w:pPr>
    </w:p>
    <w:p w:rsidR="00391C57" w:rsidRDefault="00391C57" w:rsidP="00391C57">
      <w:pPr>
        <w:contextualSpacing/>
        <w:rPr>
          <w:rFonts w:ascii="Verdana" w:hAnsi="Verdana"/>
          <w:b/>
          <w:i/>
          <w:sz w:val="20"/>
          <w:szCs w:val="20"/>
          <w:lang w:val="en-US"/>
        </w:rPr>
      </w:pPr>
      <w:proofErr w:type="gramStart"/>
      <w:r w:rsidRPr="00391C57">
        <w:rPr>
          <w:rFonts w:ascii="Verdana" w:hAnsi="Verdana"/>
          <w:b/>
          <w:i/>
          <w:sz w:val="20"/>
          <w:szCs w:val="20"/>
          <w:lang w:val="en-US"/>
        </w:rPr>
        <w:t>Ensuring that merchants have the ability to choose to route their transactions via lower-cost networks or processors.</w:t>
      </w:r>
      <w:proofErr w:type="gramEnd"/>
      <w:r w:rsidRPr="00391C57">
        <w:rPr>
          <w:rFonts w:ascii="Verdana" w:hAnsi="Verdana"/>
          <w:b/>
          <w:i/>
          <w:sz w:val="20"/>
          <w:szCs w:val="20"/>
          <w:lang w:val="en-US"/>
        </w:rPr>
        <w:t xml:space="preserve"> </w:t>
      </w:r>
    </w:p>
    <w:p w:rsidR="00391C57" w:rsidRPr="00391C57" w:rsidRDefault="00391C57" w:rsidP="00391C57">
      <w:pPr>
        <w:contextualSpacing/>
        <w:rPr>
          <w:rFonts w:ascii="Verdana" w:hAnsi="Verdana"/>
          <w:b/>
          <w:i/>
          <w:sz w:val="20"/>
          <w:szCs w:val="20"/>
          <w:lang w:val="en-US"/>
        </w:rPr>
      </w:pPr>
    </w:p>
    <w:p w:rsidR="00391C57" w:rsidRDefault="00391C57" w:rsidP="00391C57">
      <w:pPr>
        <w:contextualSpacing/>
        <w:rPr>
          <w:rFonts w:ascii="Verdana" w:hAnsi="Verdana"/>
          <w:sz w:val="20"/>
          <w:szCs w:val="20"/>
        </w:rPr>
      </w:pPr>
      <w:r w:rsidRPr="00391C57">
        <w:rPr>
          <w:rFonts w:ascii="Verdana" w:hAnsi="Verdana"/>
          <w:sz w:val="20"/>
          <w:szCs w:val="20"/>
        </w:rPr>
        <w:t xml:space="preserve">Cuscal </w:t>
      </w:r>
      <w:r w:rsidR="003A2593" w:rsidRPr="00391C57">
        <w:rPr>
          <w:rFonts w:ascii="Verdana" w:hAnsi="Verdana"/>
          <w:sz w:val="20"/>
          <w:szCs w:val="20"/>
        </w:rPr>
        <w:t>believe</w:t>
      </w:r>
      <w:r w:rsidR="003A2593">
        <w:rPr>
          <w:rFonts w:ascii="Verdana" w:hAnsi="Verdana"/>
          <w:sz w:val="20"/>
          <w:szCs w:val="20"/>
        </w:rPr>
        <w:t>s</w:t>
      </w:r>
      <w:r w:rsidRPr="00391C57">
        <w:rPr>
          <w:rFonts w:ascii="Verdana" w:hAnsi="Verdana"/>
          <w:sz w:val="20"/>
          <w:szCs w:val="20"/>
        </w:rPr>
        <w:t xml:space="preserve"> there is some merit in exploring </w:t>
      </w:r>
      <w:proofErr w:type="gramStart"/>
      <w:r w:rsidRPr="00391C57">
        <w:rPr>
          <w:rFonts w:ascii="Verdana" w:hAnsi="Verdana"/>
          <w:sz w:val="20"/>
          <w:szCs w:val="20"/>
        </w:rPr>
        <w:t>this,</w:t>
      </w:r>
      <w:proofErr w:type="gramEnd"/>
      <w:r w:rsidRPr="00391C57">
        <w:rPr>
          <w:rFonts w:ascii="Verdana" w:hAnsi="Verdana"/>
          <w:sz w:val="20"/>
          <w:szCs w:val="20"/>
        </w:rPr>
        <w:t xml:space="preserve"> however, it is a complex</w:t>
      </w:r>
      <w:r w:rsidR="003A2593">
        <w:rPr>
          <w:rFonts w:ascii="Verdana" w:hAnsi="Verdana"/>
          <w:sz w:val="20"/>
          <w:szCs w:val="20"/>
        </w:rPr>
        <w:t xml:space="preserve"> situation where the Merchant, C</w:t>
      </w:r>
      <w:r w:rsidRPr="00391C57">
        <w:rPr>
          <w:rFonts w:ascii="Verdana" w:hAnsi="Verdana"/>
          <w:sz w:val="20"/>
          <w:szCs w:val="20"/>
        </w:rPr>
        <w:t>onsumer, Issuer and Acquirer could all have different views as to which network they would like to use and may be impractical to implement particularly if one is of the view that the consumer should have primacy of choice.</w:t>
      </w:r>
    </w:p>
    <w:p w:rsidR="00391C57" w:rsidRPr="00391C57" w:rsidRDefault="00391C57" w:rsidP="00391C57">
      <w:pPr>
        <w:contextualSpacing/>
        <w:rPr>
          <w:rFonts w:ascii="Verdana" w:hAnsi="Verdana"/>
          <w:sz w:val="20"/>
          <w:szCs w:val="20"/>
        </w:rPr>
      </w:pPr>
    </w:p>
    <w:p w:rsidR="00391C57" w:rsidRDefault="00391C57" w:rsidP="00391C57">
      <w:pPr>
        <w:contextualSpacing/>
        <w:rPr>
          <w:rFonts w:ascii="Verdana" w:hAnsi="Verdana"/>
          <w:sz w:val="20"/>
          <w:szCs w:val="20"/>
        </w:rPr>
      </w:pPr>
      <w:r w:rsidRPr="00391C57">
        <w:rPr>
          <w:rFonts w:ascii="Verdana" w:hAnsi="Verdana"/>
          <w:sz w:val="20"/>
          <w:szCs w:val="20"/>
        </w:rPr>
        <w:t>For example</w:t>
      </w:r>
      <w:r w:rsidR="003A2593">
        <w:rPr>
          <w:rFonts w:ascii="Verdana" w:hAnsi="Verdana"/>
          <w:sz w:val="20"/>
          <w:szCs w:val="20"/>
        </w:rPr>
        <w:t>,</w:t>
      </w:r>
      <w:r w:rsidRPr="00391C57">
        <w:rPr>
          <w:rFonts w:ascii="Verdana" w:hAnsi="Verdana"/>
          <w:sz w:val="20"/>
          <w:szCs w:val="20"/>
        </w:rPr>
        <w:t xml:space="preserve"> if a consumer wanted to use a Scheme debit card for a transaction that they wished to receive consumer protection for over non-delivery of a service for a travel booking they would be extremely upset if the merchant routed their transaction automatically through the </w:t>
      </w:r>
      <w:proofErr w:type="spellStart"/>
      <w:r w:rsidRPr="00391C57">
        <w:rPr>
          <w:rFonts w:ascii="Verdana" w:hAnsi="Verdana"/>
          <w:sz w:val="20"/>
          <w:szCs w:val="20"/>
        </w:rPr>
        <w:t>eftpos</w:t>
      </w:r>
      <w:proofErr w:type="spellEnd"/>
      <w:r w:rsidRPr="00391C57">
        <w:rPr>
          <w:rFonts w:ascii="Verdana" w:hAnsi="Verdana"/>
          <w:sz w:val="20"/>
          <w:szCs w:val="20"/>
        </w:rPr>
        <w:t xml:space="preserve"> network where no such consumer protection exists. </w:t>
      </w:r>
    </w:p>
    <w:p w:rsidR="00391C57" w:rsidRPr="00391C57" w:rsidRDefault="00391C57" w:rsidP="00391C57">
      <w:pPr>
        <w:contextualSpacing/>
        <w:rPr>
          <w:rFonts w:ascii="Verdana" w:hAnsi="Verdana"/>
          <w:sz w:val="20"/>
          <w:szCs w:val="20"/>
        </w:rPr>
      </w:pPr>
    </w:p>
    <w:p w:rsidR="00391C57" w:rsidRPr="00391C57" w:rsidRDefault="00391C57" w:rsidP="00391C57">
      <w:pPr>
        <w:contextualSpacing/>
        <w:rPr>
          <w:rFonts w:ascii="Verdana" w:hAnsi="Verdana"/>
          <w:sz w:val="20"/>
          <w:szCs w:val="20"/>
        </w:rPr>
      </w:pPr>
      <w:r w:rsidRPr="00391C57">
        <w:rPr>
          <w:rFonts w:ascii="Verdana" w:hAnsi="Verdana"/>
          <w:sz w:val="20"/>
          <w:szCs w:val="20"/>
        </w:rPr>
        <w:t>Further enabling merchants to decide on routing is only likely to benefit a small number of very large merchants who have the capacity to do so and will further widen the gap between the costs borne by small and large merchants.</w:t>
      </w:r>
    </w:p>
    <w:p w:rsidR="00391C57" w:rsidRPr="00391C57" w:rsidRDefault="00391C57" w:rsidP="00391C57">
      <w:pPr>
        <w:contextualSpacing/>
        <w:rPr>
          <w:rFonts w:ascii="Verdana" w:hAnsi="Verdana"/>
          <w:b/>
          <w:sz w:val="20"/>
          <w:szCs w:val="20"/>
        </w:rPr>
      </w:pPr>
    </w:p>
    <w:p w:rsidR="00391C57" w:rsidRDefault="00391C57" w:rsidP="00391C57">
      <w:pPr>
        <w:contextualSpacing/>
        <w:rPr>
          <w:rFonts w:ascii="Verdana" w:hAnsi="Verdana"/>
          <w:b/>
          <w:sz w:val="20"/>
          <w:szCs w:val="20"/>
        </w:rPr>
      </w:pPr>
      <w:r w:rsidRPr="00391C57">
        <w:rPr>
          <w:rFonts w:ascii="Verdana" w:hAnsi="Verdana"/>
          <w:b/>
          <w:sz w:val="20"/>
          <w:szCs w:val="20"/>
        </w:rPr>
        <w:t>Competing payments on single device</w:t>
      </w:r>
    </w:p>
    <w:p w:rsidR="00391C57" w:rsidRPr="00391C57" w:rsidRDefault="00391C57" w:rsidP="00391C57">
      <w:pPr>
        <w:contextualSpacing/>
        <w:rPr>
          <w:rFonts w:ascii="Verdana" w:hAnsi="Verdana"/>
          <w:b/>
          <w:sz w:val="20"/>
          <w:szCs w:val="20"/>
        </w:rPr>
      </w:pPr>
    </w:p>
    <w:p w:rsidR="00391C57" w:rsidRDefault="00391C57" w:rsidP="00391C57">
      <w:pPr>
        <w:contextualSpacing/>
        <w:rPr>
          <w:rFonts w:ascii="Verdana" w:hAnsi="Verdana"/>
          <w:b/>
          <w:i/>
          <w:sz w:val="20"/>
          <w:szCs w:val="20"/>
          <w:lang w:val="en-US"/>
        </w:rPr>
      </w:pPr>
      <w:proofErr w:type="gramStart"/>
      <w:r w:rsidRPr="00391C57">
        <w:rPr>
          <w:rFonts w:ascii="Verdana" w:hAnsi="Verdana"/>
          <w:b/>
          <w:i/>
          <w:sz w:val="20"/>
          <w:szCs w:val="20"/>
          <w:lang w:val="en-US"/>
        </w:rPr>
        <w:t>Clarifying arrangements for competing payment options within a single device or application.</w:t>
      </w:r>
      <w:proofErr w:type="gramEnd"/>
    </w:p>
    <w:p w:rsidR="00391C57" w:rsidRPr="00391C57" w:rsidRDefault="00391C57" w:rsidP="00391C57">
      <w:pPr>
        <w:contextualSpacing/>
        <w:rPr>
          <w:rFonts w:ascii="Verdana" w:hAnsi="Verdana"/>
          <w:b/>
          <w:i/>
          <w:sz w:val="20"/>
          <w:szCs w:val="20"/>
          <w:lang w:val="en-US"/>
        </w:rPr>
      </w:pPr>
    </w:p>
    <w:p w:rsidR="00391C57" w:rsidRDefault="00391C57" w:rsidP="00391C57">
      <w:pPr>
        <w:contextualSpacing/>
        <w:rPr>
          <w:rFonts w:ascii="Verdana" w:hAnsi="Verdana"/>
          <w:sz w:val="20"/>
          <w:szCs w:val="20"/>
          <w:lang w:val="en-US"/>
        </w:rPr>
      </w:pPr>
      <w:r w:rsidRPr="00391C57">
        <w:rPr>
          <w:rFonts w:ascii="Verdana" w:hAnsi="Verdana"/>
          <w:sz w:val="20"/>
          <w:szCs w:val="20"/>
          <w:lang w:val="en-US"/>
        </w:rPr>
        <w:t xml:space="preserve">This too is a complex situation where technology is outstripping regulatory oversight.  However, at present while </w:t>
      </w:r>
      <w:proofErr w:type="spellStart"/>
      <w:r w:rsidRPr="00391C57">
        <w:rPr>
          <w:rFonts w:ascii="Verdana" w:hAnsi="Verdana"/>
          <w:sz w:val="20"/>
          <w:szCs w:val="20"/>
          <w:lang w:val="en-US"/>
        </w:rPr>
        <w:t>eWallets</w:t>
      </w:r>
      <w:proofErr w:type="spellEnd"/>
      <w:r w:rsidRPr="00391C57">
        <w:rPr>
          <w:rFonts w:ascii="Verdana" w:hAnsi="Verdana"/>
          <w:sz w:val="20"/>
          <w:szCs w:val="20"/>
          <w:lang w:val="en-US"/>
        </w:rPr>
        <w:t xml:space="preserve"> have been developed they are not currently widely deployed in Australia and to date </w:t>
      </w:r>
      <w:proofErr w:type="spellStart"/>
      <w:r w:rsidRPr="00391C57">
        <w:rPr>
          <w:rFonts w:ascii="Verdana" w:hAnsi="Verdana"/>
          <w:sz w:val="20"/>
          <w:szCs w:val="20"/>
          <w:lang w:val="en-US"/>
        </w:rPr>
        <w:t>eWallets</w:t>
      </w:r>
      <w:proofErr w:type="spellEnd"/>
      <w:r w:rsidRPr="00391C57">
        <w:rPr>
          <w:rFonts w:ascii="Verdana" w:hAnsi="Verdana"/>
          <w:sz w:val="20"/>
          <w:szCs w:val="20"/>
          <w:lang w:val="en-US"/>
        </w:rPr>
        <w:t xml:space="preserve"> for the card Schemes allow for the deployment of their credit/debit competitors cards.</w:t>
      </w:r>
    </w:p>
    <w:p w:rsidR="00391C57" w:rsidRPr="00391C57" w:rsidRDefault="00391C57" w:rsidP="00391C57">
      <w:pPr>
        <w:contextualSpacing/>
        <w:rPr>
          <w:rFonts w:ascii="Verdana" w:hAnsi="Verdana"/>
          <w:sz w:val="20"/>
          <w:szCs w:val="20"/>
          <w:lang w:val="en-US"/>
        </w:rPr>
      </w:pPr>
    </w:p>
    <w:p w:rsidR="00391C57" w:rsidRPr="00391C57" w:rsidRDefault="00391C57" w:rsidP="00391C57">
      <w:pPr>
        <w:contextualSpacing/>
        <w:rPr>
          <w:rFonts w:ascii="Verdana" w:hAnsi="Verdana"/>
          <w:sz w:val="20"/>
          <w:szCs w:val="20"/>
          <w:lang w:val="en-US"/>
        </w:rPr>
      </w:pPr>
      <w:r w:rsidRPr="00391C57">
        <w:rPr>
          <w:rFonts w:ascii="Verdana" w:hAnsi="Verdana"/>
          <w:sz w:val="20"/>
          <w:szCs w:val="20"/>
          <w:lang w:val="en-US"/>
        </w:rPr>
        <w:t xml:space="preserve">Cuscal does support the introduction of targeted interventions to ensure that consumer choice does exist and that no payment method is locked out of a new or emerging </w:t>
      </w:r>
      <w:r w:rsidRPr="00391C57">
        <w:rPr>
          <w:rFonts w:ascii="Verdana" w:hAnsi="Verdana"/>
          <w:sz w:val="20"/>
          <w:szCs w:val="20"/>
          <w:lang w:val="en-US"/>
        </w:rPr>
        <w:lastRenderedPageBreak/>
        <w:t>channel.</w:t>
      </w:r>
      <w:r>
        <w:rPr>
          <w:rFonts w:ascii="Verdana" w:hAnsi="Verdana"/>
          <w:sz w:val="20"/>
          <w:szCs w:val="20"/>
          <w:lang w:val="en-US"/>
        </w:rPr>
        <w:t xml:space="preserve"> </w:t>
      </w:r>
      <w:r w:rsidRPr="00391C57">
        <w:rPr>
          <w:rFonts w:ascii="Verdana" w:hAnsi="Verdana"/>
          <w:sz w:val="20"/>
          <w:szCs w:val="20"/>
          <w:lang w:val="en-US"/>
        </w:rPr>
        <w:t xml:space="preserve">New standards relating to contactless acceptance and/or tokenization should be developed and overseen by appropriate bodies, such as </w:t>
      </w:r>
      <w:proofErr w:type="spellStart"/>
      <w:r w:rsidRPr="00391C57">
        <w:rPr>
          <w:rFonts w:ascii="Verdana" w:hAnsi="Verdana"/>
          <w:sz w:val="20"/>
          <w:szCs w:val="20"/>
          <w:lang w:val="en-US"/>
        </w:rPr>
        <w:t>EMVco</w:t>
      </w:r>
      <w:proofErr w:type="spellEnd"/>
      <w:r w:rsidRPr="00391C57">
        <w:rPr>
          <w:rFonts w:ascii="Verdana" w:hAnsi="Verdana"/>
          <w:sz w:val="20"/>
          <w:szCs w:val="20"/>
          <w:lang w:val="en-US"/>
        </w:rPr>
        <w:t>, which are scheme agnostic and which effectively balance competition and choice with security considerations.</w:t>
      </w:r>
    </w:p>
    <w:p w:rsidR="00391C57" w:rsidRPr="00391C57" w:rsidRDefault="00391C57" w:rsidP="00391C57">
      <w:pPr>
        <w:contextualSpacing/>
        <w:rPr>
          <w:rFonts w:ascii="Verdana" w:hAnsi="Verdana"/>
          <w:i/>
          <w:sz w:val="20"/>
          <w:szCs w:val="20"/>
          <w:lang w:val="en-US"/>
        </w:rPr>
      </w:pPr>
    </w:p>
    <w:p w:rsidR="00391C57" w:rsidRPr="003A2593" w:rsidRDefault="003A2593" w:rsidP="00391C57">
      <w:pPr>
        <w:widowControl w:val="0"/>
        <w:autoSpaceDE w:val="0"/>
        <w:autoSpaceDN w:val="0"/>
        <w:adjustRightInd w:val="0"/>
        <w:contextualSpacing/>
        <w:rPr>
          <w:rFonts w:ascii="Verdana" w:hAnsi="Verdana" w:cs="Arial"/>
          <w:bCs/>
          <w:sz w:val="20"/>
          <w:szCs w:val="20"/>
          <w:lang w:val="en-US"/>
        </w:rPr>
      </w:pPr>
      <w:r w:rsidRPr="003A2593">
        <w:rPr>
          <w:rFonts w:ascii="Verdana" w:hAnsi="Verdana" w:cs="Arial"/>
          <w:bCs/>
          <w:sz w:val="20"/>
          <w:szCs w:val="20"/>
          <w:lang w:val="en-US"/>
        </w:rPr>
        <w:t>Thank you for the opportunity to comment. Please feel free to contact me if you wish to discuss our submission further.</w:t>
      </w:r>
    </w:p>
    <w:p w:rsidR="003A2593" w:rsidRDefault="003A2593" w:rsidP="00391C57">
      <w:pPr>
        <w:widowControl w:val="0"/>
        <w:autoSpaceDE w:val="0"/>
        <w:autoSpaceDN w:val="0"/>
        <w:adjustRightInd w:val="0"/>
        <w:contextualSpacing/>
        <w:rPr>
          <w:rFonts w:ascii="Verdana" w:hAnsi="Verdana" w:cs="Arial"/>
          <w:b/>
          <w:bCs/>
          <w:sz w:val="20"/>
          <w:szCs w:val="20"/>
          <w:lang w:val="en-US"/>
        </w:rPr>
      </w:pPr>
    </w:p>
    <w:p w:rsidR="003A2593" w:rsidRPr="00391C57" w:rsidRDefault="003A2593" w:rsidP="00391C57">
      <w:pPr>
        <w:widowControl w:val="0"/>
        <w:autoSpaceDE w:val="0"/>
        <w:autoSpaceDN w:val="0"/>
        <w:adjustRightInd w:val="0"/>
        <w:contextualSpacing/>
        <w:rPr>
          <w:rFonts w:ascii="Verdana" w:hAnsi="Verdana" w:cs="Arial"/>
          <w:b/>
          <w:bCs/>
          <w:sz w:val="20"/>
          <w:szCs w:val="20"/>
          <w:lang w:val="en-US"/>
        </w:rPr>
      </w:pPr>
    </w:p>
    <w:p w:rsidR="00391C57" w:rsidRPr="00391C57" w:rsidRDefault="00391C57" w:rsidP="00391C57">
      <w:pPr>
        <w:widowControl w:val="0"/>
        <w:autoSpaceDE w:val="0"/>
        <w:autoSpaceDN w:val="0"/>
        <w:adjustRightInd w:val="0"/>
        <w:contextualSpacing/>
        <w:rPr>
          <w:rFonts w:ascii="Verdana" w:hAnsi="Verdana" w:cs="Arial"/>
          <w:bCs/>
          <w:sz w:val="20"/>
          <w:szCs w:val="20"/>
          <w:lang w:val="en-US"/>
        </w:rPr>
      </w:pPr>
      <w:r w:rsidRPr="00391C57">
        <w:rPr>
          <w:rFonts w:ascii="Verdana" w:hAnsi="Verdana" w:cs="Arial"/>
          <w:bCs/>
          <w:sz w:val="20"/>
          <w:szCs w:val="20"/>
          <w:lang w:val="en-US"/>
        </w:rPr>
        <w:t>Yours sincerely</w:t>
      </w:r>
      <w:r w:rsidR="003A2593">
        <w:rPr>
          <w:rFonts w:ascii="Verdana" w:hAnsi="Verdana" w:cs="Arial"/>
          <w:bCs/>
          <w:sz w:val="20"/>
          <w:szCs w:val="20"/>
          <w:lang w:val="en-US"/>
        </w:rPr>
        <w:t>,</w:t>
      </w:r>
    </w:p>
    <w:p w:rsidR="00391C57" w:rsidRPr="00391C57" w:rsidRDefault="00391C57" w:rsidP="00391C57">
      <w:pPr>
        <w:widowControl w:val="0"/>
        <w:autoSpaceDE w:val="0"/>
        <w:autoSpaceDN w:val="0"/>
        <w:adjustRightInd w:val="0"/>
        <w:contextualSpacing/>
        <w:rPr>
          <w:rFonts w:ascii="Verdana" w:hAnsi="Verdana" w:cs="Arial"/>
          <w:b/>
          <w:bCs/>
          <w:sz w:val="20"/>
          <w:szCs w:val="20"/>
          <w:lang w:val="en-US"/>
        </w:rPr>
      </w:pPr>
    </w:p>
    <w:p w:rsidR="00391C57" w:rsidRPr="00391C57" w:rsidRDefault="00391C57" w:rsidP="00391C57">
      <w:pPr>
        <w:widowControl w:val="0"/>
        <w:autoSpaceDE w:val="0"/>
        <w:autoSpaceDN w:val="0"/>
        <w:adjustRightInd w:val="0"/>
        <w:contextualSpacing/>
        <w:rPr>
          <w:rFonts w:ascii="Verdana" w:hAnsi="Verdana" w:cs="Arial"/>
          <w:b/>
          <w:bCs/>
          <w:sz w:val="20"/>
          <w:szCs w:val="20"/>
          <w:lang w:val="en-US"/>
        </w:rPr>
      </w:pPr>
    </w:p>
    <w:p w:rsidR="00391C57" w:rsidRPr="00391C57" w:rsidRDefault="00391C57" w:rsidP="00391C57">
      <w:pPr>
        <w:widowControl w:val="0"/>
        <w:autoSpaceDE w:val="0"/>
        <w:autoSpaceDN w:val="0"/>
        <w:adjustRightInd w:val="0"/>
        <w:contextualSpacing/>
        <w:rPr>
          <w:rFonts w:ascii="Verdana" w:hAnsi="Verdana" w:cs="Arial"/>
          <w:b/>
          <w:bCs/>
          <w:sz w:val="20"/>
          <w:szCs w:val="20"/>
          <w:lang w:val="en-US"/>
        </w:rPr>
      </w:pPr>
      <w:r w:rsidRPr="00391C57">
        <w:rPr>
          <w:rFonts w:ascii="Verdana" w:hAnsi="Verdana" w:cs="Arial"/>
          <w:b/>
          <w:bCs/>
          <w:sz w:val="20"/>
          <w:szCs w:val="20"/>
          <w:lang w:val="en-US"/>
        </w:rPr>
        <w:t>ADRIAN LOVNEY</w:t>
      </w:r>
    </w:p>
    <w:p w:rsidR="001A5FF5" w:rsidRDefault="003A2593" w:rsidP="00391C57">
      <w:pPr>
        <w:contextualSpacing/>
        <w:rPr>
          <w:rFonts w:ascii="Verdana" w:hAnsi="Verdana" w:cs="Arial"/>
          <w:b/>
          <w:bCs/>
          <w:sz w:val="20"/>
          <w:szCs w:val="20"/>
          <w:lang w:val="en-US"/>
        </w:rPr>
      </w:pPr>
      <w:r>
        <w:rPr>
          <w:rFonts w:ascii="Verdana" w:hAnsi="Verdana" w:cs="Arial"/>
          <w:b/>
          <w:bCs/>
          <w:sz w:val="20"/>
          <w:szCs w:val="20"/>
          <w:lang w:val="en-US"/>
        </w:rPr>
        <w:t>General Manager, Product and</w:t>
      </w:r>
      <w:r w:rsidR="00391C57" w:rsidRPr="00391C57">
        <w:rPr>
          <w:rFonts w:ascii="Verdana" w:hAnsi="Verdana" w:cs="Arial"/>
          <w:b/>
          <w:bCs/>
          <w:sz w:val="20"/>
          <w:szCs w:val="20"/>
          <w:lang w:val="en-US"/>
        </w:rPr>
        <w:t xml:space="preserve"> Service</w:t>
      </w:r>
    </w:p>
    <w:p w:rsidR="008E0950" w:rsidRPr="00391C57" w:rsidRDefault="008E0950" w:rsidP="00391C57">
      <w:pPr>
        <w:contextualSpacing/>
        <w:rPr>
          <w:rFonts w:ascii="Verdana" w:hAnsi="Verdana" w:cs="Arial"/>
          <w:i/>
          <w:sz w:val="20"/>
          <w:szCs w:val="20"/>
        </w:rPr>
      </w:pPr>
      <w:r>
        <w:rPr>
          <w:rFonts w:ascii="Verdana" w:hAnsi="Verdana" w:cs="Arial"/>
          <w:b/>
          <w:bCs/>
          <w:sz w:val="20"/>
          <w:szCs w:val="20"/>
          <w:lang w:val="en-US"/>
        </w:rPr>
        <w:t>Cuscal</w:t>
      </w:r>
    </w:p>
    <w:sectPr w:rsidR="008E0950" w:rsidRPr="00391C57" w:rsidSect="00391C57">
      <w:footerReference w:type="default" r:id="rId9"/>
      <w:pgSz w:w="11907" w:h="16840" w:code="9"/>
      <w:pgMar w:top="1701" w:right="1440" w:bottom="1418" w:left="1440" w:header="851" w:footer="90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3A1F" w:rsidRDefault="00A13A1F">
      <w:r>
        <w:separator/>
      </w:r>
    </w:p>
  </w:endnote>
  <w:endnote w:type="continuationSeparator" w:id="0">
    <w:p w:rsidR="00A13A1F" w:rsidRDefault="00A13A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10365"/>
      <w:docPartObj>
        <w:docPartGallery w:val="Page Numbers (Bottom of Page)"/>
        <w:docPartUnique/>
      </w:docPartObj>
    </w:sdtPr>
    <w:sdtEndPr/>
    <w:sdtContent>
      <w:p w:rsidR="001E4A89" w:rsidRDefault="0018201A">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rsidR="008533B0" w:rsidRDefault="008533B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3A1F" w:rsidRDefault="00A13A1F">
      <w:r>
        <w:separator/>
      </w:r>
    </w:p>
  </w:footnote>
  <w:footnote w:type="continuationSeparator" w:id="0">
    <w:p w:rsidR="00A13A1F" w:rsidRDefault="00A13A1F">
      <w:r>
        <w:continuationSeparator/>
      </w:r>
    </w:p>
  </w:footnote>
  <w:footnote w:id="1">
    <w:p w:rsidR="008533B0" w:rsidRPr="00F20B8E" w:rsidRDefault="008533B0" w:rsidP="00391C57">
      <w:pPr>
        <w:pStyle w:val="FootnoteText"/>
        <w:rPr>
          <w:sz w:val="20"/>
          <w:szCs w:val="20"/>
        </w:rPr>
      </w:pPr>
      <w:r>
        <w:rPr>
          <w:rStyle w:val="FootnoteReference"/>
        </w:rPr>
        <w:footnoteRef/>
      </w:r>
      <w:r>
        <w:t xml:space="preserve"> Source: RBA C</w:t>
      </w:r>
      <w:r w:rsidRPr="00F20B8E">
        <w:t xml:space="preserve">redit </w:t>
      </w:r>
      <w:r>
        <w:t xml:space="preserve">Cards and Debit Cards Regulatory Decisions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C96F4A"/>
    <w:multiLevelType w:val="multilevel"/>
    <w:tmpl w:val="14CE85C0"/>
    <w:lvl w:ilvl="0">
      <w:start w:val="1"/>
      <w:numFmt w:val="bullet"/>
      <w:lvlText w:val="&gt;"/>
      <w:lvlJc w:val="left"/>
      <w:pPr>
        <w:tabs>
          <w:tab w:val="num" w:pos="851"/>
        </w:tabs>
        <w:ind w:left="851" w:hanging="567"/>
      </w:pPr>
      <w:rPr>
        <w:rFonts w:ascii="Verdana" w:hAnsi="Verdana" w:hint="default"/>
        <w:sz w:val="18"/>
      </w:rPr>
    </w:lvl>
    <w:lvl w:ilvl="1">
      <w:start w:val="1"/>
      <w:numFmt w:val="bullet"/>
      <w:lvlText w:val="o"/>
      <w:lvlJc w:val="left"/>
      <w:pPr>
        <w:tabs>
          <w:tab w:val="num" w:pos="1440"/>
        </w:tabs>
        <w:ind w:left="1440" w:hanging="360"/>
      </w:pPr>
      <w:rPr>
        <w:rFonts w:ascii="Courier New" w:hAnsi="Courier New" w:cs="Symbo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Symbo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Symbol"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4DE22E12"/>
    <w:multiLevelType w:val="multilevel"/>
    <w:tmpl w:val="EDB25304"/>
    <w:lvl w:ilvl="0">
      <w:start w:val="1"/>
      <w:numFmt w:val="bullet"/>
      <w:lvlText w:val="&gt;"/>
      <w:lvlJc w:val="left"/>
      <w:pPr>
        <w:tabs>
          <w:tab w:val="num" w:pos="567"/>
        </w:tabs>
        <w:ind w:left="567" w:hanging="283"/>
      </w:pPr>
      <w:rPr>
        <w:rFonts w:ascii="Verdana" w:hAnsi="Verdana" w:hint="default"/>
        <w:sz w:val="18"/>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Symbo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Symbol"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52136C58"/>
    <w:multiLevelType w:val="multilevel"/>
    <w:tmpl w:val="D0DABBBC"/>
    <w:lvl w:ilvl="0">
      <w:start w:val="1"/>
      <w:numFmt w:val="bullet"/>
      <w:lvlText w:val="&gt;"/>
      <w:lvlJc w:val="left"/>
      <w:pPr>
        <w:tabs>
          <w:tab w:val="num" w:pos="567"/>
        </w:tabs>
        <w:ind w:left="567" w:hanging="283"/>
      </w:pPr>
      <w:rPr>
        <w:rFonts w:ascii="Verdana" w:hAnsi="Verdana" w:hint="default"/>
        <w:sz w:val="18"/>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bullet"/>
      <w:lvlText w:val=""/>
      <w:lvlJc w:val="left"/>
      <w:pPr>
        <w:tabs>
          <w:tab w:val="num" w:pos="2956"/>
        </w:tabs>
        <w:ind w:left="2956" w:hanging="360"/>
      </w:pPr>
      <w:rPr>
        <w:rFonts w:ascii="Symbol" w:hAnsi="Symbol" w:hint="default"/>
      </w:rPr>
    </w:lvl>
    <w:lvl w:ilvl="4">
      <w:start w:val="1"/>
      <w:numFmt w:val="bullet"/>
      <w:lvlText w:val="o"/>
      <w:lvlJc w:val="left"/>
      <w:pPr>
        <w:tabs>
          <w:tab w:val="num" w:pos="3676"/>
        </w:tabs>
        <w:ind w:left="3676" w:hanging="360"/>
      </w:pPr>
      <w:rPr>
        <w:rFonts w:ascii="Courier New" w:hAnsi="Courier New" w:cs="Symbol" w:hint="default"/>
      </w:rPr>
    </w:lvl>
    <w:lvl w:ilvl="5">
      <w:start w:val="1"/>
      <w:numFmt w:val="bullet"/>
      <w:lvlText w:val=""/>
      <w:lvlJc w:val="left"/>
      <w:pPr>
        <w:tabs>
          <w:tab w:val="num" w:pos="4396"/>
        </w:tabs>
        <w:ind w:left="4396" w:hanging="360"/>
      </w:pPr>
      <w:rPr>
        <w:rFonts w:ascii="Wingdings" w:hAnsi="Wingdings" w:hint="default"/>
      </w:rPr>
    </w:lvl>
    <w:lvl w:ilvl="6">
      <w:start w:val="1"/>
      <w:numFmt w:val="bullet"/>
      <w:lvlText w:val=""/>
      <w:lvlJc w:val="left"/>
      <w:pPr>
        <w:tabs>
          <w:tab w:val="num" w:pos="5116"/>
        </w:tabs>
        <w:ind w:left="5116" w:hanging="360"/>
      </w:pPr>
      <w:rPr>
        <w:rFonts w:ascii="Symbol" w:hAnsi="Symbol" w:hint="default"/>
      </w:rPr>
    </w:lvl>
    <w:lvl w:ilvl="7">
      <w:start w:val="1"/>
      <w:numFmt w:val="bullet"/>
      <w:lvlText w:val="o"/>
      <w:lvlJc w:val="left"/>
      <w:pPr>
        <w:tabs>
          <w:tab w:val="num" w:pos="5836"/>
        </w:tabs>
        <w:ind w:left="5836" w:hanging="360"/>
      </w:pPr>
      <w:rPr>
        <w:rFonts w:ascii="Courier New" w:hAnsi="Courier New" w:cs="Symbol" w:hint="default"/>
      </w:rPr>
    </w:lvl>
    <w:lvl w:ilvl="8">
      <w:start w:val="1"/>
      <w:numFmt w:val="bullet"/>
      <w:lvlText w:val=""/>
      <w:lvlJc w:val="left"/>
      <w:pPr>
        <w:tabs>
          <w:tab w:val="num" w:pos="6556"/>
        </w:tabs>
        <w:ind w:left="6556" w:hanging="360"/>
      </w:pPr>
      <w:rPr>
        <w:rFonts w:ascii="Wingdings" w:hAnsi="Wingdings" w:hint="default"/>
      </w:rPr>
    </w:lvl>
  </w:abstractNum>
  <w:abstractNum w:abstractNumId="3">
    <w:nsid w:val="55846A7F"/>
    <w:multiLevelType w:val="multilevel"/>
    <w:tmpl w:val="556ECD2A"/>
    <w:lvl w:ilvl="0">
      <w:start w:val="1"/>
      <w:numFmt w:val="bullet"/>
      <w:lvlText w:val="&gt;"/>
      <w:lvlJc w:val="left"/>
      <w:pPr>
        <w:tabs>
          <w:tab w:val="num" w:pos="567"/>
        </w:tabs>
        <w:ind w:left="567" w:hanging="283"/>
      </w:pPr>
      <w:rPr>
        <w:rFonts w:ascii="Verdana" w:hAnsi="Verdana" w:hint="default"/>
        <w:sz w:val="18"/>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bullet"/>
      <w:lvlText w:val=""/>
      <w:lvlJc w:val="left"/>
      <w:pPr>
        <w:tabs>
          <w:tab w:val="num" w:pos="2956"/>
        </w:tabs>
        <w:ind w:left="2956" w:hanging="360"/>
      </w:pPr>
      <w:rPr>
        <w:rFonts w:ascii="Symbol" w:hAnsi="Symbol" w:hint="default"/>
      </w:rPr>
    </w:lvl>
    <w:lvl w:ilvl="4">
      <w:start w:val="1"/>
      <w:numFmt w:val="bullet"/>
      <w:lvlText w:val="o"/>
      <w:lvlJc w:val="left"/>
      <w:pPr>
        <w:tabs>
          <w:tab w:val="num" w:pos="3676"/>
        </w:tabs>
        <w:ind w:left="3676" w:hanging="360"/>
      </w:pPr>
      <w:rPr>
        <w:rFonts w:ascii="Courier New" w:hAnsi="Courier New" w:cs="Symbol" w:hint="default"/>
      </w:rPr>
    </w:lvl>
    <w:lvl w:ilvl="5">
      <w:start w:val="1"/>
      <w:numFmt w:val="bullet"/>
      <w:lvlText w:val=""/>
      <w:lvlJc w:val="left"/>
      <w:pPr>
        <w:tabs>
          <w:tab w:val="num" w:pos="4396"/>
        </w:tabs>
        <w:ind w:left="4396" w:hanging="360"/>
      </w:pPr>
      <w:rPr>
        <w:rFonts w:ascii="Wingdings" w:hAnsi="Wingdings" w:hint="default"/>
      </w:rPr>
    </w:lvl>
    <w:lvl w:ilvl="6">
      <w:start w:val="1"/>
      <w:numFmt w:val="bullet"/>
      <w:lvlText w:val=""/>
      <w:lvlJc w:val="left"/>
      <w:pPr>
        <w:tabs>
          <w:tab w:val="num" w:pos="5116"/>
        </w:tabs>
        <w:ind w:left="5116" w:hanging="360"/>
      </w:pPr>
      <w:rPr>
        <w:rFonts w:ascii="Symbol" w:hAnsi="Symbol" w:hint="default"/>
      </w:rPr>
    </w:lvl>
    <w:lvl w:ilvl="7">
      <w:start w:val="1"/>
      <w:numFmt w:val="bullet"/>
      <w:lvlText w:val="o"/>
      <w:lvlJc w:val="left"/>
      <w:pPr>
        <w:tabs>
          <w:tab w:val="num" w:pos="5836"/>
        </w:tabs>
        <w:ind w:left="5836" w:hanging="360"/>
      </w:pPr>
      <w:rPr>
        <w:rFonts w:ascii="Courier New" w:hAnsi="Courier New" w:cs="Symbol" w:hint="default"/>
      </w:rPr>
    </w:lvl>
    <w:lvl w:ilvl="8">
      <w:start w:val="1"/>
      <w:numFmt w:val="bullet"/>
      <w:lvlText w:val=""/>
      <w:lvlJc w:val="left"/>
      <w:pPr>
        <w:tabs>
          <w:tab w:val="num" w:pos="6556"/>
        </w:tabs>
        <w:ind w:left="6556" w:hanging="360"/>
      </w:pPr>
      <w:rPr>
        <w:rFonts w:ascii="Wingdings" w:hAnsi="Wingdings" w:hint="default"/>
      </w:rPr>
    </w:lvl>
  </w:abstractNum>
  <w:abstractNum w:abstractNumId="4">
    <w:nsid w:val="6E8B0BCE"/>
    <w:multiLevelType w:val="hybridMultilevel"/>
    <w:tmpl w:val="2E94513E"/>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5">
    <w:nsid w:val="6FFE2EAF"/>
    <w:multiLevelType w:val="hybridMultilevel"/>
    <w:tmpl w:val="75583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3C07095"/>
    <w:multiLevelType w:val="hybridMultilevel"/>
    <w:tmpl w:val="BB52E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E8452C7"/>
    <w:multiLevelType w:val="multilevel"/>
    <w:tmpl w:val="D6C2519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 w:numId="2">
    <w:abstractNumId w:val="1"/>
  </w:num>
  <w:num w:numId="3">
    <w:abstractNumId w:val="1"/>
  </w:num>
  <w:num w:numId="4">
    <w:abstractNumId w:val="3"/>
  </w:num>
  <w:num w:numId="5">
    <w:abstractNumId w:val="2"/>
  </w:num>
  <w:num w:numId="6">
    <w:abstractNumId w:val="3"/>
  </w:num>
  <w:num w:numId="7">
    <w:abstractNumId w:val="2"/>
  </w:num>
  <w:num w:numId="8">
    <w:abstractNumId w:val="3"/>
  </w:num>
  <w:num w:numId="9">
    <w:abstractNumId w:val="2"/>
  </w:num>
  <w:num w:numId="10">
    <w:abstractNumId w:val="3"/>
  </w:num>
  <w:num w:numId="11">
    <w:abstractNumId w:val="2"/>
  </w:num>
  <w:num w:numId="12">
    <w:abstractNumId w:val="3"/>
  </w:num>
  <w:num w:numId="13">
    <w:abstractNumId w:val="1"/>
  </w:num>
  <w:num w:numId="14">
    <w:abstractNumId w:val="2"/>
  </w:num>
  <w:num w:numId="15">
    <w:abstractNumId w:val="3"/>
  </w:num>
  <w:num w:numId="16">
    <w:abstractNumId w:val="1"/>
  </w:num>
  <w:num w:numId="17">
    <w:abstractNumId w:val="2"/>
  </w:num>
  <w:num w:numId="18">
    <w:abstractNumId w:val="3"/>
  </w:num>
  <w:num w:numId="19">
    <w:abstractNumId w:val="1"/>
  </w:num>
  <w:num w:numId="20">
    <w:abstractNumId w:val="2"/>
  </w:num>
  <w:num w:numId="21">
    <w:abstractNumId w:val="3"/>
  </w:num>
  <w:num w:numId="22">
    <w:abstractNumId w:val="1"/>
  </w:num>
  <w:num w:numId="23">
    <w:abstractNumId w:val="2"/>
  </w:num>
  <w:num w:numId="24">
    <w:abstractNumId w:val="3"/>
  </w:num>
  <w:num w:numId="25">
    <w:abstractNumId w:val="1"/>
  </w:num>
  <w:num w:numId="26">
    <w:abstractNumId w:val="2"/>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num>
  <w:num w:numId="29">
    <w:abstractNumId w:val="6"/>
  </w:num>
  <w:num w:numId="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43"/>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648"/>
    <w:rsid w:val="00003E67"/>
    <w:rsid w:val="00007199"/>
    <w:rsid w:val="00022153"/>
    <w:rsid w:val="000F0182"/>
    <w:rsid w:val="0018201A"/>
    <w:rsid w:val="001A5FF5"/>
    <w:rsid w:val="001E42FA"/>
    <w:rsid w:val="001E47A2"/>
    <w:rsid w:val="001E4A89"/>
    <w:rsid w:val="00233ED4"/>
    <w:rsid w:val="00247FD3"/>
    <w:rsid w:val="002B089F"/>
    <w:rsid w:val="002D09AE"/>
    <w:rsid w:val="003171D5"/>
    <w:rsid w:val="003175EE"/>
    <w:rsid w:val="00347B30"/>
    <w:rsid w:val="003542FC"/>
    <w:rsid w:val="00391C57"/>
    <w:rsid w:val="003A2593"/>
    <w:rsid w:val="003D144C"/>
    <w:rsid w:val="00403AAD"/>
    <w:rsid w:val="00423E3F"/>
    <w:rsid w:val="0044274F"/>
    <w:rsid w:val="0048685D"/>
    <w:rsid w:val="004C0AE1"/>
    <w:rsid w:val="004E33FA"/>
    <w:rsid w:val="004E60C1"/>
    <w:rsid w:val="00545505"/>
    <w:rsid w:val="00576534"/>
    <w:rsid w:val="006119DB"/>
    <w:rsid w:val="00677526"/>
    <w:rsid w:val="00685D9B"/>
    <w:rsid w:val="006B6E27"/>
    <w:rsid w:val="006D7A94"/>
    <w:rsid w:val="0070601D"/>
    <w:rsid w:val="007264FC"/>
    <w:rsid w:val="007277A6"/>
    <w:rsid w:val="00774D32"/>
    <w:rsid w:val="007761BC"/>
    <w:rsid w:val="007816EE"/>
    <w:rsid w:val="00790D24"/>
    <w:rsid w:val="008533B0"/>
    <w:rsid w:val="008A17B1"/>
    <w:rsid w:val="008A5EB0"/>
    <w:rsid w:val="008E0950"/>
    <w:rsid w:val="008E5808"/>
    <w:rsid w:val="009041E2"/>
    <w:rsid w:val="009422C9"/>
    <w:rsid w:val="009750EA"/>
    <w:rsid w:val="009F2E5D"/>
    <w:rsid w:val="00A13A1F"/>
    <w:rsid w:val="00A30439"/>
    <w:rsid w:val="00A41DA4"/>
    <w:rsid w:val="00A420A9"/>
    <w:rsid w:val="00A54B24"/>
    <w:rsid w:val="00A55345"/>
    <w:rsid w:val="00AA5F71"/>
    <w:rsid w:val="00B317A8"/>
    <w:rsid w:val="00B47F18"/>
    <w:rsid w:val="00C148AF"/>
    <w:rsid w:val="00C16417"/>
    <w:rsid w:val="00C20880"/>
    <w:rsid w:val="00C32097"/>
    <w:rsid w:val="00C55897"/>
    <w:rsid w:val="00C81E36"/>
    <w:rsid w:val="00D120FF"/>
    <w:rsid w:val="00D2033A"/>
    <w:rsid w:val="00D21223"/>
    <w:rsid w:val="00D370F6"/>
    <w:rsid w:val="00D672C2"/>
    <w:rsid w:val="00DC3B09"/>
    <w:rsid w:val="00DC5648"/>
    <w:rsid w:val="00DF0C04"/>
    <w:rsid w:val="00E22CD1"/>
    <w:rsid w:val="00E27810"/>
    <w:rsid w:val="00E8521A"/>
    <w:rsid w:val="00F110DC"/>
    <w:rsid w:val="00F3171A"/>
    <w:rsid w:val="00F66587"/>
    <w:rsid w:val="00F73358"/>
    <w:rsid w:val="00F874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AU" w:eastAsia="en-AU" w:bidi="ar-SA"/>
      </w:rPr>
    </w:rPrDefault>
    <w:pPrDefault/>
  </w:docDefaults>
  <w:latentStyles w:defLockedState="0" w:defUIPriority="0" w:defSemiHidden="0" w:defUnhideWhenUsed="0" w:defQFormat="0" w:count="267">
    <w:lsdException w:name="Normal" w:qFormat="1"/>
    <w:lsdException w:name="footnote text" w:uiPriority="99"/>
    <w:lsdException w:name="annotation text" w:uiPriority="99"/>
    <w:lsdException w:name="footer" w:uiPriority="99"/>
    <w:lsdException w:name="footnote reference" w:uiPriority="99"/>
    <w:lsdException w:name="annotation reference" w:uiPriority="99"/>
    <w:lsdException w:name="Hyperlink" w:uiPriority="99"/>
    <w:lsdException w:name="Plain Text" w:uiPriority="99"/>
    <w:lsdException w:name="List Paragraph" w:uiPriority="34" w:qFormat="1"/>
  </w:latentStyles>
  <w:style w:type="paragraph" w:default="1" w:styleId="Normal">
    <w:name w:val="Normal"/>
    <w:qFormat/>
    <w:rsid w:val="001A5FF5"/>
    <w:rPr>
      <w:rFonts w:ascii="Calibri" w:hAnsi="Calibri"/>
      <w:sz w:val="22"/>
      <w:szCs w:val="22"/>
      <w:lang w:eastAsia="en-US"/>
    </w:rPr>
  </w:style>
  <w:style w:type="paragraph" w:styleId="Heading1">
    <w:name w:val="heading 1"/>
    <w:aliases w:val="h1,Part,Section Heading,Level 1,No numbers,L1,H1,rp_Heading 1,Bold 18,Mil Para 1,Attribute Heading 1,1.,Head1,Heading apps,A MAJOR/BOLD,Para,h1 Char,Section Heading Char,Level 1 Char,No numbers Char,L1 Char,H1 Char,rp_Heading 1 Char,1. Char,T1"/>
    <w:basedOn w:val="Normal"/>
    <w:next w:val="Normal"/>
    <w:autoRedefine/>
    <w:uiPriority w:val="9"/>
    <w:qFormat/>
    <w:rsid w:val="00F874F7"/>
    <w:pPr>
      <w:keepNext/>
      <w:spacing w:before="480" w:after="120"/>
      <w:outlineLvl w:val="0"/>
    </w:pPr>
    <w:rPr>
      <w:rFonts w:cs="Arial"/>
      <w:bCs/>
      <w:color w:val="C0504D" w:themeColor="accent2"/>
      <w:kern w:val="32"/>
      <w:sz w:val="32"/>
      <w:szCs w:val="32"/>
      <w:lang w:val="en-US"/>
    </w:rPr>
  </w:style>
  <w:style w:type="paragraph" w:styleId="Heading2">
    <w:name w:val="heading 2"/>
    <w:aliases w:val="h2,B Sub/Bold,B Sub/Bold1,h2 main heading,Section 1,H2,Section,2m,h 2,body,h2.H2,UNDERRUBRIK 1-2,Chapter Title,Attribute Heading 2,test,Red Ant Heading 2,l2,list 2,list 2,heading 2TOC,Head 2,List level 2,2,Header 2,B Sub/Bold2,B Sub/Bold11"/>
    <w:basedOn w:val="Normal"/>
    <w:next w:val="Normal"/>
    <w:autoRedefine/>
    <w:qFormat/>
    <w:rsid w:val="00F874F7"/>
    <w:pPr>
      <w:keepNext/>
      <w:tabs>
        <w:tab w:val="left" w:pos="710"/>
      </w:tabs>
      <w:spacing w:before="400" w:after="40" w:line="240" w:lineRule="exact"/>
      <w:ind w:left="567"/>
      <w:outlineLvl w:val="1"/>
    </w:pPr>
    <w:rPr>
      <w:rFonts w:cs="Arial"/>
      <w:bCs/>
      <w:iCs/>
      <w:color w:val="D04D35"/>
      <w:szCs w:val="28"/>
      <w:lang w:val="en-US"/>
    </w:rPr>
  </w:style>
  <w:style w:type="paragraph" w:styleId="Heading3">
    <w:name w:val="heading 3"/>
    <w:basedOn w:val="Normal"/>
    <w:next w:val="Normal"/>
    <w:autoRedefine/>
    <w:qFormat/>
    <w:rsid w:val="00F874F7"/>
    <w:pPr>
      <w:keepNext/>
      <w:spacing w:before="320" w:after="120" w:line="240" w:lineRule="exact"/>
      <w:outlineLvl w:val="2"/>
    </w:pPr>
    <w:rPr>
      <w:rFonts w:cs="Arial"/>
      <w:bCs/>
      <w:color w:val="000000" w:themeColor="text1"/>
      <w:szCs w:val="26"/>
    </w:rPr>
  </w:style>
  <w:style w:type="paragraph" w:styleId="Heading4">
    <w:name w:val="heading 4"/>
    <w:basedOn w:val="Normal"/>
    <w:next w:val="Normal"/>
    <w:qFormat/>
    <w:rsid w:val="002D09AE"/>
    <w:pPr>
      <w:keepNext/>
      <w:spacing w:before="320" w:after="60"/>
      <w:outlineLvl w:val="3"/>
    </w:pPr>
    <w:rPr>
      <w:b/>
      <w:bCs/>
      <w:szCs w:val="20"/>
    </w:rPr>
  </w:style>
  <w:style w:type="paragraph" w:styleId="Heading5">
    <w:name w:val="heading 5"/>
    <w:basedOn w:val="Normal"/>
    <w:next w:val="Normal"/>
    <w:qFormat/>
    <w:rsid w:val="002D09AE"/>
    <w:pPr>
      <w:spacing w:before="320" w:after="60"/>
      <w:outlineLvl w:val="4"/>
    </w:pPr>
    <w:rPr>
      <w:b/>
      <w:bCs/>
      <w:i/>
      <w:iCs/>
      <w:szCs w:val="26"/>
    </w:rPr>
  </w:style>
  <w:style w:type="paragraph" w:styleId="Heading6">
    <w:name w:val="heading 6"/>
    <w:basedOn w:val="Normal"/>
    <w:next w:val="Normal"/>
    <w:qFormat/>
    <w:rsid w:val="002D09AE"/>
    <w:pPr>
      <w:keepNext/>
      <w:outlineLvl w:val="5"/>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2D09AE"/>
    <w:pPr>
      <w:tabs>
        <w:tab w:val="center" w:pos="4320"/>
        <w:tab w:val="right" w:pos="8640"/>
      </w:tabs>
    </w:pPr>
    <w:rPr>
      <w:color w:val="000000"/>
      <w:sz w:val="18"/>
      <w:szCs w:val="32"/>
    </w:rPr>
  </w:style>
  <w:style w:type="paragraph" w:styleId="Footer">
    <w:name w:val="footer"/>
    <w:basedOn w:val="Normal"/>
    <w:next w:val="Normal"/>
    <w:link w:val="FooterChar"/>
    <w:uiPriority w:val="99"/>
    <w:rsid w:val="002D09AE"/>
    <w:pPr>
      <w:tabs>
        <w:tab w:val="right" w:pos="8505"/>
      </w:tabs>
    </w:pPr>
    <w:rPr>
      <w:sz w:val="15"/>
    </w:rPr>
  </w:style>
  <w:style w:type="paragraph" w:styleId="BodyText">
    <w:name w:val="Body Text"/>
    <w:basedOn w:val="Normal"/>
    <w:link w:val="BodyTextChar"/>
    <w:semiHidden/>
    <w:rsid w:val="002D09AE"/>
  </w:style>
  <w:style w:type="character" w:styleId="PageNumber">
    <w:name w:val="page number"/>
    <w:semiHidden/>
    <w:rsid w:val="002D09AE"/>
    <w:rPr>
      <w:rFonts w:ascii="Verdana" w:hAnsi="Verdana"/>
      <w:sz w:val="18"/>
      <w:szCs w:val="18"/>
    </w:rPr>
  </w:style>
  <w:style w:type="character" w:styleId="Hyperlink">
    <w:name w:val="Hyperlink"/>
    <w:uiPriority w:val="99"/>
    <w:rsid w:val="002D09AE"/>
    <w:rPr>
      <w:rFonts w:ascii="Verdana" w:hAnsi="Verdana"/>
      <w:color w:val="0000FF"/>
      <w:sz w:val="18"/>
      <w:szCs w:val="18"/>
      <w:u w:val="single"/>
    </w:rPr>
  </w:style>
  <w:style w:type="paragraph" w:styleId="Title">
    <w:name w:val="Title"/>
    <w:basedOn w:val="Normal"/>
    <w:qFormat/>
    <w:rsid w:val="002D09AE"/>
    <w:pPr>
      <w:spacing w:before="320" w:after="60"/>
      <w:outlineLvl w:val="0"/>
    </w:pPr>
    <w:rPr>
      <w:rFonts w:cs="Arial"/>
      <w:bCs/>
      <w:color w:val="FFFFFF"/>
      <w:kern w:val="28"/>
      <w:sz w:val="92"/>
      <w:szCs w:val="56"/>
    </w:rPr>
  </w:style>
  <w:style w:type="paragraph" w:styleId="Subtitle">
    <w:name w:val="Subtitle"/>
    <w:basedOn w:val="Title"/>
    <w:next w:val="Normal"/>
    <w:qFormat/>
    <w:rsid w:val="002D09AE"/>
    <w:pPr>
      <w:spacing w:before="0" w:after="0"/>
      <w:outlineLvl w:val="1"/>
    </w:pPr>
    <w:rPr>
      <w:color w:val="auto"/>
      <w:sz w:val="36"/>
      <w:szCs w:val="24"/>
    </w:rPr>
  </w:style>
  <w:style w:type="paragraph" w:styleId="TOC1">
    <w:name w:val="toc 1"/>
    <w:basedOn w:val="Normal"/>
    <w:next w:val="Normal"/>
    <w:semiHidden/>
    <w:rsid w:val="002D09AE"/>
    <w:pPr>
      <w:tabs>
        <w:tab w:val="right" w:leader="underscore" w:pos="5103"/>
      </w:tabs>
      <w:spacing w:line="360" w:lineRule="auto"/>
    </w:pPr>
  </w:style>
  <w:style w:type="paragraph" w:styleId="TOC2">
    <w:name w:val="toc 2"/>
    <w:basedOn w:val="TOC1"/>
    <w:next w:val="Normal"/>
    <w:semiHidden/>
    <w:rsid w:val="002D09AE"/>
  </w:style>
  <w:style w:type="paragraph" w:styleId="TOC3">
    <w:name w:val="toc 3"/>
    <w:basedOn w:val="Normal"/>
    <w:next w:val="Normal"/>
    <w:autoRedefine/>
    <w:semiHidden/>
    <w:rsid w:val="002D09AE"/>
    <w:pPr>
      <w:ind w:left="360"/>
    </w:pPr>
  </w:style>
  <w:style w:type="paragraph" w:customStyle="1" w:styleId="BodyCopy">
    <w:name w:val="Body Copy"/>
    <w:basedOn w:val="Normal"/>
    <w:rsid w:val="00790D24"/>
    <w:pPr>
      <w:spacing w:line="240" w:lineRule="exact"/>
    </w:pPr>
    <w:rPr>
      <w:color w:val="A6A6A6" w:themeColor="background1" w:themeShade="A6"/>
      <w:sz w:val="18"/>
    </w:rPr>
  </w:style>
  <w:style w:type="paragraph" w:customStyle="1" w:styleId="Table">
    <w:name w:val="Table"/>
    <w:basedOn w:val="Normal"/>
    <w:autoRedefine/>
    <w:qFormat/>
    <w:rsid w:val="00F874F7"/>
    <w:pPr>
      <w:spacing w:before="120" w:after="40" w:line="240" w:lineRule="exact"/>
    </w:pPr>
    <w:rPr>
      <w:sz w:val="16"/>
      <w:szCs w:val="24"/>
      <w:lang w:val="en-GB"/>
    </w:rPr>
  </w:style>
  <w:style w:type="paragraph" w:customStyle="1" w:styleId="TableBody">
    <w:name w:val="Table Body"/>
    <w:basedOn w:val="Normal"/>
    <w:autoRedefine/>
    <w:rsid w:val="00F874F7"/>
    <w:pPr>
      <w:widowControl w:val="0"/>
      <w:suppressAutoHyphens/>
      <w:adjustRightInd w:val="0"/>
      <w:spacing w:before="60" w:after="60"/>
      <w:textAlignment w:val="baseline"/>
    </w:pPr>
    <w:rPr>
      <w:rFonts w:cs="Arial"/>
      <w:sz w:val="16"/>
      <w:szCs w:val="24"/>
      <w:lang w:val="en-US"/>
    </w:rPr>
  </w:style>
  <w:style w:type="table" w:styleId="TableGrid">
    <w:name w:val="Table Grid"/>
    <w:basedOn w:val="TableNormal"/>
    <w:uiPriority w:val="59"/>
    <w:rsid w:val="00F874F7"/>
    <w:pPr>
      <w:spacing w:before="120" w:after="120" w:line="240" w:lineRule="exact"/>
    </w:pPr>
    <w:rPr>
      <w:rFonts w:ascii="Verdana" w:hAnsi="Verdana"/>
      <w:sz w:val="16"/>
    </w:rPr>
    <w:tblPr>
      <w:tblBorders>
        <w:top w:val="single" w:sz="2" w:space="0" w:color="BFBFBF"/>
        <w:bottom w:val="single" w:sz="2" w:space="0" w:color="BFBFBF"/>
      </w:tblBorders>
    </w:tblPr>
    <w:tcPr>
      <w:shd w:val="clear" w:color="auto" w:fill="F3F3F3"/>
    </w:tcPr>
  </w:style>
  <w:style w:type="paragraph" w:customStyle="1" w:styleId="BulletStyle1">
    <w:name w:val="Bullet Style 1"/>
    <w:basedOn w:val="Normal"/>
    <w:autoRedefine/>
    <w:qFormat/>
    <w:rsid w:val="00F874F7"/>
    <w:pPr>
      <w:spacing w:before="120" w:after="40" w:line="240" w:lineRule="exact"/>
    </w:pPr>
    <w:rPr>
      <w:sz w:val="16"/>
      <w:szCs w:val="20"/>
    </w:rPr>
  </w:style>
  <w:style w:type="character" w:styleId="PlaceholderText">
    <w:name w:val="Placeholder Text"/>
    <w:basedOn w:val="DefaultParagraphFont"/>
    <w:rsid w:val="00007199"/>
    <w:rPr>
      <w:color w:val="808080"/>
    </w:rPr>
  </w:style>
  <w:style w:type="paragraph" w:styleId="BalloonText">
    <w:name w:val="Balloon Text"/>
    <w:basedOn w:val="Normal"/>
    <w:link w:val="BalloonTextChar"/>
    <w:rsid w:val="00007199"/>
    <w:rPr>
      <w:rFonts w:ascii="Tahoma" w:hAnsi="Tahoma" w:cs="Tahoma"/>
      <w:sz w:val="16"/>
      <w:szCs w:val="16"/>
    </w:rPr>
  </w:style>
  <w:style w:type="character" w:customStyle="1" w:styleId="BalloonTextChar">
    <w:name w:val="Balloon Text Char"/>
    <w:basedOn w:val="DefaultParagraphFont"/>
    <w:link w:val="BalloonText"/>
    <w:rsid w:val="00007199"/>
    <w:rPr>
      <w:rFonts w:ascii="Tahoma" w:hAnsi="Tahoma" w:cs="Tahoma"/>
      <w:sz w:val="16"/>
      <w:szCs w:val="16"/>
      <w:lang w:eastAsia="en-US"/>
    </w:rPr>
  </w:style>
  <w:style w:type="character" w:customStyle="1" w:styleId="BodyTextChar">
    <w:name w:val="Body Text Char"/>
    <w:basedOn w:val="DefaultParagraphFont"/>
    <w:link w:val="BodyText"/>
    <w:semiHidden/>
    <w:rsid w:val="00790D24"/>
    <w:rPr>
      <w:rFonts w:ascii="Verdana" w:hAnsi="Verdana"/>
      <w:szCs w:val="18"/>
      <w:lang w:eastAsia="en-US"/>
    </w:rPr>
  </w:style>
  <w:style w:type="character" w:styleId="CommentReference">
    <w:name w:val="annotation reference"/>
    <w:basedOn w:val="DefaultParagraphFont"/>
    <w:uiPriority w:val="99"/>
    <w:unhideWhenUsed/>
    <w:rsid w:val="001A5FF5"/>
    <w:rPr>
      <w:sz w:val="16"/>
      <w:szCs w:val="16"/>
    </w:rPr>
  </w:style>
  <w:style w:type="paragraph" w:styleId="CommentText">
    <w:name w:val="annotation text"/>
    <w:basedOn w:val="Normal"/>
    <w:link w:val="CommentTextChar"/>
    <w:uiPriority w:val="99"/>
    <w:unhideWhenUsed/>
    <w:rsid w:val="001A5FF5"/>
    <w:rPr>
      <w:sz w:val="20"/>
      <w:szCs w:val="20"/>
    </w:rPr>
  </w:style>
  <w:style w:type="character" w:customStyle="1" w:styleId="CommentTextChar">
    <w:name w:val="Comment Text Char"/>
    <w:basedOn w:val="DefaultParagraphFont"/>
    <w:link w:val="CommentText"/>
    <w:uiPriority w:val="99"/>
    <w:rsid w:val="001A5FF5"/>
    <w:rPr>
      <w:rFonts w:ascii="Calibri" w:hAnsi="Calibri"/>
      <w:sz w:val="20"/>
      <w:szCs w:val="20"/>
      <w:lang w:eastAsia="en-US"/>
    </w:rPr>
  </w:style>
  <w:style w:type="paragraph" w:customStyle="1" w:styleId="Default">
    <w:name w:val="Default"/>
    <w:rsid w:val="001A5FF5"/>
    <w:pPr>
      <w:autoSpaceDE w:val="0"/>
      <w:autoSpaceDN w:val="0"/>
      <w:adjustRightInd w:val="0"/>
    </w:pPr>
    <w:rPr>
      <w:rFonts w:ascii="Verdana" w:hAnsi="Verdana" w:cs="Verdana"/>
      <w:color w:val="000000"/>
    </w:rPr>
  </w:style>
  <w:style w:type="paragraph" w:styleId="PlainText">
    <w:name w:val="Plain Text"/>
    <w:basedOn w:val="Normal"/>
    <w:link w:val="PlainTextChar"/>
    <w:uiPriority w:val="99"/>
    <w:unhideWhenUsed/>
    <w:rsid w:val="001A5FF5"/>
    <w:rPr>
      <w:rFonts w:ascii="Verdana" w:eastAsiaTheme="minorHAnsi" w:hAnsi="Verdana" w:cstheme="minorBidi"/>
      <w:sz w:val="20"/>
      <w:szCs w:val="21"/>
    </w:rPr>
  </w:style>
  <w:style w:type="character" w:customStyle="1" w:styleId="PlainTextChar">
    <w:name w:val="Plain Text Char"/>
    <w:basedOn w:val="DefaultParagraphFont"/>
    <w:link w:val="PlainText"/>
    <w:uiPriority w:val="99"/>
    <w:rsid w:val="001A5FF5"/>
    <w:rPr>
      <w:rFonts w:ascii="Verdana" w:eastAsiaTheme="minorHAnsi" w:hAnsi="Verdana" w:cstheme="minorBidi"/>
      <w:sz w:val="20"/>
      <w:szCs w:val="21"/>
      <w:lang w:eastAsia="en-US"/>
    </w:rPr>
  </w:style>
  <w:style w:type="paragraph" w:styleId="ListParagraph">
    <w:name w:val="List Paragraph"/>
    <w:basedOn w:val="Normal"/>
    <w:uiPriority w:val="34"/>
    <w:qFormat/>
    <w:rsid w:val="00391C57"/>
    <w:pPr>
      <w:spacing w:after="200"/>
      <w:ind w:left="720"/>
      <w:contextualSpacing/>
    </w:pPr>
    <w:rPr>
      <w:rFonts w:ascii="Arial" w:eastAsiaTheme="minorEastAsia" w:hAnsi="Arial" w:cstheme="minorBidi"/>
      <w:sz w:val="24"/>
      <w:szCs w:val="24"/>
      <w:lang w:eastAsia="ja-JP"/>
    </w:rPr>
  </w:style>
  <w:style w:type="paragraph" w:styleId="FootnoteText">
    <w:name w:val="footnote text"/>
    <w:basedOn w:val="Normal"/>
    <w:link w:val="FootnoteTextChar"/>
    <w:uiPriority w:val="99"/>
    <w:unhideWhenUsed/>
    <w:rsid w:val="00391C57"/>
    <w:rPr>
      <w:rFonts w:ascii="Arial" w:eastAsiaTheme="minorEastAsia" w:hAnsi="Arial" w:cstheme="minorBidi"/>
      <w:sz w:val="18"/>
      <w:szCs w:val="18"/>
      <w:lang w:val="en-US" w:eastAsia="ja-JP"/>
    </w:rPr>
  </w:style>
  <w:style w:type="character" w:customStyle="1" w:styleId="FootnoteTextChar">
    <w:name w:val="Footnote Text Char"/>
    <w:basedOn w:val="DefaultParagraphFont"/>
    <w:link w:val="FootnoteText"/>
    <w:uiPriority w:val="99"/>
    <w:rsid w:val="00391C57"/>
    <w:rPr>
      <w:rFonts w:ascii="Arial" w:eastAsiaTheme="minorEastAsia" w:hAnsi="Arial" w:cstheme="minorBidi"/>
      <w:sz w:val="18"/>
      <w:szCs w:val="18"/>
      <w:lang w:val="en-US" w:eastAsia="ja-JP"/>
    </w:rPr>
  </w:style>
  <w:style w:type="character" w:styleId="FootnoteReference">
    <w:name w:val="footnote reference"/>
    <w:basedOn w:val="DefaultParagraphFont"/>
    <w:uiPriority w:val="99"/>
    <w:unhideWhenUsed/>
    <w:rsid w:val="00391C57"/>
    <w:rPr>
      <w:vertAlign w:val="superscript"/>
    </w:rPr>
  </w:style>
  <w:style w:type="character" w:customStyle="1" w:styleId="FooterChar">
    <w:name w:val="Footer Char"/>
    <w:basedOn w:val="DefaultParagraphFont"/>
    <w:link w:val="Footer"/>
    <w:uiPriority w:val="99"/>
    <w:rsid w:val="001E4A89"/>
    <w:rPr>
      <w:rFonts w:ascii="Calibri" w:hAnsi="Calibri"/>
      <w:sz w:val="15"/>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AU" w:eastAsia="en-AU" w:bidi="ar-SA"/>
      </w:rPr>
    </w:rPrDefault>
    <w:pPrDefault/>
  </w:docDefaults>
  <w:latentStyles w:defLockedState="0" w:defUIPriority="0" w:defSemiHidden="0" w:defUnhideWhenUsed="0" w:defQFormat="0" w:count="267">
    <w:lsdException w:name="Normal" w:qFormat="1"/>
    <w:lsdException w:name="footnote text" w:uiPriority="99"/>
    <w:lsdException w:name="annotation text" w:uiPriority="99"/>
    <w:lsdException w:name="footer" w:uiPriority="99"/>
    <w:lsdException w:name="footnote reference" w:uiPriority="99"/>
    <w:lsdException w:name="annotation reference" w:uiPriority="99"/>
    <w:lsdException w:name="Hyperlink" w:uiPriority="99"/>
    <w:lsdException w:name="Plain Text" w:uiPriority="99"/>
    <w:lsdException w:name="List Paragraph" w:uiPriority="34" w:qFormat="1"/>
  </w:latentStyles>
  <w:style w:type="paragraph" w:default="1" w:styleId="Normal">
    <w:name w:val="Normal"/>
    <w:qFormat/>
    <w:rsid w:val="001A5FF5"/>
    <w:rPr>
      <w:rFonts w:ascii="Calibri" w:hAnsi="Calibri"/>
      <w:sz w:val="22"/>
      <w:szCs w:val="22"/>
      <w:lang w:eastAsia="en-US"/>
    </w:rPr>
  </w:style>
  <w:style w:type="paragraph" w:styleId="Heading1">
    <w:name w:val="heading 1"/>
    <w:aliases w:val="h1,Part,Section Heading,Level 1,No numbers,L1,H1,rp_Heading 1,Bold 18,Mil Para 1,Attribute Heading 1,1.,Head1,Heading apps,A MAJOR/BOLD,Para,h1 Char,Section Heading Char,Level 1 Char,No numbers Char,L1 Char,H1 Char,rp_Heading 1 Char,1. Char,T1"/>
    <w:basedOn w:val="Normal"/>
    <w:next w:val="Normal"/>
    <w:autoRedefine/>
    <w:uiPriority w:val="9"/>
    <w:qFormat/>
    <w:rsid w:val="00F874F7"/>
    <w:pPr>
      <w:keepNext/>
      <w:spacing w:before="480" w:after="120"/>
      <w:outlineLvl w:val="0"/>
    </w:pPr>
    <w:rPr>
      <w:rFonts w:cs="Arial"/>
      <w:bCs/>
      <w:color w:val="C0504D" w:themeColor="accent2"/>
      <w:kern w:val="32"/>
      <w:sz w:val="32"/>
      <w:szCs w:val="32"/>
      <w:lang w:val="en-US"/>
    </w:rPr>
  </w:style>
  <w:style w:type="paragraph" w:styleId="Heading2">
    <w:name w:val="heading 2"/>
    <w:aliases w:val="h2,B Sub/Bold,B Sub/Bold1,h2 main heading,Section 1,H2,Section,2m,h 2,body,h2.H2,UNDERRUBRIK 1-2,Chapter Title,Attribute Heading 2,test,Red Ant Heading 2,l2,list 2,list 2,heading 2TOC,Head 2,List level 2,2,Header 2,B Sub/Bold2,B Sub/Bold11"/>
    <w:basedOn w:val="Normal"/>
    <w:next w:val="Normal"/>
    <w:autoRedefine/>
    <w:qFormat/>
    <w:rsid w:val="00F874F7"/>
    <w:pPr>
      <w:keepNext/>
      <w:tabs>
        <w:tab w:val="left" w:pos="710"/>
      </w:tabs>
      <w:spacing w:before="400" w:after="40" w:line="240" w:lineRule="exact"/>
      <w:ind w:left="567"/>
      <w:outlineLvl w:val="1"/>
    </w:pPr>
    <w:rPr>
      <w:rFonts w:cs="Arial"/>
      <w:bCs/>
      <w:iCs/>
      <w:color w:val="D04D35"/>
      <w:szCs w:val="28"/>
      <w:lang w:val="en-US"/>
    </w:rPr>
  </w:style>
  <w:style w:type="paragraph" w:styleId="Heading3">
    <w:name w:val="heading 3"/>
    <w:basedOn w:val="Normal"/>
    <w:next w:val="Normal"/>
    <w:autoRedefine/>
    <w:qFormat/>
    <w:rsid w:val="00F874F7"/>
    <w:pPr>
      <w:keepNext/>
      <w:spacing w:before="320" w:after="120" w:line="240" w:lineRule="exact"/>
      <w:outlineLvl w:val="2"/>
    </w:pPr>
    <w:rPr>
      <w:rFonts w:cs="Arial"/>
      <w:bCs/>
      <w:color w:val="000000" w:themeColor="text1"/>
      <w:szCs w:val="26"/>
    </w:rPr>
  </w:style>
  <w:style w:type="paragraph" w:styleId="Heading4">
    <w:name w:val="heading 4"/>
    <w:basedOn w:val="Normal"/>
    <w:next w:val="Normal"/>
    <w:qFormat/>
    <w:rsid w:val="002D09AE"/>
    <w:pPr>
      <w:keepNext/>
      <w:spacing w:before="320" w:after="60"/>
      <w:outlineLvl w:val="3"/>
    </w:pPr>
    <w:rPr>
      <w:b/>
      <w:bCs/>
      <w:szCs w:val="20"/>
    </w:rPr>
  </w:style>
  <w:style w:type="paragraph" w:styleId="Heading5">
    <w:name w:val="heading 5"/>
    <w:basedOn w:val="Normal"/>
    <w:next w:val="Normal"/>
    <w:qFormat/>
    <w:rsid w:val="002D09AE"/>
    <w:pPr>
      <w:spacing w:before="320" w:after="60"/>
      <w:outlineLvl w:val="4"/>
    </w:pPr>
    <w:rPr>
      <w:b/>
      <w:bCs/>
      <w:i/>
      <w:iCs/>
      <w:szCs w:val="26"/>
    </w:rPr>
  </w:style>
  <w:style w:type="paragraph" w:styleId="Heading6">
    <w:name w:val="heading 6"/>
    <w:basedOn w:val="Normal"/>
    <w:next w:val="Normal"/>
    <w:qFormat/>
    <w:rsid w:val="002D09AE"/>
    <w:pPr>
      <w:keepNext/>
      <w:outlineLvl w:val="5"/>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2D09AE"/>
    <w:pPr>
      <w:tabs>
        <w:tab w:val="center" w:pos="4320"/>
        <w:tab w:val="right" w:pos="8640"/>
      </w:tabs>
    </w:pPr>
    <w:rPr>
      <w:color w:val="000000"/>
      <w:sz w:val="18"/>
      <w:szCs w:val="32"/>
    </w:rPr>
  </w:style>
  <w:style w:type="paragraph" w:styleId="Footer">
    <w:name w:val="footer"/>
    <w:basedOn w:val="Normal"/>
    <w:next w:val="Normal"/>
    <w:link w:val="FooterChar"/>
    <w:uiPriority w:val="99"/>
    <w:rsid w:val="002D09AE"/>
    <w:pPr>
      <w:tabs>
        <w:tab w:val="right" w:pos="8505"/>
      </w:tabs>
    </w:pPr>
    <w:rPr>
      <w:sz w:val="15"/>
    </w:rPr>
  </w:style>
  <w:style w:type="paragraph" w:styleId="BodyText">
    <w:name w:val="Body Text"/>
    <w:basedOn w:val="Normal"/>
    <w:link w:val="BodyTextChar"/>
    <w:semiHidden/>
    <w:rsid w:val="002D09AE"/>
  </w:style>
  <w:style w:type="character" w:styleId="PageNumber">
    <w:name w:val="page number"/>
    <w:semiHidden/>
    <w:rsid w:val="002D09AE"/>
    <w:rPr>
      <w:rFonts w:ascii="Verdana" w:hAnsi="Verdana"/>
      <w:sz w:val="18"/>
      <w:szCs w:val="18"/>
    </w:rPr>
  </w:style>
  <w:style w:type="character" w:styleId="Hyperlink">
    <w:name w:val="Hyperlink"/>
    <w:uiPriority w:val="99"/>
    <w:rsid w:val="002D09AE"/>
    <w:rPr>
      <w:rFonts w:ascii="Verdana" w:hAnsi="Verdana"/>
      <w:color w:val="0000FF"/>
      <w:sz w:val="18"/>
      <w:szCs w:val="18"/>
      <w:u w:val="single"/>
    </w:rPr>
  </w:style>
  <w:style w:type="paragraph" w:styleId="Title">
    <w:name w:val="Title"/>
    <w:basedOn w:val="Normal"/>
    <w:qFormat/>
    <w:rsid w:val="002D09AE"/>
    <w:pPr>
      <w:spacing w:before="320" w:after="60"/>
      <w:outlineLvl w:val="0"/>
    </w:pPr>
    <w:rPr>
      <w:rFonts w:cs="Arial"/>
      <w:bCs/>
      <w:color w:val="FFFFFF"/>
      <w:kern w:val="28"/>
      <w:sz w:val="92"/>
      <w:szCs w:val="56"/>
    </w:rPr>
  </w:style>
  <w:style w:type="paragraph" w:styleId="Subtitle">
    <w:name w:val="Subtitle"/>
    <w:basedOn w:val="Title"/>
    <w:next w:val="Normal"/>
    <w:qFormat/>
    <w:rsid w:val="002D09AE"/>
    <w:pPr>
      <w:spacing w:before="0" w:after="0"/>
      <w:outlineLvl w:val="1"/>
    </w:pPr>
    <w:rPr>
      <w:color w:val="auto"/>
      <w:sz w:val="36"/>
      <w:szCs w:val="24"/>
    </w:rPr>
  </w:style>
  <w:style w:type="paragraph" w:styleId="TOC1">
    <w:name w:val="toc 1"/>
    <w:basedOn w:val="Normal"/>
    <w:next w:val="Normal"/>
    <w:semiHidden/>
    <w:rsid w:val="002D09AE"/>
    <w:pPr>
      <w:tabs>
        <w:tab w:val="right" w:leader="underscore" w:pos="5103"/>
      </w:tabs>
      <w:spacing w:line="360" w:lineRule="auto"/>
    </w:pPr>
  </w:style>
  <w:style w:type="paragraph" w:styleId="TOC2">
    <w:name w:val="toc 2"/>
    <w:basedOn w:val="TOC1"/>
    <w:next w:val="Normal"/>
    <w:semiHidden/>
    <w:rsid w:val="002D09AE"/>
  </w:style>
  <w:style w:type="paragraph" w:styleId="TOC3">
    <w:name w:val="toc 3"/>
    <w:basedOn w:val="Normal"/>
    <w:next w:val="Normal"/>
    <w:autoRedefine/>
    <w:semiHidden/>
    <w:rsid w:val="002D09AE"/>
    <w:pPr>
      <w:ind w:left="360"/>
    </w:pPr>
  </w:style>
  <w:style w:type="paragraph" w:customStyle="1" w:styleId="BodyCopy">
    <w:name w:val="Body Copy"/>
    <w:basedOn w:val="Normal"/>
    <w:rsid w:val="00790D24"/>
    <w:pPr>
      <w:spacing w:line="240" w:lineRule="exact"/>
    </w:pPr>
    <w:rPr>
      <w:color w:val="A6A6A6" w:themeColor="background1" w:themeShade="A6"/>
      <w:sz w:val="18"/>
    </w:rPr>
  </w:style>
  <w:style w:type="paragraph" w:customStyle="1" w:styleId="Table">
    <w:name w:val="Table"/>
    <w:basedOn w:val="Normal"/>
    <w:autoRedefine/>
    <w:qFormat/>
    <w:rsid w:val="00F874F7"/>
    <w:pPr>
      <w:spacing w:before="120" w:after="40" w:line="240" w:lineRule="exact"/>
    </w:pPr>
    <w:rPr>
      <w:sz w:val="16"/>
      <w:szCs w:val="24"/>
      <w:lang w:val="en-GB"/>
    </w:rPr>
  </w:style>
  <w:style w:type="paragraph" w:customStyle="1" w:styleId="TableBody">
    <w:name w:val="Table Body"/>
    <w:basedOn w:val="Normal"/>
    <w:autoRedefine/>
    <w:rsid w:val="00F874F7"/>
    <w:pPr>
      <w:widowControl w:val="0"/>
      <w:suppressAutoHyphens/>
      <w:adjustRightInd w:val="0"/>
      <w:spacing w:before="60" w:after="60"/>
      <w:textAlignment w:val="baseline"/>
    </w:pPr>
    <w:rPr>
      <w:rFonts w:cs="Arial"/>
      <w:sz w:val="16"/>
      <w:szCs w:val="24"/>
      <w:lang w:val="en-US"/>
    </w:rPr>
  </w:style>
  <w:style w:type="table" w:styleId="TableGrid">
    <w:name w:val="Table Grid"/>
    <w:basedOn w:val="TableNormal"/>
    <w:uiPriority w:val="59"/>
    <w:rsid w:val="00F874F7"/>
    <w:pPr>
      <w:spacing w:before="120" w:after="120" w:line="240" w:lineRule="exact"/>
    </w:pPr>
    <w:rPr>
      <w:rFonts w:ascii="Verdana" w:hAnsi="Verdana"/>
      <w:sz w:val="16"/>
    </w:rPr>
    <w:tblPr>
      <w:tblBorders>
        <w:top w:val="single" w:sz="2" w:space="0" w:color="BFBFBF"/>
        <w:bottom w:val="single" w:sz="2" w:space="0" w:color="BFBFBF"/>
      </w:tblBorders>
    </w:tblPr>
    <w:tcPr>
      <w:shd w:val="clear" w:color="auto" w:fill="F3F3F3"/>
    </w:tcPr>
  </w:style>
  <w:style w:type="paragraph" w:customStyle="1" w:styleId="BulletStyle1">
    <w:name w:val="Bullet Style 1"/>
    <w:basedOn w:val="Normal"/>
    <w:autoRedefine/>
    <w:qFormat/>
    <w:rsid w:val="00F874F7"/>
    <w:pPr>
      <w:spacing w:before="120" w:after="40" w:line="240" w:lineRule="exact"/>
    </w:pPr>
    <w:rPr>
      <w:sz w:val="16"/>
      <w:szCs w:val="20"/>
    </w:rPr>
  </w:style>
  <w:style w:type="character" w:styleId="PlaceholderText">
    <w:name w:val="Placeholder Text"/>
    <w:basedOn w:val="DefaultParagraphFont"/>
    <w:rsid w:val="00007199"/>
    <w:rPr>
      <w:color w:val="808080"/>
    </w:rPr>
  </w:style>
  <w:style w:type="paragraph" w:styleId="BalloonText">
    <w:name w:val="Balloon Text"/>
    <w:basedOn w:val="Normal"/>
    <w:link w:val="BalloonTextChar"/>
    <w:rsid w:val="00007199"/>
    <w:rPr>
      <w:rFonts w:ascii="Tahoma" w:hAnsi="Tahoma" w:cs="Tahoma"/>
      <w:sz w:val="16"/>
      <w:szCs w:val="16"/>
    </w:rPr>
  </w:style>
  <w:style w:type="character" w:customStyle="1" w:styleId="BalloonTextChar">
    <w:name w:val="Balloon Text Char"/>
    <w:basedOn w:val="DefaultParagraphFont"/>
    <w:link w:val="BalloonText"/>
    <w:rsid w:val="00007199"/>
    <w:rPr>
      <w:rFonts w:ascii="Tahoma" w:hAnsi="Tahoma" w:cs="Tahoma"/>
      <w:sz w:val="16"/>
      <w:szCs w:val="16"/>
      <w:lang w:eastAsia="en-US"/>
    </w:rPr>
  </w:style>
  <w:style w:type="character" w:customStyle="1" w:styleId="BodyTextChar">
    <w:name w:val="Body Text Char"/>
    <w:basedOn w:val="DefaultParagraphFont"/>
    <w:link w:val="BodyText"/>
    <w:semiHidden/>
    <w:rsid w:val="00790D24"/>
    <w:rPr>
      <w:rFonts w:ascii="Verdana" w:hAnsi="Verdana"/>
      <w:szCs w:val="18"/>
      <w:lang w:eastAsia="en-US"/>
    </w:rPr>
  </w:style>
  <w:style w:type="character" w:styleId="CommentReference">
    <w:name w:val="annotation reference"/>
    <w:basedOn w:val="DefaultParagraphFont"/>
    <w:uiPriority w:val="99"/>
    <w:unhideWhenUsed/>
    <w:rsid w:val="001A5FF5"/>
    <w:rPr>
      <w:sz w:val="16"/>
      <w:szCs w:val="16"/>
    </w:rPr>
  </w:style>
  <w:style w:type="paragraph" w:styleId="CommentText">
    <w:name w:val="annotation text"/>
    <w:basedOn w:val="Normal"/>
    <w:link w:val="CommentTextChar"/>
    <w:uiPriority w:val="99"/>
    <w:unhideWhenUsed/>
    <w:rsid w:val="001A5FF5"/>
    <w:rPr>
      <w:sz w:val="20"/>
      <w:szCs w:val="20"/>
    </w:rPr>
  </w:style>
  <w:style w:type="character" w:customStyle="1" w:styleId="CommentTextChar">
    <w:name w:val="Comment Text Char"/>
    <w:basedOn w:val="DefaultParagraphFont"/>
    <w:link w:val="CommentText"/>
    <w:uiPriority w:val="99"/>
    <w:rsid w:val="001A5FF5"/>
    <w:rPr>
      <w:rFonts w:ascii="Calibri" w:hAnsi="Calibri"/>
      <w:sz w:val="20"/>
      <w:szCs w:val="20"/>
      <w:lang w:eastAsia="en-US"/>
    </w:rPr>
  </w:style>
  <w:style w:type="paragraph" w:customStyle="1" w:styleId="Default">
    <w:name w:val="Default"/>
    <w:rsid w:val="001A5FF5"/>
    <w:pPr>
      <w:autoSpaceDE w:val="0"/>
      <w:autoSpaceDN w:val="0"/>
      <w:adjustRightInd w:val="0"/>
    </w:pPr>
    <w:rPr>
      <w:rFonts w:ascii="Verdana" w:hAnsi="Verdana" w:cs="Verdana"/>
      <w:color w:val="000000"/>
    </w:rPr>
  </w:style>
  <w:style w:type="paragraph" w:styleId="PlainText">
    <w:name w:val="Plain Text"/>
    <w:basedOn w:val="Normal"/>
    <w:link w:val="PlainTextChar"/>
    <w:uiPriority w:val="99"/>
    <w:unhideWhenUsed/>
    <w:rsid w:val="001A5FF5"/>
    <w:rPr>
      <w:rFonts w:ascii="Verdana" w:eastAsiaTheme="minorHAnsi" w:hAnsi="Verdana" w:cstheme="minorBidi"/>
      <w:sz w:val="20"/>
      <w:szCs w:val="21"/>
    </w:rPr>
  </w:style>
  <w:style w:type="character" w:customStyle="1" w:styleId="PlainTextChar">
    <w:name w:val="Plain Text Char"/>
    <w:basedOn w:val="DefaultParagraphFont"/>
    <w:link w:val="PlainText"/>
    <w:uiPriority w:val="99"/>
    <w:rsid w:val="001A5FF5"/>
    <w:rPr>
      <w:rFonts w:ascii="Verdana" w:eastAsiaTheme="minorHAnsi" w:hAnsi="Verdana" w:cstheme="minorBidi"/>
      <w:sz w:val="20"/>
      <w:szCs w:val="21"/>
      <w:lang w:eastAsia="en-US"/>
    </w:rPr>
  </w:style>
  <w:style w:type="paragraph" w:styleId="ListParagraph">
    <w:name w:val="List Paragraph"/>
    <w:basedOn w:val="Normal"/>
    <w:uiPriority w:val="34"/>
    <w:qFormat/>
    <w:rsid w:val="00391C57"/>
    <w:pPr>
      <w:spacing w:after="200"/>
      <w:ind w:left="720"/>
      <w:contextualSpacing/>
    </w:pPr>
    <w:rPr>
      <w:rFonts w:ascii="Arial" w:eastAsiaTheme="minorEastAsia" w:hAnsi="Arial" w:cstheme="minorBidi"/>
      <w:sz w:val="24"/>
      <w:szCs w:val="24"/>
      <w:lang w:eastAsia="ja-JP"/>
    </w:rPr>
  </w:style>
  <w:style w:type="paragraph" w:styleId="FootnoteText">
    <w:name w:val="footnote text"/>
    <w:basedOn w:val="Normal"/>
    <w:link w:val="FootnoteTextChar"/>
    <w:uiPriority w:val="99"/>
    <w:unhideWhenUsed/>
    <w:rsid w:val="00391C57"/>
    <w:rPr>
      <w:rFonts w:ascii="Arial" w:eastAsiaTheme="minorEastAsia" w:hAnsi="Arial" w:cstheme="minorBidi"/>
      <w:sz w:val="18"/>
      <w:szCs w:val="18"/>
      <w:lang w:val="en-US" w:eastAsia="ja-JP"/>
    </w:rPr>
  </w:style>
  <w:style w:type="character" w:customStyle="1" w:styleId="FootnoteTextChar">
    <w:name w:val="Footnote Text Char"/>
    <w:basedOn w:val="DefaultParagraphFont"/>
    <w:link w:val="FootnoteText"/>
    <w:uiPriority w:val="99"/>
    <w:rsid w:val="00391C57"/>
    <w:rPr>
      <w:rFonts w:ascii="Arial" w:eastAsiaTheme="minorEastAsia" w:hAnsi="Arial" w:cstheme="minorBidi"/>
      <w:sz w:val="18"/>
      <w:szCs w:val="18"/>
      <w:lang w:val="en-US" w:eastAsia="ja-JP"/>
    </w:rPr>
  </w:style>
  <w:style w:type="character" w:styleId="FootnoteReference">
    <w:name w:val="footnote reference"/>
    <w:basedOn w:val="DefaultParagraphFont"/>
    <w:uiPriority w:val="99"/>
    <w:unhideWhenUsed/>
    <w:rsid w:val="00391C57"/>
    <w:rPr>
      <w:vertAlign w:val="superscript"/>
    </w:rPr>
  </w:style>
  <w:style w:type="character" w:customStyle="1" w:styleId="FooterChar">
    <w:name w:val="Footer Char"/>
    <w:basedOn w:val="DefaultParagraphFont"/>
    <w:link w:val="Footer"/>
    <w:uiPriority w:val="99"/>
    <w:rsid w:val="001E4A89"/>
    <w:rPr>
      <w:rFonts w:ascii="Calibri" w:hAnsi="Calibri"/>
      <w:sz w:val="15"/>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5384">
      <w:bodyDiv w:val="1"/>
      <w:marLeft w:val="0"/>
      <w:marRight w:val="0"/>
      <w:marTop w:val="0"/>
      <w:marBottom w:val="0"/>
      <w:divBdr>
        <w:top w:val="none" w:sz="0" w:space="0" w:color="auto"/>
        <w:left w:val="none" w:sz="0" w:space="0" w:color="auto"/>
        <w:bottom w:val="none" w:sz="0" w:space="0" w:color="auto"/>
        <w:right w:val="none" w:sz="0" w:space="0" w:color="auto"/>
      </w:divBdr>
    </w:div>
    <w:div w:id="1533221928">
      <w:bodyDiv w:val="1"/>
      <w:marLeft w:val="0"/>
      <w:marRight w:val="0"/>
      <w:marTop w:val="0"/>
      <w:marBottom w:val="0"/>
      <w:divBdr>
        <w:top w:val="none" w:sz="0" w:space="0" w:color="auto"/>
        <w:left w:val="none" w:sz="0" w:space="0" w:color="auto"/>
        <w:bottom w:val="none" w:sz="0" w:space="0" w:color="auto"/>
        <w:right w:val="none" w:sz="0" w:space="0" w:color="auto"/>
      </w:divBdr>
    </w:div>
    <w:div w:id="1921719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ysubmissions@rba.gov.a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27191816.dotm</Template>
  <TotalTime>0</TotalTime>
  <Pages>6</Pages>
  <Words>1880</Words>
  <Characters>10510</Characters>
  <Application>Microsoft Office Word</Application>
  <DocSecurity>4</DocSecurity>
  <Lines>291</Lines>
  <Paragraphs>121</Paragraphs>
  <ScaleCrop>false</ScaleCrop>
  <HeadingPairs>
    <vt:vector size="2" baseType="variant">
      <vt:variant>
        <vt:lpstr>Title</vt:lpstr>
      </vt:variant>
      <vt:variant>
        <vt:i4>1</vt:i4>
      </vt:variant>
    </vt:vector>
  </HeadingPairs>
  <TitlesOfParts>
    <vt:vector size="1" baseType="lpstr">
      <vt:lpstr>Date</vt:lpstr>
    </vt:vector>
  </TitlesOfParts>
  <Company>Mainspring</Company>
  <LinksUpToDate>false</LinksUpToDate>
  <CharactersWithSpaces>12269</CharactersWithSpaces>
  <SharedDoc>false</SharedDoc>
  <HLinks>
    <vt:vector size="6" baseType="variant">
      <vt:variant>
        <vt:i4>5177437</vt:i4>
      </vt:variant>
      <vt:variant>
        <vt:i4>-1</vt:i4>
      </vt:variant>
      <vt:variant>
        <vt:i4>1040</vt:i4>
      </vt:variant>
      <vt:variant>
        <vt:i4>1</vt:i4>
      </vt:variant>
      <vt:variant>
        <vt:lpwstr>Cuscal logo vertical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creator>mteuma</dc:creator>
  <cp:lastModifiedBy>JIMENEZ, Ivan</cp:lastModifiedBy>
  <cp:revision>2</cp:revision>
  <cp:lastPrinted>2014-11-10T05:22:00Z</cp:lastPrinted>
  <dcterms:created xsi:type="dcterms:W3CDTF">2015-05-06T04:52:00Z</dcterms:created>
  <dcterms:modified xsi:type="dcterms:W3CDTF">2015-05-06T04:52:00Z</dcterms:modified>
</cp:coreProperties>
</file>