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CBA" w:rsidRDefault="00654550" w:rsidP="00701CBA">
      <w:pPr>
        <w:ind w:left="-142" w:firstLine="142"/>
        <w:jc w:val="both"/>
        <w:rPr>
          <w:rFonts w:ascii="Arial" w:hAnsi="Arial" w:cs="Arial"/>
          <w:sz w:val="22"/>
          <w:szCs w:val="22"/>
        </w:rPr>
      </w:pPr>
      <w:r w:rsidRPr="00955982">
        <w:rPr>
          <w:rFonts w:ascii="Arial" w:hAnsi="Arial" w:cs="Arial"/>
          <w:sz w:val="22"/>
          <w:szCs w:val="22"/>
        </w:rPr>
        <w:t>2</w:t>
      </w:r>
      <w:r w:rsidR="00701CBA" w:rsidRPr="00955982">
        <w:rPr>
          <w:rFonts w:ascii="Arial" w:hAnsi="Arial" w:cs="Arial"/>
          <w:sz w:val="22"/>
          <w:szCs w:val="22"/>
        </w:rPr>
        <w:t xml:space="preserve">1 </w:t>
      </w:r>
      <w:r w:rsidRPr="00955982">
        <w:rPr>
          <w:rFonts w:ascii="Arial" w:hAnsi="Arial" w:cs="Arial"/>
          <w:sz w:val="22"/>
          <w:szCs w:val="22"/>
        </w:rPr>
        <w:t>April</w:t>
      </w:r>
      <w:r w:rsidR="00701CBA" w:rsidRPr="00955982">
        <w:rPr>
          <w:rFonts w:ascii="Arial" w:hAnsi="Arial" w:cs="Arial"/>
          <w:sz w:val="22"/>
          <w:szCs w:val="22"/>
        </w:rPr>
        <w:t xml:space="preserve"> 201</w:t>
      </w:r>
      <w:r w:rsidRPr="00955982">
        <w:rPr>
          <w:rFonts w:ascii="Arial" w:hAnsi="Arial" w:cs="Arial"/>
          <w:sz w:val="22"/>
          <w:szCs w:val="22"/>
        </w:rPr>
        <w:t>5</w:t>
      </w:r>
    </w:p>
    <w:p w:rsidR="00955982" w:rsidRDefault="00955982" w:rsidP="00701CBA">
      <w:pPr>
        <w:ind w:left="-142" w:firstLine="142"/>
        <w:jc w:val="both"/>
        <w:rPr>
          <w:rFonts w:ascii="Arial" w:hAnsi="Arial" w:cs="Arial"/>
          <w:sz w:val="22"/>
          <w:szCs w:val="22"/>
        </w:rPr>
      </w:pPr>
    </w:p>
    <w:p w:rsidR="00955982" w:rsidRPr="00955982" w:rsidRDefault="00955982" w:rsidP="00701CBA">
      <w:pPr>
        <w:ind w:left="-142" w:firstLine="142"/>
        <w:jc w:val="both"/>
        <w:rPr>
          <w:rFonts w:ascii="Arial" w:hAnsi="Arial" w:cs="Arial"/>
          <w:sz w:val="22"/>
          <w:szCs w:val="22"/>
        </w:rPr>
      </w:pPr>
    </w:p>
    <w:p w:rsidR="00701CBA" w:rsidRPr="00955982" w:rsidRDefault="00701CBA" w:rsidP="00701CBA">
      <w:pPr>
        <w:jc w:val="both"/>
        <w:rPr>
          <w:rFonts w:ascii="Arial" w:hAnsi="Arial" w:cs="Arial"/>
          <w:sz w:val="22"/>
          <w:szCs w:val="22"/>
        </w:rPr>
      </w:pPr>
      <w:r w:rsidRPr="00955982">
        <w:rPr>
          <w:rFonts w:ascii="Arial" w:hAnsi="Arial" w:cs="Arial"/>
          <w:sz w:val="22"/>
          <w:szCs w:val="22"/>
        </w:rPr>
        <w:t>Head of Payments Policy Department</w:t>
      </w:r>
    </w:p>
    <w:p w:rsidR="00701CBA" w:rsidRPr="00955982" w:rsidRDefault="00701CBA" w:rsidP="00701CBA">
      <w:pPr>
        <w:jc w:val="both"/>
        <w:rPr>
          <w:rFonts w:ascii="Arial" w:hAnsi="Arial" w:cs="Arial"/>
          <w:sz w:val="22"/>
          <w:szCs w:val="22"/>
        </w:rPr>
      </w:pPr>
      <w:r w:rsidRPr="00955982">
        <w:rPr>
          <w:rFonts w:ascii="Arial" w:hAnsi="Arial" w:cs="Arial"/>
          <w:sz w:val="22"/>
          <w:szCs w:val="22"/>
        </w:rPr>
        <w:t>Reserve Bank of Australia</w:t>
      </w:r>
    </w:p>
    <w:p w:rsidR="00701CBA" w:rsidRPr="00955982" w:rsidRDefault="00701CBA" w:rsidP="00701CBA">
      <w:pPr>
        <w:jc w:val="both"/>
        <w:rPr>
          <w:rFonts w:ascii="Arial" w:hAnsi="Arial" w:cs="Arial"/>
          <w:sz w:val="22"/>
          <w:szCs w:val="22"/>
        </w:rPr>
      </w:pPr>
      <w:r w:rsidRPr="00955982">
        <w:rPr>
          <w:rFonts w:ascii="Arial" w:hAnsi="Arial" w:cs="Arial"/>
          <w:sz w:val="22"/>
          <w:szCs w:val="22"/>
        </w:rPr>
        <w:t>GPO Box 3947</w:t>
      </w:r>
    </w:p>
    <w:p w:rsidR="00701CBA" w:rsidRPr="00955982" w:rsidRDefault="00701CBA" w:rsidP="00701CBA">
      <w:pPr>
        <w:jc w:val="both"/>
        <w:rPr>
          <w:rFonts w:ascii="Arial" w:hAnsi="Arial" w:cs="Arial"/>
          <w:sz w:val="22"/>
          <w:szCs w:val="22"/>
        </w:rPr>
      </w:pPr>
      <w:r w:rsidRPr="00955982">
        <w:rPr>
          <w:rFonts w:ascii="Arial" w:hAnsi="Arial" w:cs="Arial"/>
          <w:sz w:val="22"/>
          <w:szCs w:val="22"/>
        </w:rPr>
        <w:t>SYDNEY NSW 2001</w:t>
      </w:r>
    </w:p>
    <w:p w:rsidR="00701CBA" w:rsidRPr="00955982" w:rsidRDefault="00701CBA" w:rsidP="00701CBA">
      <w:pPr>
        <w:jc w:val="both"/>
        <w:rPr>
          <w:rFonts w:ascii="Arial" w:hAnsi="Arial" w:cs="Arial"/>
          <w:sz w:val="22"/>
          <w:szCs w:val="22"/>
        </w:rPr>
      </w:pPr>
    </w:p>
    <w:p w:rsidR="00701CBA" w:rsidRPr="00955982" w:rsidRDefault="00701CBA" w:rsidP="00701CBA">
      <w:pPr>
        <w:jc w:val="both"/>
        <w:rPr>
          <w:rFonts w:ascii="Arial" w:hAnsi="Arial" w:cs="Arial"/>
          <w:sz w:val="22"/>
          <w:szCs w:val="22"/>
        </w:rPr>
      </w:pPr>
      <w:r w:rsidRPr="00955982">
        <w:rPr>
          <w:rFonts w:ascii="Arial" w:hAnsi="Arial" w:cs="Arial"/>
          <w:sz w:val="22"/>
          <w:szCs w:val="22"/>
        </w:rPr>
        <w:t>Dear Sir,</w:t>
      </w:r>
    </w:p>
    <w:p w:rsidR="00701CBA" w:rsidRPr="00955982" w:rsidRDefault="00701CBA" w:rsidP="00701CBA">
      <w:pPr>
        <w:jc w:val="both"/>
        <w:rPr>
          <w:rFonts w:ascii="Arial" w:hAnsi="Arial" w:cs="Arial"/>
          <w:sz w:val="22"/>
          <w:szCs w:val="22"/>
        </w:rPr>
      </w:pPr>
    </w:p>
    <w:p w:rsidR="00701CBA" w:rsidRPr="00955982" w:rsidRDefault="00654550" w:rsidP="00701CBA">
      <w:pPr>
        <w:jc w:val="both"/>
        <w:rPr>
          <w:rFonts w:ascii="Arial" w:hAnsi="Arial" w:cs="Arial"/>
          <w:b/>
          <w:i/>
          <w:sz w:val="22"/>
          <w:szCs w:val="22"/>
        </w:rPr>
      </w:pPr>
      <w:r w:rsidRPr="00955982">
        <w:rPr>
          <w:rFonts w:ascii="Arial" w:hAnsi="Arial" w:cs="Arial"/>
          <w:b/>
          <w:i/>
          <w:sz w:val="22"/>
          <w:szCs w:val="22"/>
        </w:rPr>
        <w:t>Review of Card Payments Regulation</w:t>
      </w:r>
      <w:bookmarkStart w:id="0" w:name="_GoBack"/>
      <w:bookmarkEnd w:id="0"/>
    </w:p>
    <w:p w:rsidR="00701CBA" w:rsidRPr="00955982" w:rsidRDefault="00701CBA" w:rsidP="00701CBA">
      <w:pPr>
        <w:jc w:val="both"/>
        <w:rPr>
          <w:rFonts w:ascii="Arial" w:hAnsi="Arial" w:cs="Arial"/>
          <w:i/>
          <w:sz w:val="22"/>
          <w:szCs w:val="22"/>
        </w:rPr>
      </w:pPr>
    </w:p>
    <w:p w:rsidR="006C4405" w:rsidRPr="00955982" w:rsidRDefault="00701CBA" w:rsidP="00701CBA">
      <w:pPr>
        <w:jc w:val="both"/>
        <w:rPr>
          <w:rFonts w:ascii="Arial" w:hAnsi="Arial" w:cs="Arial"/>
          <w:sz w:val="22"/>
          <w:szCs w:val="22"/>
        </w:rPr>
      </w:pPr>
      <w:r w:rsidRPr="00955982">
        <w:rPr>
          <w:rFonts w:ascii="Arial" w:hAnsi="Arial" w:cs="Arial"/>
          <w:sz w:val="22"/>
          <w:szCs w:val="22"/>
        </w:rPr>
        <w:t>First Data</w:t>
      </w:r>
      <w:r w:rsidR="00BE407A" w:rsidRPr="00955982">
        <w:rPr>
          <w:rFonts w:ascii="Arial" w:hAnsi="Arial" w:cs="Arial"/>
          <w:sz w:val="22"/>
          <w:szCs w:val="22"/>
        </w:rPr>
        <w:t xml:space="preserve"> Australia</w:t>
      </w:r>
      <w:r w:rsidRPr="00955982">
        <w:rPr>
          <w:rFonts w:ascii="Arial" w:hAnsi="Arial" w:cs="Arial"/>
          <w:sz w:val="22"/>
          <w:szCs w:val="22"/>
        </w:rPr>
        <w:t xml:space="preserve"> </w:t>
      </w:r>
      <w:r w:rsidR="00BE407A" w:rsidRPr="00955982">
        <w:rPr>
          <w:rFonts w:ascii="Arial" w:hAnsi="Arial" w:cs="Arial"/>
          <w:sz w:val="22"/>
          <w:szCs w:val="22"/>
        </w:rPr>
        <w:t xml:space="preserve">appreciates the opportunity to make </w:t>
      </w:r>
      <w:r w:rsidRPr="00955982">
        <w:rPr>
          <w:rFonts w:ascii="Arial" w:hAnsi="Arial" w:cs="Arial"/>
          <w:sz w:val="22"/>
          <w:szCs w:val="22"/>
        </w:rPr>
        <w:t xml:space="preserve">this submission in response to the Consultation Document issued by the Reserve Bank of Australia “the Bank” in </w:t>
      </w:r>
      <w:r w:rsidR="00351271" w:rsidRPr="00955982">
        <w:rPr>
          <w:rFonts w:ascii="Arial" w:hAnsi="Arial" w:cs="Arial"/>
          <w:sz w:val="22"/>
          <w:szCs w:val="22"/>
        </w:rPr>
        <w:t>March</w:t>
      </w:r>
      <w:r w:rsidRPr="00955982">
        <w:rPr>
          <w:rFonts w:ascii="Arial" w:hAnsi="Arial" w:cs="Arial"/>
          <w:sz w:val="22"/>
          <w:szCs w:val="22"/>
        </w:rPr>
        <w:t xml:space="preserve"> 201</w:t>
      </w:r>
      <w:r w:rsidR="00351271" w:rsidRPr="00955982">
        <w:rPr>
          <w:rFonts w:ascii="Arial" w:hAnsi="Arial" w:cs="Arial"/>
          <w:sz w:val="22"/>
          <w:szCs w:val="22"/>
        </w:rPr>
        <w:t>5</w:t>
      </w:r>
      <w:r w:rsidRPr="00955982">
        <w:rPr>
          <w:rFonts w:ascii="Arial" w:hAnsi="Arial" w:cs="Arial"/>
          <w:sz w:val="22"/>
          <w:szCs w:val="22"/>
        </w:rPr>
        <w:t xml:space="preserve">.  It should be </w:t>
      </w:r>
      <w:r w:rsidR="00351271" w:rsidRPr="00955982">
        <w:rPr>
          <w:rFonts w:ascii="Arial" w:hAnsi="Arial" w:cs="Arial"/>
          <w:sz w:val="22"/>
          <w:szCs w:val="22"/>
        </w:rPr>
        <w:t xml:space="preserve">noted that First Data is responding </w:t>
      </w:r>
      <w:r w:rsidR="00EC4C2B" w:rsidRPr="00955982">
        <w:rPr>
          <w:rFonts w:ascii="Arial" w:hAnsi="Arial" w:cs="Arial"/>
          <w:sz w:val="22"/>
          <w:szCs w:val="22"/>
        </w:rPr>
        <w:t>from a</w:t>
      </w:r>
      <w:r w:rsidR="00351271" w:rsidRPr="00955982">
        <w:rPr>
          <w:rFonts w:ascii="Arial" w:hAnsi="Arial" w:cs="Arial"/>
          <w:sz w:val="22"/>
          <w:szCs w:val="22"/>
        </w:rPr>
        <w:t xml:space="preserve">n </w:t>
      </w:r>
      <w:r w:rsidR="00EC4C2B" w:rsidRPr="00955982">
        <w:rPr>
          <w:rFonts w:ascii="Arial" w:hAnsi="Arial" w:cs="Arial"/>
          <w:sz w:val="22"/>
          <w:szCs w:val="22"/>
        </w:rPr>
        <w:t>a</w:t>
      </w:r>
      <w:r w:rsidR="00351271" w:rsidRPr="00955982">
        <w:rPr>
          <w:rFonts w:ascii="Arial" w:hAnsi="Arial" w:cs="Arial"/>
          <w:sz w:val="22"/>
          <w:szCs w:val="22"/>
        </w:rPr>
        <w:t>cquir</w:t>
      </w:r>
      <w:r w:rsidR="00EC4C2B" w:rsidRPr="00955982">
        <w:rPr>
          <w:rFonts w:ascii="Arial" w:hAnsi="Arial" w:cs="Arial"/>
          <w:sz w:val="22"/>
          <w:szCs w:val="22"/>
        </w:rPr>
        <w:t xml:space="preserve">ing </w:t>
      </w:r>
      <w:r w:rsidR="00F065A1" w:rsidRPr="00955982">
        <w:rPr>
          <w:rFonts w:ascii="Arial" w:hAnsi="Arial" w:cs="Arial"/>
          <w:sz w:val="22"/>
          <w:szCs w:val="22"/>
        </w:rPr>
        <w:t>standpoint</w:t>
      </w:r>
      <w:r w:rsidR="00EC4C2B" w:rsidRPr="00955982">
        <w:rPr>
          <w:rFonts w:ascii="Arial" w:hAnsi="Arial" w:cs="Arial"/>
          <w:sz w:val="22"/>
          <w:szCs w:val="22"/>
        </w:rPr>
        <w:t xml:space="preserve"> only </w:t>
      </w:r>
      <w:r w:rsidR="006C4405" w:rsidRPr="00955982">
        <w:rPr>
          <w:rFonts w:ascii="Arial" w:hAnsi="Arial" w:cs="Arial"/>
          <w:sz w:val="22"/>
          <w:szCs w:val="22"/>
        </w:rPr>
        <w:t xml:space="preserve">and </w:t>
      </w:r>
      <w:r w:rsidR="00F065A1" w:rsidRPr="00955982">
        <w:rPr>
          <w:rFonts w:ascii="Arial" w:hAnsi="Arial" w:cs="Arial"/>
          <w:sz w:val="22"/>
          <w:szCs w:val="22"/>
        </w:rPr>
        <w:t>wishes</w:t>
      </w:r>
      <w:r w:rsidR="006C4405" w:rsidRPr="00955982">
        <w:rPr>
          <w:rFonts w:ascii="Arial" w:hAnsi="Arial" w:cs="Arial"/>
          <w:sz w:val="22"/>
          <w:szCs w:val="22"/>
        </w:rPr>
        <w:t xml:space="preserve"> to provide its views on </w:t>
      </w:r>
      <w:r w:rsidR="00DC1517" w:rsidRPr="00955982">
        <w:rPr>
          <w:rFonts w:ascii="Arial" w:hAnsi="Arial" w:cs="Arial"/>
          <w:sz w:val="22"/>
          <w:szCs w:val="22"/>
        </w:rPr>
        <w:t>the following</w:t>
      </w:r>
      <w:r w:rsidR="006C4405" w:rsidRPr="00955982">
        <w:rPr>
          <w:rFonts w:ascii="Arial" w:hAnsi="Arial" w:cs="Arial"/>
          <w:sz w:val="22"/>
          <w:szCs w:val="22"/>
        </w:rPr>
        <w:t xml:space="preserve"> issues.</w:t>
      </w:r>
    </w:p>
    <w:p w:rsidR="006C4405" w:rsidRPr="00955982" w:rsidRDefault="006C4405" w:rsidP="00701CBA">
      <w:pPr>
        <w:jc w:val="both"/>
        <w:rPr>
          <w:rFonts w:ascii="Arial" w:hAnsi="Arial" w:cs="Arial"/>
          <w:sz w:val="22"/>
          <w:szCs w:val="22"/>
        </w:rPr>
      </w:pPr>
    </w:p>
    <w:p w:rsidR="006C4405" w:rsidRPr="00955982" w:rsidRDefault="006C4405" w:rsidP="006C4405">
      <w:pPr>
        <w:jc w:val="both"/>
        <w:rPr>
          <w:rFonts w:ascii="Arial" w:hAnsi="Arial" w:cs="Arial"/>
          <w:sz w:val="22"/>
          <w:szCs w:val="22"/>
        </w:rPr>
      </w:pPr>
      <w:r w:rsidRPr="00955982">
        <w:rPr>
          <w:rFonts w:ascii="Arial" w:hAnsi="Arial" w:cs="Arial"/>
          <w:i/>
          <w:sz w:val="22"/>
          <w:szCs w:val="22"/>
        </w:rPr>
        <w:t>Transparency of Card Payments</w:t>
      </w:r>
      <w:r w:rsidRPr="00955982">
        <w:rPr>
          <w:rFonts w:ascii="Arial" w:hAnsi="Arial" w:cs="Arial"/>
          <w:sz w:val="22"/>
          <w:szCs w:val="22"/>
        </w:rPr>
        <w:t xml:space="preserve">  </w:t>
      </w:r>
    </w:p>
    <w:p w:rsidR="006C4405" w:rsidRPr="00955982" w:rsidRDefault="006C4405" w:rsidP="006C4405">
      <w:pPr>
        <w:jc w:val="both"/>
        <w:rPr>
          <w:rFonts w:ascii="Arial" w:hAnsi="Arial" w:cs="Arial"/>
          <w:sz w:val="22"/>
          <w:szCs w:val="22"/>
        </w:rPr>
      </w:pPr>
    </w:p>
    <w:p w:rsidR="004B771B" w:rsidRPr="00955982" w:rsidRDefault="004B771B" w:rsidP="006C4405">
      <w:pPr>
        <w:jc w:val="both"/>
        <w:rPr>
          <w:rFonts w:ascii="Arial" w:hAnsi="Arial" w:cs="Arial"/>
          <w:sz w:val="22"/>
          <w:szCs w:val="22"/>
        </w:rPr>
      </w:pPr>
      <w:r w:rsidRPr="00955982">
        <w:rPr>
          <w:rFonts w:ascii="Arial" w:hAnsi="Arial" w:cs="Arial"/>
          <w:sz w:val="22"/>
          <w:szCs w:val="22"/>
        </w:rPr>
        <w:t>Background:</w:t>
      </w:r>
    </w:p>
    <w:p w:rsidR="004B771B" w:rsidRPr="00955982" w:rsidRDefault="004B771B" w:rsidP="006C4405">
      <w:pPr>
        <w:jc w:val="both"/>
        <w:rPr>
          <w:rFonts w:ascii="Arial" w:hAnsi="Arial" w:cs="Arial"/>
          <w:sz w:val="22"/>
          <w:szCs w:val="22"/>
        </w:rPr>
      </w:pPr>
    </w:p>
    <w:p w:rsidR="009A1521" w:rsidRPr="00955982" w:rsidRDefault="006C4405" w:rsidP="006C4405">
      <w:pPr>
        <w:jc w:val="both"/>
        <w:rPr>
          <w:rFonts w:ascii="Arial" w:hAnsi="Arial" w:cs="Arial"/>
          <w:sz w:val="22"/>
          <w:szCs w:val="22"/>
        </w:rPr>
      </w:pPr>
      <w:r w:rsidRPr="00955982">
        <w:rPr>
          <w:rFonts w:ascii="Arial" w:hAnsi="Arial" w:cs="Arial"/>
          <w:sz w:val="22"/>
          <w:szCs w:val="22"/>
        </w:rPr>
        <w:t xml:space="preserve">The </w:t>
      </w:r>
      <w:r w:rsidR="00EC4C2B" w:rsidRPr="00955982">
        <w:rPr>
          <w:rFonts w:ascii="Arial" w:hAnsi="Arial" w:cs="Arial"/>
          <w:sz w:val="22"/>
          <w:szCs w:val="22"/>
        </w:rPr>
        <w:t>Bank</w:t>
      </w:r>
      <w:r w:rsidRPr="00955982">
        <w:rPr>
          <w:rFonts w:ascii="Arial" w:hAnsi="Arial" w:cs="Arial"/>
          <w:sz w:val="22"/>
          <w:szCs w:val="22"/>
        </w:rPr>
        <w:t xml:space="preserve"> </w:t>
      </w:r>
      <w:r w:rsidR="009A1521" w:rsidRPr="00955982">
        <w:rPr>
          <w:rFonts w:ascii="Arial" w:hAnsi="Arial" w:cs="Arial"/>
          <w:sz w:val="22"/>
          <w:szCs w:val="22"/>
        </w:rPr>
        <w:t>note</w:t>
      </w:r>
      <w:r w:rsidR="00130041" w:rsidRPr="00955982">
        <w:rPr>
          <w:rFonts w:ascii="Arial" w:hAnsi="Arial" w:cs="Arial"/>
          <w:sz w:val="22"/>
          <w:szCs w:val="22"/>
        </w:rPr>
        <w:t>d in its review</w:t>
      </w:r>
      <w:r w:rsidR="001455DD" w:rsidRPr="00955982">
        <w:rPr>
          <w:rFonts w:ascii="Arial" w:hAnsi="Arial" w:cs="Arial"/>
          <w:sz w:val="22"/>
          <w:szCs w:val="22"/>
        </w:rPr>
        <w:t xml:space="preserve"> that</w:t>
      </w:r>
      <w:r w:rsidRPr="00955982">
        <w:rPr>
          <w:rFonts w:ascii="Arial" w:hAnsi="Arial" w:cs="Arial"/>
          <w:sz w:val="22"/>
          <w:szCs w:val="22"/>
        </w:rPr>
        <w:t xml:space="preserve"> </w:t>
      </w:r>
      <w:r w:rsidR="00EC4C2B" w:rsidRPr="00955982">
        <w:rPr>
          <w:rFonts w:ascii="Arial" w:hAnsi="Arial" w:cs="Arial"/>
          <w:sz w:val="22"/>
          <w:szCs w:val="22"/>
        </w:rPr>
        <w:t xml:space="preserve">there has been a decline in the transparency available to many merchants </w:t>
      </w:r>
      <w:r w:rsidR="00F065A1" w:rsidRPr="00955982">
        <w:rPr>
          <w:rFonts w:ascii="Arial" w:hAnsi="Arial" w:cs="Arial"/>
          <w:sz w:val="22"/>
          <w:szCs w:val="22"/>
        </w:rPr>
        <w:t>in relation to</w:t>
      </w:r>
      <w:r w:rsidR="00EC4C2B" w:rsidRPr="00955982">
        <w:rPr>
          <w:rFonts w:ascii="Arial" w:hAnsi="Arial" w:cs="Arial"/>
          <w:sz w:val="22"/>
          <w:szCs w:val="22"/>
        </w:rPr>
        <w:t xml:space="preserve"> the cost of cards, thus hindering their ability to control payment costs. Debit Cards and Credit Cards </w:t>
      </w:r>
      <w:r w:rsidR="006F2CE5" w:rsidRPr="00955982">
        <w:rPr>
          <w:rFonts w:ascii="Arial" w:hAnsi="Arial" w:cs="Arial"/>
          <w:sz w:val="22"/>
          <w:szCs w:val="22"/>
        </w:rPr>
        <w:t>should be physically</w:t>
      </w:r>
      <w:r w:rsidR="009A1521" w:rsidRPr="00955982">
        <w:rPr>
          <w:rFonts w:ascii="Arial" w:hAnsi="Arial" w:cs="Arial"/>
          <w:sz w:val="22"/>
          <w:szCs w:val="22"/>
        </w:rPr>
        <w:t xml:space="preserve"> distinguishable from each other as per the relevant standard, but this does not assist in a “card not present” environment. Additionally the Card Schemes have introduced a number of premium products that bear different interchange fees. Again, these are generally distinguishable physically (although not as obvious as Debit v Credit), but are more difficult (or in some instances – impossible) to </w:t>
      </w:r>
      <w:r w:rsidR="00F065A1" w:rsidRPr="00955982">
        <w:rPr>
          <w:rFonts w:ascii="Arial" w:hAnsi="Arial" w:cs="Arial"/>
          <w:sz w:val="22"/>
          <w:szCs w:val="22"/>
        </w:rPr>
        <w:t>distinguish</w:t>
      </w:r>
      <w:r w:rsidR="009A1521" w:rsidRPr="00955982">
        <w:rPr>
          <w:rFonts w:ascii="Arial" w:hAnsi="Arial" w:cs="Arial"/>
          <w:sz w:val="22"/>
          <w:szCs w:val="22"/>
        </w:rPr>
        <w:t xml:space="preserve"> in the “card not present” environment.</w:t>
      </w:r>
    </w:p>
    <w:p w:rsidR="009A1521" w:rsidRPr="00955982" w:rsidRDefault="009A1521" w:rsidP="006C4405">
      <w:pPr>
        <w:jc w:val="both"/>
        <w:rPr>
          <w:rFonts w:ascii="Arial" w:hAnsi="Arial" w:cs="Arial"/>
          <w:sz w:val="22"/>
          <w:szCs w:val="22"/>
        </w:rPr>
      </w:pPr>
    </w:p>
    <w:p w:rsidR="00F065A1" w:rsidRPr="00955982" w:rsidRDefault="00EC4C2B" w:rsidP="00130041">
      <w:pPr>
        <w:jc w:val="both"/>
        <w:rPr>
          <w:rFonts w:ascii="Arial" w:hAnsi="Arial" w:cs="Arial"/>
          <w:sz w:val="22"/>
          <w:szCs w:val="22"/>
        </w:rPr>
      </w:pPr>
      <w:r w:rsidRPr="00955982">
        <w:rPr>
          <w:rFonts w:ascii="Arial" w:hAnsi="Arial" w:cs="Arial"/>
          <w:sz w:val="22"/>
          <w:szCs w:val="22"/>
        </w:rPr>
        <w:t xml:space="preserve">The </w:t>
      </w:r>
      <w:r w:rsidR="009A1521" w:rsidRPr="00955982">
        <w:rPr>
          <w:rFonts w:ascii="Arial" w:hAnsi="Arial" w:cs="Arial"/>
          <w:sz w:val="22"/>
          <w:szCs w:val="22"/>
        </w:rPr>
        <w:t xml:space="preserve">Bank believes that </w:t>
      </w:r>
      <w:r w:rsidR="006C4405" w:rsidRPr="00955982">
        <w:rPr>
          <w:rFonts w:ascii="Arial" w:hAnsi="Arial" w:cs="Arial"/>
          <w:sz w:val="22"/>
          <w:szCs w:val="22"/>
        </w:rPr>
        <w:t xml:space="preserve">merchants </w:t>
      </w:r>
      <w:r w:rsidR="001455DD" w:rsidRPr="00955982">
        <w:rPr>
          <w:rFonts w:ascii="Arial" w:hAnsi="Arial" w:cs="Arial"/>
          <w:sz w:val="22"/>
          <w:szCs w:val="22"/>
        </w:rPr>
        <w:t>should have</w:t>
      </w:r>
      <w:r w:rsidR="006C4405" w:rsidRPr="00955982">
        <w:rPr>
          <w:rFonts w:ascii="Arial" w:hAnsi="Arial" w:cs="Arial"/>
          <w:sz w:val="22"/>
          <w:szCs w:val="22"/>
        </w:rPr>
        <w:t xml:space="preserve"> the means to </w:t>
      </w:r>
      <w:r w:rsidR="006C4405" w:rsidRPr="00955982">
        <w:rPr>
          <w:rFonts w:ascii="Arial" w:hAnsi="Arial" w:cs="Arial"/>
          <w:i/>
          <w:sz w:val="22"/>
          <w:szCs w:val="22"/>
        </w:rPr>
        <w:t>electronically</w:t>
      </w:r>
      <w:r w:rsidR="006C4405" w:rsidRPr="00955982">
        <w:rPr>
          <w:rFonts w:ascii="Arial" w:hAnsi="Arial" w:cs="Arial"/>
          <w:sz w:val="22"/>
          <w:szCs w:val="22"/>
        </w:rPr>
        <w:t xml:space="preserve"> identify the differing card types (and thus interchange fee costs) at the point of sale</w:t>
      </w:r>
      <w:r w:rsidR="00130041" w:rsidRPr="00955982">
        <w:rPr>
          <w:rFonts w:ascii="Arial" w:hAnsi="Arial" w:cs="Arial"/>
          <w:sz w:val="22"/>
          <w:szCs w:val="22"/>
        </w:rPr>
        <w:t xml:space="preserve">, </w:t>
      </w:r>
      <w:r w:rsidR="00F065A1" w:rsidRPr="00955982">
        <w:rPr>
          <w:rFonts w:ascii="Arial" w:hAnsi="Arial" w:cs="Arial"/>
          <w:sz w:val="22"/>
          <w:szCs w:val="22"/>
        </w:rPr>
        <w:t>enabling them to:</w:t>
      </w:r>
    </w:p>
    <w:p w:rsidR="00130041" w:rsidRPr="00955982" w:rsidRDefault="00130041" w:rsidP="00130041">
      <w:pPr>
        <w:jc w:val="both"/>
        <w:rPr>
          <w:rFonts w:ascii="Arial" w:hAnsi="Arial" w:cs="Arial"/>
          <w:sz w:val="22"/>
          <w:szCs w:val="22"/>
        </w:rPr>
      </w:pPr>
    </w:p>
    <w:p w:rsidR="00F065A1" w:rsidRPr="00955982" w:rsidRDefault="00F065A1" w:rsidP="00130041">
      <w:pPr>
        <w:pStyle w:val="ListParagraph"/>
        <w:numPr>
          <w:ilvl w:val="0"/>
          <w:numId w:val="6"/>
        </w:numPr>
        <w:ind w:left="426" w:hanging="426"/>
        <w:jc w:val="both"/>
        <w:rPr>
          <w:rFonts w:ascii="Arial" w:hAnsi="Arial" w:cs="Arial"/>
        </w:rPr>
      </w:pPr>
      <w:r w:rsidRPr="00955982">
        <w:rPr>
          <w:rFonts w:ascii="Arial" w:hAnsi="Arial" w:cs="Arial"/>
        </w:rPr>
        <w:t>Refuse to accept an “expensive interchange” card;</w:t>
      </w:r>
    </w:p>
    <w:p w:rsidR="00F065A1" w:rsidRPr="00955982" w:rsidRDefault="00F065A1" w:rsidP="00130041">
      <w:pPr>
        <w:pStyle w:val="ListParagraph"/>
        <w:numPr>
          <w:ilvl w:val="0"/>
          <w:numId w:val="6"/>
        </w:numPr>
        <w:ind w:left="426" w:hanging="426"/>
        <w:jc w:val="both"/>
        <w:rPr>
          <w:rFonts w:ascii="Arial" w:hAnsi="Arial" w:cs="Arial"/>
        </w:rPr>
      </w:pPr>
      <w:r w:rsidRPr="00955982">
        <w:rPr>
          <w:rFonts w:ascii="Arial" w:hAnsi="Arial" w:cs="Arial"/>
        </w:rPr>
        <w:t>Impose a surcharge to at least cover the cost of the interchange fee;</w:t>
      </w:r>
    </w:p>
    <w:p w:rsidR="00F065A1" w:rsidRPr="00955982" w:rsidRDefault="00F065A1" w:rsidP="00130041">
      <w:pPr>
        <w:pStyle w:val="ListParagraph"/>
        <w:numPr>
          <w:ilvl w:val="0"/>
          <w:numId w:val="6"/>
        </w:numPr>
        <w:tabs>
          <w:tab w:val="left" w:pos="426"/>
        </w:tabs>
        <w:ind w:left="426" w:hanging="426"/>
        <w:jc w:val="both"/>
        <w:rPr>
          <w:rFonts w:ascii="Arial" w:hAnsi="Arial" w:cs="Arial"/>
        </w:rPr>
      </w:pPr>
      <w:r w:rsidRPr="00955982">
        <w:rPr>
          <w:rFonts w:ascii="Arial" w:hAnsi="Arial" w:cs="Arial"/>
        </w:rPr>
        <w:t>Advise the customer the amount of the fee being charged by the Acquirer to justify their action.</w:t>
      </w:r>
    </w:p>
    <w:p w:rsidR="008C7D7E" w:rsidRPr="00955982" w:rsidRDefault="008C7D7E" w:rsidP="008C7D7E">
      <w:pPr>
        <w:tabs>
          <w:tab w:val="left" w:pos="426"/>
        </w:tabs>
        <w:jc w:val="both"/>
        <w:rPr>
          <w:rFonts w:ascii="Arial" w:hAnsi="Arial" w:cs="Arial"/>
          <w:sz w:val="22"/>
          <w:szCs w:val="22"/>
        </w:rPr>
      </w:pPr>
    </w:p>
    <w:p w:rsidR="004B771B" w:rsidRPr="00955982" w:rsidRDefault="004B771B" w:rsidP="008C7D7E">
      <w:pPr>
        <w:tabs>
          <w:tab w:val="left" w:pos="426"/>
        </w:tabs>
        <w:jc w:val="both"/>
        <w:rPr>
          <w:rFonts w:ascii="Arial" w:hAnsi="Arial" w:cs="Arial"/>
          <w:sz w:val="22"/>
          <w:szCs w:val="22"/>
        </w:rPr>
      </w:pPr>
      <w:r w:rsidRPr="00955982">
        <w:rPr>
          <w:rFonts w:ascii="Arial" w:hAnsi="Arial" w:cs="Arial"/>
          <w:sz w:val="22"/>
          <w:szCs w:val="22"/>
        </w:rPr>
        <w:t>Response:</w:t>
      </w:r>
    </w:p>
    <w:p w:rsidR="004B771B" w:rsidRPr="00955982" w:rsidRDefault="004B771B" w:rsidP="008C7D7E">
      <w:pPr>
        <w:tabs>
          <w:tab w:val="left" w:pos="426"/>
        </w:tabs>
        <w:jc w:val="both"/>
        <w:rPr>
          <w:rFonts w:ascii="Arial" w:hAnsi="Arial" w:cs="Arial"/>
          <w:sz w:val="22"/>
          <w:szCs w:val="22"/>
        </w:rPr>
      </w:pPr>
    </w:p>
    <w:p w:rsidR="006E6009" w:rsidRPr="00955982" w:rsidRDefault="00413972" w:rsidP="00F065A1">
      <w:pPr>
        <w:tabs>
          <w:tab w:val="left" w:pos="426"/>
        </w:tabs>
        <w:jc w:val="both"/>
        <w:rPr>
          <w:rFonts w:ascii="Arial" w:eastAsiaTheme="minorHAnsi" w:hAnsi="Arial" w:cs="Arial"/>
          <w:sz w:val="22"/>
          <w:szCs w:val="22"/>
        </w:rPr>
      </w:pPr>
      <w:r w:rsidRPr="00955982">
        <w:rPr>
          <w:rFonts w:ascii="Arial" w:hAnsi="Arial" w:cs="Arial"/>
          <w:sz w:val="22"/>
          <w:szCs w:val="22"/>
        </w:rPr>
        <w:t xml:space="preserve">Whilst this may appear to be an attractive </w:t>
      </w:r>
      <w:r w:rsidR="004B771B" w:rsidRPr="00955982">
        <w:rPr>
          <w:rFonts w:ascii="Arial" w:hAnsi="Arial" w:cs="Arial"/>
          <w:sz w:val="22"/>
          <w:szCs w:val="22"/>
        </w:rPr>
        <w:t>outcome for merchants</w:t>
      </w:r>
      <w:r w:rsidRPr="00955982">
        <w:rPr>
          <w:rFonts w:ascii="Arial" w:hAnsi="Arial" w:cs="Arial"/>
          <w:sz w:val="22"/>
          <w:szCs w:val="22"/>
        </w:rPr>
        <w:t xml:space="preserve">, operationally </w:t>
      </w:r>
      <w:r w:rsidR="008C7D7E" w:rsidRPr="00955982">
        <w:rPr>
          <w:rFonts w:ascii="Arial" w:hAnsi="Arial" w:cs="Arial"/>
          <w:sz w:val="22"/>
          <w:szCs w:val="22"/>
        </w:rPr>
        <w:t>it</w:t>
      </w:r>
      <w:r w:rsidRPr="00955982">
        <w:rPr>
          <w:rFonts w:ascii="Arial" w:hAnsi="Arial" w:cs="Arial"/>
          <w:sz w:val="22"/>
          <w:szCs w:val="22"/>
        </w:rPr>
        <w:t xml:space="preserve"> could prove </w:t>
      </w:r>
      <w:r w:rsidR="008C7D7E" w:rsidRPr="00955982">
        <w:rPr>
          <w:rFonts w:ascii="Arial" w:hAnsi="Arial" w:cs="Arial"/>
          <w:sz w:val="22"/>
          <w:szCs w:val="22"/>
        </w:rPr>
        <w:t xml:space="preserve">to be </w:t>
      </w:r>
      <w:r w:rsidRPr="00955982">
        <w:rPr>
          <w:rFonts w:ascii="Arial" w:hAnsi="Arial" w:cs="Arial"/>
          <w:sz w:val="22"/>
          <w:szCs w:val="22"/>
        </w:rPr>
        <w:t xml:space="preserve">extremely </w:t>
      </w:r>
      <w:r w:rsidRPr="00955982">
        <w:rPr>
          <w:rFonts w:ascii="Arial" w:eastAsia="MS Gothic" w:hAnsi="Arial" w:cs="Arial"/>
          <w:sz w:val="22"/>
          <w:szCs w:val="22"/>
          <w:lang w:val="en-US"/>
        </w:rPr>
        <w:t>complex, impractical and expensive to implement</w:t>
      </w:r>
      <w:r w:rsidR="0032356E" w:rsidRPr="00955982">
        <w:rPr>
          <w:rFonts w:ascii="Arial" w:eastAsia="MS Gothic" w:hAnsi="Arial" w:cs="Arial"/>
          <w:sz w:val="22"/>
          <w:szCs w:val="22"/>
          <w:lang w:val="en-US"/>
        </w:rPr>
        <w:t xml:space="preserve"> – in fact it may not </w:t>
      </w:r>
      <w:r w:rsidR="00F065A1" w:rsidRPr="00955982">
        <w:rPr>
          <w:rFonts w:ascii="Arial" w:eastAsia="MS Gothic" w:hAnsi="Arial" w:cs="Arial"/>
          <w:sz w:val="22"/>
          <w:szCs w:val="22"/>
        </w:rPr>
        <w:t xml:space="preserve">even </w:t>
      </w:r>
      <w:r w:rsidR="0032356E" w:rsidRPr="00955982">
        <w:rPr>
          <w:rFonts w:ascii="Arial" w:eastAsia="MS Gothic" w:hAnsi="Arial" w:cs="Arial"/>
          <w:sz w:val="22"/>
          <w:szCs w:val="22"/>
          <w:lang w:val="en-US"/>
        </w:rPr>
        <w:t>be possible</w:t>
      </w:r>
      <w:r w:rsidRPr="00955982">
        <w:rPr>
          <w:rFonts w:ascii="Arial" w:eastAsia="MS Gothic" w:hAnsi="Arial" w:cs="Arial"/>
          <w:sz w:val="22"/>
          <w:szCs w:val="22"/>
          <w:lang w:val="en-US"/>
        </w:rPr>
        <w:t>. The initial response would be to implement a BIN</w:t>
      </w:r>
      <w:r w:rsidR="006F7A91" w:rsidRPr="00955982">
        <w:rPr>
          <w:rFonts w:ascii="Arial" w:eastAsia="MS Gothic" w:hAnsi="Arial" w:cs="Arial"/>
          <w:sz w:val="22"/>
          <w:szCs w:val="22"/>
          <w:lang w:val="en-US"/>
        </w:rPr>
        <w:t xml:space="preserve"> (Bank Identifier Number)</w:t>
      </w:r>
      <w:r w:rsidRPr="00955982">
        <w:rPr>
          <w:rFonts w:ascii="Arial" w:eastAsia="MS Gothic" w:hAnsi="Arial" w:cs="Arial"/>
          <w:sz w:val="22"/>
          <w:szCs w:val="22"/>
          <w:lang w:val="en-US"/>
        </w:rPr>
        <w:t xml:space="preserve"> “look-up” table at each Acquirer’s switch to try and match the card BIN with the interchange fee applicable. However Issuers are now “upgrading” c</w:t>
      </w:r>
      <w:r w:rsidR="006F7A91" w:rsidRPr="00955982">
        <w:rPr>
          <w:rFonts w:ascii="Arial" w:eastAsia="MS Gothic" w:hAnsi="Arial" w:cs="Arial"/>
          <w:sz w:val="22"/>
          <w:szCs w:val="22"/>
          <w:lang w:val="en-US"/>
        </w:rPr>
        <w:t>lients’</w:t>
      </w:r>
      <w:r w:rsidRPr="00955982">
        <w:rPr>
          <w:rFonts w:ascii="Arial" w:eastAsia="MS Gothic" w:hAnsi="Arial" w:cs="Arial"/>
          <w:sz w:val="22"/>
          <w:szCs w:val="22"/>
          <w:lang w:val="en-US"/>
        </w:rPr>
        <w:t xml:space="preserve"> cards to the next level without changing the card number</w:t>
      </w:r>
      <w:r w:rsidR="006F7A91" w:rsidRPr="00955982">
        <w:rPr>
          <w:rFonts w:ascii="Arial" w:eastAsia="MS Gothic" w:hAnsi="Arial" w:cs="Arial"/>
          <w:sz w:val="22"/>
          <w:szCs w:val="22"/>
          <w:lang w:val="en-US"/>
        </w:rPr>
        <w:t xml:space="preserve"> (and thus the BIN)</w:t>
      </w:r>
      <w:r w:rsidRPr="00955982">
        <w:rPr>
          <w:rFonts w:ascii="Arial" w:eastAsia="MS Gothic" w:hAnsi="Arial" w:cs="Arial"/>
          <w:sz w:val="22"/>
          <w:szCs w:val="22"/>
          <w:lang w:val="en-US"/>
        </w:rPr>
        <w:t xml:space="preserve">, to avoid inconveniencing customers by having them change PINs and Direct Payment authorities. This therefore </w:t>
      </w:r>
      <w:r w:rsidR="00F065A1" w:rsidRPr="00955982">
        <w:rPr>
          <w:rFonts w:ascii="Arial" w:eastAsia="MS Gothic" w:hAnsi="Arial" w:cs="Arial"/>
          <w:sz w:val="22"/>
          <w:szCs w:val="22"/>
          <w:lang w:val="en-US"/>
        </w:rPr>
        <w:t>pro</w:t>
      </w:r>
      <w:r w:rsidR="006E6009" w:rsidRPr="00955982">
        <w:rPr>
          <w:rFonts w:ascii="Arial" w:eastAsia="MS Gothic" w:hAnsi="Arial" w:cs="Arial"/>
          <w:sz w:val="22"/>
          <w:szCs w:val="22"/>
          <w:lang w:val="en-US"/>
        </w:rPr>
        <w:t>hibits</w:t>
      </w:r>
      <w:r w:rsidRPr="00955982">
        <w:rPr>
          <w:rFonts w:ascii="Arial" w:eastAsia="MS Gothic" w:hAnsi="Arial" w:cs="Arial"/>
          <w:sz w:val="22"/>
          <w:szCs w:val="22"/>
          <w:lang w:val="en-US"/>
        </w:rPr>
        <w:t xml:space="preserve"> the ability to use BINs to identify interchange fee levels.</w:t>
      </w:r>
    </w:p>
    <w:p w:rsidR="00413972" w:rsidRPr="00955982" w:rsidRDefault="00413972" w:rsidP="006E6009">
      <w:pPr>
        <w:tabs>
          <w:tab w:val="left" w:pos="426"/>
        </w:tabs>
        <w:jc w:val="both"/>
        <w:rPr>
          <w:rFonts w:ascii="Arial" w:eastAsia="MS Gothic" w:hAnsi="Arial" w:cs="Arial"/>
          <w:sz w:val="22"/>
          <w:szCs w:val="22"/>
        </w:rPr>
      </w:pPr>
      <w:r w:rsidRPr="00955982">
        <w:rPr>
          <w:rFonts w:ascii="Arial" w:eastAsia="MS Gothic" w:hAnsi="Arial" w:cs="Arial"/>
          <w:sz w:val="22"/>
          <w:szCs w:val="22"/>
          <w:lang w:val="en-US"/>
        </w:rPr>
        <w:t xml:space="preserve"> </w:t>
      </w:r>
    </w:p>
    <w:p w:rsidR="008C7D7E" w:rsidRPr="00955982" w:rsidRDefault="004B771B" w:rsidP="008C7D7E">
      <w:pPr>
        <w:jc w:val="both"/>
        <w:rPr>
          <w:rFonts w:ascii="Arial" w:hAnsi="Arial" w:cs="Arial"/>
          <w:sz w:val="22"/>
          <w:szCs w:val="22"/>
        </w:rPr>
      </w:pPr>
      <w:r w:rsidRPr="00955982">
        <w:rPr>
          <w:rFonts w:ascii="Arial" w:hAnsi="Arial" w:cs="Arial"/>
          <w:sz w:val="22"/>
          <w:szCs w:val="22"/>
        </w:rPr>
        <w:t>Another complication is</w:t>
      </w:r>
      <w:r w:rsidR="008C7D7E" w:rsidRPr="00955982">
        <w:rPr>
          <w:rFonts w:ascii="Arial" w:hAnsi="Arial" w:cs="Arial"/>
          <w:sz w:val="22"/>
          <w:szCs w:val="22"/>
        </w:rPr>
        <w:t xml:space="preserve"> the growing number of “contactless” cards where the transaction generally occurs immediately </w:t>
      </w:r>
      <w:r w:rsidRPr="00955982">
        <w:rPr>
          <w:rFonts w:ascii="Arial" w:hAnsi="Arial" w:cs="Arial"/>
          <w:sz w:val="22"/>
          <w:szCs w:val="22"/>
        </w:rPr>
        <w:t>(in cases of transactions under $100). This means that the transaction occurs</w:t>
      </w:r>
      <w:r w:rsidR="008C7D7E" w:rsidRPr="00955982">
        <w:rPr>
          <w:rFonts w:ascii="Arial" w:hAnsi="Arial" w:cs="Arial"/>
          <w:sz w:val="22"/>
          <w:szCs w:val="22"/>
        </w:rPr>
        <w:t xml:space="preserve"> before any contact can be made with the Acquirer’s switch to interrogate any tables etc. </w:t>
      </w:r>
    </w:p>
    <w:p w:rsidR="008C7D7E" w:rsidRPr="00955982" w:rsidRDefault="008C7D7E" w:rsidP="006E6009">
      <w:pPr>
        <w:tabs>
          <w:tab w:val="left" w:pos="426"/>
        </w:tabs>
        <w:jc w:val="both"/>
        <w:rPr>
          <w:rFonts w:ascii="Arial" w:hAnsi="Arial" w:cs="Arial"/>
          <w:sz w:val="22"/>
          <w:szCs w:val="22"/>
        </w:rPr>
      </w:pPr>
    </w:p>
    <w:p w:rsidR="00130041" w:rsidRPr="00955982" w:rsidRDefault="00130041" w:rsidP="00130041">
      <w:pPr>
        <w:jc w:val="both"/>
        <w:rPr>
          <w:rFonts w:ascii="Arial" w:hAnsi="Arial" w:cs="Arial"/>
          <w:sz w:val="22"/>
          <w:szCs w:val="22"/>
        </w:rPr>
      </w:pPr>
      <w:r w:rsidRPr="00955982">
        <w:rPr>
          <w:rFonts w:ascii="Arial" w:hAnsi="Arial" w:cs="Arial"/>
          <w:sz w:val="22"/>
          <w:szCs w:val="22"/>
        </w:rPr>
        <w:lastRenderedPageBreak/>
        <w:t>Background:</w:t>
      </w:r>
    </w:p>
    <w:p w:rsidR="00130041" w:rsidRPr="00955982" w:rsidRDefault="00130041" w:rsidP="006E6009">
      <w:pPr>
        <w:tabs>
          <w:tab w:val="left" w:pos="426"/>
        </w:tabs>
        <w:jc w:val="both"/>
        <w:rPr>
          <w:rFonts w:ascii="Arial" w:hAnsi="Arial" w:cs="Arial"/>
          <w:sz w:val="22"/>
          <w:szCs w:val="22"/>
        </w:rPr>
      </w:pPr>
    </w:p>
    <w:p w:rsidR="006269F2" w:rsidRPr="00955982" w:rsidRDefault="00130041" w:rsidP="006269F2">
      <w:pPr>
        <w:tabs>
          <w:tab w:val="left" w:pos="426"/>
        </w:tabs>
        <w:jc w:val="both"/>
        <w:rPr>
          <w:rFonts w:ascii="Arial" w:hAnsi="Arial" w:cs="Arial"/>
          <w:sz w:val="22"/>
          <w:szCs w:val="22"/>
        </w:rPr>
      </w:pPr>
      <w:r w:rsidRPr="00955982">
        <w:rPr>
          <w:rFonts w:ascii="Arial" w:hAnsi="Arial" w:cs="Arial"/>
          <w:sz w:val="22"/>
          <w:szCs w:val="22"/>
        </w:rPr>
        <w:t xml:space="preserve">The Payments System Board (PSB) </w:t>
      </w:r>
      <w:r w:rsidR="006269F2" w:rsidRPr="00955982">
        <w:rPr>
          <w:rFonts w:ascii="Arial" w:hAnsi="Arial" w:cs="Arial"/>
          <w:sz w:val="22"/>
          <w:szCs w:val="22"/>
        </w:rPr>
        <w:t xml:space="preserve">suggested that merchants should be offered </w:t>
      </w:r>
      <w:r w:rsidR="006E6009" w:rsidRPr="00955982">
        <w:rPr>
          <w:rFonts w:ascii="Arial" w:hAnsi="Arial" w:cs="Arial"/>
          <w:sz w:val="22"/>
          <w:szCs w:val="22"/>
        </w:rPr>
        <w:t>pricing and billing that separately shows the interchange fee and merchant service charges that apply to each brand and category of cards</w:t>
      </w:r>
      <w:r w:rsidR="006269F2" w:rsidRPr="00955982">
        <w:rPr>
          <w:rFonts w:ascii="Arial" w:hAnsi="Arial" w:cs="Arial"/>
          <w:sz w:val="22"/>
          <w:szCs w:val="22"/>
        </w:rPr>
        <w:t>.</w:t>
      </w:r>
    </w:p>
    <w:p w:rsidR="006269F2" w:rsidRPr="00955982" w:rsidRDefault="006269F2" w:rsidP="006269F2">
      <w:pPr>
        <w:tabs>
          <w:tab w:val="left" w:pos="426"/>
        </w:tabs>
        <w:jc w:val="both"/>
        <w:rPr>
          <w:rFonts w:ascii="Arial" w:hAnsi="Arial" w:cs="Arial"/>
          <w:sz w:val="22"/>
          <w:szCs w:val="22"/>
        </w:rPr>
      </w:pPr>
    </w:p>
    <w:p w:rsidR="006269F2" w:rsidRPr="00955982" w:rsidRDefault="006269F2" w:rsidP="006269F2">
      <w:pPr>
        <w:tabs>
          <w:tab w:val="left" w:pos="426"/>
        </w:tabs>
        <w:jc w:val="both"/>
        <w:rPr>
          <w:rFonts w:ascii="Arial" w:hAnsi="Arial" w:cs="Arial"/>
          <w:sz w:val="22"/>
          <w:szCs w:val="22"/>
        </w:rPr>
      </w:pPr>
      <w:r w:rsidRPr="00955982">
        <w:rPr>
          <w:rFonts w:ascii="Arial" w:hAnsi="Arial" w:cs="Arial"/>
          <w:sz w:val="22"/>
          <w:szCs w:val="22"/>
        </w:rPr>
        <w:t>Response:</w:t>
      </w:r>
    </w:p>
    <w:p w:rsidR="006269F2" w:rsidRPr="00955982" w:rsidRDefault="006269F2" w:rsidP="006269F2">
      <w:pPr>
        <w:tabs>
          <w:tab w:val="left" w:pos="426"/>
        </w:tabs>
        <w:jc w:val="both"/>
        <w:rPr>
          <w:rFonts w:ascii="Arial" w:hAnsi="Arial" w:cs="Arial"/>
          <w:sz w:val="22"/>
          <w:szCs w:val="22"/>
        </w:rPr>
      </w:pPr>
    </w:p>
    <w:p w:rsidR="006E6009" w:rsidRPr="00955982" w:rsidRDefault="006F7A91" w:rsidP="006269F2">
      <w:pPr>
        <w:tabs>
          <w:tab w:val="left" w:pos="426"/>
        </w:tabs>
        <w:jc w:val="both"/>
        <w:rPr>
          <w:rFonts w:ascii="Arial" w:hAnsi="Arial" w:cs="Arial"/>
          <w:sz w:val="22"/>
          <w:szCs w:val="22"/>
        </w:rPr>
      </w:pPr>
      <w:r w:rsidRPr="00955982">
        <w:rPr>
          <w:rFonts w:ascii="Arial" w:hAnsi="Arial" w:cs="Arial"/>
          <w:sz w:val="22"/>
          <w:szCs w:val="22"/>
        </w:rPr>
        <w:t xml:space="preserve">A number of Acquirers already offer </w:t>
      </w:r>
      <w:r w:rsidR="006E6009" w:rsidRPr="00955982">
        <w:rPr>
          <w:rFonts w:ascii="Arial" w:hAnsi="Arial" w:cs="Arial"/>
          <w:sz w:val="22"/>
          <w:szCs w:val="22"/>
        </w:rPr>
        <w:t>the “interchange plus” fee</w:t>
      </w:r>
      <w:r w:rsidRPr="00955982">
        <w:rPr>
          <w:rFonts w:ascii="Arial" w:hAnsi="Arial" w:cs="Arial"/>
          <w:sz w:val="22"/>
          <w:szCs w:val="22"/>
        </w:rPr>
        <w:t xml:space="preserve"> option, which provides merchants with transparency “after-the-fact” </w:t>
      </w:r>
      <w:proofErr w:type="spellStart"/>
      <w:r w:rsidRPr="00955982">
        <w:rPr>
          <w:rFonts w:ascii="Arial" w:hAnsi="Arial" w:cs="Arial"/>
          <w:sz w:val="22"/>
          <w:szCs w:val="22"/>
        </w:rPr>
        <w:t>ie</w:t>
      </w:r>
      <w:proofErr w:type="spellEnd"/>
      <w:r w:rsidRPr="00955982">
        <w:rPr>
          <w:rFonts w:ascii="Arial" w:hAnsi="Arial" w:cs="Arial"/>
          <w:sz w:val="22"/>
          <w:szCs w:val="22"/>
        </w:rPr>
        <w:t xml:space="preserve"> after the transaction has been effected. First Data believes that this option should be available to merchants but believe</w:t>
      </w:r>
      <w:r w:rsidR="006269F2" w:rsidRPr="00955982">
        <w:rPr>
          <w:rFonts w:ascii="Arial" w:hAnsi="Arial" w:cs="Arial"/>
          <w:sz w:val="22"/>
          <w:szCs w:val="22"/>
        </w:rPr>
        <w:t>s</w:t>
      </w:r>
      <w:r w:rsidRPr="00955982">
        <w:rPr>
          <w:rFonts w:ascii="Arial" w:hAnsi="Arial" w:cs="Arial"/>
          <w:sz w:val="22"/>
          <w:szCs w:val="22"/>
        </w:rPr>
        <w:t xml:space="preserve"> that </w:t>
      </w:r>
      <w:r w:rsidR="006269F2" w:rsidRPr="00955982">
        <w:rPr>
          <w:rFonts w:ascii="Arial" w:hAnsi="Arial" w:cs="Arial"/>
          <w:sz w:val="22"/>
          <w:szCs w:val="22"/>
        </w:rPr>
        <w:t xml:space="preserve">other fee options such as “blended rates” should be available according to merchant preferences. </w:t>
      </w:r>
    </w:p>
    <w:p w:rsidR="006C4405" w:rsidRPr="00955982" w:rsidRDefault="006C4405" w:rsidP="006C4405">
      <w:pPr>
        <w:jc w:val="both"/>
        <w:rPr>
          <w:rFonts w:ascii="Arial" w:hAnsi="Arial" w:cs="Arial"/>
          <w:sz w:val="22"/>
          <w:szCs w:val="22"/>
        </w:rPr>
      </w:pPr>
    </w:p>
    <w:p w:rsidR="006269F2" w:rsidRPr="00955982" w:rsidRDefault="00DC1517" w:rsidP="00DC1517">
      <w:pPr>
        <w:tabs>
          <w:tab w:val="left" w:pos="567"/>
        </w:tabs>
        <w:spacing w:line="260" w:lineRule="exact"/>
        <w:jc w:val="both"/>
        <w:outlineLvl w:val="0"/>
        <w:rPr>
          <w:rFonts w:ascii="Arial" w:hAnsi="Arial" w:cs="Arial"/>
          <w:i/>
          <w:sz w:val="22"/>
          <w:szCs w:val="22"/>
        </w:rPr>
      </w:pPr>
      <w:r w:rsidRPr="00955982">
        <w:rPr>
          <w:rFonts w:ascii="Arial" w:hAnsi="Arial" w:cs="Arial"/>
          <w:i/>
          <w:sz w:val="22"/>
          <w:szCs w:val="22"/>
        </w:rPr>
        <w:t>Excessive Surcharging</w:t>
      </w:r>
    </w:p>
    <w:p w:rsidR="006269F2" w:rsidRPr="00955982" w:rsidRDefault="006269F2" w:rsidP="00DC1517">
      <w:pPr>
        <w:tabs>
          <w:tab w:val="left" w:pos="567"/>
        </w:tabs>
        <w:spacing w:line="260" w:lineRule="exact"/>
        <w:jc w:val="both"/>
        <w:outlineLvl w:val="0"/>
        <w:rPr>
          <w:rFonts w:ascii="Arial" w:hAnsi="Arial" w:cs="Arial"/>
          <w:i/>
          <w:sz w:val="22"/>
          <w:szCs w:val="22"/>
        </w:rPr>
      </w:pPr>
    </w:p>
    <w:p w:rsidR="006269F2" w:rsidRPr="00955982" w:rsidRDefault="006269F2" w:rsidP="00DC1517">
      <w:pPr>
        <w:tabs>
          <w:tab w:val="left" w:pos="567"/>
        </w:tabs>
        <w:spacing w:line="260" w:lineRule="exact"/>
        <w:jc w:val="both"/>
        <w:outlineLvl w:val="0"/>
        <w:rPr>
          <w:rFonts w:ascii="Arial" w:hAnsi="Arial" w:cs="Arial"/>
          <w:sz w:val="22"/>
          <w:szCs w:val="22"/>
        </w:rPr>
      </w:pPr>
      <w:r w:rsidRPr="00955982">
        <w:rPr>
          <w:rFonts w:ascii="Arial" w:hAnsi="Arial" w:cs="Arial"/>
          <w:sz w:val="22"/>
          <w:szCs w:val="22"/>
        </w:rPr>
        <w:t>Background:</w:t>
      </w:r>
    </w:p>
    <w:p w:rsidR="006269F2" w:rsidRPr="00955982" w:rsidRDefault="006269F2" w:rsidP="00DC1517">
      <w:pPr>
        <w:tabs>
          <w:tab w:val="left" w:pos="567"/>
        </w:tabs>
        <w:spacing w:line="260" w:lineRule="exact"/>
        <w:jc w:val="both"/>
        <w:outlineLvl w:val="0"/>
        <w:rPr>
          <w:rFonts w:ascii="Arial" w:hAnsi="Arial" w:cs="Arial"/>
          <w:i/>
          <w:sz w:val="22"/>
          <w:szCs w:val="22"/>
        </w:rPr>
      </w:pPr>
    </w:p>
    <w:p w:rsidR="00DC1517" w:rsidRPr="00955982" w:rsidRDefault="00DC1517" w:rsidP="00DC1517">
      <w:pPr>
        <w:tabs>
          <w:tab w:val="left" w:pos="567"/>
        </w:tabs>
        <w:spacing w:line="260" w:lineRule="exact"/>
        <w:jc w:val="both"/>
        <w:outlineLvl w:val="0"/>
        <w:rPr>
          <w:rFonts w:ascii="Arial" w:hAnsi="Arial" w:cs="Arial"/>
          <w:sz w:val="22"/>
          <w:szCs w:val="22"/>
        </w:rPr>
      </w:pPr>
      <w:r w:rsidRPr="00955982">
        <w:rPr>
          <w:rFonts w:ascii="Arial" w:hAnsi="Arial" w:cs="Arial"/>
          <w:bCs/>
          <w:sz w:val="22"/>
          <w:szCs w:val="22"/>
        </w:rPr>
        <w:t>A tiered surcharging system has been suggested</w:t>
      </w:r>
      <w:r w:rsidR="006269F2" w:rsidRPr="00955982">
        <w:rPr>
          <w:rFonts w:ascii="Arial" w:hAnsi="Arial" w:cs="Arial"/>
          <w:bCs/>
          <w:sz w:val="22"/>
          <w:szCs w:val="22"/>
        </w:rPr>
        <w:t xml:space="preserve"> as an option</w:t>
      </w:r>
      <w:r w:rsidRPr="00955982">
        <w:rPr>
          <w:rFonts w:ascii="Arial" w:hAnsi="Arial" w:cs="Arial"/>
          <w:bCs/>
          <w:sz w:val="22"/>
          <w:szCs w:val="22"/>
        </w:rPr>
        <w:t xml:space="preserve"> to stop excessive surcharging by merchants, allowing low-cost system providers to prevent merchants from surcharging, medium-cost providers to limit surcharges to limits set by the PSB and high-cost providers to limit surcharges to the reasonable cost of acceptance. The Bank may target particular cases of excessive surcharging (</w:t>
      </w:r>
      <w:proofErr w:type="spellStart"/>
      <w:r w:rsidRPr="00955982">
        <w:rPr>
          <w:rFonts w:ascii="Arial" w:hAnsi="Arial" w:cs="Arial"/>
          <w:bCs/>
          <w:sz w:val="22"/>
          <w:szCs w:val="22"/>
        </w:rPr>
        <w:t>eg</w:t>
      </w:r>
      <w:proofErr w:type="spellEnd"/>
      <w:r w:rsidRPr="00955982">
        <w:rPr>
          <w:rFonts w:ascii="Arial" w:hAnsi="Arial" w:cs="Arial"/>
          <w:bCs/>
          <w:sz w:val="22"/>
          <w:szCs w:val="22"/>
        </w:rPr>
        <w:t xml:space="preserve"> Taxis and airlines) through </w:t>
      </w:r>
      <w:r w:rsidRPr="00955982">
        <w:rPr>
          <w:rFonts w:ascii="Arial" w:hAnsi="Arial" w:cs="Arial"/>
          <w:sz w:val="22"/>
          <w:szCs w:val="22"/>
        </w:rPr>
        <w:t xml:space="preserve">modifying its surcharging Standard to allow schemes to cap any surcharges that are not percentage-based at some low fixed-dollar amount. </w:t>
      </w:r>
    </w:p>
    <w:p w:rsidR="006269F2" w:rsidRPr="00955982" w:rsidRDefault="006269F2" w:rsidP="00DC1517">
      <w:pPr>
        <w:tabs>
          <w:tab w:val="left" w:pos="567"/>
        </w:tabs>
        <w:spacing w:line="260" w:lineRule="exact"/>
        <w:jc w:val="both"/>
        <w:outlineLvl w:val="0"/>
        <w:rPr>
          <w:rFonts w:ascii="Arial" w:hAnsi="Arial" w:cs="Arial"/>
          <w:sz w:val="22"/>
          <w:szCs w:val="22"/>
        </w:rPr>
      </w:pPr>
    </w:p>
    <w:p w:rsidR="006269F2" w:rsidRPr="00955982" w:rsidRDefault="006269F2" w:rsidP="00DC1517">
      <w:pPr>
        <w:tabs>
          <w:tab w:val="left" w:pos="567"/>
        </w:tabs>
        <w:spacing w:line="260" w:lineRule="exact"/>
        <w:jc w:val="both"/>
        <w:outlineLvl w:val="0"/>
        <w:rPr>
          <w:rFonts w:ascii="Arial" w:hAnsi="Arial" w:cs="Arial"/>
          <w:sz w:val="22"/>
          <w:szCs w:val="22"/>
        </w:rPr>
      </w:pPr>
      <w:r w:rsidRPr="00955982">
        <w:rPr>
          <w:rFonts w:ascii="Arial" w:hAnsi="Arial" w:cs="Arial"/>
          <w:sz w:val="22"/>
          <w:szCs w:val="22"/>
        </w:rPr>
        <w:t>Response:</w:t>
      </w:r>
    </w:p>
    <w:p w:rsidR="00DC1517" w:rsidRPr="00955982" w:rsidRDefault="00DC1517" w:rsidP="00DC1517">
      <w:pPr>
        <w:tabs>
          <w:tab w:val="left" w:pos="567"/>
        </w:tabs>
        <w:spacing w:line="260" w:lineRule="exact"/>
        <w:jc w:val="both"/>
        <w:outlineLvl w:val="0"/>
        <w:rPr>
          <w:rFonts w:ascii="Arial" w:hAnsi="Arial" w:cs="Arial"/>
          <w:sz w:val="22"/>
          <w:szCs w:val="22"/>
        </w:rPr>
      </w:pPr>
    </w:p>
    <w:p w:rsidR="00916E92" w:rsidRPr="00955982" w:rsidRDefault="00DC1517" w:rsidP="00DC1517">
      <w:pPr>
        <w:tabs>
          <w:tab w:val="left" w:pos="567"/>
        </w:tabs>
        <w:spacing w:line="260" w:lineRule="exact"/>
        <w:jc w:val="both"/>
        <w:outlineLvl w:val="0"/>
        <w:rPr>
          <w:rFonts w:ascii="Arial" w:hAnsi="Arial" w:cs="Arial"/>
          <w:sz w:val="22"/>
          <w:szCs w:val="22"/>
        </w:rPr>
      </w:pPr>
      <w:r w:rsidRPr="00955982">
        <w:rPr>
          <w:rFonts w:ascii="Arial" w:hAnsi="Arial" w:cs="Arial"/>
          <w:sz w:val="22"/>
          <w:szCs w:val="22"/>
        </w:rPr>
        <w:t xml:space="preserve">First Data believes that implementation of a tiered surcharging system would add complexity to this vexed issue and in addition to being difficult to implement, it would also be very difficult to monitor. If, as it appears, there are only a few industries that are attracting criticism </w:t>
      </w:r>
      <w:r w:rsidR="006269F2" w:rsidRPr="00955982">
        <w:rPr>
          <w:rFonts w:ascii="Arial" w:hAnsi="Arial" w:cs="Arial"/>
          <w:sz w:val="22"/>
          <w:szCs w:val="22"/>
        </w:rPr>
        <w:t>for</w:t>
      </w:r>
      <w:r w:rsidRPr="00955982">
        <w:rPr>
          <w:rFonts w:ascii="Arial" w:hAnsi="Arial" w:cs="Arial"/>
          <w:sz w:val="22"/>
          <w:szCs w:val="22"/>
        </w:rPr>
        <w:t xml:space="preserve"> excessive surcharging, it may be more efficient to simply target those industries </w:t>
      </w:r>
      <w:r w:rsidR="00074EA9" w:rsidRPr="00955982">
        <w:rPr>
          <w:rFonts w:ascii="Arial" w:hAnsi="Arial" w:cs="Arial"/>
          <w:sz w:val="22"/>
          <w:szCs w:val="22"/>
        </w:rPr>
        <w:t>as suggested.</w:t>
      </w:r>
      <w:r w:rsidR="00916E92" w:rsidRPr="00955982">
        <w:rPr>
          <w:rFonts w:ascii="Arial" w:hAnsi="Arial" w:cs="Arial"/>
          <w:sz w:val="22"/>
          <w:szCs w:val="22"/>
        </w:rPr>
        <w:t xml:space="preserve"> </w:t>
      </w:r>
    </w:p>
    <w:p w:rsidR="00916E92" w:rsidRPr="00955982" w:rsidRDefault="00916E92" w:rsidP="00DC1517">
      <w:pPr>
        <w:tabs>
          <w:tab w:val="left" w:pos="567"/>
        </w:tabs>
        <w:spacing w:line="260" w:lineRule="exact"/>
        <w:jc w:val="both"/>
        <w:outlineLvl w:val="0"/>
        <w:rPr>
          <w:rFonts w:ascii="Arial" w:hAnsi="Arial" w:cs="Arial"/>
          <w:sz w:val="22"/>
          <w:szCs w:val="22"/>
        </w:rPr>
      </w:pPr>
    </w:p>
    <w:p w:rsidR="00DC1517" w:rsidRPr="00955982" w:rsidRDefault="00916E92" w:rsidP="00DC1517">
      <w:pPr>
        <w:tabs>
          <w:tab w:val="left" w:pos="567"/>
        </w:tabs>
        <w:spacing w:line="260" w:lineRule="exact"/>
        <w:jc w:val="both"/>
        <w:outlineLvl w:val="0"/>
        <w:rPr>
          <w:rFonts w:ascii="Arial" w:eastAsia="MS Gothic" w:hAnsi="Arial" w:cs="Arial"/>
          <w:sz w:val="22"/>
          <w:szCs w:val="22"/>
        </w:rPr>
      </w:pPr>
      <w:r w:rsidRPr="00955982">
        <w:rPr>
          <w:rFonts w:ascii="Arial" w:hAnsi="Arial" w:cs="Arial"/>
          <w:sz w:val="22"/>
          <w:szCs w:val="22"/>
        </w:rPr>
        <w:t xml:space="preserve">As card schemes and some Acquirers </w:t>
      </w:r>
      <w:r w:rsidR="00775772" w:rsidRPr="00955982">
        <w:rPr>
          <w:rFonts w:ascii="Arial" w:hAnsi="Arial" w:cs="Arial"/>
          <w:sz w:val="22"/>
          <w:szCs w:val="22"/>
        </w:rPr>
        <w:t>appear to</w:t>
      </w:r>
      <w:r w:rsidRPr="00955982">
        <w:rPr>
          <w:rFonts w:ascii="Arial" w:hAnsi="Arial" w:cs="Arial"/>
          <w:sz w:val="22"/>
          <w:szCs w:val="22"/>
        </w:rPr>
        <w:t xml:space="preserve"> </w:t>
      </w:r>
      <w:r w:rsidR="00DC1517" w:rsidRPr="00955982">
        <w:rPr>
          <w:rFonts w:ascii="Arial" w:eastAsia="MS Gothic" w:hAnsi="Arial" w:cs="Arial"/>
          <w:sz w:val="22"/>
          <w:szCs w:val="22"/>
        </w:rPr>
        <w:t xml:space="preserve">have been reticent </w:t>
      </w:r>
      <w:r w:rsidRPr="00955982">
        <w:rPr>
          <w:rFonts w:ascii="Arial" w:eastAsia="MS Gothic" w:hAnsi="Arial" w:cs="Arial"/>
          <w:sz w:val="22"/>
          <w:szCs w:val="22"/>
        </w:rPr>
        <w:t>in</w:t>
      </w:r>
      <w:r w:rsidR="00DC1517" w:rsidRPr="00955982">
        <w:rPr>
          <w:rFonts w:ascii="Arial" w:eastAsia="MS Gothic" w:hAnsi="Arial" w:cs="Arial"/>
          <w:sz w:val="22"/>
          <w:szCs w:val="22"/>
        </w:rPr>
        <w:t xml:space="preserve"> impos</w:t>
      </w:r>
      <w:r w:rsidRPr="00955982">
        <w:rPr>
          <w:rFonts w:ascii="Arial" w:eastAsia="MS Gothic" w:hAnsi="Arial" w:cs="Arial"/>
          <w:sz w:val="22"/>
          <w:szCs w:val="22"/>
        </w:rPr>
        <w:t>ing the current surcharging restrictions</w:t>
      </w:r>
      <w:r w:rsidR="00DC1517" w:rsidRPr="00955982">
        <w:rPr>
          <w:rFonts w:ascii="Arial" w:eastAsia="MS Gothic" w:hAnsi="Arial" w:cs="Arial"/>
          <w:sz w:val="22"/>
          <w:szCs w:val="22"/>
        </w:rPr>
        <w:t xml:space="preserve"> due to possible loss of large, profitable merchants</w:t>
      </w:r>
      <w:r w:rsidRPr="00955982">
        <w:rPr>
          <w:rFonts w:ascii="Arial" w:eastAsia="MS Gothic" w:hAnsi="Arial" w:cs="Arial"/>
          <w:sz w:val="22"/>
          <w:szCs w:val="22"/>
        </w:rPr>
        <w:t>, it may be necessary for more direct involvement from the Bank to ensure that this approach is successful.</w:t>
      </w:r>
    </w:p>
    <w:p w:rsidR="00775772" w:rsidRPr="00955982" w:rsidRDefault="00775772" w:rsidP="00DC1517">
      <w:pPr>
        <w:tabs>
          <w:tab w:val="left" w:pos="567"/>
        </w:tabs>
        <w:spacing w:line="260" w:lineRule="exact"/>
        <w:jc w:val="both"/>
        <w:outlineLvl w:val="0"/>
        <w:rPr>
          <w:rFonts w:ascii="Arial" w:eastAsia="MS Gothic" w:hAnsi="Arial" w:cs="Arial"/>
          <w:sz w:val="22"/>
          <w:szCs w:val="22"/>
        </w:rPr>
      </w:pPr>
    </w:p>
    <w:p w:rsidR="008A133F" w:rsidRPr="00955982" w:rsidRDefault="008A133F" w:rsidP="00775772">
      <w:pPr>
        <w:jc w:val="both"/>
        <w:rPr>
          <w:rFonts w:ascii="Arial" w:hAnsi="Arial" w:cs="Arial"/>
          <w:i/>
          <w:sz w:val="22"/>
          <w:szCs w:val="22"/>
        </w:rPr>
      </w:pPr>
      <w:r w:rsidRPr="00955982">
        <w:rPr>
          <w:rFonts w:ascii="Arial" w:hAnsi="Arial" w:cs="Arial"/>
          <w:i/>
          <w:sz w:val="22"/>
          <w:szCs w:val="22"/>
        </w:rPr>
        <w:t>Merchant ability to choose transaction routing options</w:t>
      </w:r>
    </w:p>
    <w:p w:rsidR="008A133F" w:rsidRPr="00955982" w:rsidRDefault="008A133F" w:rsidP="00775772">
      <w:pPr>
        <w:jc w:val="both"/>
        <w:rPr>
          <w:rFonts w:ascii="Arial" w:hAnsi="Arial" w:cs="Arial"/>
          <w:sz w:val="22"/>
          <w:szCs w:val="22"/>
        </w:rPr>
      </w:pPr>
    </w:p>
    <w:p w:rsidR="008A133F" w:rsidRPr="00955982" w:rsidRDefault="008A133F" w:rsidP="00775772">
      <w:pPr>
        <w:jc w:val="both"/>
        <w:rPr>
          <w:rFonts w:ascii="Arial" w:hAnsi="Arial" w:cs="Arial"/>
          <w:sz w:val="22"/>
          <w:szCs w:val="22"/>
        </w:rPr>
      </w:pPr>
      <w:r w:rsidRPr="00955982">
        <w:rPr>
          <w:rFonts w:ascii="Arial" w:hAnsi="Arial" w:cs="Arial"/>
          <w:sz w:val="22"/>
          <w:szCs w:val="22"/>
        </w:rPr>
        <w:t>Background:</w:t>
      </w:r>
    </w:p>
    <w:p w:rsidR="008A133F" w:rsidRPr="00955982" w:rsidRDefault="008A133F" w:rsidP="00775772">
      <w:pPr>
        <w:jc w:val="both"/>
        <w:rPr>
          <w:rFonts w:ascii="Arial" w:hAnsi="Arial" w:cs="Arial"/>
          <w:sz w:val="22"/>
          <w:szCs w:val="22"/>
        </w:rPr>
      </w:pPr>
    </w:p>
    <w:p w:rsidR="008A133F" w:rsidRPr="00955982" w:rsidRDefault="00775772" w:rsidP="00775772">
      <w:pPr>
        <w:jc w:val="both"/>
        <w:rPr>
          <w:rFonts w:ascii="Arial" w:hAnsi="Arial" w:cs="Arial"/>
          <w:sz w:val="22"/>
          <w:szCs w:val="22"/>
        </w:rPr>
      </w:pPr>
      <w:r w:rsidRPr="00955982">
        <w:rPr>
          <w:rFonts w:ascii="Arial" w:hAnsi="Arial" w:cs="Arial"/>
          <w:sz w:val="22"/>
          <w:szCs w:val="22"/>
        </w:rPr>
        <w:t>The Bank’s paper suggests that merchants should be allowed to choose which network they use to route transactions (</w:t>
      </w:r>
      <w:r w:rsidR="008A133F" w:rsidRPr="00955982">
        <w:rPr>
          <w:rFonts w:ascii="Arial" w:hAnsi="Arial" w:cs="Arial"/>
          <w:sz w:val="22"/>
          <w:szCs w:val="22"/>
        </w:rPr>
        <w:t>usuall</w:t>
      </w:r>
      <w:r w:rsidRPr="00955982">
        <w:rPr>
          <w:rFonts w:ascii="Arial" w:hAnsi="Arial" w:cs="Arial"/>
          <w:sz w:val="22"/>
          <w:szCs w:val="22"/>
        </w:rPr>
        <w:t>y based on cost)</w:t>
      </w:r>
      <w:r w:rsidR="00DE4BF3">
        <w:rPr>
          <w:rFonts w:ascii="Arial" w:hAnsi="Arial" w:cs="Arial"/>
          <w:sz w:val="22"/>
          <w:szCs w:val="22"/>
        </w:rPr>
        <w:t>.</w:t>
      </w:r>
      <w:r w:rsidRPr="00955982">
        <w:rPr>
          <w:rFonts w:ascii="Arial" w:hAnsi="Arial" w:cs="Arial"/>
          <w:sz w:val="22"/>
          <w:szCs w:val="22"/>
        </w:rPr>
        <w:t xml:space="preserve"> </w:t>
      </w:r>
    </w:p>
    <w:p w:rsidR="008A133F" w:rsidRPr="00955982" w:rsidRDefault="008A133F" w:rsidP="00775772">
      <w:pPr>
        <w:jc w:val="both"/>
        <w:rPr>
          <w:rFonts w:ascii="Arial" w:hAnsi="Arial" w:cs="Arial"/>
          <w:sz w:val="22"/>
          <w:szCs w:val="22"/>
        </w:rPr>
      </w:pPr>
    </w:p>
    <w:p w:rsidR="008A133F" w:rsidRPr="00955982" w:rsidRDefault="008A133F" w:rsidP="00775772">
      <w:pPr>
        <w:jc w:val="both"/>
        <w:rPr>
          <w:rFonts w:ascii="Arial" w:hAnsi="Arial" w:cs="Arial"/>
          <w:sz w:val="22"/>
          <w:szCs w:val="22"/>
        </w:rPr>
      </w:pPr>
      <w:r w:rsidRPr="00955982">
        <w:rPr>
          <w:rFonts w:ascii="Arial" w:hAnsi="Arial" w:cs="Arial"/>
          <w:sz w:val="22"/>
          <w:szCs w:val="22"/>
        </w:rPr>
        <w:t>Response:</w:t>
      </w:r>
    </w:p>
    <w:p w:rsidR="008A133F" w:rsidRPr="00955982" w:rsidRDefault="008A133F" w:rsidP="00775772">
      <w:pPr>
        <w:jc w:val="both"/>
        <w:rPr>
          <w:rFonts w:ascii="Arial" w:hAnsi="Arial" w:cs="Arial"/>
          <w:sz w:val="22"/>
          <w:szCs w:val="22"/>
        </w:rPr>
      </w:pPr>
    </w:p>
    <w:p w:rsidR="00775772" w:rsidRPr="00955982" w:rsidRDefault="00775772" w:rsidP="00775772">
      <w:pPr>
        <w:jc w:val="both"/>
        <w:rPr>
          <w:rFonts w:ascii="Arial" w:hAnsi="Arial" w:cs="Arial"/>
          <w:sz w:val="22"/>
          <w:szCs w:val="22"/>
        </w:rPr>
      </w:pPr>
      <w:r w:rsidRPr="00955982">
        <w:rPr>
          <w:rFonts w:ascii="Arial" w:hAnsi="Arial" w:cs="Arial"/>
          <w:sz w:val="22"/>
          <w:szCs w:val="22"/>
        </w:rPr>
        <w:t xml:space="preserve">First Data is not opposed to merchants choosing </w:t>
      </w:r>
      <w:r w:rsidR="001455DD" w:rsidRPr="00955982">
        <w:rPr>
          <w:rFonts w:ascii="Arial" w:hAnsi="Arial" w:cs="Arial"/>
          <w:sz w:val="22"/>
          <w:szCs w:val="22"/>
        </w:rPr>
        <w:t>which network to use, but equally believes that the cardholder may wish to have this choice</w:t>
      </w:r>
      <w:r w:rsidR="00DE4BF3">
        <w:rPr>
          <w:rFonts w:ascii="Arial" w:hAnsi="Arial" w:cs="Arial"/>
          <w:sz w:val="22"/>
          <w:szCs w:val="22"/>
        </w:rPr>
        <w:t xml:space="preserve">. The cardholder chooses a payment card and pays for payment card functionality. The networks offer differing payment limits as well as differing terms and conditions for refunds which an informed cardholder may want to make use of by choosing the network at the point of sale. The routing choice may </w:t>
      </w:r>
      <w:r w:rsidR="00BC6A3A">
        <w:rPr>
          <w:rFonts w:ascii="Arial" w:hAnsi="Arial" w:cs="Arial"/>
          <w:sz w:val="22"/>
          <w:szCs w:val="22"/>
        </w:rPr>
        <w:t xml:space="preserve">also </w:t>
      </w:r>
      <w:r w:rsidR="00BC6A3A" w:rsidRPr="00955982">
        <w:rPr>
          <w:rFonts w:ascii="Arial" w:hAnsi="Arial" w:cs="Arial"/>
          <w:sz w:val="22"/>
          <w:szCs w:val="22"/>
        </w:rPr>
        <w:t>dictate</w:t>
      </w:r>
      <w:r w:rsidR="001455DD" w:rsidRPr="00955982">
        <w:rPr>
          <w:rFonts w:ascii="Arial" w:hAnsi="Arial" w:cs="Arial"/>
          <w:sz w:val="22"/>
          <w:szCs w:val="22"/>
        </w:rPr>
        <w:t xml:space="preserve"> which account is accessed and what cost may/may not be imposed due to that choice. </w:t>
      </w:r>
      <w:r w:rsidR="00DE4BF3">
        <w:rPr>
          <w:rFonts w:ascii="Arial" w:hAnsi="Arial" w:cs="Arial"/>
          <w:sz w:val="22"/>
          <w:szCs w:val="22"/>
        </w:rPr>
        <w:t xml:space="preserve">Careful consideration should be given to the question whether it is the interests of </w:t>
      </w:r>
      <w:r w:rsidR="00DE4BF3">
        <w:rPr>
          <w:rFonts w:ascii="Arial" w:hAnsi="Arial" w:cs="Arial"/>
          <w:sz w:val="22"/>
          <w:szCs w:val="22"/>
        </w:rPr>
        <w:lastRenderedPageBreak/>
        <w:t>the consumer/cardholder or that of the merchant that should take precedence at the point of sale regarding the choice of network and transaction routing at the point of sale</w:t>
      </w:r>
    </w:p>
    <w:p w:rsidR="00775772" w:rsidRDefault="00775772" w:rsidP="00DC1517">
      <w:pPr>
        <w:tabs>
          <w:tab w:val="left" w:pos="567"/>
        </w:tabs>
        <w:spacing w:line="260" w:lineRule="exact"/>
        <w:jc w:val="both"/>
        <w:outlineLvl w:val="0"/>
        <w:rPr>
          <w:rFonts w:ascii="Arial" w:eastAsia="MS Gothic" w:hAnsi="Arial" w:cs="Arial"/>
          <w:sz w:val="22"/>
          <w:szCs w:val="22"/>
        </w:rPr>
      </w:pPr>
    </w:p>
    <w:p w:rsidR="00B258AF" w:rsidRDefault="00B258AF" w:rsidP="00B258AF">
      <w:pPr>
        <w:tabs>
          <w:tab w:val="left" w:pos="567"/>
        </w:tabs>
        <w:spacing w:line="260" w:lineRule="exact"/>
        <w:jc w:val="center"/>
        <w:outlineLvl w:val="0"/>
        <w:rPr>
          <w:rFonts w:ascii="Arial" w:eastAsia="MS Gothic" w:hAnsi="Arial" w:cs="Arial"/>
          <w:sz w:val="22"/>
          <w:szCs w:val="22"/>
        </w:rPr>
      </w:pPr>
      <w:r>
        <w:rPr>
          <w:rFonts w:ascii="Arial" w:eastAsia="MS Gothic" w:hAnsi="Arial" w:cs="Arial"/>
          <w:sz w:val="22"/>
          <w:szCs w:val="22"/>
        </w:rPr>
        <w:t>---</w:t>
      </w:r>
    </w:p>
    <w:p w:rsidR="00B258AF" w:rsidRDefault="00B258AF" w:rsidP="00B258AF">
      <w:pPr>
        <w:tabs>
          <w:tab w:val="left" w:pos="567"/>
        </w:tabs>
        <w:spacing w:line="260" w:lineRule="exact"/>
        <w:jc w:val="center"/>
        <w:outlineLvl w:val="0"/>
        <w:rPr>
          <w:rFonts w:ascii="Arial" w:eastAsia="MS Gothic" w:hAnsi="Arial" w:cs="Arial"/>
          <w:sz w:val="22"/>
          <w:szCs w:val="22"/>
        </w:rPr>
      </w:pPr>
    </w:p>
    <w:p w:rsidR="00B258AF" w:rsidRPr="00BB4B05" w:rsidRDefault="00B258AF" w:rsidP="00BB4B05">
      <w:pPr>
        <w:autoSpaceDE w:val="0"/>
        <w:autoSpaceDN w:val="0"/>
        <w:adjustRightInd w:val="0"/>
        <w:jc w:val="both"/>
        <w:rPr>
          <w:rFonts w:ascii="Arial" w:eastAsia="MS Gothic" w:hAnsi="Arial" w:cs="Arial"/>
          <w:sz w:val="22"/>
          <w:szCs w:val="22"/>
        </w:rPr>
      </w:pPr>
      <w:r>
        <w:rPr>
          <w:rFonts w:ascii="Arial" w:eastAsia="MS Gothic" w:hAnsi="Arial" w:cs="Arial"/>
          <w:sz w:val="22"/>
          <w:szCs w:val="22"/>
        </w:rPr>
        <w:t xml:space="preserve">First Data thanks you for the opportunity </w:t>
      </w:r>
      <w:r w:rsidR="00BB4B05">
        <w:rPr>
          <w:rFonts w:ascii="Arial" w:eastAsia="MS Gothic" w:hAnsi="Arial" w:cs="Arial"/>
          <w:sz w:val="22"/>
          <w:szCs w:val="22"/>
        </w:rPr>
        <w:t xml:space="preserve">to provide its views on the </w:t>
      </w:r>
      <w:proofErr w:type="gramStart"/>
      <w:r w:rsidR="00BB4B05">
        <w:rPr>
          <w:rFonts w:ascii="Arial" w:eastAsia="MS Gothic" w:hAnsi="Arial" w:cs="Arial"/>
          <w:sz w:val="22"/>
          <w:szCs w:val="22"/>
        </w:rPr>
        <w:t>Bank’s</w:t>
      </w:r>
      <w:proofErr w:type="gramEnd"/>
      <w:r w:rsidR="00BB4B05">
        <w:rPr>
          <w:rFonts w:ascii="Arial" w:eastAsia="MS Gothic" w:hAnsi="Arial" w:cs="Arial"/>
          <w:sz w:val="22"/>
          <w:szCs w:val="22"/>
        </w:rPr>
        <w:t xml:space="preserve"> Review of Card </w:t>
      </w:r>
      <w:r w:rsidR="00BB4B05" w:rsidRPr="00BB4B05">
        <w:rPr>
          <w:rFonts w:ascii="Arial" w:eastAsia="MS Gothic" w:hAnsi="Arial" w:cs="Arial"/>
          <w:sz w:val="22"/>
          <w:szCs w:val="22"/>
        </w:rPr>
        <w:t xml:space="preserve">Payments Regulation and </w:t>
      </w:r>
      <w:r w:rsidR="00BB4B05" w:rsidRPr="00BB4B05">
        <w:rPr>
          <w:rFonts w:ascii="Arial" w:eastAsiaTheme="minorHAnsi" w:hAnsi="Arial" w:cs="Arial"/>
          <w:sz w:val="22"/>
          <w:szCs w:val="22"/>
        </w:rPr>
        <w:t xml:space="preserve">would be available to expand upon the content of this </w:t>
      </w:r>
      <w:r w:rsidR="00BB4B05">
        <w:rPr>
          <w:rFonts w:ascii="Arial" w:eastAsiaTheme="minorHAnsi" w:hAnsi="Arial" w:cs="Arial"/>
          <w:sz w:val="22"/>
          <w:szCs w:val="22"/>
        </w:rPr>
        <w:t>submission</w:t>
      </w:r>
      <w:r w:rsidR="00BB4B05" w:rsidRPr="00BB4B05">
        <w:rPr>
          <w:rFonts w:ascii="Arial" w:eastAsiaTheme="minorHAnsi" w:hAnsi="Arial" w:cs="Arial"/>
          <w:sz w:val="22"/>
          <w:szCs w:val="22"/>
        </w:rPr>
        <w:t xml:space="preserve"> if required.</w:t>
      </w:r>
    </w:p>
    <w:p w:rsidR="00701CBA" w:rsidRPr="00955982" w:rsidRDefault="00701CBA" w:rsidP="00701CBA">
      <w:pPr>
        <w:jc w:val="both"/>
        <w:rPr>
          <w:rFonts w:ascii="Arial" w:hAnsi="Arial" w:cs="Arial"/>
          <w:sz w:val="22"/>
          <w:szCs w:val="22"/>
        </w:rPr>
      </w:pPr>
    </w:p>
    <w:p w:rsidR="00701CBA" w:rsidRPr="00955982" w:rsidRDefault="00701CBA" w:rsidP="00701CBA">
      <w:pPr>
        <w:jc w:val="both"/>
        <w:rPr>
          <w:rFonts w:ascii="Arial" w:hAnsi="Arial" w:cs="Arial"/>
          <w:sz w:val="22"/>
          <w:szCs w:val="22"/>
        </w:rPr>
      </w:pPr>
      <w:r w:rsidRPr="00955982">
        <w:rPr>
          <w:rFonts w:ascii="Arial" w:hAnsi="Arial" w:cs="Arial"/>
          <w:sz w:val="22"/>
          <w:szCs w:val="22"/>
        </w:rPr>
        <w:t>Yours Sincerely</w:t>
      </w:r>
    </w:p>
    <w:p w:rsidR="00701CBA" w:rsidRPr="00955982" w:rsidRDefault="00701CBA" w:rsidP="00701CBA">
      <w:pPr>
        <w:jc w:val="both"/>
        <w:rPr>
          <w:rFonts w:ascii="Arial" w:hAnsi="Arial" w:cs="Arial"/>
          <w:sz w:val="22"/>
          <w:szCs w:val="22"/>
        </w:rPr>
      </w:pPr>
    </w:p>
    <w:p w:rsidR="00701CBA" w:rsidRPr="00955982" w:rsidRDefault="00701CBA" w:rsidP="00701CBA">
      <w:pPr>
        <w:jc w:val="both"/>
        <w:rPr>
          <w:rFonts w:ascii="Arial" w:hAnsi="Arial" w:cs="Arial"/>
          <w:sz w:val="22"/>
          <w:szCs w:val="22"/>
        </w:rPr>
      </w:pPr>
    </w:p>
    <w:p w:rsidR="00701CBA" w:rsidRPr="00955982" w:rsidRDefault="00701CBA" w:rsidP="00701CBA">
      <w:pPr>
        <w:jc w:val="both"/>
        <w:rPr>
          <w:rFonts w:ascii="Arial" w:hAnsi="Arial" w:cs="Arial"/>
          <w:sz w:val="22"/>
          <w:szCs w:val="22"/>
        </w:rPr>
      </w:pPr>
    </w:p>
    <w:p w:rsidR="00701CBA" w:rsidRPr="00955982" w:rsidRDefault="00701CBA" w:rsidP="00701CBA">
      <w:pPr>
        <w:jc w:val="both"/>
        <w:rPr>
          <w:rFonts w:ascii="Arial" w:hAnsi="Arial" w:cs="Arial"/>
          <w:sz w:val="22"/>
          <w:szCs w:val="22"/>
        </w:rPr>
      </w:pPr>
      <w:r w:rsidRPr="00955982">
        <w:rPr>
          <w:rFonts w:ascii="Arial" w:hAnsi="Arial" w:cs="Arial"/>
          <w:sz w:val="22"/>
          <w:szCs w:val="22"/>
        </w:rPr>
        <w:t>John McCann</w:t>
      </w:r>
    </w:p>
    <w:p w:rsidR="00701CBA" w:rsidRPr="00955982" w:rsidRDefault="00701CBA" w:rsidP="00701CBA">
      <w:pPr>
        <w:jc w:val="both"/>
        <w:rPr>
          <w:rFonts w:ascii="Arial" w:hAnsi="Arial" w:cs="Arial"/>
          <w:sz w:val="22"/>
          <w:szCs w:val="22"/>
        </w:rPr>
      </w:pPr>
      <w:r w:rsidRPr="00955982">
        <w:rPr>
          <w:rFonts w:ascii="Arial" w:hAnsi="Arial" w:cs="Arial"/>
          <w:sz w:val="22"/>
          <w:szCs w:val="22"/>
        </w:rPr>
        <w:t>General Manager</w:t>
      </w:r>
    </w:p>
    <w:p w:rsidR="00D136E5" w:rsidRPr="00955982" w:rsidRDefault="00D136E5">
      <w:pPr>
        <w:rPr>
          <w:rFonts w:ascii="Arial" w:hAnsi="Arial" w:cs="Arial"/>
          <w:sz w:val="22"/>
          <w:szCs w:val="22"/>
        </w:rPr>
      </w:pPr>
    </w:p>
    <w:sectPr w:rsidR="00D136E5" w:rsidRPr="009559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22AFC"/>
    <w:multiLevelType w:val="hybridMultilevel"/>
    <w:tmpl w:val="9CE6BC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924516C"/>
    <w:multiLevelType w:val="hybridMultilevel"/>
    <w:tmpl w:val="D9B0D7A6"/>
    <w:lvl w:ilvl="0" w:tplc="0C090001">
      <w:start w:val="1"/>
      <w:numFmt w:val="bullet"/>
      <w:lvlText w:val=""/>
      <w:lvlJc w:val="left"/>
      <w:pPr>
        <w:ind w:left="781" w:hanging="360"/>
      </w:pPr>
      <w:rPr>
        <w:rFonts w:ascii="Symbol" w:hAnsi="Symbol" w:hint="default"/>
      </w:rPr>
    </w:lvl>
    <w:lvl w:ilvl="1" w:tplc="0C090003" w:tentative="1">
      <w:start w:val="1"/>
      <w:numFmt w:val="bullet"/>
      <w:lvlText w:val="o"/>
      <w:lvlJc w:val="left"/>
      <w:pPr>
        <w:ind w:left="1501" w:hanging="360"/>
      </w:pPr>
      <w:rPr>
        <w:rFonts w:ascii="Courier New" w:hAnsi="Courier New" w:cs="Courier New" w:hint="default"/>
      </w:rPr>
    </w:lvl>
    <w:lvl w:ilvl="2" w:tplc="0C090005" w:tentative="1">
      <w:start w:val="1"/>
      <w:numFmt w:val="bullet"/>
      <w:lvlText w:val=""/>
      <w:lvlJc w:val="left"/>
      <w:pPr>
        <w:ind w:left="2221" w:hanging="360"/>
      </w:pPr>
      <w:rPr>
        <w:rFonts w:ascii="Wingdings" w:hAnsi="Wingdings" w:hint="default"/>
      </w:rPr>
    </w:lvl>
    <w:lvl w:ilvl="3" w:tplc="0C090001" w:tentative="1">
      <w:start w:val="1"/>
      <w:numFmt w:val="bullet"/>
      <w:lvlText w:val=""/>
      <w:lvlJc w:val="left"/>
      <w:pPr>
        <w:ind w:left="2941" w:hanging="360"/>
      </w:pPr>
      <w:rPr>
        <w:rFonts w:ascii="Symbol" w:hAnsi="Symbol" w:hint="default"/>
      </w:rPr>
    </w:lvl>
    <w:lvl w:ilvl="4" w:tplc="0C090003" w:tentative="1">
      <w:start w:val="1"/>
      <w:numFmt w:val="bullet"/>
      <w:lvlText w:val="o"/>
      <w:lvlJc w:val="left"/>
      <w:pPr>
        <w:ind w:left="3661" w:hanging="360"/>
      </w:pPr>
      <w:rPr>
        <w:rFonts w:ascii="Courier New" w:hAnsi="Courier New" w:cs="Courier New" w:hint="default"/>
      </w:rPr>
    </w:lvl>
    <w:lvl w:ilvl="5" w:tplc="0C090005" w:tentative="1">
      <w:start w:val="1"/>
      <w:numFmt w:val="bullet"/>
      <w:lvlText w:val=""/>
      <w:lvlJc w:val="left"/>
      <w:pPr>
        <w:ind w:left="4381" w:hanging="360"/>
      </w:pPr>
      <w:rPr>
        <w:rFonts w:ascii="Wingdings" w:hAnsi="Wingdings" w:hint="default"/>
      </w:rPr>
    </w:lvl>
    <w:lvl w:ilvl="6" w:tplc="0C090001" w:tentative="1">
      <w:start w:val="1"/>
      <w:numFmt w:val="bullet"/>
      <w:lvlText w:val=""/>
      <w:lvlJc w:val="left"/>
      <w:pPr>
        <w:ind w:left="5101" w:hanging="360"/>
      </w:pPr>
      <w:rPr>
        <w:rFonts w:ascii="Symbol" w:hAnsi="Symbol" w:hint="default"/>
      </w:rPr>
    </w:lvl>
    <w:lvl w:ilvl="7" w:tplc="0C090003" w:tentative="1">
      <w:start w:val="1"/>
      <w:numFmt w:val="bullet"/>
      <w:lvlText w:val="o"/>
      <w:lvlJc w:val="left"/>
      <w:pPr>
        <w:ind w:left="5821" w:hanging="360"/>
      </w:pPr>
      <w:rPr>
        <w:rFonts w:ascii="Courier New" w:hAnsi="Courier New" w:cs="Courier New" w:hint="default"/>
      </w:rPr>
    </w:lvl>
    <w:lvl w:ilvl="8" w:tplc="0C090005" w:tentative="1">
      <w:start w:val="1"/>
      <w:numFmt w:val="bullet"/>
      <w:lvlText w:val=""/>
      <w:lvlJc w:val="left"/>
      <w:pPr>
        <w:ind w:left="6541" w:hanging="360"/>
      </w:pPr>
      <w:rPr>
        <w:rFonts w:ascii="Wingdings" w:hAnsi="Wingdings" w:hint="default"/>
      </w:rPr>
    </w:lvl>
  </w:abstractNum>
  <w:abstractNum w:abstractNumId="2">
    <w:nsid w:val="57A652AA"/>
    <w:multiLevelType w:val="hybridMultilevel"/>
    <w:tmpl w:val="D906697A"/>
    <w:lvl w:ilvl="0" w:tplc="B524BA1C">
      <w:start w:val="1"/>
      <w:numFmt w:val="bullet"/>
      <w:pStyle w:val="FDIndentedText"/>
      <w:lvlText w:val=""/>
      <w:lvlJc w:val="left"/>
      <w:pPr>
        <w:ind w:left="720" w:hanging="360"/>
      </w:pPr>
      <w:rPr>
        <w:rFonts w:ascii="Wingdings" w:hAnsi="Wingdings" w:hint="default"/>
        <w:color w:val="FF000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700D6C65"/>
    <w:multiLevelType w:val="hybridMultilevel"/>
    <w:tmpl w:val="C0B2EAE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75093AD1"/>
    <w:multiLevelType w:val="hybridMultilevel"/>
    <w:tmpl w:val="77322E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5D968DE"/>
    <w:multiLevelType w:val="hybridMultilevel"/>
    <w:tmpl w:val="BE90247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CBA"/>
    <w:rsid w:val="00074EA9"/>
    <w:rsid w:val="00130041"/>
    <w:rsid w:val="001455DD"/>
    <w:rsid w:val="002E39D7"/>
    <w:rsid w:val="0032356E"/>
    <w:rsid w:val="00351271"/>
    <w:rsid w:val="00413972"/>
    <w:rsid w:val="00426C04"/>
    <w:rsid w:val="004B771B"/>
    <w:rsid w:val="0060722A"/>
    <w:rsid w:val="006269F2"/>
    <w:rsid w:val="00654550"/>
    <w:rsid w:val="006C4405"/>
    <w:rsid w:val="006D6FAA"/>
    <w:rsid w:val="006E6009"/>
    <w:rsid w:val="006F2CE5"/>
    <w:rsid w:val="006F7A91"/>
    <w:rsid w:val="00701CBA"/>
    <w:rsid w:val="00775772"/>
    <w:rsid w:val="007B0A69"/>
    <w:rsid w:val="0080320D"/>
    <w:rsid w:val="008A133F"/>
    <w:rsid w:val="008C7D7E"/>
    <w:rsid w:val="00916E92"/>
    <w:rsid w:val="00955982"/>
    <w:rsid w:val="009A1521"/>
    <w:rsid w:val="00B258AF"/>
    <w:rsid w:val="00BB4B05"/>
    <w:rsid w:val="00BC6A3A"/>
    <w:rsid w:val="00BE407A"/>
    <w:rsid w:val="00D136E5"/>
    <w:rsid w:val="00D60D71"/>
    <w:rsid w:val="00DB504B"/>
    <w:rsid w:val="00DC1517"/>
    <w:rsid w:val="00DE1B03"/>
    <w:rsid w:val="00DE4BF3"/>
    <w:rsid w:val="00EB0C41"/>
    <w:rsid w:val="00EB714F"/>
    <w:rsid w:val="00EC4C2B"/>
    <w:rsid w:val="00F065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C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01CBA"/>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4405"/>
    <w:pPr>
      <w:ind w:left="720"/>
      <w:contextualSpacing/>
    </w:pPr>
    <w:rPr>
      <w:rFonts w:ascii="Calibri" w:eastAsiaTheme="minorHAnsi" w:hAnsi="Calibri" w:cs="Calibri"/>
      <w:sz w:val="22"/>
      <w:szCs w:val="22"/>
      <w:lang w:eastAsia="en-AU"/>
    </w:rPr>
  </w:style>
  <w:style w:type="character" w:customStyle="1" w:styleId="FDIndentedTextChar">
    <w:name w:val="FD Indented Text Char"/>
    <w:basedOn w:val="DefaultParagraphFont"/>
    <w:link w:val="FDIndentedText"/>
    <w:locked/>
    <w:rsid w:val="006C4405"/>
    <w:rPr>
      <w:rFonts w:ascii="Arial" w:eastAsia="Calibri" w:hAnsi="Arial" w:cs="Arial"/>
      <w:color w:val="616365"/>
      <w:sz w:val="18"/>
      <w:szCs w:val="18"/>
    </w:rPr>
  </w:style>
  <w:style w:type="paragraph" w:customStyle="1" w:styleId="FDIndentedText">
    <w:name w:val="FD Indented Text"/>
    <w:basedOn w:val="Normal"/>
    <w:link w:val="FDIndentedTextChar"/>
    <w:qFormat/>
    <w:rsid w:val="006C4405"/>
    <w:pPr>
      <w:numPr>
        <w:numId w:val="3"/>
      </w:numPr>
      <w:spacing w:after="160" w:line="256" w:lineRule="auto"/>
    </w:pPr>
    <w:rPr>
      <w:rFonts w:ascii="Arial" w:eastAsia="Calibri" w:hAnsi="Arial" w:cs="Arial"/>
      <w:color w:val="616365"/>
      <w:sz w:val="18"/>
      <w:szCs w:val="18"/>
    </w:rPr>
  </w:style>
  <w:style w:type="paragraph" w:styleId="BalloonText">
    <w:name w:val="Balloon Text"/>
    <w:basedOn w:val="Normal"/>
    <w:link w:val="BalloonTextChar"/>
    <w:uiPriority w:val="99"/>
    <w:semiHidden/>
    <w:unhideWhenUsed/>
    <w:rsid w:val="00BB4B05"/>
    <w:rPr>
      <w:rFonts w:ascii="Tahoma" w:hAnsi="Tahoma" w:cs="Tahoma"/>
      <w:sz w:val="16"/>
      <w:szCs w:val="16"/>
    </w:rPr>
  </w:style>
  <w:style w:type="character" w:customStyle="1" w:styleId="BalloonTextChar">
    <w:name w:val="Balloon Text Char"/>
    <w:basedOn w:val="DefaultParagraphFont"/>
    <w:link w:val="BalloonText"/>
    <w:uiPriority w:val="99"/>
    <w:semiHidden/>
    <w:rsid w:val="00BB4B0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E4BF3"/>
    <w:rPr>
      <w:sz w:val="16"/>
      <w:szCs w:val="16"/>
    </w:rPr>
  </w:style>
  <w:style w:type="paragraph" w:styleId="CommentText">
    <w:name w:val="annotation text"/>
    <w:basedOn w:val="Normal"/>
    <w:link w:val="CommentTextChar"/>
    <w:uiPriority w:val="99"/>
    <w:semiHidden/>
    <w:unhideWhenUsed/>
    <w:rsid w:val="00DE4BF3"/>
    <w:rPr>
      <w:sz w:val="20"/>
      <w:szCs w:val="20"/>
    </w:rPr>
  </w:style>
  <w:style w:type="character" w:customStyle="1" w:styleId="CommentTextChar">
    <w:name w:val="Comment Text Char"/>
    <w:basedOn w:val="DefaultParagraphFont"/>
    <w:link w:val="CommentText"/>
    <w:uiPriority w:val="99"/>
    <w:semiHidden/>
    <w:rsid w:val="00DE4BF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E4BF3"/>
    <w:rPr>
      <w:b/>
      <w:bCs/>
    </w:rPr>
  </w:style>
  <w:style w:type="character" w:customStyle="1" w:styleId="CommentSubjectChar">
    <w:name w:val="Comment Subject Char"/>
    <w:basedOn w:val="CommentTextChar"/>
    <w:link w:val="CommentSubject"/>
    <w:uiPriority w:val="99"/>
    <w:semiHidden/>
    <w:rsid w:val="00DE4BF3"/>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C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01CBA"/>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4405"/>
    <w:pPr>
      <w:ind w:left="720"/>
      <w:contextualSpacing/>
    </w:pPr>
    <w:rPr>
      <w:rFonts w:ascii="Calibri" w:eastAsiaTheme="minorHAnsi" w:hAnsi="Calibri" w:cs="Calibri"/>
      <w:sz w:val="22"/>
      <w:szCs w:val="22"/>
      <w:lang w:eastAsia="en-AU"/>
    </w:rPr>
  </w:style>
  <w:style w:type="character" w:customStyle="1" w:styleId="FDIndentedTextChar">
    <w:name w:val="FD Indented Text Char"/>
    <w:basedOn w:val="DefaultParagraphFont"/>
    <w:link w:val="FDIndentedText"/>
    <w:locked/>
    <w:rsid w:val="006C4405"/>
    <w:rPr>
      <w:rFonts w:ascii="Arial" w:eastAsia="Calibri" w:hAnsi="Arial" w:cs="Arial"/>
      <w:color w:val="616365"/>
      <w:sz w:val="18"/>
      <w:szCs w:val="18"/>
    </w:rPr>
  </w:style>
  <w:style w:type="paragraph" w:customStyle="1" w:styleId="FDIndentedText">
    <w:name w:val="FD Indented Text"/>
    <w:basedOn w:val="Normal"/>
    <w:link w:val="FDIndentedTextChar"/>
    <w:qFormat/>
    <w:rsid w:val="006C4405"/>
    <w:pPr>
      <w:numPr>
        <w:numId w:val="3"/>
      </w:numPr>
      <w:spacing w:after="160" w:line="256" w:lineRule="auto"/>
    </w:pPr>
    <w:rPr>
      <w:rFonts w:ascii="Arial" w:eastAsia="Calibri" w:hAnsi="Arial" w:cs="Arial"/>
      <w:color w:val="616365"/>
      <w:sz w:val="18"/>
      <w:szCs w:val="18"/>
    </w:rPr>
  </w:style>
  <w:style w:type="paragraph" w:styleId="BalloonText">
    <w:name w:val="Balloon Text"/>
    <w:basedOn w:val="Normal"/>
    <w:link w:val="BalloonTextChar"/>
    <w:uiPriority w:val="99"/>
    <w:semiHidden/>
    <w:unhideWhenUsed/>
    <w:rsid w:val="00BB4B05"/>
    <w:rPr>
      <w:rFonts w:ascii="Tahoma" w:hAnsi="Tahoma" w:cs="Tahoma"/>
      <w:sz w:val="16"/>
      <w:szCs w:val="16"/>
    </w:rPr>
  </w:style>
  <w:style w:type="character" w:customStyle="1" w:styleId="BalloonTextChar">
    <w:name w:val="Balloon Text Char"/>
    <w:basedOn w:val="DefaultParagraphFont"/>
    <w:link w:val="BalloonText"/>
    <w:uiPriority w:val="99"/>
    <w:semiHidden/>
    <w:rsid w:val="00BB4B0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E4BF3"/>
    <w:rPr>
      <w:sz w:val="16"/>
      <w:szCs w:val="16"/>
    </w:rPr>
  </w:style>
  <w:style w:type="paragraph" w:styleId="CommentText">
    <w:name w:val="annotation text"/>
    <w:basedOn w:val="Normal"/>
    <w:link w:val="CommentTextChar"/>
    <w:uiPriority w:val="99"/>
    <w:semiHidden/>
    <w:unhideWhenUsed/>
    <w:rsid w:val="00DE4BF3"/>
    <w:rPr>
      <w:sz w:val="20"/>
      <w:szCs w:val="20"/>
    </w:rPr>
  </w:style>
  <w:style w:type="character" w:customStyle="1" w:styleId="CommentTextChar">
    <w:name w:val="Comment Text Char"/>
    <w:basedOn w:val="DefaultParagraphFont"/>
    <w:link w:val="CommentText"/>
    <w:uiPriority w:val="99"/>
    <w:semiHidden/>
    <w:rsid w:val="00DE4BF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E4BF3"/>
    <w:rPr>
      <w:b/>
      <w:bCs/>
    </w:rPr>
  </w:style>
  <w:style w:type="character" w:customStyle="1" w:styleId="CommentSubjectChar">
    <w:name w:val="Comment Subject Char"/>
    <w:basedOn w:val="CommentTextChar"/>
    <w:link w:val="CommentSubject"/>
    <w:uiPriority w:val="99"/>
    <w:semiHidden/>
    <w:rsid w:val="00DE4BF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50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27191816.dotm</Template>
  <TotalTime>0</TotalTime>
  <Pages>3</Pages>
  <Words>891</Words>
  <Characters>4798</Characters>
  <Application>Microsoft Office Word</Application>
  <DocSecurity>4</DocSecurity>
  <Lines>123</Lines>
  <Paragraphs>38</Paragraphs>
  <ScaleCrop>false</ScaleCrop>
  <HeadingPairs>
    <vt:vector size="2" baseType="variant">
      <vt:variant>
        <vt:lpstr>Title</vt:lpstr>
      </vt:variant>
      <vt:variant>
        <vt:i4>1</vt:i4>
      </vt:variant>
    </vt:vector>
  </HeadingPairs>
  <TitlesOfParts>
    <vt:vector size="1" baseType="lpstr">
      <vt:lpstr/>
    </vt:vector>
  </TitlesOfParts>
  <Company>FDI</Company>
  <LinksUpToDate>false</LinksUpToDate>
  <CharactersWithSpaces>5665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JIMENEZ, Ivan</cp:lastModifiedBy>
  <cp:revision>2</cp:revision>
  <cp:lastPrinted>2015-04-17T04:54:00Z</cp:lastPrinted>
  <dcterms:created xsi:type="dcterms:W3CDTF">2015-05-06T04:54:00Z</dcterms:created>
  <dcterms:modified xsi:type="dcterms:W3CDTF">2015-05-06T04:54:00Z</dcterms:modified>
</cp:coreProperties>
</file>