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3747" w:rsidRDefault="00063747" w:rsidP="00063747">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s>
        <w:autoSpaceDE w:val="0"/>
        <w:autoSpaceDN w:val="0"/>
        <w:adjustRightInd w:val="0"/>
        <w:spacing w:after="60"/>
        <w:rPr>
          <w:rFonts w:ascii="Arial" w:hAnsi="Arial" w:cs="Arial"/>
          <w:b/>
          <w:color w:val="000000"/>
        </w:rPr>
      </w:pPr>
      <w:r w:rsidRPr="00CF4FF4">
        <w:rPr>
          <w:rFonts w:ascii="Arial" w:hAnsi="Arial" w:cs="Arial"/>
          <w:noProof/>
          <w:color w:val="000000"/>
          <w:sz w:val="32"/>
          <w:szCs w:val="32"/>
          <w:lang w:eastAsia="en-AU"/>
        </w:rPr>
        <w:drawing>
          <wp:anchor distT="0" distB="0" distL="114300" distR="114300" simplePos="0" relativeHeight="251659264" behindDoc="1" locked="0" layoutInCell="1" allowOverlap="0" wp14:anchorId="2A21EFD6" wp14:editId="72FAA9AC">
            <wp:simplePos x="0" y="0"/>
            <wp:positionH relativeFrom="column">
              <wp:posOffset>4476751</wp:posOffset>
            </wp:positionH>
            <wp:positionV relativeFrom="paragraph">
              <wp:posOffset>-247650</wp:posOffset>
            </wp:positionV>
            <wp:extent cx="1771650" cy="914104"/>
            <wp:effectExtent l="19050" t="0" r="0" b="0"/>
            <wp:wrapNone/>
            <wp:docPr id="3" name="Picture 3" descr="FTA-larg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TA-large-logo"/>
                    <pic:cNvPicPr>
                      <a:picLocks noChangeAspect="1" noChangeArrowheads="1"/>
                    </pic:cNvPicPr>
                  </pic:nvPicPr>
                  <pic:blipFill>
                    <a:blip r:embed="rId12" cstate="print"/>
                    <a:srcRect/>
                    <a:stretch>
                      <a:fillRect/>
                    </a:stretch>
                  </pic:blipFill>
                  <pic:spPr bwMode="auto">
                    <a:xfrm>
                      <a:off x="0" y="0"/>
                      <a:ext cx="1772224" cy="914400"/>
                    </a:xfrm>
                    <a:prstGeom prst="rect">
                      <a:avLst/>
                    </a:prstGeom>
                    <a:noFill/>
                  </pic:spPr>
                </pic:pic>
              </a:graphicData>
            </a:graphic>
          </wp:anchor>
        </w:drawing>
      </w:r>
      <w:r w:rsidRPr="00CF4FF4">
        <w:rPr>
          <w:rFonts w:ascii="Arial" w:hAnsi="Arial" w:cs="Arial"/>
          <w:color w:val="000000"/>
          <w:sz w:val="32"/>
          <w:szCs w:val="32"/>
        </w:rPr>
        <w:t>Finance and Treasury Association</w:t>
      </w:r>
      <w:r>
        <w:rPr>
          <w:rFonts w:ascii="Arial" w:hAnsi="Arial" w:cs="Arial"/>
          <w:color w:val="000000"/>
          <w:sz w:val="36"/>
          <w:szCs w:val="36"/>
        </w:rPr>
        <w:br/>
      </w:r>
    </w:p>
    <w:p w:rsidR="00063747" w:rsidRPr="00CF4FF4" w:rsidRDefault="00063747" w:rsidP="00063747">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s>
        <w:autoSpaceDE w:val="0"/>
        <w:autoSpaceDN w:val="0"/>
        <w:adjustRightInd w:val="0"/>
        <w:spacing w:after="60"/>
        <w:rPr>
          <w:rFonts w:ascii="Arial" w:hAnsi="Arial" w:cs="Arial"/>
          <w:color w:val="000000"/>
          <w:sz w:val="36"/>
          <w:szCs w:val="36"/>
        </w:rPr>
      </w:pPr>
      <w:r w:rsidRPr="00CF4FF4">
        <w:rPr>
          <w:rFonts w:ascii="Arial" w:hAnsi="Arial" w:cs="Arial"/>
          <w:b/>
          <w:color w:val="000000"/>
        </w:rPr>
        <w:t>ABN</w:t>
      </w:r>
      <w:r w:rsidRPr="00CF4FF4">
        <w:rPr>
          <w:rFonts w:ascii="Arial" w:hAnsi="Arial" w:cs="Arial"/>
          <w:color w:val="000000"/>
        </w:rPr>
        <w:t xml:space="preserve"> 70 006 509 655</w:t>
      </w:r>
    </w:p>
    <w:p w:rsidR="00063747" w:rsidRDefault="00063747" w:rsidP="00063747">
      <w:pPr>
        <w:tabs>
          <w:tab w:val="left" w:pos="1350"/>
        </w:tabs>
        <w:rPr>
          <w:rFonts w:ascii="Arial" w:hAnsi="Arial" w:cs="Arial"/>
          <w:color w:val="000000"/>
          <w:sz w:val="20"/>
          <w:szCs w:val="20"/>
        </w:rPr>
      </w:pPr>
      <w:r>
        <w:rPr>
          <w:noProof/>
          <w:lang w:eastAsia="en-AU"/>
        </w:rPr>
        <mc:AlternateContent>
          <mc:Choice Requires="wps">
            <w:drawing>
              <wp:anchor distT="0" distB="0" distL="114300" distR="114300" simplePos="0" relativeHeight="251660288" behindDoc="1" locked="0" layoutInCell="1" allowOverlap="1" wp14:anchorId="154C2FE3" wp14:editId="26D5C972">
                <wp:simplePos x="0" y="0"/>
                <wp:positionH relativeFrom="page">
                  <wp:posOffset>540385</wp:posOffset>
                </wp:positionH>
                <wp:positionV relativeFrom="page">
                  <wp:posOffset>1291590</wp:posOffset>
                </wp:positionV>
                <wp:extent cx="6743700" cy="5715"/>
                <wp:effectExtent l="0" t="0" r="19050" b="32385"/>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743700" cy="5715"/>
                        </a:xfrm>
                        <a:prstGeom prst="line">
                          <a:avLst/>
                        </a:prstGeom>
                        <a:noFill/>
                        <a:ln w="12700">
                          <a:solidFill>
                            <a:srgbClr val="E12441"/>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flip:y;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2.55pt,101.7pt" to="573.55pt,10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" strokecolor="#e12441" strokeweight="1pt">
                <w10:wrap anchorx="page" anchory="page"/>
              </v:line>
            </w:pict>
          </mc:Fallback>
        </mc:AlternateContent>
      </w:r>
    </w:p>
    <w:p w:rsidR="0077715F" w:rsidRDefault="00063747">
      <w:pPr>
        <w:rPr>
          <w:sz w:val="24"/>
          <w:szCs w:val="24"/>
        </w:rPr>
      </w:pPr>
      <w:r w:rsidRPr="00012CA6">
        <w:rPr>
          <w:rFonts w:cs="Arial"/>
          <w:color w:val="000000"/>
        </w:rPr>
        <w:softHyphen/>
      </w:r>
    </w:p>
    <w:p w:rsidR="00E347F2" w:rsidRPr="00E347F2" w:rsidRDefault="00784659">
      <w:pPr>
        <w:rPr>
          <w:sz w:val="24"/>
          <w:szCs w:val="24"/>
        </w:rPr>
      </w:pPr>
      <w:r>
        <w:rPr>
          <w:sz w:val="24"/>
          <w:szCs w:val="24"/>
        </w:rPr>
        <w:t>20</w:t>
      </w:r>
      <w:bookmarkStart w:id="0" w:name="_GoBack"/>
      <w:bookmarkEnd w:id="0"/>
      <w:r w:rsidR="007620DB" w:rsidRPr="007620DB">
        <w:rPr>
          <w:sz w:val="24"/>
          <w:szCs w:val="24"/>
          <w:vertAlign w:val="superscript"/>
        </w:rPr>
        <w:t>th</w:t>
      </w:r>
      <w:r w:rsidR="007620DB">
        <w:rPr>
          <w:sz w:val="24"/>
          <w:szCs w:val="24"/>
        </w:rPr>
        <w:t xml:space="preserve"> </w:t>
      </w:r>
      <w:r w:rsidR="0077715F">
        <w:rPr>
          <w:sz w:val="24"/>
          <w:szCs w:val="24"/>
        </w:rPr>
        <w:t>May</w:t>
      </w:r>
      <w:r w:rsidR="00E347F2" w:rsidRPr="00E347F2">
        <w:rPr>
          <w:sz w:val="24"/>
          <w:szCs w:val="24"/>
        </w:rPr>
        <w:t xml:space="preserve"> 2015</w:t>
      </w:r>
    </w:p>
    <w:p w:rsidR="00E347F2" w:rsidRDefault="00E347F2">
      <w:pPr>
        <w:rPr>
          <w:b/>
          <w:sz w:val="24"/>
          <w:szCs w:val="24"/>
        </w:rPr>
      </w:pPr>
    </w:p>
    <w:p w:rsidR="0077715F" w:rsidRDefault="0077715F" w:rsidP="00546D7D">
      <w:pPr>
        <w:spacing w:after="20" w:line="240" w:lineRule="auto"/>
        <w:rPr>
          <w:sz w:val="24"/>
          <w:szCs w:val="24"/>
        </w:rPr>
      </w:pPr>
      <w:r>
        <w:rPr>
          <w:sz w:val="24"/>
          <w:szCs w:val="24"/>
        </w:rPr>
        <w:t>Dr Tony Richards</w:t>
      </w:r>
    </w:p>
    <w:p w:rsidR="00E347F2" w:rsidRDefault="00E347F2" w:rsidP="00546D7D">
      <w:pPr>
        <w:spacing w:after="20" w:line="240" w:lineRule="auto"/>
        <w:rPr>
          <w:sz w:val="24"/>
          <w:szCs w:val="24"/>
        </w:rPr>
      </w:pPr>
      <w:r w:rsidRPr="00E347F2">
        <w:rPr>
          <w:sz w:val="24"/>
          <w:szCs w:val="24"/>
        </w:rPr>
        <w:t>Head of Payments Policy Department</w:t>
      </w:r>
      <w:r>
        <w:rPr>
          <w:sz w:val="24"/>
          <w:szCs w:val="24"/>
        </w:rPr>
        <w:t>,</w:t>
      </w:r>
    </w:p>
    <w:p w:rsidR="00E347F2" w:rsidRDefault="00E347F2" w:rsidP="00546D7D">
      <w:pPr>
        <w:spacing w:after="20" w:line="240" w:lineRule="auto"/>
        <w:rPr>
          <w:sz w:val="24"/>
          <w:szCs w:val="24"/>
        </w:rPr>
      </w:pPr>
      <w:r>
        <w:rPr>
          <w:sz w:val="24"/>
          <w:szCs w:val="24"/>
        </w:rPr>
        <w:t>Reserve Bank of Australia</w:t>
      </w:r>
    </w:p>
    <w:p w:rsidR="00E347F2" w:rsidRDefault="00E347F2" w:rsidP="00546D7D">
      <w:pPr>
        <w:spacing w:after="20" w:line="240" w:lineRule="auto"/>
        <w:rPr>
          <w:sz w:val="24"/>
          <w:szCs w:val="24"/>
        </w:rPr>
      </w:pPr>
      <w:r>
        <w:rPr>
          <w:sz w:val="24"/>
          <w:szCs w:val="24"/>
        </w:rPr>
        <w:t>GPO Box 3947,</w:t>
      </w:r>
    </w:p>
    <w:p w:rsidR="00E347F2" w:rsidRPr="00E347F2" w:rsidRDefault="00E347F2" w:rsidP="00546D7D">
      <w:pPr>
        <w:spacing w:after="20" w:line="240" w:lineRule="auto"/>
        <w:rPr>
          <w:sz w:val="24"/>
          <w:szCs w:val="24"/>
        </w:rPr>
      </w:pPr>
      <w:r>
        <w:rPr>
          <w:sz w:val="24"/>
          <w:szCs w:val="24"/>
        </w:rPr>
        <w:t>SYDNEY NSW 2001</w:t>
      </w:r>
    </w:p>
    <w:p w:rsidR="00E347F2" w:rsidRDefault="00E347F2">
      <w:pPr>
        <w:rPr>
          <w:sz w:val="24"/>
          <w:szCs w:val="24"/>
        </w:rPr>
      </w:pPr>
      <w:r w:rsidRPr="00E347F2">
        <w:rPr>
          <w:sz w:val="24"/>
          <w:szCs w:val="24"/>
        </w:rPr>
        <w:t xml:space="preserve">Submission by email: </w:t>
      </w:r>
      <w:hyperlink r:id="rId13" w:history="1">
        <w:r w:rsidR="0077715F" w:rsidRPr="00E87ADF">
          <w:rPr>
            <w:rStyle w:val="Hyperlink"/>
            <w:sz w:val="24"/>
            <w:szCs w:val="24"/>
          </w:rPr>
          <w:t>pysubmissions@rba.gov.au</w:t>
        </w:r>
      </w:hyperlink>
    </w:p>
    <w:p w:rsidR="0077715F" w:rsidRPr="00E347F2" w:rsidRDefault="0077715F">
      <w:pPr>
        <w:rPr>
          <w:sz w:val="24"/>
          <w:szCs w:val="24"/>
        </w:rPr>
      </w:pPr>
    </w:p>
    <w:p w:rsidR="00613FB4" w:rsidRDefault="00E347F2" w:rsidP="006963DB">
      <w:r>
        <w:t xml:space="preserve">Dear </w:t>
      </w:r>
      <w:r w:rsidR="00D959A9">
        <w:t>Tony</w:t>
      </w:r>
      <w:r>
        <w:t>,</w:t>
      </w:r>
    </w:p>
    <w:p w:rsidR="00546D7D" w:rsidRPr="00546D7D" w:rsidRDefault="00546D7D" w:rsidP="006963DB">
      <w:pPr>
        <w:rPr>
          <w:b/>
        </w:rPr>
      </w:pPr>
      <w:r w:rsidRPr="00546D7D">
        <w:rPr>
          <w:b/>
        </w:rPr>
        <w:t>Revi</w:t>
      </w:r>
      <w:r w:rsidR="0077715F">
        <w:rPr>
          <w:b/>
        </w:rPr>
        <w:t xml:space="preserve">ew of Card Payments Regulation </w:t>
      </w:r>
      <w:r w:rsidRPr="00546D7D">
        <w:rPr>
          <w:b/>
        </w:rPr>
        <w:t>- Issues Paper March 2015</w:t>
      </w:r>
    </w:p>
    <w:p w:rsidR="00D959A9" w:rsidRDefault="00546D7D" w:rsidP="006963DB">
      <w:r>
        <w:t xml:space="preserve">The </w:t>
      </w:r>
      <w:r w:rsidR="0077715F">
        <w:t>Finance and Treasury Association</w:t>
      </w:r>
      <w:r w:rsidR="00001EEF">
        <w:t xml:space="preserve"> (FTA)</w:t>
      </w:r>
      <w:r>
        <w:t xml:space="preserve"> is</w:t>
      </w:r>
      <w:r w:rsidR="00E347F2">
        <w:t xml:space="preserve"> pleased to provide our comments </w:t>
      </w:r>
      <w:r>
        <w:t xml:space="preserve">on the </w:t>
      </w:r>
      <w:r w:rsidR="0077715F">
        <w:t>R</w:t>
      </w:r>
      <w:r w:rsidR="001B1A68">
        <w:t>eserve Bank of Australia</w:t>
      </w:r>
      <w:r w:rsidR="0077715F">
        <w:t>’s R</w:t>
      </w:r>
      <w:r>
        <w:t>eview</w:t>
      </w:r>
      <w:r w:rsidR="0077715F">
        <w:t xml:space="preserve"> of Card Payments Regulation</w:t>
      </w:r>
      <w:r>
        <w:t xml:space="preserve">, with a particular focus </w:t>
      </w:r>
      <w:r w:rsidR="00E347F2">
        <w:t xml:space="preserve">on </w:t>
      </w:r>
      <w:r>
        <w:t>the concerns of our members</w:t>
      </w:r>
      <w:r w:rsidR="00D959A9">
        <w:t xml:space="preserve"> working in</w:t>
      </w:r>
      <w:r w:rsidR="00E347F2">
        <w:t xml:space="preserve"> </w:t>
      </w:r>
      <w:r w:rsidR="00001EEF">
        <w:t xml:space="preserve">senior treasury and finance roles in Australian-resident </w:t>
      </w:r>
      <w:r w:rsidR="00001EEF" w:rsidRPr="00001EEF">
        <w:t>non-financial-sector corporations</w:t>
      </w:r>
      <w:r w:rsidR="00001EEF">
        <w:t>.</w:t>
      </w:r>
    </w:p>
    <w:p w:rsidR="00546D7D" w:rsidRDefault="00D959A9" w:rsidP="006963DB">
      <w:r>
        <w:t>T</w:t>
      </w:r>
      <w:r w:rsidR="003D7896">
        <w:t>h</w:t>
      </w:r>
      <w:r w:rsidR="00546D7D">
        <w:t xml:space="preserve">e </w:t>
      </w:r>
      <w:r w:rsidR="00840E26">
        <w:t>RBA</w:t>
      </w:r>
      <w:r w:rsidR="00546D7D">
        <w:t xml:space="preserve"> has raised many issues and concerns throughout the Issues Paper</w:t>
      </w:r>
      <w:r w:rsidR="003A592F">
        <w:t xml:space="preserve"> which are h</w:t>
      </w:r>
      <w:r>
        <w:t>ighly relevant to our members.</w:t>
      </w:r>
    </w:p>
    <w:p w:rsidR="00E347F2" w:rsidRDefault="00546D7D" w:rsidP="006963DB">
      <w:r>
        <w:t>O</w:t>
      </w:r>
      <w:r w:rsidR="00E347F2">
        <w:t>ur overall</w:t>
      </w:r>
      <w:r w:rsidR="00506A4B">
        <w:t xml:space="preserve"> comments </w:t>
      </w:r>
      <w:r>
        <w:t>are summarised below,</w:t>
      </w:r>
      <w:r w:rsidR="00506A4B">
        <w:t xml:space="preserve"> with </w:t>
      </w:r>
      <w:r w:rsidR="00090314">
        <w:t>an</w:t>
      </w:r>
      <w:r>
        <w:t xml:space="preserve"> attachment containing </w:t>
      </w:r>
      <w:r w:rsidR="00506A4B">
        <w:t xml:space="preserve">our detailed comments </w:t>
      </w:r>
      <w:r>
        <w:t>covering our specific responses on the RBA issues raised</w:t>
      </w:r>
      <w:r w:rsidR="00506A4B">
        <w:t>.</w:t>
      </w:r>
    </w:p>
    <w:p w:rsidR="006963DB" w:rsidRDefault="00613FB4" w:rsidP="006963DB">
      <w:pPr>
        <w:rPr>
          <w:b/>
          <w:sz w:val="24"/>
          <w:szCs w:val="24"/>
        </w:rPr>
      </w:pPr>
      <w:r w:rsidRPr="00613FB4">
        <w:rPr>
          <w:b/>
          <w:sz w:val="24"/>
          <w:szCs w:val="24"/>
        </w:rPr>
        <w:t>Overall Comments</w:t>
      </w:r>
      <w:r w:rsidR="004A7CB8">
        <w:rPr>
          <w:b/>
          <w:sz w:val="24"/>
          <w:szCs w:val="24"/>
        </w:rPr>
        <w:t xml:space="preserve"> </w:t>
      </w:r>
    </w:p>
    <w:p w:rsidR="00546D7D" w:rsidRDefault="003A592F" w:rsidP="006963DB">
      <w:pPr>
        <w:spacing w:after="240" w:line="276" w:lineRule="auto"/>
      </w:pPr>
      <w:r>
        <w:t xml:space="preserve">The Australian card payments system has become an integral and highly critical component of the financial payments for businesses, </w:t>
      </w:r>
      <w:r w:rsidR="007A1440">
        <w:t>large and small</w:t>
      </w:r>
      <w:r>
        <w:t xml:space="preserve">.  The Bank has identified cards as a ‘must take’ form of payment, which </w:t>
      </w:r>
      <w:r w:rsidR="007A1440">
        <w:t xml:space="preserve">also </w:t>
      </w:r>
      <w:r>
        <w:t>accords with our views and experience.</w:t>
      </w:r>
    </w:p>
    <w:p w:rsidR="00C35FA8" w:rsidRPr="00C35FA8" w:rsidRDefault="00C35FA8" w:rsidP="00C35FA8">
      <w:pPr>
        <w:spacing w:after="240" w:line="276" w:lineRule="auto"/>
      </w:pPr>
      <w:r w:rsidRPr="00C35FA8">
        <w:t xml:space="preserve">Key principles and conclusions in </w:t>
      </w:r>
      <w:r w:rsidR="007A1440">
        <w:t>FTA’s</w:t>
      </w:r>
      <w:r w:rsidRPr="00C35FA8">
        <w:t xml:space="preserve"> </w:t>
      </w:r>
      <w:r w:rsidR="007A1440">
        <w:t>submission</w:t>
      </w:r>
      <w:r w:rsidRPr="00C35FA8">
        <w:t xml:space="preserve"> are:</w:t>
      </w:r>
    </w:p>
    <w:p w:rsidR="004A4D82" w:rsidRDefault="00C35FA8" w:rsidP="004A4D82">
      <w:pPr>
        <w:pStyle w:val="Footer"/>
        <w:rPr>
          <w:sz w:val="20"/>
          <w:szCs w:val="20"/>
        </w:rPr>
      </w:pPr>
      <w:r w:rsidRPr="00C35FA8">
        <w:t xml:space="preserve">Despite RBA focus on interchange fees, </w:t>
      </w:r>
      <w:r w:rsidR="00090314">
        <w:t xml:space="preserve">the </w:t>
      </w:r>
      <w:r w:rsidR="00090314" w:rsidRPr="007A1440">
        <w:t xml:space="preserve">weighted average benchmark </w:t>
      </w:r>
      <w:r w:rsidR="00090314">
        <w:t>is no longer effective.  C</w:t>
      </w:r>
      <w:r w:rsidRPr="00C35FA8">
        <w:t>ards issuers and schemes are pushing higher-cost cards into the market, causing rising costs for most Australian merchants. For all but the largest players card acceptance is becoming a higher cost of doing business. FTA’s concern with the current structure of the card payments system is our assessment that it</w:t>
      </w:r>
      <w:r w:rsidR="007A1440">
        <w:t xml:space="preserve"> i</w:t>
      </w:r>
      <w:r w:rsidRPr="00C35FA8">
        <w:t>s moving away from being simply a payments system, with cost and features more driven by reward benefits attributable to only a small number of card holders.</w:t>
      </w:r>
      <w:r w:rsidR="004A4D82" w:rsidRPr="004A4D82">
        <w:rPr>
          <w:sz w:val="20"/>
          <w:szCs w:val="20"/>
        </w:rPr>
        <w:t xml:space="preserve"> </w:t>
      </w:r>
    </w:p>
    <w:p w:rsidR="004A4D82" w:rsidRPr="00CF4FF4" w:rsidRDefault="004A4D82" w:rsidP="004A4D82">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s>
        <w:autoSpaceDE w:val="0"/>
        <w:autoSpaceDN w:val="0"/>
        <w:adjustRightInd w:val="0"/>
        <w:spacing w:after="60"/>
        <w:rPr>
          <w:rFonts w:ascii="Arial" w:hAnsi="Arial" w:cs="Arial"/>
          <w:color w:val="000000"/>
          <w:sz w:val="36"/>
          <w:szCs w:val="36"/>
        </w:rPr>
      </w:pPr>
    </w:p>
    <w:p w:rsidR="004A4D82" w:rsidRPr="004A4D82" w:rsidRDefault="004A4D82" w:rsidP="004A4D82">
      <w:pPr>
        <w:tabs>
          <w:tab w:val="left" w:pos="1350"/>
        </w:tabs>
        <w:rPr>
          <w:color w:val="44546A" w:themeColor="text2"/>
          <w:sz w:val="20"/>
          <w:szCs w:val="20"/>
        </w:rPr>
      </w:pPr>
      <w:r w:rsidRPr="004A4D82">
        <w:rPr>
          <w:noProof/>
          <w:color w:val="44546A" w:themeColor="text2"/>
          <w:lang w:eastAsia="en-AU"/>
        </w:rPr>
        <mc:AlternateContent>
          <mc:Choice Requires="wps">
            <w:drawing>
              <wp:anchor distT="0" distB="0" distL="114300" distR="114300" simplePos="0" relativeHeight="251662336" behindDoc="1" locked="0" layoutInCell="1" allowOverlap="1" wp14:anchorId="2C673793" wp14:editId="0ECBDC52">
                <wp:simplePos x="0" y="0"/>
                <wp:positionH relativeFrom="page">
                  <wp:posOffset>540385</wp:posOffset>
                </wp:positionH>
                <wp:positionV relativeFrom="page">
                  <wp:posOffset>1291590</wp:posOffset>
                </wp:positionV>
                <wp:extent cx="6743700" cy="5715"/>
                <wp:effectExtent l="0" t="0" r="19050" b="32385"/>
                <wp:wrapNone/>
                <wp:docPr id="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743700" cy="5715"/>
                        </a:xfrm>
                        <a:prstGeom prst="line">
                          <a:avLst/>
                        </a:prstGeom>
                        <a:noFill/>
                        <a:ln w="12700">
                          <a:solidFill>
                            <a:srgbClr val="E12441"/>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flip:y;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2.55pt,101.7pt" to="573.55pt,10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" strokecolor="#e12441" strokeweight="1pt">
                <w10:wrap anchorx="page" anchory="page"/>
              </v:line>
            </w:pict>
          </mc:Fallback>
        </mc:AlternateContent>
      </w:r>
      <w:r w:rsidRPr="004A4D82">
        <w:rPr>
          <w:color w:val="44546A" w:themeColor="text2"/>
          <w:sz w:val="20"/>
          <w:szCs w:val="20"/>
        </w:rPr>
        <w:t>Level 1, St. Kilda Road Towers, 1 Queens Road, Melbourne VIC 3004  Tel +613 9863 7321 ABN 70 006 509 655</w:t>
      </w:r>
    </w:p>
    <w:p w:rsidR="00C35FA8" w:rsidRPr="00C35FA8" w:rsidRDefault="004A4D82" w:rsidP="00C35FA8">
      <w:pPr>
        <w:spacing w:after="240" w:line="276" w:lineRule="auto"/>
      </w:pPr>
      <w:r>
        <w:lastRenderedPageBreak/>
        <w:t>FTA</w:t>
      </w:r>
      <w:r w:rsidR="00C35FA8" w:rsidRPr="00C35FA8">
        <w:t xml:space="preserve"> consider</w:t>
      </w:r>
      <w:r>
        <w:t>s</w:t>
      </w:r>
      <w:r w:rsidR="00C35FA8" w:rsidRPr="00C35FA8">
        <w:t xml:space="preserve"> the current system has delivered:</w:t>
      </w:r>
    </w:p>
    <w:p w:rsidR="00C35FA8" w:rsidRPr="00C35FA8" w:rsidRDefault="00C35FA8" w:rsidP="00C35FA8">
      <w:pPr>
        <w:numPr>
          <w:ilvl w:val="0"/>
          <w:numId w:val="20"/>
        </w:numPr>
        <w:spacing w:after="240" w:line="276" w:lineRule="auto"/>
      </w:pPr>
      <w:r w:rsidRPr="00C35FA8">
        <w:t>An unnecessarily high cost form of payment for many Australian merchants – but one they are obliged to use </w:t>
      </w:r>
    </w:p>
    <w:p w:rsidR="00C35FA8" w:rsidRPr="00C35FA8" w:rsidRDefault="00C35FA8" w:rsidP="00C35FA8">
      <w:pPr>
        <w:numPr>
          <w:ilvl w:val="0"/>
          <w:numId w:val="20"/>
        </w:numPr>
        <w:spacing w:after="240" w:line="276" w:lineRule="auto"/>
      </w:pPr>
      <w:r w:rsidRPr="00C35FA8">
        <w:t>High levels of cross subsidisation from smaller merchants to other system participants particularly card issuers, card holders, and Schemes </w:t>
      </w:r>
    </w:p>
    <w:p w:rsidR="00C35FA8" w:rsidRPr="00C35FA8" w:rsidRDefault="00C35FA8" w:rsidP="00C35FA8">
      <w:pPr>
        <w:numPr>
          <w:ilvl w:val="0"/>
          <w:numId w:val="20"/>
        </w:numPr>
        <w:spacing w:after="240" w:line="276" w:lineRule="auto"/>
      </w:pPr>
      <w:r w:rsidRPr="00C35FA8">
        <w:t>Due to a lack of transparency for merchants in cost of individual cards, an inability to accurately charge cardholders </w:t>
      </w:r>
    </w:p>
    <w:p w:rsidR="00C35FA8" w:rsidRPr="00C35FA8" w:rsidRDefault="00C35FA8" w:rsidP="00C35FA8">
      <w:pPr>
        <w:numPr>
          <w:ilvl w:val="0"/>
          <w:numId w:val="20"/>
        </w:numPr>
        <w:spacing w:after="240" w:line="276" w:lineRule="auto"/>
      </w:pPr>
      <w:r w:rsidRPr="00C35FA8">
        <w:t>Growing cross subsidisation from low cost cardholders to high cost cardholders.  </w:t>
      </w:r>
    </w:p>
    <w:p w:rsidR="00C35FA8" w:rsidRPr="00C35FA8" w:rsidRDefault="00C35FA8" w:rsidP="00C35FA8">
      <w:pPr>
        <w:spacing w:after="240" w:line="276" w:lineRule="auto"/>
      </w:pPr>
      <w:r w:rsidRPr="00C35FA8">
        <w:t>With our submission FTA is seeking a more level playing field for all system users, to remove anti-competitive elements, and to lower barriers to entry for innovation and for new participants in the Scheme and card issuing and accepting areas.</w:t>
      </w:r>
    </w:p>
    <w:p w:rsidR="007A1440" w:rsidRPr="007A1440" w:rsidRDefault="007A1440" w:rsidP="007A1440">
      <w:pPr>
        <w:spacing w:after="240" w:line="276" w:lineRule="auto"/>
        <w:rPr>
          <w:b/>
        </w:rPr>
      </w:pPr>
      <w:r w:rsidRPr="007A1440">
        <w:rPr>
          <w:b/>
        </w:rPr>
        <w:t>Summary Recommendations</w:t>
      </w:r>
    </w:p>
    <w:p w:rsidR="003A592F" w:rsidRDefault="003A592F" w:rsidP="007A1440">
      <w:pPr>
        <w:spacing w:after="240" w:line="276" w:lineRule="auto"/>
      </w:pPr>
      <w:r>
        <w:t xml:space="preserve">The card system in Australia is now highly mature, and </w:t>
      </w:r>
      <w:r w:rsidR="00001EEF">
        <w:t xml:space="preserve">is in </w:t>
      </w:r>
      <w:r>
        <w:t xml:space="preserve">effect a </w:t>
      </w:r>
      <w:r w:rsidRPr="00613FB4">
        <w:t>part of the Australian payments infrastructure</w:t>
      </w:r>
      <w:r w:rsidR="00001EEF">
        <w:t>. This in our view should be</w:t>
      </w:r>
      <w:r>
        <w:t xml:space="preserve"> reflected in the approach to its regulation:</w:t>
      </w:r>
    </w:p>
    <w:p w:rsidR="006963DB" w:rsidRDefault="00001EEF" w:rsidP="00001EEF">
      <w:pPr>
        <w:pStyle w:val="ListParagraph"/>
        <w:numPr>
          <w:ilvl w:val="0"/>
          <w:numId w:val="16"/>
        </w:numPr>
        <w:spacing w:after="200" w:line="276" w:lineRule="auto"/>
      </w:pPr>
      <w:r>
        <w:t xml:space="preserve">FTA suggests that serious consideration be given to phasing out the </w:t>
      </w:r>
      <w:r w:rsidRPr="00001EEF">
        <w:t xml:space="preserve">interchange fee </w:t>
      </w:r>
      <w:r>
        <w:t>mechanism in what is a mature system. Ideally, u</w:t>
      </w:r>
      <w:r w:rsidR="003A592F">
        <w:t>sers of the system should pay relevant charges consistent with the economic cost of the services provided to them, as applies with other payment systems.</w:t>
      </w:r>
    </w:p>
    <w:p w:rsidR="003A592F" w:rsidRDefault="003A592F" w:rsidP="003A592F">
      <w:pPr>
        <w:pStyle w:val="ListParagraph"/>
        <w:numPr>
          <w:ilvl w:val="0"/>
          <w:numId w:val="16"/>
        </w:numPr>
        <w:spacing w:after="200" w:line="276" w:lineRule="auto"/>
      </w:pPr>
      <w:r>
        <w:t>During a period of transition, the tot</w:t>
      </w:r>
      <w:r w:rsidR="00001EEF">
        <w:t>al fees payable in the system c</w:t>
      </w:r>
      <w:r>
        <w:t xml:space="preserve">ould be capped.  In our view, the European approach provides </w:t>
      </w:r>
      <w:r w:rsidR="003610CB">
        <w:t>a</w:t>
      </w:r>
      <w:r>
        <w:t xml:space="preserve"> precedent and </w:t>
      </w:r>
      <w:r w:rsidR="00001EEF">
        <w:t xml:space="preserve">may be </w:t>
      </w:r>
      <w:r>
        <w:t xml:space="preserve">an appropriate benchmark </w:t>
      </w:r>
      <w:r w:rsidR="003610CB">
        <w:t xml:space="preserve">too </w:t>
      </w:r>
      <w:r>
        <w:t xml:space="preserve">with fees </w:t>
      </w:r>
      <w:r w:rsidRPr="003A592F">
        <w:t xml:space="preserve">for credit cards at no higher than 0.30%, subject to a </w:t>
      </w:r>
      <w:r>
        <w:t xml:space="preserve">small </w:t>
      </w:r>
      <w:r w:rsidRPr="003A592F">
        <w:t>maximum charge</w:t>
      </w:r>
      <w:r>
        <w:t>.</w:t>
      </w:r>
    </w:p>
    <w:p w:rsidR="003A592F" w:rsidRDefault="003A592F" w:rsidP="003A592F">
      <w:pPr>
        <w:pStyle w:val="ListParagraph"/>
        <w:numPr>
          <w:ilvl w:val="0"/>
          <w:numId w:val="16"/>
        </w:numPr>
        <w:spacing w:after="200" w:line="276" w:lineRule="auto"/>
      </w:pPr>
      <w:r>
        <w:t xml:space="preserve">The system should provide transparency to merchants and consumers alike, with transaction charges made available at the time of the transaction.  </w:t>
      </w:r>
      <w:r w:rsidR="00001EEF">
        <w:t>Ideally t</w:t>
      </w:r>
      <w:r>
        <w:t xml:space="preserve">he system </w:t>
      </w:r>
      <w:r w:rsidR="00001EEF">
        <w:t>c</w:t>
      </w:r>
      <w:r>
        <w:t>ould facilitat</w:t>
      </w:r>
      <w:r w:rsidR="00001EEF">
        <w:t xml:space="preserve">e </w:t>
      </w:r>
      <w:r>
        <w:t>recharging of transaction charges directly to the cardholder at the time of the transaction.</w:t>
      </w:r>
    </w:p>
    <w:p w:rsidR="003A592F" w:rsidRDefault="003A592F" w:rsidP="00C34D42">
      <w:pPr>
        <w:pStyle w:val="ListParagraph"/>
        <w:numPr>
          <w:ilvl w:val="0"/>
          <w:numId w:val="16"/>
        </w:numPr>
        <w:spacing w:after="200" w:line="276" w:lineRule="auto"/>
      </w:pPr>
      <w:r>
        <w:t>The distinctions between strategic and preferred merchants</w:t>
      </w:r>
      <w:r w:rsidR="00001EEF">
        <w:t>,</w:t>
      </w:r>
      <w:r>
        <w:t xml:space="preserve"> and all ot</w:t>
      </w:r>
      <w:r w:rsidR="00001EEF">
        <w:t xml:space="preserve">her merchants should reflect the economics of those relationships absent </w:t>
      </w:r>
      <w:r w:rsidR="00C34D42" w:rsidRPr="00C34D42">
        <w:t>regulator-sanction</w:t>
      </w:r>
      <w:r w:rsidR="00C34D42">
        <w:t>ed</w:t>
      </w:r>
      <w:r w:rsidR="00C34D42" w:rsidRPr="00C34D42">
        <w:t xml:space="preserve"> cross-subsidisation</w:t>
      </w:r>
      <w:r w:rsidR="00C34D42">
        <w:t>.</w:t>
      </w:r>
    </w:p>
    <w:p w:rsidR="003A592F" w:rsidRDefault="00C34D42" w:rsidP="003A592F">
      <w:pPr>
        <w:pStyle w:val="ListParagraph"/>
        <w:numPr>
          <w:ilvl w:val="0"/>
          <w:numId w:val="16"/>
        </w:numPr>
        <w:spacing w:after="200" w:line="276" w:lineRule="auto"/>
      </w:pPr>
      <w:r>
        <w:t>An o</w:t>
      </w:r>
      <w:r w:rsidR="003A592F">
        <w:t xml:space="preserve">verall </w:t>
      </w:r>
      <w:r w:rsidR="00335F3D">
        <w:t xml:space="preserve">aim </w:t>
      </w:r>
      <w:r w:rsidR="003A592F">
        <w:t xml:space="preserve">for change </w:t>
      </w:r>
      <w:r>
        <w:t>would be</w:t>
      </w:r>
      <w:r w:rsidR="003A592F">
        <w:t xml:space="preserve"> to remove </w:t>
      </w:r>
      <w:r>
        <w:t xml:space="preserve">regulator-sanctioned </w:t>
      </w:r>
      <w:r w:rsidR="003A592F">
        <w:t>cross</w:t>
      </w:r>
      <w:r>
        <w:t>-subsidisation.</w:t>
      </w:r>
      <w:r w:rsidR="003A592F">
        <w:t xml:space="preserve"> return the principle drivers of the system to provision of payments service, provide a level playing field for all system users and remove anti-competitive elements, provide transparency of cost and charges to all participants, and </w:t>
      </w:r>
    </w:p>
    <w:p w:rsidR="003A592F" w:rsidRDefault="003A592F" w:rsidP="003A592F">
      <w:pPr>
        <w:pStyle w:val="ListParagraph"/>
        <w:numPr>
          <w:ilvl w:val="0"/>
          <w:numId w:val="16"/>
        </w:numPr>
        <w:spacing w:after="200" w:line="276" w:lineRule="auto"/>
      </w:pPr>
      <w:r>
        <w:t>Actively encourage the entry of new participants in the Scheme and card issuing and accepting areas, subject to accepting the rules for participation in the infrastructure.</w:t>
      </w:r>
    </w:p>
    <w:p w:rsidR="007A1440" w:rsidRDefault="007A1440" w:rsidP="001400DA">
      <w:pPr>
        <w:ind w:left="3"/>
      </w:pPr>
    </w:p>
    <w:p w:rsidR="004A4D82" w:rsidRDefault="004A4D82" w:rsidP="001400DA">
      <w:pPr>
        <w:ind w:left="3"/>
        <w:rPr>
          <w:b/>
        </w:rPr>
      </w:pPr>
    </w:p>
    <w:p w:rsidR="004A4D82" w:rsidRDefault="004A4D82" w:rsidP="001400DA">
      <w:pPr>
        <w:ind w:left="3"/>
        <w:rPr>
          <w:b/>
        </w:rPr>
      </w:pPr>
    </w:p>
    <w:p w:rsidR="003A592F" w:rsidRPr="007A1440" w:rsidRDefault="007A1440" w:rsidP="001400DA">
      <w:pPr>
        <w:ind w:left="3"/>
        <w:rPr>
          <w:b/>
        </w:rPr>
      </w:pPr>
      <w:r>
        <w:rPr>
          <w:b/>
        </w:rPr>
        <w:t>Concluding remarks</w:t>
      </w:r>
    </w:p>
    <w:p w:rsidR="004A4D82" w:rsidRDefault="004A4D82" w:rsidP="007A1440">
      <w:pPr>
        <w:ind w:left="3"/>
      </w:pPr>
      <w:r w:rsidRPr="004A4D82">
        <w:t>FTA understands that promotion of economic efficiency throughout the financial system, including the payments system to be one of the key objectives of the Reserve Bank of Australia.  And note RBA’s duty is also “to contribute to the economic prosperity and welfare of the Australian people”.</w:t>
      </w:r>
    </w:p>
    <w:p w:rsidR="007A1440" w:rsidRPr="007A1440" w:rsidRDefault="007A1440" w:rsidP="007A1440">
      <w:pPr>
        <w:ind w:left="3"/>
      </w:pPr>
      <w:r w:rsidRPr="007A1440">
        <w:t xml:space="preserve">Australia’s </w:t>
      </w:r>
      <w:r w:rsidR="004B7FA5">
        <w:t>corporate sector</w:t>
      </w:r>
      <w:r w:rsidRPr="007A1440">
        <w:t xml:space="preserve"> benefit</w:t>
      </w:r>
      <w:r w:rsidR="00335F3D">
        <w:t>s</w:t>
      </w:r>
      <w:r w:rsidRPr="007A1440">
        <w:t xml:space="preserve"> from having </w:t>
      </w:r>
      <w:r>
        <w:t xml:space="preserve">a </w:t>
      </w:r>
      <w:r w:rsidR="00840E26">
        <w:t>financially robust</w:t>
      </w:r>
      <w:r w:rsidRPr="007A1440">
        <w:t xml:space="preserve"> small business </w:t>
      </w:r>
      <w:r>
        <w:t xml:space="preserve">and individual customer </w:t>
      </w:r>
      <w:r w:rsidRPr="007A1440">
        <w:t>base.</w:t>
      </w:r>
    </w:p>
    <w:p w:rsidR="007A1440" w:rsidRPr="007A1440" w:rsidRDefault="007A1440" w:rsidP="007A1440">
      <w:pPr>
        <w:ind w:left="3"/>
      </w:pPr>
      <w:r w:rsidRPr="007A1440">
        <w:t xml:space="preserve">Given the high proportion of transactions accounted for by credit cards </w:t>
      </w:r>
      <w:r w:rsidR="003610CB">
        <w:t>i</w:t>
      </w:r>
      <w:r w:rsidRPr="007A1440">
        <w:t xml:space="preserve">t is </w:t>
      </w:r>
      <w:r>
        <w:t>likely</w:t>
      </w:r>
      <w:r w:rsidRPr="007A1440">
        <w:t xml:space="preserve"> that </w:t>
      </w:r>
      <w:r>
        <w:t>reducing</w:t>
      </w:r>
      <w:r w:rsidRPr="007A1440">
        <w:t xml:space="preserve"> the cost of accepting “high cost” cards would represent a tangible improvement in small business profitability. </w:t>
      </w:r>
      <w:r>
        <w:t>M</w:t>
      </w:r>
      <w:r w:rsidRPr="007A1440">
        <w:t>eaningful saving</w:t>
      </w:r>
      <w:r>
        <w:t>s</w:t>
      </w:r>
      <w:r w:rsidRPr="007A1440">
        <w:t xml:space="preserve"> </w:t>
      </w:r>
      <w:r>
        <w:t>might be</w:t>
      </w:r>
      <w:r w:rsidRPr="007A1440">
        <w:t xml:space="preserve"> </w:t>
      </w:r>
      <w:r>
        <w:t xml:space="preserve">available to </w:t>
      </w:r>
      <w:r w:rsidRPr="007A1440">
        <w:t>smaller businesses while not compromising the ability of larger businesses to reap scale economies and strike mutually</w:t>
      </w:r>
      <w:r>
        <w:t>-</w:t>
      </w:r>
      <w:r w:rsidRPr="007A1440">
        <w:t>beneficial commercial arrangements with the card</w:t>
      </w:r>
      <w:r>
        <w:t>-</w:t>
      </w:r>
      <w:r w:rsidRPr="007A1440">
        <w:t>issuing companies.</w:t>
      </w:r>
    </w:p>
    <w:p w:rsidR="007A1440" w:rsidRPr="007A1440" w:rsidRDefault="007A1440" w:rsidP="007A1440">
      <w:pPr>
        <w:ind w:left="3"/>
      </w:pPr>
      <w:r>
        <w:t xml:space="preserve">That a large proportion of </w:t>
      </w:r>
      <w:r w:rsidRPr="007A1440">
        <w:t>submission</w:t>
      </w:r>
      <w:r>
        <w:t xml:space="preserve">s </w:t>
      </w:r>
      <w:r w:rsidRPr="007A1440">
        <w:t>to the Financial System Inquiry</w:t>
      </w:r>
      <w:r w:rsidR="000F4844">
        <w:t>, particularly from SMEs and individuals,</w:t>
      </w:r>
      <w:r>
        <w:t xml:space="preserve"> were seeking reform to credit </w:t>
      </w:r>
      <w:r w:rsidRPr="007A1440">
        <w:t xml:space="preserve">card </w:t>
      </w:r>
      <w:r>
        <w:t>charges</w:t>
      </w:r>
      <w:r w:rsidRPr="007A1440">
        <w:t xml:space="preserve">, </w:t>
      </w:r>
      <w:r>
        <w:t>is</w:t>
      </w:r>
      <w:r w:rsidRPr="007A1440">
        <w:t xml:space="preserve"> </w:t>
      </w:r>
      <w:r w:rsidR="000F4844">
        <w:t xml:space="preserve">an </w:t>
      </w:r>
      <w:r w:rsidRPr="007A1440">
        <w:t>indicati</w:t>
      </w:r>
      <w:r w:rsidR="000F4844">
        <w:t>on</w:t>
      </w:r>
      <w:r w:rsidRPr="007A1440">
        <w:t xml:space="preserve"> that the current arrang</w:t>
      </w:r>
      <w:r>
        <w:t>ements are not only inefficient</w:t>
      </w:r>
      <w:r w:rsidRPr="007A1440">
        <w:t xml:space="preserve"> but also considered to be </w:t>
      </w:r>
      <w:r>
        <w:t xml:space="preserve">inequitable, i.e. </w:t>
      </w:r>
      <w:r w:rsidRPr="007A1440">
        <w:t xml:space="preserve">unfair. </w:t>
      </w:r>
    </w:p>
    <w:p w:rsidR="007A1440" w:rsidRDefault="007A1440" w:rsidP="007A1440">
      <w:pPr>
        <w:ind w:left="3"/>
      </w:pPr>
      <w:r w:rsidRPr="007A1440">
        <w:t xml:space="preserve">Perception is </w:t>
      </w:r>
      <w:r w:rsidR="004B7FA5">
        <w:t xml:space="preserve">always </w:t>
      </w:r>
      <w:r w:rsidRPr="007A1440">
        <w:t xml:space="preserve">important. </w:t>
      </w:r>
      <w:r>
        <w:t xml:space="preserve">As the Federal Government </w:t>
      </w:r>
      <w:r w:rsidR="00090314">
        <w:t>and the</w:t>
      </w:r>
      <w:r w:rsidR="00840E26">
        <w:t xml:space="preserve"> RBA</w:t>
      </w:r>
      <w:r w:rsidR="00090314">
        <w:t xml:space="preserve"> seek</w:t>
      </w:r>
      <w:r>
        <w:t xml:space="preserve"> to rekindle </w:t>
      </w:r>
      <w:r w:rsidR="00840E26">
        <w:t>parts of the Australian economy</w:t>
      </w:r>
      <w:r>
        <w:t xml:space="preserve">, particularly in small business, </w:t>
      </w:r>
      <w:r w:rsidR="00090314">
        <w:t>change</w:t>
      </w:r>
      <w:r w:rsidR="009E1EB1">
        <w:t>s</w:t>
      </w:r>
      <w:r w:rsidR="00090314">
        <w:t xml:space="preserve"> of the nature we </w:t>
      </w:r>
      <w:r w:rsidR="009E1EB1">
        <w:t>propose</w:t>
      </w:r>
      <w:r w:rsidR="00090314">
        <w:t xml:space="preserve"> would represent a form of micro-economic reform. Utilising new technology and learning from the European experience, such </w:t>
      </w:r>
      <w:r w:rsidR="00090314" w:rsidRPr="007A1440">
        <w:t xml:space="preserve">structural change </w:t>
      </w:r>
      <w:r w:rsidR="00090314">
        <w:t xml:space="preserve">to the cost of access to key infrastructure can only send a positive signal to those investing </w:t>
      </w:r>
      <w:r w:rsidR="004B7FA5">
        <w:t>their energies and risk capital in Australia.</w:t>
      </w:r>
    </w:p>
    <w:p w:rsidR="007A1440" w:rsidRDefault="007A1440" w:rsidP="001400DA">
      <w:pPr>
        <w:ind w:left="3"/>
      </w:pPr>
    </w:p>
    <w:p w:rsidR="001400DA" w:rsidRDefault="00C34D42" w:rsidP="001400DA">
      <w:pPr>
        <w:ind w:left="3"/>
      </w:pPr>
      <w:r>
        <w:t>FTA</w:t>
      </w:r>
      <w:r w:rsidR="001400DA">
        <w:t xml:space="preserve"> welcome</w:t>
      </w:r>
      <w:r>
        <w:t>s</w:t>
      </w:r>
      <w:r w:rsidR="001400DA">
        <w:t xml:space="preserve"> the opportunity to discuss our </w:t>
      </w:r>
      <w:r w:rsidR="00090314">
        <w:t xml:space="preserve">philosophy and </w:t>
      </w:r>
      <w:r w:rsidR="003A592F">
        <w:t>recommended approach</w:t>
      </w:r>
      <w:r w:rsidR="001400DA">
        <w:t>.</w:t>
      </w:r>
    </w:p>
    <w:p w:rsidR="001400DA" w:rsidRDefault="001400DA" w:rsidP="001400DA">
      <w:pPr>
        <w:spacing w:after="200" w:line="276" w:lineRule="auto"/>
      </w:pPr>
    </w:p>
    <w:p w:rsidR="001400DA" w:rsidRDefault="001400DA" w:rsidP="006963DB">
      <w:r>
        <w:t>Yours sincerely</w:t>
      </w:r>
      <w:r w:rsidR="008D081C">
        <w:t>,</w:t>
      </w:r>
    </w:p>
    <w:p w:rsidR="008D081C" w:rsidRDefault="008D081C" w:rsidP="006963DB"/>
    <w:p w:rsidR="008D081C" w:rsidRDefault="008D081C" w:rsidP="006963DB"/>
    <w:p w:rsidR="007620DB" w:rsidRPr="00012CA6" w:rsidRDefault="007620DB" w:rsidP="007620DB">
      <w:pPr>
        <w:spacing w:after="120"/>
        <w:rPr>
          <w:rFonts w:eastAsia="Calibri"/>
          <w:bCs/>
          <w:sz w:val="23"/>
          <w:szCs w:val="23"/>
        </w:rPr>
      </w:pPr>
      <w:r>
        <w:rPr>
          <w:rFonts w:eastAsia="Calibri"/>
          <w:bCs/>
          <w:sz w:val="23"/>
          <w:szCs w:val="23"/>
        </w:rPr>
        <w:t>Ross McKean CFTP (Snr)</w:t>
      </w:r>
      <w:r w:rsidRPr="00012CA6">
        <w:rPr>
          <w:rFonts w:eastAsia="Calibri"/>
          <w:bCs/>
          <w:sz w:val="23"/>
          <w:szCs w:val="23"/>
        </w:rPr>
        <w:t xml:space="preserve"> </w:t>
      </w:r>
      <w:r w:rsidRPr="00012CA6">
        <w:rPr>
          <w:rFonts w:eastAsia="Calibri"/>
          <w:bCs/>
          <w:sz w:val="23"/>
          <w:szCs w:val="23"/>
        </w:rPr>
        <w:tab/>
      </w:r>
      <w:r w:rsidRPr="00012CA6">
        <w:rPr>
          <w:rFonts w:eastAsia="Calibri"/>
          <w:bCs/>
          <w:sz w:val="23"/>
          <w:szCs w:val="23"/>
        </w:rPr>
        <w:tab/>
      </w:r>
      <w:r w:rsidRPr="00012CA6">
        <w:rPr>
          <w:rFonts w:eastAsia="Calibri"/>
          <w:bCs/>
          <w:sz w:val="23"/>
          <w:szCs w:val="23"/>
        </w:rPr>
        <w:tab/>
      </w:r>
      <w:r w:rsidRPr="00012CA6">
        <w:rPr>
          <w:rFonts w:eastAsia="Calibri"/>
          <w:bCs/>
          <w:sz w:val="23"/>
          <w:szCs w:val="23"/>
        </w:rPr>
        <w:tab/>
      </w:r>
      <w:r>
        <w:rPr>
          <w:rFonts w:eastAsia="Calibri"/>
          <w:bCs/>
          <w:sz w:val="23"/>
          <w:szCs w:val="23"/>
        </w:rPr>
        <w:t>D</w:t>
      </w:r>
      <w:r w:rsidRPr="00012CA6">
        <w:rPr>
          <w:rFonts w:eastAsia="Calibri"/>
          <w:bCs/>
          <w:sz w:val="23"/>
          <w:szCs w:val="23"/>
        </w:rPr>
        <w:t>avid Michell CFTP (Snr)</w:t>
      </w:r>
    </w:p>
    <w:p w:rsidR="007620DB" w:rsidRPr="00012CA6" w:rsidRDefault="007620DB" w:rsidP="007620DB">
      <w:pPr>
        <w:spacing w:after="120"/>
        <w:rPr>
          <w:rFonts w:eastAsia="Calibri"/>
          <w:bCs/>
          <w:sz w:val="23"/>
          <w:szCs w:val="23"/>
        </w:rPr>
      </w:pPr>
      <w:r w:rsidRPr="00012CA6">
        <w:rPr>
          <w:rFonts w:eastAsia="Calibri"/>
          <w:bCs/>
          <w:sz w:val="23"/>
          <w:szCs w:val="23"/>
        </w:rPr>
        <w:t xml:space="preserve">President </w:t>
      </w:r>
      <w:r w:rsidRPr="00012CA6">
        <w:rPr>
          <w:rFonts w:eastAsia="Calibri"/>
          <w:bCs/>
          <w:sz w:val="23"/>
          <w:szCs w:val="23"/>
        </w:rPr>
        <w:tab/>
      </w:r>
      <w:r w:rsidRPr="00012CA6">
        <w:rPr>
          <w:rFonts w:eastAsia="Calibri"/>
          <w:bCs/>
          <w:sz w:val="23"/>
          <w:szCs w:val="23"/>
        </w:rPr>
        <w:tab/>
      </w:r>
      <w:r w:rsidRPr="00012CA6">
        <w:rPr>
          <w:rFonts w:eastAsia="Calibri"/>
          <w:bCs/>
          <w:sz w:val="23"/>
          <w:szCs w:val="23"/>
        </w:rPr>
        <w:tab/>
      </w:r>
      <w:r w:rsidRPr="00012CA6">
        <w:rPr>
          <w:rFonts w:eastAsia="Calibri"/>
          <w:bCs/>
          <w:sz w:val="23"/>
          <w:szCs w:val="23"/>
        </w:rPr>
        <w:tab/>
      </w:r>
      <w:r w:rsidRPr="00012CA6">
        <w:rPr>
          <w:rFonts w:eastAsia="Calibri"/>
          <w:bCs/>
          <w:sz w:val="23"/>
          <w:szCs w:val="23"/>
        </w:rPr>
        <w:tab/>
      </w:r>
      <w:r w:rsidRPr="00012CA6">
        <w:rPr>
          <w:rFonts w:eastAsia="Calibri"/>
          <w:bCs/>
          <w:sz w:val="23"/>
          <w:szCs w:val="23"/>
        </w:rPr>
        <w:tab/>
        <w:t>CEO</w:t>
      </w:r>
    </w:p>
    <w:p w:rsidR="007620DB" w:rsidRDefault="007620DB" w:rsidP="007620DB">
      <w:pPr>
        <w:spacing w:after="120"/>
        <w:rPr>
          <w:rFonts w:eastAsia="Calibri"/>
          <w:bCs/>
          <w:sz w:val="23"/>
          <w:szCs w:val="23"/>
        </w:rPr>
      </w:pPr>
      <w:r w:rsidRPr="00012CA6">
        <w:rPr>
          <w:rFonts w:eastAsia="Calibri"/>
          <w:bCs/>
          <w:sz w:val="23"/>
          <w:szCs w:val="23"/>
        </w:rPr>
        <w:t xml:space="preserve">Finance and Treasury Association </w:t>
      </w:r>
      <w:r w:rsidRPr="00012CA6">
        <w:rPr>
          <w:rFonts w:eastAsia="Calibri"/>
          <w:bCs/>
          <w:sz w:val="23"/>
          <w:szCs w:val="23"/>
        </w:rPr>
        <w:tab/>
      </w:r>
      <w:r w:rsidRPr="00012CA6">
        <w:rPr>
          <w:rFonts w:eastAsia="Calibri"/>
          <w:bCs/>
          <w:sz w:val="23"/>
          <w:szCs w:val="23"/>
        </w:rPr>
        <w:tab/>
      </w:r>
      <w:r w:rsidRPr="00012CA6">
        <w:rPr>
          <w:rFonts w:eastAsia="Calibri"/>
          <w:bCs/>
          <w:sz w:val="23"/>
          <w:szCs w:val="23"/>
        </w:rPr>
        <w:tab/>
        <w:t>Finance and Treasury Association</w:t>
      </w:r>
    </w:p>
    <w:p w:rsidR="006E614C" w:rsidRDefault="006E614C" w:rsidP="007620DB">
      <w:pPr>
        <w:spacing w:after="120"/>
        <w:rPr>
          <w:rFonts w:eastAsia="Calibri"/>
          <w:bCs/>
          <w:sz w:val="23"/>
          <w:szCs w:val="23"/>
        </w:rPr>
      </w:pPr>
    </w:p>
    <w:p w:rsidR="006E614C" w:rsidRDefault="006E614C">
      <w:pPr>
        <w:rPr>
          <w:rFonts w:eastAsia="Calibri"/>
          <w:b/>
          <w:bCs/>
          <w:sz w:val="23"/>
          <w:szCs w:val="23"/>
        </w:rPr>
      </w:pPr>
      <w:r>
        <w:rPr>
          <w:rFonts w:eastAsia="Calibri"/>
          <w:b/>
          <w:bCs/>
          <w:sz w:val="23"/>
          <w:szCs w:val="23"/>
        </w:rPr>
        <w:br w:type="page"/>
      </w:r>
    </w:p>
    <w:p w:rsidR="006E614C" w:rsidRPr="006E614C" w:rsidRDefault="006E614C" w:rsidP="006E614C">
      <w:pPr>
        <w:spacing w:after="120"/>
        <w:rPr>
          <w:rFonts w:eastAsia="Calibri"/>
          <w:b/>
          <w:bCs/>
          <w:sz w:val="23"/>
          <w:szCs w:val="23"/>
        </w:rPr>
      </w:pPr>
      <w:r>
        <w:rPr>
          <w:rFonts w:eastAsia="Calibri"/>
          <w:b/>
          <w:bCs/>
          <w:sz w:val="23"/>
          <w:szCs w:val="23"/>
        </w:rPr>
        <w:t>Specific Responses</w:t>
      </w:r>
    </w:p>
    <w:p w:rsidR="006E614C" w:rsidRPr="006E614C" w:rsidRDefault="006E614C" w:rsidP="006E614C">
      <w:pPr>
        <w:spacing w:after="120"/>
        <w:rPr>
          <w:rFonts w:eastAsia="Calibri"/>
          <w:bCs/>
          <w:sz w:val="23"/>
          <w:szCs w:val="23"/>
        </w:rPr>
      </w:pPr>
    </w:p>
    <w:p w:rsidR="006E614C" w:rsidRPr="006E614C" w:rsidRDefault="006E614C" w:rsidP="006E614C">
      <w:pPr>
        <w:spacing w:after="120"/>
        <w:rPr>
          <w:rFonts w:eastAsia="Calibri"/>
          <w:bCs/>
          <w:sz w:val="23"/>
          <w:szCs w:val="23"/>
        </w:rPr>
      </w:pPr>
      <w:r>
        <w:rPr>
          <w:rFonts w:eastAsia="Calibri"/>
          <w:bCs/>
          <w:sz w:val="23"/>
          <w:szCs w:val="23"/>
        </w:rPr>
        <w:t xml:space="preserve">Issue 1 - </w:t>
      </w:r>
      <w:r w:rsidRPr="006E614C">
        <w:rPr>
          <w:rFonts w:eastAsia="Calibri"/>
          <w:b/>
          <w:bCs/>
          <w:sz w:val="23"/>
          <w:szCs w:val="23"/>
        </w:rPr>
        <w:t xml:space="preserve">Publishing thresholds for which payment system providers will be subject to interchange or related regulation, possibly based on transaction values and/or market shares. </w:t>
      </w:r>
    </w:p>
    <w:p w:rsidR="006E614C" w:rsidRPr="006E614C" w:rsidRDefault="006E614C" w:rsidP="006E614C">
      <w:pPr>
        <w:spacing w:after="120"/>
        <w:rPr>
          <w:rFonts w:eastAsia="Calibri"/>
          <w:b/>
          <w:bCs/>
          <w:sz w:val="23"/>
          <w:szCs w:val="23"/>
        </w:rPr>
      </w:pPr>
      <w:r w:rsidRPr="006E614C">
        <w:rPr>
          <w:rFonts w:eastAsia="Calibri"/>
          <w:bCs/>
          <w:sz w:val="23"/>
          <w:szCs w:val="23"/>
        </w:rPr>
        <w:t xml:space="preserve">The RBA and the Payment Systems Board must ensure that information, decisions, and decision making processes are transparent and support a highly competitive playing field. Increased choice and competition is required from alternative providers and alternative payment mechanisms for services to merchants as well as to consumers. </w:t>
      </w:r>
    </w:p>
    <w:p w:rsidR="006E614C" w:rsidRPr="006E614C" w:rsidRDefault="006E614C" w:rsidP="006E614C">
      <w:pPr>
        <w:spacing w:after="120"/>
        <w:rPr>
          <w:rFonts w:eastAsia="Calibri"/>
          <w:bCs/>
          <w:sz w:val="23"/>
          <w:szCs w:val="23"/>
        </w:rPr>
      </w:pPr>
      <w:r w:rsidRPr="006E614C">
        <w:rPr>
          <w:rFonts w:eastAsia="Calibri"/>
          <w:bCs/>
          <w:sz w:val="23"/>
          <w:szCs w:val="23"/>
        </w:rPr>
        <w:t xml:space="preserve">The access regime should recognise that the card system is a mature </w:t>
      </w:r>
      <w:r w:rsidR="00AD4CBE">
        <w:rPr>
          <w:rFonts w:eastAsia="Calibri"/>
          <w:bCs/>
          <w:sz w:val="23"/>
          <w:szCs w:val="23"/>
        </w:rPr>
        <w:t>yet</w:t>
      </w:r>
      <w:r w:rsidRPr="006E614C">
        <w:rPr>
          <w:rFonts w:eastAsia="Calibri"/>
          <w:bCs/>
          <w:sz w:val="23"/>
          <w:szCs w:val="23"/>
        </w:rPr>
        <w:t xml:space="preserve"> essential financial infrastructure, and </w:t>
      </w:r>
      <w:r w:rsidR="00AD4CBE">
        <w:rPr>
          <w:rFonts w:eastAsia="Calibri"/>
          <w:bCs/>
          <w:sz w:val="23"/>
          <w:szCs w:val="23"/>
        </w:rPr>
        <w:t xml:space="preserve">hence </w:t>
      </w:r>
      <w:r w:rsidRPr="006E614C">
        <w:rPr>
          <w:rFonts w:eastAsia="Calibri"/>
          <w:bCs/>
          <w:sz w:val="23"/>
          <w:szCs w:val="23"/>
        </w:rPr>
        <w:t xml:space="preserve">facilitate high accessibility. </w:t>
      </w:r>
    </w:p>
    <w:p w:rsidR="00912A0D" w:rsidRPr="00AD4CBE" w:rsidRDefault="00912A0D" w:rsidP="00912A0D">
      <w:pPr>
        <w:spacing w:after="120"/>
        <w:rPr>
          <w:rFonts w:eastAsia="Calibri"/>
          <w:bCs/>
          <w:sz w:val="23"/>
          <w:szCs w:val="23"/>
        </w:rPr>
      </w:pPr>
      <w:r w:rsidRPr="00AD4CBE">
        <w:rPr>
          <w:rFonts w:eastAsia="Calibri"/>
          <w:bCs/>
          <w:sz w:val="23"/>
          <w:szCs w:val="23"/>
        </w:rPr>
        <w:t>FTA supports i</w:t>
      </w:r>
      <w:r>
        <w:rPr>
          <w:rFonts w:eastAsia="Calibri"/>
          <w:bCs/>
          <w:sz w:val="23"/>
          <w:szCs w:val="23"/>
        </w:rPr>
        <w:t>n principle this recommendation, and in favour of greater granularity of information to ensure the cost of acceptance more closely reflects the underlying economics.</w:t>
      </w:r>
    </w:p>
    <w:p w:rsidR="006E614C" w:rsidRPr="006E614C" w:rsidRDefault="006E614C" w:rsidP="006E614C">
      <w:pPr>
        <w:spacing w:after="120"/>
        <w:rPr>
          <w:rFonts w:eastAsia="Calibri"/>
          <w:bCs/>
          <w:sz w:val="23"/>
          <w:szCs w:val="23"/>
        </w:rPr>
      </w:pPr>
    </w:p>
    <w:p w:rsidR="00D959A9" w:rsidRDefault="00D959A9" w:rsidP="006E614C">
      <w:pPr>
        <w:spacing w:after="120"/>
        <w:rPr>
          <w:rFonts w:eastAsia="Calibri"/>
          <w:bCs/>
          <w:sz w:val="23"/>
          <w:szCs w:val="23"/>
        </w:rPr>
      </w:pPr>
      <w:r>
        <w:rPr>
          <w:rFonts w:eastAsia="Calibri"/>
          <w:bCs/>
          <w:sz w:val="23"/>
          <w:szCs w:val="23"/>
        </w:rPr>
        <w:t xml:space="preserve">Issue 2 - </w:t>
      </w:r>
      <w:r w:rsidR="006E614C" w:rsidRPr="006E614C">
        <w:rPr>
          <w:rFonts w:eastAsia="Calibri"/>
          <w:b/>
          <w:bCs/>
          <w:sz w:val="23"/>
          <w:szCs w:val="23"/>
        </w:rPr>
        <w:t xml:space="preserve">Broadening interchange fee caps to include other payments between schemes and issuers. </w:t>
      </w:r>
    </w:p>
    <w:p w:rsidR="006E614C" w:rsidRPr="006E614C" w:rsidRDefault="00D959A9" w:rsidP="006E614C">
      <w:pPr>
        <w:spacing w:after="120"/>
        <w:rPr>
          <w:rFonts w:eastAsia="Calibri"/>
          <w:bCs/>
          <w:sz w:val="23"/>
          <w:szCs w:val="23"/>
        </w:rPr>
      </w:pPr>
      <w:r>
        <w:rPr>
          <w:rFonts w:eastAsia="Calibri"/>
          <w:bCs/>
          <w:sz w:val="23"/>
          <w:szCs w:val="23"/>
        </w:rPr>
        <w:t xml:space="preserve">Issue 3 - </w:t>
      </w:r>
      <w:r w:rsidR="006E614C" w:rsidRPr="006E614C">
        <w:rPr>
          <w:rFonts w:eastAsia="Calibri"/>
          <w:b/>
          <w:bCs/>
          <w:sz w:val="23"/>
          <w:szCs w:val="23"/>
        </w:rPr>
        <w:t xml:space="preserve">Making changes to the interchange benchmark system to reduce the upward ‘drift’ in average interchange rates inherent in the current three-year reset cycle. </w:t>
      </w:r>
    </w:p>
    <w:p w:rsidR="006E614C" w:rsidRPr="006E614C" w:rsidRDefault="00D959A9" w:rsidP="006E614C">
      <w:pPr>
        <w:spacing w:after="120"/>
        <w:rPr>
          <w:rFonts w:eastAsia="Calibri"/>
          <w:bCs/>
          <w:sz w:val="23"/>
          <w:szCs w:val="23"/>
        </w:rPr>
      </w:pPr>
      <w:r>
        <w:rPr>
          <w:rFonts w:eastAsia="Calibri"/>
          <w:bCs/>
          <w:sz w:val="23"/>
          <w:szCs w:val="23"/>
        </w:rPr>
        <w:t xml:space="preserve">Issue 4- </w:t>
      </w:r>
      <w:r w:rsidR="006E614C" w:rsidRPr="006E614C">
        <w:rPr>
          <w:rFonts w:eastAsia="Calibri"/>
          <w:b/>
          <w:bCs/>
          <w:sz w:val="23"/>
          <w:szCs w:val="23"/>
        </w:rPr>
        <w:t xml:space="preserve">Lowering interchange caps. </w:t>
      </w:r>
    </w:p>
    <w:p w:rsidR="006E614C" w:rsidRPr="006E614C" w:rsidRDefault="00D959A9" w:rsidP="006E614C">
      <w:pPr>
        <w:spacing w:after="120"/>
        <w:rPr>
          <w:rFonts w:eastAsia="Calibri"/>
          <w:bCs/>
          <w:sz w:val="23"/>
          <w:szCs w:val="23"/>
        </w:rPr>
      </w:pPr>
      <w:r>
        <w:rPr>
          <w:rFonts w:eastAsia="Calibri"/>
          <w:bCs/>
          <w:sz w:val="23"/>
          <w:szCs w:val="23"/>
        </w:rPr>
        <w:t xml:space="preserve">Issue 5 - </w:t>
      </w:r>
      <w:r w:rsidR="006E614C" w:rsidRPr="006E614C">
        <w:rPr>
          <w:rFonts w:eastAsia="Calibri"/>
          <w:b/>
          <w:bCs/>
          <w:sz w:val="23"/>
          <w:szCs w:val="23"/>
        </w:rPr>
        <w:t xml:space="preserve">Replacing weighted-average interchange caps with hard caps. </w:t>
      </w:r>
    </w:p>
    <w:p w:rsidR="006E614C" w:rsidRPr="006E614C" w:rsidRDefault="00D959A9" w:rsidP="006E614C">
      <w:pPr>
        <w:spacing w:after="120"/>
        <w:rPr>
          <w:rFonts w:eastAsia="Calibri"/>
          <w:bCs/>
          <w:sz w:val="23"/>
          <w:szCs w:val="23"/>
        </w:rPr>
      </w:pPr>
      <w:r>
        <w:rPr>
          <w:rFonts w:eastAsia="Calibri"/>
          <w:bCs/>
          <w:sz w:val="23"/>
          <w:szCs w:val="23"/>
        </w:rPr>
        <w:t xml:space="preserve">Issue 6 - </w:t>
      </w:r>
      <w:r w:rsidR="006E614C" w:rsidRPr="006E614C">
        <w:rPr>
          <w:rFonts w:eastAsia="Calibri"/>
          <w:b/>
          <w:bCs/>
          <w:sz w:val="23"/>
          <w:szCs w:val="23"/>
        </w:rPr>
        <w:t xml:space="preserve">Applying caps as the lesser of a fixed amount and a fixed percentage of transaction values. </w:t>
      </w:r>
    </w:p>
    <w:p w:rsidR="006E614C" w:rsidRPr="006E614C" w:rsidRDefault="00AD4CBE" w:rsidP="006E614C">
      <w:pPr>
        <w:spacing w:after="120"/>
        <w:rPr>
          <w:rFonts w:eastAsia="Calibri"/>
          <w:bCs/>
          <w:sz w:val="23"/>
          <w:szCs w:val="23"/>
        </w:rPr>
      </w:pPr>
      <w:r>
        <w:rPr>
          <w:rFonts w:eastAsia="Calibri"/>
          <w:bCs/>
          <w:sz w:val="23"/>
          <w:szCs w:val="23"/>
        </w:rPr>
        <w:t>FTA supports changes that reduce the cost of compliance and costs associated with the provision of electronic merchant facilities. Hence FTA supports in principle issues 3 to 6.</w:t>
      </w:r>
    </w:p>
    <w:p w:rsidR="006E614C" w:rsidRPr="006E614C" w:rsidRDefault="006E614C" w:rsidP="006E614C">
      <w:pPr>
        <w:spacing w:after="120"/>
        <w:rPr>
          <w:rFonts w:eastAsia="Calibri"/>
          <w:bCs/>
          <w:sz w:val="23"/>
          <w:szCs w:val="23"/>
        </w:rPr>
      </w:pPr>
      <w:r w:rsidRPr="006E614C">
        <w:rPr>
          <w:rFonts w:eastAsia="Calibri"/>
          <w:bCs/>
          <w:sz w:val="23"/>
          <w:szCs w:val="23"/>
        </w:rPr>
        <w:t>A</w:t>
      </w:r>
      <w:r w:rsidR="00912A0D">
        <w:rPr>
          <w:rFonts w:eastAsia="Calibri"/>
          <w:bCs/>
          <w:sz w:val="23"/>
          <w:szCs w:val="23"/>
        </w:rPr>
        <w:t>rguably a</w:t>
      </w:r>
      <w:r w:rsidRPr="006E614C">
        <w:rPr>
          <w:rFonts w:eastAsia="Calibri"/>
          <w:bCs/>
          <w:sz w:val="23"/>
          <w:szCs w:val="23"/>
        </w:rPr>
        <w:t xml:space="preserve">n interchange fee is no longer justified </w:t>
      </w:r>
      <w:r w:rsidR="00912A0D">
        <w:rPr>
          <w:rFonts w:eastAsia="Calibri"/>
          <w:bCs/>
          <w:sz w:val="23"/>
          <w:szCs w:val="23"/>
        </w:rPr>
        <w:t>in</w:t>
      </w:r>
      <w:r w:rsidRPr="006E614C">
        <w:rPr>
          <w:rFonts w:eastAsia="Calibri"/>
          <w:bCs/>
          <w:sz w:val="23"/>
          <w:szCs w:val="23"/>
        </w:rPr>
        <w:t xml:space="preserve"> the mature and well established Australian car</w:t>
      </w:r>
      <w:r w:rsidR="000F4844">
        <w:rPr>
          <w:rFonts w:eastAsia="Calibri"/>
          <w:bCs/>
          <w:sz w:val="23"/>
          <w:szCs w:val="23"/>
        </w:rPr>
        <w:t>d</w:t>
      </w:r>
      <w:r w:rsidRPr="006E614C">
        <w:rPr>
          <w:rFonts w:eastAsia="Calibri"/>
          <w:bCs/>
          <w:sz w:val="23"/>
          <w:szCs w:val="23"/>
        </w:rPr>
        <w:t xml:space="preserve"> payments system.  </w:t>
      </w:r>
      <w:r w:rsidR="00912A0D">
        <w:rPr>
          <w:rFonts w:eastAsia="Calibri"/>
          <w:bCs/>
          <w:sz w:val="23"/>
          <w:szCs w:val="23"/>
        </w:rPr>
        <w:t>I</w:t>
      </w:r>
      <w:r w:rsidRPr="006E614C">
        <w:rPr>
          <w:rFonts w:eastAsia="Calibri"/>
          <w:bCs/>
          <w:sz w:val="23"/>
          <w:szCs w:val="23"/>
        </w:rPr>
        <w:t xml:space="preserve">ncentive fees </w:t>
      </w:r>
      <w:r w:rsidR="00912A0D">
        <w:rPr>
          <w:rFonts w:eastAsia="Calibri"/>
          <w:bCs/>
          <w:sz w:val="23"/>
          <w:szCs w:val="23"/>
        </w:rPr>
        <w:t xml:space="preserve">are driving costs higher and </w:t>
      </w:r>
      <w:r w:rsidRPr="006E614C">
        <w:rPr>
          <w:rFonts w:eastAsia="Calibri"/>
          <w:bCs/>
          <w:sz w:val="23"/>
          <w:szCs w:val="23"/>
        </w:rPr>
        <w:t>churn</w:t>
      </w:r>
      <w:r w:rsidR="00912A0D">
        <w:rPr>
          <w:rFonts w:eastAsia="Calibri"/>
          <w:bCs/>
          <w:sz w:val="23"/>
          <w:szCs w:val="23"/>
        </w:rPr>
        <w:t>ing</w:t>
      </w:r>
      <w:r w:rsidRPr="006E614C">
        <w:rPr>
          <w:rFonts w:eastAsia="Calibri"/>
          <w:bCs/>
          <w:sz w:val="23"/>
          <w:szCs w:val="23"/>
        </w:rPr>
        <w:t xml:space="preserve"> existing cardholders to higher cost cards</w:t>
      </w:r>
      <w:r w:rsidR="00912A0D">
        <w:rPr>
          <w:rFonts w:eastAsia="Calibri"/>
          <w:bCs/>
          <w:sz w:val="23"/>
          <w:szCs w:val="23"/>
        </w:rPr>
        <w:t>.  Interchange fees c</w:t>
      </w:r>
      <w:r w:rsidRPr="006E614C">
        <w:rPr>
          <w:rFonts w:eastAsia="Calibri"/>
          <w:bCs/>
          <w:sz w:val="23"/>
          <w:szCs w:val="23"/>
        </w:rPr>
        <w:t xml:space="preserve">ould be phased out over a period of less than 3 years, with a hard cap on fees until that is achieved. </w:t>
      </w:r>
    </w:p>
    <w:p w:rsidR="00912A0D" w:rsidRDefault="00912A0D" w:rsidP="006E614C">
      <w:pPr>
        <w:spacing w:after="120"/>
        <w:rPr>
          <w:rFonts w:eastAsia="Calibri"/>
          <w:bCs/>
          <w:sz w:val="23"/>
          <w:szCs w:val="23"/>
        </w:rPr>
      </w:pPr>
      <w:r>
        <w:rPr>
          <w:rFonts w:eastAsia="Calibri"/>
          <w:bCs/>
          <w:sz w:val="23"/>
          <w:szCs w:val="23"/>
        </w:rPr>
        <w:t>In our members’ experience, t</w:t>
      </w:r>
      <w:r w:rsidR="006E614C" w:rsidRPr="006E614C">
        <w:rPr>
          <w:rFonts w:eastAsia="Calibri"/>
          <w:bCs/>
          <w:sz w:val="23"/>
          <w:szCs w:val="23"/>
        </w:rPr>
        <w:t xml:space="preserve">he three year weighted average cap increases costs for </w:t>
      </w:r>
      <w:r>
        <w:rPr>
          <w:rFonts w:eastAsia="Calibri"/>
          <w:bCs/>
          <w:sz w:val="23"/>
          <w:szCs w:val="23"/>
        </w:rPr>
        <w:t xml:space="preserve">most </w:t>
      </w:r>
      <w:r w:rsidR="006E614C" w:rsidRPr="006E614C">
        <w:rPr>
          <w:rFonts w:eastAsia="Calibri"/>
          <w:bCs/>
          <w:sz w:val="23"/>
          <w:szCs w:val="23"/>
        </w:rPr>
        <w:t>merchants,</w:t>
      </w:r>
      <w:r>
        <w:rPr>
          <w:rFonts w:eastAsia="Calibri"/>
          <w:bCs/>
          <w:sz w:val="23"/>
          <w:szCs w:val="23"/>
        </w:rPr>
        <w:t xml:space="preserve"> </w:t>
      </w:r>
      <w:r w:rsidR="009E1EB1">
        <w:rPr>
          <w:rFonts w:eastAsia="Calibri"/>
          <w:bCs/>
          <w:sz w:val="23"/>
          <w:szCs w:val="23"/>
        </w:rPr>
        <w:t>and</w:t>
      </w:r>
      <w:r>
        <w:rPr>
          <w:rFonts w:eastAsia="Calibri"/>
          <w:bCs/>
          <w:sz w:val="23"/>
          <w:szCs w:val="23"/>
        </w:rPr>
        <w:t xml:space="preserve"> is we understand now recognised by the </w:t>
      </w:r>
      <w:r w:rsidR="00840E26">
        <w:rPr>
          <w:rFonts w:eastAsia="Calibri"/>
          <w:bCs/>
          <w:sz w:val="23"/>
          <w:szCs w:val="23"/>
        </w:rPr>
        <w:t>RBA as</w:t>
      </w:r>
      <w:r>
        <w:rPr>
          <w:rFonts w:eastAsia="Calibri"/>
          <w:bCs/>
          <w:sz w:val="23"/>
          <w:szCs w:val="23"/>
        </w:rPr>
        <w:t xml:space="preserve"> an element </w:t>
      </w:r>
      <w:r w:rsidR="006E614C" w:rsidRPr="006E614C">
        <w:rPr>
          <w:rFonts w:eastAsia="Calibri"/>
          <w:bCs/>
          <w:sz w:val="23"/>
          <w:szCs w:val="23"/>
        </w:rPr>
        <w:t xml:space="preserve">driving greater issuance of higher fee cards.  </w:t>
      </w:r>
    </w:p>
    <w:p w:rsidR="00912A0D" w:rsidRDefault="00912A0D" w:rsidP="006E614C">
      <w:pPr>
        <w:spacing w:after="120"/>
        <w:rPr>
          <w:rFonts w:eastAsia="Calibri"/>
          <w:bCs/>
          <w:sz w:val="23"/>
          <w:szCs w:val="23"/>
        </w:rPr>
      </w:pPr>
      <w:r>
        <w:rPr>
          <w:rFonts w:eastAsia="Calibri"/>
          <w:bCs/>
          <w:sz w:val="23"/>
          <w:szCs w:val="23"/>
        </w:rPr>
        <w:t>And, the weighted average cap</w:t>
      </w:r>
      <w:r w:rsidR="006E614C" w:rsidRPr="006E614C">
        <w:rPr>
          <w:rFonts w:eastAsia="Calibri"/>
          <w:bCs/>
          <w:sz w:val="23"/>
          <w:szCs w:val="23"/>
        </w:rPr>
        <w:t xml:space="preserve"> has only been partially effective from a consumer perspective given the high levels of cross subsidisation in the system.   </w:t>
      </w:r>
    </w:p>
    <w:p w:rsidR="006E614C" w:rsidRPr="006E614C" w:rsidRDefault="00912A0D" w:rsidP="006E614C">
      <w:pPr>
        <w:spacing w:after="120"/>
        <w:rPr>
          <w:rFonts w:eastAsia="Calibri"/>
          <w:bCs/>
          <w:sz w:val="23"/>
          <w:szCs w:val="23"/>
        </w:rPr>
      </w:pPr>
      <w:r>
        <w:rPr>
          <w:rFonts w:eastAsia="Calibri"/>
          <w:bCs/>
          <w:sz w:val="23"/>
          <w:szCs w:val="23"/>
        </w:rPr>
        <w:t>On this basis</w:t>
      </w:r>
      <w:r w:rsidR="006E614C" w:rsidRPr="006E614C">
        <w:rPr>
          <w:rFonts w:eastAsia="Calibri"/>
          <w:bCs/>
          <w:sz w:val="23"/>
          <w:szCs w:val="23"/>
        </w:rPr>
        <w:t xml:space="preserve">, it </w:t>
      </w:r>
      <w:r w:rsidR="003610CB">
        <w:rPr>
          <w:rFonts w:eastAsia="Calibri"/>
          <w:bCs/>
          <w:sz w:val="23"/>
          <w:szCs w:val="23"/>
        </w:rPr>
        <w:t>would be</w:t>
      </w:r>
      <w:r w:rsidR="006E614C" w:rsidRPr="006E614C">
        <w:rPr>
          <w:rFonts w:eastAsia="Calibri"/>
          <w:bCs/>
          <w:sz w:val="23"/>
          <w:szCs w:val="23"/>
        </w:rPr>
        <w:t xml:space="preserve"> appropriate</w:t>
      </w:r>
      <w:r>
        <w:rPr>
          <w:rFonts w:eastAsia="Calibri"/>
          <w:bCs/>
          <w:sz w:val="23"/>
          <w:szCs w:val="23"/>
        </w:rPr>
        <w:t xml:space="preserve"> that the </w:t>
      </w:r>
      <w:r w:rsidRPr="00912A0D">
        <w:rPr>
          <w:rFonts w:eastAsia="Calibri"/>
          <w:bCs/>
          <w:sz w:val="23"/>
          <w:szCs w:val="23"/>
        </w:rPr>
        <w:t>weighted average cap</w:t>
      </w:r>
      <w:r w:rsidR="006E614C" w:rsidRPr="006E614C">
        <w:rPr>
          <w:rFonts w:eastAsia="Calibri"/>
          <w:bCs/>
          <w:sz w:val="23"/>
          <w:szCs w:val="23"/>
        </w:rPr>
        <w:t xml:space="preserve"> be superseded by a hard cap system.   </w:t>
      </w:r>
    </w:p>
    <w:p w:rsidR="00335F3D" w:rsidRDefault="00335F3D" w:rsidP="006E614C">
      <w:pPr>
        <w:spacing w:after="120"/>
        <w:rPr>
          <w:rFonts w:eastAsia="Calibri"/>
          <w:bCs/>
          <w:sz w:val="23"/>
          <w:szCs w:val="23"/>
        </w:rPr>
      </w:pPr>
      <w:r>
        <w:rPr>
          <w:rFonts w:eastAsia="Calibri"/>
          <w:bCs/>
          <w:sz w:val="23"/>
          <w:szCs w:val="23"/>
        </w:rPr>
        <w:t xml:space="preserve">A transitional </w:t>
      </w:r>
      <w:r w:rsidR="006E614C" w:rsidRPr="006E614C">
        <w:rPr>
          <w:rFonts w:eastAsia="Calibri"/>
          <w:bCs/>
          <w:sz w:val="23"/>
          <w:szCs w:val="23"/>
        </w:rPr>
        <w:t xml:space="preserve">hard cap system </w:t>
      </w:r>
      <w:r w:rsidR="00840E26">
        <w:rPr>
          <w:rFonts w:eastAsia="Calibri"/>
          <w:bCs/>
          <w:sz w:val="23"/>
          <w:szCs w:val="23"/>
        </w:rPr>
        <w:t>c</w:t>
      </w:r>
      <w:r w:rsidR="003610CB">
        <w:rPr>
          <w:rFonts w:eastAsia="Calibri"/>
          <w:bCs/>
          <w:sz w:val="23"/>
          <w:szCs w:val="23"/>
        </w:rPr>
        <w:t xml:space="preserve">ould be </w:t>
      </w:r>
      <w:r w:rsidR="00840E26">
        <w:rPr>
          <w:rFonts w:eastAsia="Calibri"/>
          <w:bCs/>
          <w:sz w:val="23"/>
          <w:szCs w:val="23"/>
        </w:rPr>
        <w:t>similar to</w:t>
      </w:r>
      <w:r w:rsidR="003610CB">
        <w:rPr>
          <w:rFonts w:eastAsia="Calibri"/>
          <w:bCs/>
          <w:sz w:val="23"/>
          <w:szCs w:val="23"/>
        </w:rPr>
        <w:t xml:space="preserve"> that adopted in </w:t>
      </w:r>
      <w:r w:rsidR="006E614C" w:rsidRPr="006E614C">
        <w:rPr>
          <w:rFonts w:eastAsia="Calibri"/>
          <w:bCs/>
          <w:sz w:val="23"/>
          <w:szCs w:val="23"/>
        </w:rPr>
        <w:t xml:space="preserve">Europe.  </w:t>
      </w:r>
    </w:p>
    <w:p w:rsidR="006E614C" w:rsidRPr="006E614C" w:rsidRDefault="00335F3D" w:rsidP="006E614C">
      <w:pPr>
        <w:spacing w:after="120"/>
        <w:rPr>
          <w:rFonts w:eastAsia="Calibri"/>
          <w:bCs/>
          <w:sz w:val="23"/>
          <w:szCs w:val="23"/>
        </w:rPr>
      </w:pPr>
      <w:r>
        <w:rPr>
          <w:rFonts w:eastAsia="Calibri"/>
          <w:bCs/>
          <w:sz w:val="23"/>
          <w:szCs w:val="23"/>
        </w:rPr>
        <w:t>Potentially</w:t>
      </w:r>
      <w:r w:rsidR="006E614C" w:rsidRPr="006E614C">
        <w:rPr>
          <w:rFonts w:eastAsia="Calibri"/>
          <w:bCs/>
          <w:sz w:val="23"/>
          <w:szCs w:val="23"/>
        </w:rPr>
        <w:t xml:space="preserve">, total charges </w:t>
      </w:r>
      <w:r>
        <w:rPr>
          <w:rFonts w:eastAsia="Calibri"/>
          <w:bCs/>
          <w:sz w:val="23"/>
          <w:szCs w:val="23"/>
        </w:rPr>
        <w:t>c</w:t>
      </w:r>
      <w:r w:rsidR="006E614C" w:rsidRPr="006E614C">
        <w:rPr>
          <w:rFonts w:eastAsia="Calibri"/>
          <w:bCs/>
          <w:sz w:val="23"/>
          <w:szCs w:val="23"/>
        </w:rPr>
        <w:t>ould be capped at the lesser of a fixed fee and a fixed percentage of 30 basis points</w:t>
      </w:r>
      <w:r w:rsidR="00AE654E">
        <w:rPr>
          <w:rFonts w:eastAsia="Calibri"/>
          <w:bCs/>
          <w:sz w:val="23"/>
          <w:szCs w:val="23"/>
        </w:rPr>
        <w:t xml:space="preserve"> on </w:t>
      </w:r>
      <w:r w:rsidR="006E614C" w:rsidRPr="006E614C">
        <w:rPr>
          <w:rFonts w:eastAsia="Calibri"/>
          <w:bCs/>
          <w:sz w:val="23"/>
          <w:szCs w:val="23"/>
        </w:rPr>
        <w:t>credit cards</w:t>
      </w:r>
      <w:r w:rsidR="00840E26">
        <w:rPr>
          <w:rFonts w:eastAsia="Calibri"/>
          <w:bCs/>
          <w:sz w:val="23"/>
          <w:szCs w:val="23"/>
        </w:rPr>
        <w:t xml:space="preserve"> as an example</w:t>
      </w:r>
      <w:r w:rsidR="006E614C" w:rsidRPr="006E614C">
        <w:rPr>
          <w:rFonts w:eastAsia="Calibri"/>
          <w:bCs/>
          <w:sz w:val="23"/>
          <w:szCs w:val="23"/>
        </w:rPr>
        <w:t xml:space="preserve">.  </w:t>
      </w:r>
      <w:r>
        <w:rPr>
          <w:rFonts w:eastAsia="Calibri"/>
          <w:bCs/>
          <w:sz w:val="23"/>
          <w:szCs w:val="23"/>
        </w:rPr>
        <w:t xml:space="preserve">Such </w:t>
      </w:r>
      <w:r w:rsidR="00AE654E">
        <w:rPr>
          <w:rFonts w:eastAsia="Calibri"/>
          <w:bCs/>
          <w:sz w:val="23"/>
          <w:szCs w:val="23"/>
        </w:rPr>
        <w:t xml:space="preserve">a </w:t>
      </w:r>
      <w:r>
        <w:rPr>
          <w:rFonts w:eastAsia="Calibri"/>
          <w:bCs/>
          <w:sz w:val="23"/>
          <w:szCs w:val="23"/>
        </w:rPr>
        <w:t>c</w:t>
      </w:r>
      <w:r w:rsidR="006E614C" w:rsidRPr="006E614C">
        <w:rPr>
          <w:rFonts w:eastAsia="Calibri"/>
          <w:bCs/>
          <w:sz w:val="23"/>
          <w:szCs w:val="23"/>
        </w:rPr>
        <w:t xml:space="preserve">ap </w:t>
      </w:r>
      <w:r>
        <w:rPr>
          <w:rFonts w:eastAsia="Calibri"/>
          <w:bCs/>
          <w:sz w:val="23"/>
          <w:szCs w:val="23"/>
        </w:rPr>
        <w:t>w</w:t>
      </w:r>
      <w:r w:rsidR="006E614C" w:rsidRPr="006E614C">
        <w:rPr>
          <w:rFonts w:eastAsia="Calibri"/>
          <w:bCs/>
          <w:sz w:val="23"/>
          <w:szCs w:val="23"/>
        </w:rPr>
        <w:t xml:space="preserve">ould include all types of fees, and </w:t>
      </w:r>
      <w:r>
        <w:rPr>
          <w:rFonts w:eastAsia="Calibri"/>
          <w:bCs/>
          <w:sz w:val="23"/>
          <w:szCs w:val="23"/>
        </w:rPr>
        <w:t xml:space="preserve">would need to </w:t>
      </w:r>
      <w:r w:rsidR="006E614C" w:rsidRPr="006E614C">
        <w:rPr>
          <w:rFonts w:eastAsia="Calibri"/>
          <w:bCs/>
          <w:sz w:val="23"/>
          <w:szCs w:val="23"/>
        </w:rPr>
        <w:t xml:space="preserve">be transparent to consumers and merchants at the time of the transaction.  </w:t>
      </w:r>
      <w:r>
        <w:rPr>
          <w:rFonts w:eastAsia="Calibri"/>
          <w:bCs/>
          <w:sz w:val="23"/>
          <w:szCs w:val="23"/>
        </w:rPr>
        <w:t xml:space="preserve">Further </w:t>
      </w:r>
      <w:r w:rsidR="006E614C" w:rsidRPr="006E614C">
        <w:rPr>
          <w:rFonts w:eastAsia="Calibri"/>
          <w:bCs/>
          <w:sz w:val="23"/>
          <w:szCs w:val="23"/>
        </w:rPr>
        <w:t xml:space="preserve">Card issuers </w:t>
      </w:r>
      <w:r>
        <w:rPr>
          <w:rFonts w:eastAsia="Calibri"/>
          <w:bCs/>
          <w:sz w:val="23"/>
          <w:szCs w:val="23"/>
        </w:rPr>
        <w:t>c</w:t>
      </w:r>
      <w:r w:rsidR="006E614C" w:rsidRPr="006E614C">
        <w:rPr>
          <w:rFonts w:eastAsia="Calibri"/>
          <w:bCs/>
          <w:sz w:val="23"/>
          <w:szCs w:val="23"/>
        </w:rPr>
        <w:t xml:space="preserve">ould </w:t>
      </w:r>
      <w:r>
        <w:rPr>
          <w:rFonts w:eastAsia="Calibri"/>
          <w:bCs/>
          <w:sz w:val="23"/>
          <w:szCs w:val="23"/>
        </w:rPr>
        <w:t xml:space="preserve">be required to </w:t>
      </w:r>
      <w:r w:rsidR="006E614C" w:rsidRPr="006E614C">
        <w:rPr>
          <w:rFonts w:eastAsia="Calibri"/>
          <w:bCs/>
          <w:sz w:val="23"/>
          <w:szCs w:val="23"/>
        </w:rPr>
        <w:t>ensure consumers are aware of the charges applying to their card. This would see</w:t>
      </w:r>
    </w:p>
    <w:p w:rsidR="006E614C" w:rsidRPr="006E614C" w:rsidRDefault="006E614C" w:rsidP="006E614C">
      <w:pPr>
        <w:numPr>
          <w:ilvl w:val="0"/>
          <w:numId w:val="17"/>
        </w:numPr>
        <w:spacing w:after="120"/>
        <w:rPr>
          <w:rFonts w:eastAsia="Calibri"/>
          <w:bCs/>
          <w:sz w:val="23"/>
          <w:szCs w:val="23"/>
        </w:rPr>
      </w:pPr>
      <w:r w:rsidRPr="006E614C">
        <w:rPr>
          <w:rFonts w:eastAsia="Calibri"/>
          <w:bCs/>
          <w:sz w:val="23"/>
          <w:szCs w:val="23"/>
        </w:rPr>
        <w:t>charges and fees in the card system</w:t>
      </w:r>
      <w:r w:rsidR="00840E26">
        <w:rPr>
          <w:rFonts w:eastAsia="Calibri"/>
          <w:bCs/>
          <w:sz w:val="23"/>
          <w:szCs w:val="23"/>
        </w:rPr>
        <w:t xml:space="preserve"> fall</w:t>
      </w:r>
      <w:r w:rsidRPr="006E614C">
        <w:rPr>
          <w:rFonts w:eastAsia="Calibri"/>
          <w:bCs/>
          <w:sz w:val="23"/>
          <w:szCs w:val="23"/>
        </w:rPr>
        <w:t xml:space="preserve"> into line with charges in other payments mechanisms,</w:t>
      </w:r>
    </w:p>
    <w:p w:rsidR="006E614C" w:rsidRPr="006E614C" w:rsidRDefault="006E614C" w:rsidP="006E614C">
      <w:pPr>
        <w:numPr>
          <w:ilvl w:val="0"/>
          <w:numId w:val="17"/>
        </w:numPr>
        <w:spacing w:after="120"/>
        <w:rPr>
          <w:rFonts w:eastAsia="Calibri"/>
          <w:bCs/>
          <w:sz w:val="23"/>
          <w:szCs w:val="23"/>
        </w:rPr>
      </w:pPr>
      <w:r w:rsidRPr="006E614C">
        <w:rPr>
          <w:rFonts w:eastAsia="Calibri"/>
          <w:bCs/>
          <w:sz w:val="23"/>
          <w:szCs w:val="23"/>
        </w:rPr>
        <w:t xml:space="preserve">cards </w:t>
      </w:r>
      <w:r w:rsidR="00840E26">
        <w:rPr>
          <w:rFonts w:eastAsia="Calibri"/>
          <w:bCs/>
          <w:sz w:val="23"/>
          <w:szCs w:val="23"/>
        </w:rPr>
        <w:t>as</w:t>
      </w:r>
      <w:r w:rsidRPr="006E614C">
        <w:rPr>
          <w:rFonts w:eastAsia="Calibri"/>
          <w:bCs/>
          <w:sz w:val="23"/>
          <w:szCs w:val="23"/>
        </w:rPr>
        <w:t xml:space="preserve"> primarily a payment mechanism rather than a rewards system as it is today, </w:t>
      </w:r>
    </w:p>
    <w:p w:rsidR="006E614C" w:rsidRPr="006E614C" w:rsidRDefault="006E614C" w:rsidP="006E614C">
      <w:pPr>
        <w:numPr>
          <w:ilvl w:val="0"/>
          <w:numId w:val="17"/>
        </w:numPr>
        <w:spacing w:after="120"/>
        <w:rPr>
          <w:rFonts w:eastAsia="Calibri"/>
          <w:bCs/>
          <w:sz w:val="23"/>
          <w:szCs w:val="23"/>
        </w:rPr>
      </w:pPr>
      <w:r w:rsidRPr="006E614C">
        <w:rPr>
          <w:rFonts w:eastAsia="Calibri"/>
          <w:bCs/>
          <w:sz w:val="23"/>
          <w:szCs w:val="23"/>
        </w:rPr>
        <w:t>a transparent, pro-competitive model allowing new competitive participants and</w:t>
      </w:r>
    </w:p>
    <w:p w:rsidR="006E614C" w:rsidRPr="006E614C" w:rsidRDefault="00D91DB7" w:rsidP="006E614C">
      <w:pPr>
        <w:numPr>
          <w:ilvl w:val="0"/>
          <w:numId w:val="17"/>
        </w:numPr>
        <w:spacing w:after="120"/>
        <w:rPr>
          <w:rFonts w:eastAsia="Calibri"/>
          <w:bCs/>
          <w:sz w:val="23"/>
          <w:szCs w:val="23"/>
        </w:rPr>
      </w:pPr>
      <w:r>
        <w:rPr>
          <w:rFonts w:eastAsia="Calibri"/>
          <w:bCs/>
          <w:sz w:val="23"/>
          <w:szCs w:val="23"/>
        </w:rPr>
        <w:t>significant</w:t>
      </w:r>
      <w:r w:rsidRPr="006E614C">
        <w:rPr>
          <w:rFonts w:eastAsia="Calibri"/>
          <w:bCs/>
          <w:sz w:val="23"/>
          <w:szCs w:val="23"/>
        </w:rPr>
        <w:t>ly reduce cross subsidisation between merchants and other system participants.</w:t>
      </w:r>
    </w:p>
    <w:p w:rsidR="00335F3D" w:rsidRDefault="00912A0D" w:rsidP="006E614C">
      <w:pPr>
        <w:spacing w:after="120"/>
        <w:rPr>
          <w:rFonts w:eastAsia="Calibri"/>
          <w:bCs/>
          <w:sz w:val="23"/>
          <w:szCs w:val="23"/>
        </w:rPr>
      </w:pPr>
      <w:r>
        <w:rPr>
          <w:rFonts w:eastAsia="Calibri"/>
          <w:bCs/>
          <w:sz w:val="23"/>
          <w:szCs w:val="23"/>
        </w:rPr>
        <w:t>As outlined in the submission to this Consultation by CSR, “i</w:t>
      </w:r>
      <w:r w:rsidR="006E614C" w:rsidRPr="006E614C">
        <w:rPr>
          <w:rFonts w:eastAsia="Calibri"/>
          <w:bCs/>
          <w:sz w:val="23"/>
          <w:szCs w:val="23"/>
        </w:rPr>
        <w:t>t is a significant concern that banks are replacing EFTPOS cards with scheme debit cards when customers’ EFTPOS cards expire. Under the existing system of caps, this has the impact of lifting costs for merchants and starving the low fee EFTPOS system of revenue and therefore reducing investment in that system. The EFTPOS system is the only practical alternative for “real time” payments to merchants in many situations.</w:t>
      </w:r>
      <w:r>
        <w:rPr>
          <w:rFonts w:eastAsia="Calibri"/>
          <w:bCs/>
          <w:sz w:val="23"/>
          <w:szCs w:val="23"/>
        </w:rPr>
        <w:t xml:space="preserve">”  </w:t>
      </w:r>
    </w:p>
    <w:p w:rsidR="006E614C" w:rsidRPr="006E614C" w:rsidRDefault="00AE654E" w:rsidP="006E614C">
      <w:pPr>
        <w:spacing w:after="120"/>
        <w:rPr>
          <w:rFonts w:eastAsia="Calibri"/>
          <w:bCs/>
          <w:sz w:val="23"/>
          <w:szCs w:val="23"/>
        </w:rPr>
      </w:pPr>
      <w:r>
        <w:rPr>
          <w:rFonts w:eastAsia="Calibri"/>
          <w:bCs/>
          <w:sz w:val="23"/>
          <w:szCs w:val="23"/>
        </w:rPr>
        <w:t>(</w:t>
      </w:r>
      <w:r w:rsidR="00912A0D">
        <w:rPr>
          <w:rFonts w:eastAsia="Calibri"/>
          <w:bCs/>
          <w:sz w:val="23"/>
          <w:szCs w:val="23"/>
        </w:rPr>
        <w:t xml:space="preserve">FTA believes that </w:t>
      </w:r>
      <w:r w:rsidR="00335F3D">
        <w:rPr>
          <w:rFonts w:eastAsia="Calibri"/>
          <w:bCs/>
          <w:sz w:val="23"/>
          <w:szCs w:val="23"/>
        </w:rPr>
        <w:t xml:space="preserve">a modernised low cost payments system is vital for ongoing small business health and to ensure greater financial inclusion. Left to their own devices, the major </w:t>
      </w:r>
      <w:r w:rsidR="00840E26">
        <w:rPr>
          <w:rFonts w:eastAsia="Calibri"/>
          <w:bCs/>
          <w:sz w:val="23"/>
          <w:szCs w:val="23"/>
        </w:rPr>
        <w:t>banks</w:t>
      </w:r>
      <w:r w:rsidR="00335F3D">
        <w:rPr>
          <w:rFonts w:eastAsia="Calibri"/>
          <w:bCs/>
          <w:sz w:val="23"/>
          <w:szCs w:val="23"/>
        </w:rPr>
        <w:t xml:space="preserve"> do not seem to have enough incentive to invest in </w:t>
      </w:r>
      <w:r>
        <w:rPr>
          <w:rFonts w:eastAsia="Calibri"/>
          <w:bCs/>
          <w:sz w:val="23"/>
          <w:szCs w:val="23"/>
        </w:rPr>
        <w:t>upgrading the infrastructure</w:t>
      </w:r>
      <w:r w:rsidR="00335F3D">
        <w:rPr>
          <w:rFonts w:eastAsia="Calibri"/>
          <w:bCs/>
          <w:sz w:val="23"/>
          <w:szCs w:val="23"/>
        </w:rPr>
        <w:t>.</w:t>
      </w:r>
      <w:r>
        <w:rPr>
          <w:rFonts w:eastAsia="Calibri"/>
          <w:bCs/>
          <w:sz w:val="23"/>
          <w:szCs w:val="23"/>
        </w:rPr>
        <w:t>)</w:t>
      </w:r>
      <w:r w:rsidR="00335F3D">
        <w:rPr>
          <w:rFonts w:eastAsia="Calibri"/>
          <w:bCs/>
          <w:sz w:val="23"/>
          <w:szCs w:val="23"/>
        </w:rPr>
        <w:t xml:space="preserve"> </w:t>
      </w:r>
    </w:p>
    <w:p w:rsidR="006E614C" w:rsidRPr="006E614C" w:rsidRDefault="006E614C" w:rsidP="006E614C">
      <w:pPr>
        <w:spacing w:after="120"/>
        <w:rPr>
          <w:rFonts w:eastAsia="Calibri"/>
          <w:bCs/>
          <w:sz w:val="23"/>
          <w:szCs w:val="23"/>
        </w:rPr>
      </w:pPr>
    </w:p>
    <w:p w:rsidR="006E614C" w:rsidRPr="006E614C" w:rsidRDefault="00D959A9" w:rsidP="006E614C">
      <w:pPr>
        <w:spacing w:after="120"/>
        <w:rPr>
          <w:rFonts w:eastAsia="Calibri"/>
          <w:b/>
          <w:bCs/>
          <w:sz w:val="23"/>
          <w:szCs w:val="23"/>
        </w:rPr>
      </w:pPr>
      <w:r>
        <w:rPr>
          <w:rFonts w:eastAsia="Calibri"/>
          <w:bCs/>
          <w:sz w:val="23"/>
          <w:szCs w:val="23"/>
        </w:rPr>
        <w:t xml:space="preserve">Issue 8 - </w:t>
      </w:r>
      <w:r w:rsidR="006E614C" w:rsidRPr="006E614C">
        <w:rPr>
          <w:rFonts w:eastAsia="Calibri"/>
          <w:b/>
          <w:bCs/>
          <w:sz w:val="23"/>
          <w:szCs w:val="23"/>
        </w:rPr>
        <w:t xml:space="preserve">Allowing for ‘buying groups’ for smaller merchants to group together (subject to any competition law restrictions) to negotiate to receive the lower interchange rates that are accessible to larger merchants. </w:t>
      </w:r>
    </w:p>
    <w:p w:rsidR="006E614C" w:rsidRDefault="00AE654E" w:rsidP="006E614C">
      <w:pPr>
        <w:spacing w:after="120"/>
        <w:rPr>
          <w:rFonts w:eastAsia="Calibri"/>
          <w:bCs/>
          <w:sz w:val="23"/>
          <w:szCs w:val="23"/>
        </w:rPr>
      </w:pPr>
      <w:r>
        <w:rPr>
          <w:rFonts w:eastAsia="Calibri"/>
          <w:bCs/>
          <w:sz w:val="23"/>
          <w:szCs w:val="23"/>
        </w:rPr>
        <w:t xml:space="preserve">FTA supports the principle of “buying groups” but </w:t>
      </w:r>
      <w:r w:rsidR="006E614C" w:rsidRPr="006E614C">
        <w:rPr>
          <w:rFonts w:eastAsia="Calibri"/>
          <w:bCs/>
          <w:sz w:val="23"/>
          <w:szCs w:val="23"/>
        </w:rPr>
        <w:t>believe</w:t>
      </w:r>
      <w:r>
        <w:rPr>
          <w:rFonts w:eastAsia="Calibri"/>
          <w:bCs/>
          <w:sz w:val="23"/>
          <w:szCs w:val="23"/>
        </w:rPr>
        <w:t>s</w:t>
      </w:r>
      <w:r w:rsidR="006E614C" w:rsidRPr="006E614C">
        <w:rPr>
          <w:rFonts w:eastAsia="Calibri"/>
          <w:bCs/>
          <w:sz w:val="23"/>
          <w:szCs w:val="23"/>
        </w:rPr>
        <w:t xml:space="preserve"> this </w:t>
      </w:r>
      <w:r w:rsidR="009E1EB1">
        <w:rPr>
          <w:rFonts w:eastAsia="Calibri"/>
          <w:bCs/>
          <w:sz w:val="23"/>
          <w:szCs w:val="23"/>
        </w:rPr>
        <w:t xml:space="preserve">proposal </w:t>
      </w:r>
      <w:r w:rsidR="006E614C" w:rsidRPr="006E614C">
        <w:rPr>
          <w:rFonts w:eastAsia="Calibri"/>
          <w:bCs/>
          <w:sz w:val="23"/>
          <w:szCs w:val="23"/>
        </w:rPr>
        <w:t xml:space="preserve">would </w:t>
      </w:r>
      <w:r w:rsidR="00335F3D">
        <w:rPr>
          <w:rFonts w:eastAsia="Calibri"/>
          <w:bCs/>
          <w:sz w:val="23"/>
          <w:szCs w:val="23"/>
        </w:rPr>
        <w:t xml:space="preserve">not </w:t>
      </w:r>
      <w:r w:rsidR="006E614C" w:rsidRPr="006E614C">
        <w:rPr>
          <w:rFonts w:eastAsia="Calibri"/>
          <w:bCs/>
          <w:sz w:val="23"/>
          <w:szCs w:val="23"/>
        </w:rPr>
        <w:t xml:space="preserve">be </w:t>
      </w:r>
      <w:r w:rsidR="00335F3D">
        <w:rPr>
          <w:rFonts w:eastAsia="Calibri"/>
          <w:bCs/>
          <w:sz w:val="23"/>
          <w:szCs w:val="23"/>
        </w:rPr>
        <w:t xml:space="preserve">practicable in most industries without high degrees of co-ordination. </w:t>
      </w:r>
      <w:r w:rsidR="009E1EB1">
        <w:rPr>
          <w:rFonts w:eastAsia="Calibri"/>
          <w:bCs/>
          <w:sz w:val="23"/>
          <w:szCs w:val="23"/>
        </w:rPr>
        <w:t xml:space="preserve"> Such a proposal is second-best and would </w:t>
      </w:r>
      <w:r>
        <w:rPr>
          <w:rFonts w:eastAsia="Calibri"/>
          <w:bCs/>
          <w:sz w:val="23"/>
          <w:szCs w:val="23"/>
        </w:rPr>
        <w:t>only needed if the reforms to the benchmark/hard cap are not adopted.</w:t>
      </w:r>
    </w:p>
    <w:p w:rsidR="009E1EB1" w:rsidRPr="006E614C" w:rsidRDefault="009E1EB1" w:rsidP="006E614C">
      <w:pPr>
        <w:spacing w:after="120"/>
        <w:rPr>
          <w:rFonts w:eastAsia="Calibri"/>
          <w:b/>
          <w:bCs/>
          <w:sz w:val="23"/>
          <w:szCs w:val="23"/>
        </w:rPr>
      </w:pPr>
    </w:p>
    <w:p w:rsidR="006E614C" w:rsidRPr="006E614C" w:rsidRDefault="00D959A9" w:rsidP="006E614C">
      <w:pPr>
        <w:spacing w:after="120"/>
        <w:rPr>
          <w:rFonts w:eastAsia="Calibri"/>
          <w:bCs/>
          <w:sz w:val="23"/>
          <w:szCs w:val="23"/>
        </w:rPr>
      </w:pPr>
      <w:r>
        <w:rPr>
          <w:rFonts w:eastAsia="Calibri"/>
          <w:bCs/>
          <w:sz w:val="23"/>
          <w:szCs w:val="23"/>
        </w:rPr>
        <w:t xml:space="preserve">Issue 9 - </w:t>
      </w:r>
      <w:r w:rsidR="006E614C" w:rsidRPr="006E614C">
        <w:rPr>
          <w:rFonts w:eastAsia="Calibri"/>
          <w:b/>
          <w:bCs/>
          <w:sz w:val="23"/>
          <w:szCs w:val="23"/>
        </w:rPr>
        <w:t xml:space="preserve">A tiered surcharging system, perhaps along the lines of the FSI recommendations. </w:t>
      </w:r>
    </w:p>
    <w:p w:rsidR="006E614C" w:rsidRPr="006E614C" w:rsidRDefault="006E614C" w:rsidP="006E614C">
      <w:pPr>
        <w:spacing w:after="120"/>
        <w:rPr>
          <w:rFonts w:eastAsia="Calibri"/>
          <w:bCs/>
          <w:sz w:val="23"/>
          <w:szCs w:val="23"/>
        </w:rPr>
      </w:pPr>
    </w:p>
    <w:p w:rsidR="006E614C" w:rsidRPr="00D959A9" w:rsidRDefault="006E614C" w:rsidP="00D959A9">
      <w:pPr>
        <w:pStyle w:val="ListParagraph"/>
        <w:numPr>
          <w:ilvl w:val="0"/>
          <w:numId w:val="19"/>
        </w:numPr>
        <w:spacing w:after="120"/>
        <w:rPr>
          <w:rFonts w:eastAsia="Calibri"/>
          <w:bCs/>
          <w:sz w:val="23"/>
          <w:szCs w:val="23"/>
        </w:rPr>
      </w:pPr>
      <w:r w:rsidRPr="00D959A9">
        <w:rPr>
          <w:rFonts w:eastAsia="Calibri"/>
          <w:b/>
          <w:bCs/>
          <w:sz w:val="23"/>
          <w:szCs w:val="23"/>
        </w:rPr>
        <w:t xml:space="preserve">Allowing low-cost system providers to prevent merchants from surcharging, to encourage consumers to use low-cost payment methods. </w:t>
      </w:r>
    </w:p>
    <w:p w:rsidR="006E614C" w:rsidRPr="00D959A9" w:rsidRDefault="006E614C" w:rsidP="00D959A9">
      <w:pPr>
        <w:pStyle w:val="ListParagraph"/>
        <w:numPr>
          <w:ilvl w:val="0"/>
          <w:numId w:val="19"/>
        </w:numPr>
        <w:spacing w:after="120"/>
        <w:rPr>
          <w:rFonts w:eastAsia="Calibri"/>
          <w:b/>
          <w:bCs/>
          <w:sz w:val="23"/>
          <w:szCs w:val="23"/>
        </w:rPr>
      </w:pPr>
      <w:r w:rsidRPr="00D959A9">
        <w:rPr>
          <w:rFonts w:eastAsia="Calibri"/>
          <w:b/>
          <w:bCs/>
          <w:sz w:val="23"/>
          <w:szCs w:val="23"/>
        </w:rPr>
        <w:t xml:space="preserve">Allowing medium-cost providers to limit surcharges to limits set by the Board. </w:t>
      </w:r>
    </w:p>
    <w:p w:rsidR="006E614C" w:rsidRPr="00D959A9" w:rsidRDefault="006E614C" w:rsidP="00D959A9">
      <w:pPr>
        <w:pStyle w:val="ListParagraph"/>
        <w:numPr>
          <w:ilvl w:val="0"/>
          <w:numId w:val="19"/>
        </w:numPr>
        <w:spacing w:after="120"/>
        <w:rPr>
          <w:rFonts w:eastAsia="Calibri"/>
          <w:bCs/>
          <w:sz w:val="23"/>
          <w:szCs w:val="23"/>
        </w:rPr>
      </w:pPr>
      <w:r w:rsidRPr="00D959A9">
        <w:rPr>
          <w:rFonts w:eastAsia="Calibri"/>
          <w:b/>
          <w:bCs/>
          <w:sz w:val="23"/>
          <w:szCs w:val="23"/>
        </w:rPr>
        <w:t xml:space="preserve">Allowing high-cost providers to limit surcharges to the reasonable cost of acceptance. </w:t>
      </w:r>
    </w:p>
    <w:p w:rsidR="009E1EB1" w:rsidRDefault="00AE654E" w:rsidP="006E614C">
      <w:pPr>
        <w:spacing w:after="120"/>
        <w:rPr>
          <w:rFonts w:eastAsia="Calibri"/>
          <w:bCs/>
          <w:sz w:val="23"/>
          <w:szCs w:val="23"/>
        </w:rPr>
      </w:pPr>
      <w:r>
        <w:rPr>
          <w:rFonts w:eastAsia="Calibri"/>
          <w:bCs/>
          <w:sz w:val="23"/>
          <w:szCs w:val="23"/>
        </w:rPr>
        <w:t>FTA considers that</w:t>
      </w:r>
      <w:r w:rsidR="009E1EB1" w:rsidRPr="006E614C">
        <w:rPr>
          <w:rFonts w:eastAsia="Calibri"/>
          <w:bCs/>
          <w:sz w:val="23"/>
          <w:szCs w:val="23"/>
        </w:rPr>
        <w:t xml:space="preserve"> a tiered surcharging system will prove difficult and problematic to implement </w:t>
      </w:r>
      <w:r w:rsidR="000F1462">
        <w:rPr>
          <w:rFonts w:eastAsia="Calibri"/>
          <w:bCs/>
          <w:sz w:val="23"/>
          <w:szCs w:val="23"/>
        </w:rPr>
        <w:t>due to the need for an upgrade of terminals and hard to</w:t>
      </w:r>
      <w:r w:rsidR="009E1EB1" w:rsidRPr="006E614C">
        <w:rPr>
          <w:rFonts w:eastAsia="Calibri"/>
          <w:bCs/>
          <w:sz w:val="23"/>
          <w:szCs w:val="23"/>
        </w:rPr>
        <w:t xml:space="preserve"> administer</w:t>
      </w:r>
      <w:r w:rsidR="009E1EB1">
        <w:rPr>
          <w:rFonts w:eastAsia="Calibri"/>
          <w:bCs/>
          <w:sz w:val="23"/>
          <w:szCs w:val="23"/>
        </w:rPr>
        <w:t xml:space="preserve"> </w:t>
      </w:r>
      <w:r w:rsidR="000F1462">
        <w:rPr>
          <w:rFonts w:eastAsia="Calibri"/>
          <w:bCs/>
          <w:sz w:val="23"/>
          <w:szCs w:val="23"/>
        </w:rPr>
        <w:t xml:space="preserve">given </w:t>
      </w:r>
      <w:r w:rsidR="009E1EB1" w:rsidRPr="006E614C">
        <w:rPr>
          <w:rFonts w:eastAsia="Calibri"/>
          <w:bCs/>
          <w:sz w:val="23"/>
          <w:szCs w:val="23"/>
        </w:rPr>
        <w:t>different average interchange costs across merchants.  Setting a reasonable but across</w:t>
      </w:r>
      <w:r w:rsidR="000F1462">
        <w:rPr>
          <w:rFonts w:eastAsia="Calibri"/>
          <w:bCs/>
          <w:sz w:val="23"/>
          <w:szCs w:val="23"/>
        </w:rPr>
        <w:t>-</w:t>
      </w:r>
      <w:r w:rsidR="009E1EB1" w:rsidRPr="006E614C">
        <w:rPr>
          <w:rFonts w:eastAsia="Calibri"/>
          <w:bCs/>
          <w:sz w:val="23"/>
          <w:szCs w:val="23"/>
        </w:rPr>
        <w:t xml:space="preserve"> the</w:t>
      </w:r>
      <w:r w:rsidR="000F1462">
        <w:rPr>
          <w:rFonts w:eastAsia="Calibri"/>
          <w:bCs/>
          <w:sz w:val="23"/>
          <w:szCs w:val="23"/>
        </w:rPr>
        <w:t>-</w:t>
      </w:r>
      <w:r w:rsidR="009E1EB1" w:rsidRPr="006E614C">
        <w:rPr>
          <w:rFonts w:eastAsia="Calibri"/>
          <w:bCs/>
          <w:sz w:val="23"/>
          <w:szCs w:val="23"/>
        </w:rPr>
        <w:t xml:space="preserve">board surcharge will be difficult without substantial rationalisation of variety in the card base.  </w:t>
      </w:r>
    </w:p>
    <w:p w:rsidR="006E614C" w:rsidRPr="006E614C" w:rsidRDefault="000F1462" w:rsidP="006E614C">
      <w:pPr>
        <w:spacing w:after="120"/>
        <w:rPr>
          <w:rFonts w:eastAsia="Calibri"/>
          <w:bCs/>
          <w:sz w:val="23"/>
          <w:szCs w:val="23"/>
        </w:rPr>
      </w:pPr>
      <w:r>
        <w:rPr>
          <w:rFonts w:eastAsia="Calibri"/>
          <w:bCs/>
          <w:sz w:val="23"/>
          <w:szCs w:val="23"/>
        </w:rPr>
        <w:t>In principle, c</w:t>
      </w:r>
      <w:r w:rsidR="009E1EB1" w:rsidRPr="006E614C">
        <w:rPr>
          <w:rFonts w:eastAsia="Calibri"/>
          <w:bCs/>
          <w:sz w:val="23"/>
          <w:szCs w:val="23"/>
        </w:rPr>
        <w:t>ardholders wishing to experience reward schemes should pay these costs, rather than merchants or other cardholders.</w:t>
      </w:r>
    </w:p>
    <w:p w:rsidR="006E614C" w:rsidRDefault="009E1EB1" w:rsidP="006E614C">
      <w:pPr>
        <w:spacing w:after="120"/>
        <w:rPr>
          <w:rFonts w:eastAsia="Calibri"/>
          <w:bCs/>
          <w:sz w:val="23"/>
          <w:szCs w:val="23"/>
        </w:rPr>
      </w:pPr>
      <w:r>
        <w:rPr>
          <w:rFonts w:eastAsia="Calibri"/>
          <w:bCs/>
          <w:sz w:val="23"/>
          <w:szCs w:val="23"/>
        </w:rPr>
        <w:t>FTA supports the</w:t>
      </w:r>
      <w:r w:rsidR="006E614C" w:rsidRPr="006E614C">
        <w:rPr>
          <w:rFonts w:eastAsia="Calibri"/>
          <w:bCs/>
          <w:sz w:val="23"/>
          <w:szCs w:val="23"/>
        </w:rPr>
        <w:t xml:space="preserve"> phase out </w:t>
      </w:r>
      <w:r w:rsidR="00840E26">
        <w:rPr>
          <w:rFonts w:eastAsia="Calibri"/>
          <w:bCs/>
          <w:sz w:val="23"/>
          <w:szCs w:val="23"/>
        </w:rPr>
        <w:t xml:space="preserve">of </w:t>
      </w:r>
      <w:r w:rsidR="006E614C" w:rsidRPr="006E614C">
        <w:rPr>
          <w:rFonts w:eastAsia="Calibri"/>
          <w:bCs/>
          <w:sz w:val="23"/>
          <w:szCs w:val="23"/>
        </w:rPr>
        <w:t xml:space="preserve">interchange fees while in the interim setting fee caps as discussed.  This should be combined with transparency of all fees and charges to consumers and merchants at point of sale.  </w:t>
      </w:r>
    </w:p>
    <w:p w:rsidR="000F1462" w:rsidRPr="006E614C" w:rsidRDefault="000F1462" w:rsidP="006E614C">
      <w:pPr>
        <w:spacing w:after="120"/>
        <w:rPr>
          <w:rFonts w:eastAsia="Calibri"/>
          <w:bCs/>
          <w:sz w:val="23"/>
          <w:szCs w:val="23"/>
        </w:rPr>
      </w:pPr>
    </w:p>
    <w:p w:rsidR="006E614C" w:rsidRPr="006E614C" w:rsidRDefault="00D959A9" w:rsidP="006E614C">
      <w:pPr>
        <w:spacing w:after="120"/>
        <w:rPr>
          <w:rFonts w:eastAsia="Calibri"/>
          <w:bCs/>
          <w:sz w:val="23"/>
          <w:szCs w:val="23"/>
        </w:rPr>
      </w:pPr>
      <w:r>
        <w:rPr>
          <w:rFonts w:eastAsia="Calibri"/>
          <w:bCs/>
          <w:sz w:val="23"/>
          <w:szCs w:val="23"/>
        </w:rPr>
        <w:t xml:space="preserve">Issue 12 - </w:t>
      </w:r>
      <w:r w:rsidR="006E614C" w:rsidRPr="006E614C">
        <w:rPr>
          <w:rFonts w:eastAsia="Calibri"/>
          <w:b/>
          <w:bCs/>
          <w:sz w:val="23"/>
          <w:szCs w:val="23"/>
        </w:rPr>
        <w:t xml:space="preserve">Strengthened transparency over the cost of payments to merchants and cardholders. </w:t>
      </w:r>
    </w:p>
    <w:p w:rsidR="00DD4727" w:rsidRDefault="000F1462" w:rsidP="006E614C">
      <w:pPr>
        <w:spacing w:after="120"/>
        <w:rPr>
          <w:rFonts w:eastAsia="Calibri"/>
          <w:bCs/>
          <w:sz w:val="23"/>
          <w:szCs w:val="23"/>
        </w:rPr>
      </w:pPr>
      <w:r>
        <w:rPr>
          <w:rFonts w:eastAsia="Calibri"/>
          <w:bCs/>
          <w:sz w:val="23"/>
          <w:szCs w:val="23"/>
        </w:rPr>
        <w:t xml:space="preserve">FTA agrees with the principle </w:t>
      </w:r>
      <w:r w:rsidR="00DD4727">
        <w:rPr>
          <w:rFonts w:eastAsia="Calibri"/>
          <w:bCs/>
          <w:sz w:val="23"/>
          <w:szCs w:val="23"/>
        </w:rPr>
        <w:t xml:space="preserve">that users of services should know how much, or have the ability to know how much, they are to be charged for those services in order to make an informed decision to transact. </w:t>
      </w:r>
    </w:p>
    <w:p w:rsidR="006E614C" w:rsidRPr="006E614C" w:rsidRDefault="00DD4727" w:rsidP="006E614C">
      <w:pPr>
        <w:spacing w:after="120"/>
        <w:rPr>
          <w:rFonts w:eastAsia="Calibri"/>
          <w:bCs/>
          <w:sz w:val="23"/>
          <w:szCs w:val="23"/>
        </w:rPr>
      </w:pPr>
      <w:r>
        <w:rPr>
          <w:rFonts w:eastAsia="Calibri"/>
          <w:bCs/>
          <w:sz w:val="23"/>
          <w:szCs w:val="23"/>
        </w:rPr>
        <w:t xml:space="preserve">With disclosure of </w:t>
      </w:r>
      <w:r w:rsidRPr="006E614C">
        <w:rPr>
          <w:rFonts w:eastAsia="Calibri"/>
          <w:bCs/>
          <w:sz w:val="23"/>
          <w:szCs w:val="23"/>
        </w:rPr>
        <w:t xml:space="preserve">costs, charges and fees </w:t>
      </w:r>
      <w:r>
        <w:rPr>
          <w:rFonts w:eastAsia="Calibri"/>
          <w:bCs/>
          <w:sz w:val="23"/>
          <w:szCs w:val="23"/>
        </w:rPr>
        <w:t>m</w:t>
      </w:r>
      <w:r w:rsidR="006E614C" w:rsidRPr="006E614C">
        <w:rPr>
          <w:rFonts w:eastAsia="Calibri"/>
          <w:bCs/>
          <w:sz w:val="23"/>
          <w:szCs w:val="23"/>
        </w:rPr>
        <w:t xml:space="preserve">erchants </w:t>
      </w:r>
      <w:r>
        <w:rPr>
          <w:rFonts w:eastAsia="Calibri"/>
          <w:bCs/>
          <w:sz w:val="23"/>
          <w:szCs w:val="23"/>
        </w:rPr>
        <w:t xml:space="preserve">would in principle </w:t>
      </w:r>
      <w:r w:rsidR="006E614C" w:rsidRPr="006E614C">
        <w:rPr>
          <w:rFonts w:eastAsia="Calibri"/>
          <w:bCs/>
          <w:sz w:val="23"/>
          <w:szCs w:val="23"/>
        </w:rPr>
        <w:t xml:space="preserve">have the option to recover them and consumers have a choice as to how much they wish to pay for a transaction. It </w:t>
      </w:r>
      <w:r>
        <w:rPr>
          <w:rFonts w:eastAsia="Calibri"/>
          <w:bCs/>
          <w:sz w:val="23"/>
          <w:szCs w:val="23"/>
        </w:rPr>
        <w:t>w</w:t>
      </w:r>
      <w:r w:rsidR="006E614C" w:rsidRPr="006E614C">
        <w:rPr>
          <w:rFonts w:eastAsia="Calibri"/>
          <w:bCs/>
          <w:sz w:val="23"/>
          <w:szCs w:val="23"/>
        </w:rPr>
        <w:t>ould have the impact of reducing overcharging and reducing system cross subsidisation.</w:t>
      </w:r>
    </w:p>
    <w:p w:rsidR="006E614C" w:rsidRDefault="00DD4727" w:rsidP="006E614C">
      <w:pPr>
        <w:spacing w:after="120"/>
        <w:rPr>
          <w:rFonts w:eastAsia="Calibri"/>
          <w:bCs/>
          <w:sz w:val="23"/>
          <w:szCs w:val="23"/>
        </w:rPr>
      </w:pPr>
      <w:r>
        <w:rPr>
          <w:rFonts w:eastAsia="Calibri"/>
          <w:bCs/>
          <w:sz w:val="23"/>
          <w:szCs w:val="23"/>
        </w:rPr>
        <w:t xml:space="preserve">It has been argued that such disclosure in other sectors has led to excessive documentation with the message buried by legal disclaimers, and that it might deter customers. </w:t>
      </w:r>
      <w:r w:rsidR="00EA1F44">
        <w:rPr>
          <w:rFonts w:eastAsia="Calibri"/>
          <w:bCs/>
          <w:sz w:val="23"/>
          <w:szCs w:val="23"/>
        </w:rPr>
        <w:t xml:space="preserve">However it </w:t>
      </w:r>
      <w:r>
        <w:rPr>
          <w:rFonts w:eastAsia="Calibri"/>
          <w:bCs/>
          <w:sz w:val="23"/>
          <w:szCs w:val="23"/>
        </w:rPr>
        <w:t xml:space="preserve">ought </w:t>
      </w:r>
      <w:r w:rsidR="00AE654E">
        <w:rPr>
          <w:rFonts w:eastAsia="Calibri"/>
          <w:bCs/>
          <w:sz w:val="23"/>
          <w:szCs w:val="23"/>
        </w:rPr>
        <w:t xml:space="preserve">to </w:t>
      </w:r>
      <w:r>
        <w:rPr>
          <w:rFonts w:eastAsia="Calibri"/>
          <w:bCs/>
          <w:sz w:val="23"/>
          <w:szCs w:val="23"/>
        </w:rPr>
        <w:t>be possible</w:t>
      </w:r>
      <w:r w:rsidR="00EA1F44">
        <w:rPr>
          <w:rFonts w:eastAsia="Calibri"/>
          <w:bCs/>
          <w:sz w:val="23"/>
          <w:szCs w:val="23"/>
        </w:rPr>
        <w:t xml:space="preserve"> in the near future</w:t>
      </w:r>
      <w:r>
        <w:rPr>
          <w:rFonts w:eastAsia="Calibri"/>
          <w:bCs/>
          <w:sz w:val="23"/>
          <w:szCs w:val="23"/>
        </w:rPr>
        <w:t xml:space="preserve"> for upgraded terminals and smart phones linked to cards</w:t>
      </w:r>
      <w:r w:rsidR="00EA1F44">
        <w:rPr>
          <w:rFonts w:eastAsia="Calibri"/>
          <w:bCs/>
          <w:sz w:val="23"/>
          <w:szCs w:val="23"/>
        </w:rPr>
        <w:t xml:space="preserve"> to provide the cost of a transaction nearly instantaneously.</w:t>
      </w:r>
      <w:r>
        <w:rPr>
          <w:rFonts w:eastAsia="Calibri"/>
          <w:bCs/>
          <w:sz w:val="23"/>
          <w:szCs w:val="23"/>
        </w:rPr>
        <w:t xml:space="preserve"> </w:t>
      </w:r>
    </w:p>
    <w:p w:rsidR="00DD4727" w:rsidRPr="006E614C" w:rsidRDefault="00DD4727" w:rsidP="006E614C">
      <w:pPr>
        <w:spacing w:after="120"/>
        <w:rPr>
          <w:rFonts w:eastAsia="Calibri"/>
          <w:bCs/>
          <w:sz w:val="23"/>
          <w:szCs w:val="23"/>
        </w:rPr>
      </w:pPr>
    </w:p>
    <w:p w:rsidR="006E614C" w:rsidRPr="006E614C" w:rsidRDefault="00D959A9" w:rsidP="006E614C">
      <w:pPr>
        <w:spacing w:after="120"/>
        <w:rPr>
          <w:rFonts w:eastAsia="Calibri"/>
          <w:bCs/>
          <w:sz w:val="23"/>
          <w:szCs w:val="23"/>
        </w:rPr>
      </w:pPr>
      <w:r>
        <w:rPr>
          <w:rFonts w:eastAsia="Calibri"/>
          <w:bCs/>
          <w:sz w:val="23"/>
          <w:szCs w:val="23"/>
        </w:rPr>
        <w:t xml:space="preserve">Issue 13 - </w:t>
      </w:r>
      <w:r w:rsidR="006E614C" w:rsidRPr="006E614C">
        <w:rPr>
          <w:rFonts w:eastAsia="Calibri"/>
          <w:b/>
          <w:bCs/>
          <w:sz w:val="23"/>
          <w:szCs w:val="23"/>
        </w:rPr>
        <w:t xml:space="preserve">Further easing of ‘honour-all-cards’ rules to allow merchants to decline to accept cards with high interchange fees. </w:t>
      </w:r>
    </w:p>
    <w:p w:rsidR="00EA1F44" w:rsidRDefault="00EA1F44" w:rsidP="00EA1F44">
      <w:pPr>
        <w:spacing w:after="120"/>
        <w:rPr>
          <w:rFonts w:eastAsia="Calibri"/>
          <w:bCs/>
          <w:sz w:val="23"/>
          <w:szCs w:val="23"/>
        </w:rPr>
      </w:pPr>
      <w:r>
        <w:rPr>
          <w:rFonts w:eastAsia="Calibri"/>
          <w:bCs/>
          <w:sz w:val="23"/>
          <w:szCs w:val="23"/>
        </w:rPr>
        <w:t xml:space="preserve">As noted above, </w:t>
      </w:r>
      <w:r w:rsidRPr="00EA1F44">
        <w:rPr>
          <w:rFonts w:eastAsia="Calibri"/>
          <w:bCs/>
          <w:sz w:val="23"/>
          <w:szCs w:val="23"/>
        </w:rPr>
        <w:t xml:space="preserve">FTA agrees with the principle that users of services should know how much, or have the ability to know how much, they are to be charged for those services in order to make an informed decision to transact. </w:t>
      </w:r>
    </w:p>
    <w:p w:rsidR="006E614C" w:rsidRDefault="00EA1F44" w:rsidP="006E614C">
      <w:pPr>
        <w:spacing w:after="120"/>
        <w:rPr>
          <w:rFonts w:eastAsia="Calibri"/>
          <w:bCs/>
          <w:sz w:val="23"/>
          <w:szCs w:val="23"/>
        </w:rPr>
      </w:pPr>
      <w:r>
        <w:rPr>
          <w:rFonts w:eastAsia="Calibri"/>
          <w:bCs/>
          <w:sz w:val="23"/>
          <w:szCs w:val="23"/>
        </w:rPr>
        <w:t>While designed as a consumer protection, the “honour=all-cards” rule is one of the reasons for the rising average cost of card acceptance.</w:t>
      </w:r>
    </w:p>
    <w:p w:rsidR="006E614C" w:rsidRPr="006E614C" w:rsidRDefault="00EA1F44" w:rsidP="006E614C">
      <w:pPr>
        <w:spacing w:after="120"/>
        <w:rPr>
          <w:rFonts w:eastAsia="Calibri"/>
          <w:bCs/>
          <w:sz w:val="23"/>
          <w:szCs w:val="23"/>
        </w:rPr>
      </w:pPr>
      <w:r>
        <w:rPr>
          <w:rFonts w:eastAsia="Calibri"/>
          <w:bCs/>
          <w:sz w:val="23"/>
          <w:szCs w:val="23"/>
        </w:rPr>
        <w:t>The</w:t>
      </w:r>
      <w:r w:rsidR="006E614C" w:rsidRPr="006E614C">
        <w:rPr>
          <w:rFonts w:eastAsia="Calibri"/>
          <w:bCs/>
          <w:sz w:val="23"/>
          <w:szCs w:val="23"/>
        </w:rPr>
        <w:t xml:space="preserve"> credit card system </w:t>
      </w:r>
      <w:r>
        <w:rPr>
          <w:rFonts w:eastAsia="Calibri"/>
          <w:bCs/>
          <w:sz w:val="23"/>
          <w:szCs w:val="23"/>
        </w:rPr>
        <w:t>may be</w:t>
      </w:r>
      <w:r w:rsidR="006E614C" w:rsidRPr="006E614C">
        <w:rPr>
          <w:rFonts w:eastAsia="Calibri"/>
          <w:bCs/>
          <w:sz w:val="23"/>
          <w:szCs w:val="23"/>
        </w:rPr>
        <w:t xml:space="preserve"> unique in that it </w:t>
      </w:r>
      <w:r>
        <w:rPr>
          <w:rFonts w:eastAsia="Calibri"/>
          <w:bCs/>
          <w:sz w:val="23"/>
          <w:szCs w:val="23"/>
        </w:rPr>
        <w:t>requires</w:t>
      </w:r>
      <w:r w:rsidR="006E614C" w:rsidRPr="006E614C">
        <w:rPr>
          <w:rFonts w:eastAsia="Calibri"/>
          <w:bCs/>
          <w:sz w:val="23"/>
          <w:szCs w:val="23"/>
        </w:rPr>
        <w:t xml:space="preserve"> merchants to accept charges and services for a product without knowing the cost in advance. Unless a hard fee cap applies, </w:t>
      </w:r>
      <w:r>
        <w:rPr>
          <w:rFonts w:eastAsia="Calibri"/>
          <w:bCs/>
          <w:sz w:val="23"/>
          <w:szCs w:val="23"/>
        </w:rPr>
        <w:t>RBA should consider</w:t>
      </w:r>
      <w:r w:rsidR="006E614C" w:rsidRPr="006E614C">
        <w:rPr>
          <w:rFonts w:eastAsia="Calibri"/>
          <w:bCs/>
          <w:sz w:val="23"/>
          <w:szCs w:val="23"/>
        </w:rPr>
        <w:t xml:space="preserve"> </w:t>
      </w:r>
      <w:r>
        <w:rPr>
          <w:rFonts w:eastAsia="Calibri"/>
          <w:bCs/>
          <w:sz w:val="23"/>
          <w:szCs w:val="23"/>
        </w:rPr>
        <w:t xml:space="preserve">eliminating, or qualifying, the </w:t>
      </w:r>
      <w:r w:rsidR="006E614C" w:rsidRPr="006E614C">
        <w:rPr>
          <w:rFonts w:eastAsia="Calibri"/>
          <w:bCs/>
          <w:sz w:val="23"/>
          <w:szCs w:val="23"/>
        </w:rPr>
        <w:t xml:space="preserve">honour all cards rule </w:t>
      </w:r>
      <w:r>
        <w:rPr>
          <w:rFonts w:eastAsia="Calibri"/>
          <w:bCs/>
          <w:sz w:val="23"/>
          <w:szCs w:val="23"/>
        </w:rPr>
        <w:t>in order</w:t>
      </w:r>
      <w:r w:rsidR="006E614C" w:rsidRPr="006E614C">
        <w:rPr>
          <w:rFonts w:eastAsia="Calibri"/>
          <w:bCs/>
          <w:sz w:val="23"/>
          <w:szCs w:val="23"/>
        </w:rPr>
        <w:t xml:space="preserve"> to allow merchants more freedom to choose which services they wish to use.</w:t>
      </w:r>
    </w:p>
    <w:p w:rsidR="006E614C" w:rsidRPr="006E614C" w:rsidRDefault="006E614C" w:rsidP="006E614C">
      <w:pPr>
        <w:spacing w:after="120"/>
        <w:rPr>
          <w:rFonts w:eastAsia="Calibri"/>
          <w:bCs/>
          <w:sz w:val="23"/>
          <w:szCs w:val="23"/>
        </w:rPr>
      </w:pPr>
    </w:p>
    <w:p w:rsidR="006E614C" w:rsidRPr="006E614C" w:rsidRDefault="00D959A9" w:rsidP="006E614C">
      <w:pPr>
        <w:spacing w:after="120"/>
        <w:rPr>
          <w:rFonts w:eastAsia="Calibri"/>
          <w:bCs/>
          <w:sz w:val="23"/>
          <w:szCs w:val="23"/>
        </w:rPr>
      </w:pPr>
      <w:r>
        <w:rPr>
          <w:rFonts w:eastAsia="Calibri"/>
          <w:bCs/>
          <w:sz w:val="23"/>
          <w:szCs w:val="23"/>
        </w:rPr>
        <w:t xml:space="preserve">Issue 14 - </w:t>
      </w:r>
      <w:r w:rsidR="006E614C" w:rsidRPr="006E614C">
        <w:rPr>
          <w:rFonts w:eastAsia="Calibri"/>
          <w:b/>
          <w:bCs/>
          <w:sz w:val="23"/>
          <w:szCs w:val="23"/>
        </w:rPr>
        <w:t xml:space="preserve">Facilitation of differential surcharging by merchants. </w:t>
      </w:r>
    </w:p>
    <w:p w:rsidR="006E614C" w:rsidRPr="006E614C" w:rsidRDefault="004F3D64" w:rsidP="006E614C">
      <w:pPr>
        <w:spacing w:after="120"/>
        <w:rPr>
          <w:rFonts w:eastAsia="Calibri"/>
          <w:bCs/>
          <w:sz w:val="23"/>
          <w:szCs w:val="23"/>
        </w:rPr>
      </w:pPr>
      <w:r>
        <w:rPr>
          <w:rFonts w:eastAsia="Calibri"/>
          <w:bCs/>
          <w:sz w:val="23"/>
          <w:szCs w:val="23"/>
        </w:rPr>
        <w:t>FTA supports t</w:t>
      </w:r>
      <w:r w:rsidR="006E614C" w:rsidRPr="006E614C">
        <w:rPr>
          <w:rFonts w:eastAsia="Calibri"/>
          <w:bCs/>
          <w:sz w:val="23"/>
          <w:szCs w:val="23"/>
        </w:rPr>
        <w:t xml:space="preserve">ransparency of all charges by card/transaction type </w:t>
      </w:r>
      <w:r>
        <w:rPr>
          <w:rFonts w:eastAsia="Calibri"/>
          <w:bCs/>
          <w:sz w:val="23"/>
          <w:szCs w:val="23"/>
        </w:rPr>
        <w:t>as</w:t>
      </w:r>
      <w:r w:rsidR="006E614C" w:rsidRPr="006E614C">
        <w:rPr>
          <w:rFonts w:eastAsia="Calibri"/>
          <w:bCs/>
          <w:sz w:val="23"/>
          <w:szCs w:val="23"/>
        </w:rPr>
        <w:t xml:space="preserve"> an essential pre-requisite for a competitive and functioning market. </w:t>
      </w:r>
      <w:r>
        <w:rPr>
          <w:rFonts w:eastAsia="Calibri"/>
          <w:bCs/>
          <w:sz w:val="23"/>
          <w:szCs w:val="23"/>
        </w:rPr>
        <w:t>D</w:t>
      </w:r>
      <w:r w:rsidRPr="004F3D64">
        <w:rPr>
          <w:rFonts w:eastAsia="Calibri"/>
          <w:bCs/>
          <w:sz w:val="23"/>
          <w:szCs w:val="23"/>
        </w:rPr>
        <w:t xml:space="preserve">ifferential surcharging </w:t>
      </w:r>
      <w:r>
        <w:rPr>
          <w:rFonts w:eastAsia="Calibri"/>
          <w:bCs/>
          <w:sz w:val="23"/>
          <w:szCs w:val="23"/>
        </w:rPr>
        <w:t xml:space="preserve">would </w:t>
      </w:r>
      <w:r w:rsidR="006E614C" w:rsidRPr="006E614C">
        <w:rPr>
          <w:rFonts w:eastAsia="Calibri"/>
          <w:bCs/>
          <w:sz w:val="23"/>
          <w:szCs w:val="23"/>
        </w:rPr>
        <w:t>improve market function, and provides merchants and consumers</w:t>
      </w:r>
      <w:r>
        <w:rPr>
          <w:rFonts w:eastAsia="Calibri"/>
          <w:bCs/>
          <w:sz w:val="23"/>
          <w:szCs w:val="23"/>
        </w:rPr>
        <w:t xml:space="preserve"> with choice.</w:t>
      </w:r>
      <w:r w:rsidR="00AE654E">
        <w:rPr>
          <w:rFonts w:eastAsia="Calibri"/>
          <w:bCs/>
          <w:sz w:val="23"/>
          <w:szCs w:val="23"/>
        </w:rPr>
        <w:t xml:space="preserve"> The technology should be capable of instant recharging.</w:t>
      </w:r>
    </w:p>
    <w:p w:rsidR="006E614C" w:rsidRPr="006E614C" w:rsidRDefault="004F3D64" w:rsidP="006E614C">
      <w:pPr>
        <w:spacing w:after="120"/>
        <w:rPr>
          <w:rFonts w:eastAsia="Calibri"/>
          <w:bCs/>
          <w:sz w:val="23"/>
          <w:szCs w:val="23"/>
        </w:rPr>
      </w:pPr>
      <w:r w:rsidRPr="004F3D64">
        <w:rPr>
          <w:rFonts w:eastAsia="Calibri"/>
          <w:bCs/>
          <w:sz w:val="23"/>
          <w:szCs w:val="23"/>
        </w:rPr>
        <w:t xml:space="preserve">Differential surcharging would </w:t>
      </w:r>
      <w:r w:rsidR="006E614C" w:rsidRPr="006E614C">
        <w:rPr>
          <w:rFonts w:eastAsia="Calibri"/>
          <w:bCs/>
          <w:sz w:val="23"/>
          <w:szCs w:val="23"/>
        </w:rPr>
        <w:t xml:space="preserve">not eliminate cross subsidisation between strategic/non-strategic merchants or from merchants to other system participants.  </w:t>
      </w:r>
      <w:r>
        <w:rPr>
          <w:rFonts w:eastAsia="Calibri"/>
          <w:bCs/>
          <w:sz w:val="23"/>
          <w:szCs w:val="23"/>
        </w:rPr>
        <w:t>L</w:t>
      </w:r>
      <w:r w:rsidRPr="004F3D64">
        <w:rPr>
          <w:rFonts w:eastAsia="Calibri"/>
          <w:bCs/>
          <w:sz w:val="23"/>
          <w:szCs w:val="23"/>
        </w:rPr>
        <w:t xml:space="preserve">arger </w:t>
      </w:r>
      <w:r>
        <w:rPr>
          <w:rFonts w:eastAsia="Calibri"/>
          <w:bCs/>
          <w:sz w:val="23"/>
          <w:szCs w:val="23"/>
        </w:rPr>
        <w:t xml:space="preserve">customer-facing </w:t>
      </w:r>
      <w:r w:rsidRPr="004F3D64">
        <w:rPr>
          <w:rFonts w:eastAsia="Calibri"/>
          <w:bCs/>
          <w:sz w:val="23"/>
          <w:szCs w:val="23"/>
        </w:rPr>
        <w:t xml:space="preserve">businesses </w:t>
      </w:r>
      <w:r>
        <w:rPr>
          <w:rFonts w:eastAsia="Calibri"/>
          <w:bCs/>
          <w:sz w:val="23"/>
          <w:szCs w:val="23"/>
        </w:rPr>
        <w:t xml:space="preserve">would still be able </w:t>
      </w:r>
      <w:r w:rsidRPr="004F3D64">
        <w:rPr>
          <w:rFonts w:eastAsia="Calibri"/>
          <w:bCs/>
          <w:sz w:val="23"/>
          <w:szCs w:val="23"/>
        </w:rPr>
        <w:t xml:space="preserve">to reap scale economies and strike mutually-beneficial commercial arrangements </w:t>
      </w:r>
      <w:r>
        <w:rPr>
          <w:rFonts w:eastAsia="Calibri"/>
          <w:bCs/>
          <w:sz w:val="23"/>
          <w:szCs w:val="23"/>
        </w:rPr>
        <w:t>with the card-issuing companies consistent with their market position.</w:t>
      </w:r>
    </w:p>
    <w:p w:rsidR="006E614C" w:rsidRPr="006E614C" w:rsidRDefault="006E614C" w:rsidP="006E614C">
      <w:pPr>
        <w:spacing w:after="120"/>
        <w:rPr>
          <w:rFonts w:eastAsia="Calibri"/>
          <w:bCs/>
          <w:sz w:val="23"/>
          <w:szCs w:val="23"/>
        </w:rPr>
      </w:pPr>
    </w:p>
    <w:p w:rsidR="006E614C" w:rsidRPr="006E614C" w:rsidRDefault="00D959A9" w:rsidP="006E614C">
      <w:pPr>
        <w:spacing w:after="120"/>
        <w:rPr>
          <w:rFonts w:eastAsia="Calibri"/>
          <w:bCs/>
          <w:sz w:val="23"/>
          <w:szCs w:val="23"/>
        </w:rPr>
      </w:pPr>
      <w:r>
        <w:rPr>
          <w:rFonts w:eastAsia="Calibri"/>
          <w:bCs/>
          <w:sz w:val="23"/>
          <w:szCs w:val="23"/>
        </w:rPr>
        <w:t xml:space="preserve">Issue 15 - </w:t>
      </w:r>
      <w:r w:rsidR="006E614C" w:rsidRPr="006E614C">
        <w:rPr>
          <w:rFonts w:eastAsia="Calibri"/>
          <w:b/>
          <w:bCs/>
          <w:sz w:val="23"/>
          <w:szCs w:val="23"/>
        </w:rPr>
        <w:t xml:space="preserve">Ensuring that merchants have the ability to choose to route their transactions via lower-cost networks or processors. </w:t>
      </w:r>
    </w:p>
    <w:p w:rsidR="006E614C" w:rsidRPr="006E614C" w:rsidRDefault="006E614C" w:rsidP="006E614C">
      <w:pPr>
        <w:spacing w:after="120"/>
        <w:rPr>
          <w:rFonts w:eastAsia="Calibri"/>
          <w:bCs/>
          <w:sz w:val="23"/>
          <w:szCs w:val="23"/>
        </w:rPr>
      </w:pPr>
    </w:p>
    <w:p w:rsidR="006E614C" w:rsidRPr="006E614C" w:rsidRDefault="004F3D64" w:rsidP="006E614C">
      <w:pPr>
        <w:spacing w:after="120"/>
        <w:rPr>
          <w:rFonts w:eastAsia="Calibri"/>
          <w:bCs/>
          <w:sz w:val="23"/>
          <w:szCs w:val="23"/>
        </w:rPr>
      </w:pPr>
      <w:r>
        <w:rPr>
          <w:rFonts w:eastAsia="Calibri"/>
          <w:bCs/>
          <w:sz w:val="23"/>
          <w:szCs w:val="23"/>
        </w:rPr>
        <w:t xml:space="preserve">FTA supports this proposal. </w:t>
      </w:r>
      <w:r w:rsidR="006E614C" w:rsidRPr="006E614C">
        <w:rPr>
          <w:rFonts w:eastAsia="Calibri"/>
          <w:bCs/>
          <w:sz w:val="23"/>
          <w:szCs w:val="23"/>
        </w:rPr>
        <w:t xml:space="preserve">While merchants bear the cost of payment processing, it is important merchants can exercise choice over payment pathways. </w:t>
      </w:r>
    </w:p>
    <w:p w:rsidR="006E614C" w:rsidRPr="006E614C" w:rsidRDefault="006E614C" w:rsidP="006E614C">
      <w:pPr>
        <w:spacing w:after="120"/>
        <w:rPr>
          <w:rFonts w:eastAsia="Calibri"/>
          <w:bCs/>
          <w:sz w:val="23"/>
          <w:szCs w:val="23"/>
        </w:rPr>
      </w:pPr>
    </w:p>
    <w:p w:rsidR="006E614C" w:rsidRPr="006E614C" w:rsidRDefault="00D959A9" w:rsidP="006E614C">
      <w:pPr>
        <w:spacing w:after="120"/>
        <w:rPr>
          <w:rFonts w:eastAsia="Calibri"/>
          <w:bCs/>
          <w:sz w:val="23"/>
          <w:szCs w:val="23"/>
        </w:rPr>
      </w:pPr>
      <w:r>
        <w:rPr>
          <w:rFonts w:eastAsia="Calibri"/>
          <w:bCs/>
          <w:sz w:val="23"/>
          <w:szCs w:val="23"/>
        </w:rPr>
        <w:t xml:space="preserve">Issue 16 - </w:t>
      </w:r>
      <w:r w:rsidR="006E614C" w:rsidRPr="006E614C">
        <w:rPr>
          <w:rFonts w:eastAsia="Calibri"/>
          <w:b/>
          <w:bCs/>
          <w:sz w:val="23"/>
          <w:szCs w:val="23"/>
        </w:rPr>
        <w:t xml:space="preserve">Clarifying arrangements for competing payment options within a single device or application. </w:t>
      </w:r>
    </w:p>
    <w:p w:rsidR="006E614C" w:rsidRPr="006E614C" w:rsidRDefault="006E614C" w:rsidP="006E614C">
      <w:pPr>
        <w:spacing w:after="120"/>
        <w:rPr>
          <w:rFonts w:eastAsia="Calibri"/>
          <w:bCs/>
          <w:sz w:val="23"/>
          <w:szCs w:val="23"/>
        </w:rPr>
      </w:pPr>
    </w:p>
    <w:p w:rsidR="006E614C" w:rsidRPr="006E614C" w:rsidRDefault="004F3D64" w:rsidP="006E614C">
      <w:pPr>
        <w:spacing w:after="120"/>
        <w:rPr>
          <w:rFonts w:eastAsia="Calibri"/>
          <w:bCs/>
          <w:sz w:val="23"/>
          <w:szCs w:val="23"/>
        </w:rPr>
      </w:pPr>
      <w:r>
        <w:rPr>
          <w:rFonts w:eastAsia="Calibri"/>
          <w:bCs/>
          <w:sz w:val="23"/>
          <w:szCs w:val="23"/>
        </w:rPr>
        <w:t xml:space="preserve">FTA considers that best </w:t>
      </w:r>
      <w:r w:rsidR="006E614C" w:rsidRPr="006E614C">
        <w:rPr>
          <w:rFonts w:eastAsia="Calibri"/>
          <w:bCs/>
          <w:sz w:val="23"/>
          <w:szCs w:val="23"/>
        </w:rPr>
        <w:t xml:space="preserve">solution will ensure transparency, competitiveness, </w:t>
      </w:r>
      <w:r w:rsidR="00AE654E">
        <w:rPr>
          <w:rFonts w:eastAsia="Calibri"/>
          <w:bCs/>
          <w:sz w:val="23"/>
          <w:szCs w:val="23"/>
        </w:rPr>
        <w:t>minimise</w:t>
      </w:r>
      <w:r w:rsidR="000F4844">
        <w:rPr>
          <w:rFonts w:eastAsia="Calibri"/>
          <w:bCs/>
          <w:sz w:val="23"/>
          <w:szCs w:val="23"/>
        </w:rPr>
        <w:t xml:space="preserve"> cross subsidisation, </w:t>
      </w:r>
      <w:r w:rsidR="00AE654E">
        <w:rPr>
          <w:rFonts w:eastAsia="Calibri"/>
          <w:bCs/>
          <w:sz w:val="23"/>
          <w:szCs w:val="23"/>
        </w:rPr>
        <w:t>encourage</w:t>
      </w:r>
      <w:r w:rsidR="000F4844">
        <w:rPr>
          <w:rFonts w:eastAsia="Calibri"/>
          <w:bCs/>
          <w:sz w:val="23"/>
          <w:szCs w:val="23"/>
        </w:rPr>
        <w:t xml:space="preserve"> </w:t>
      </w:r>
      <w:r w:rsidR="006E614C" w:rsidRPr="006E614C">
        <w:rPr>
          <w:rFonts w:eastAsia="Calibri"/>
          <w:bCs/>
          <w:sz w:val="23"/>
          <w:szCs w:val="23"/>
        </w:rPr>
        <w:t xml:space="preserve">conscious </w:t>
      </w:r>
      <w:r w:rsidR="00AE654E">
        <w:rPr>
          <w:rFonts w:eastAsia="Calibri"/>
          <w:bCs/>
          <w:sz w:val="23"/>
          <w:szCs w:val="23"/>
        </w:rPr>
        <w:t xml:space="preserve">consumer </w:t>
      </w:r>
      <w:r w:rsidR="006E614C" w:rsidRPr="006E614C">
        <w:rPr>
          <w:rFonts w:eastAsia="Calibri"/>
          <w:bCs/>
          <w:sz w:val="23"/>
          <w:szCs w:val="23"/>
        </w:rPr>
        <w:t xml:space="preserve">choice and </w:t>
      </w:r>
      <w:r w:rsidR="00AE654E">
        <w:rPr>
          <w:rFonts w:eastAsia="Calibri"/>
          <w:bCs/>
          <w:sz w:val="23"/>
          <w:szCs w:val="23"/>
        </w:rPr>
        <w:t>be device or application-neutral</w:t>
      </w:r>
      <w:r w:rsidR="006E614C" w:rsidRPr="006E614C">
        <w:rPr>
          <w:rFonts w:eastAsia="Calibri"/>
          <w:bCs/>
          <w:sz w:val="23"/>
          <w:szCs w:val="23"/>
        </w:rPr>
        <w:t xml:space="preserve">. </w:t>
      </w:r>
    </w:p>
    <w:p w:rsidR="006E614C" w:rsidRPr="00012CA6" w:rsidRDefault="006E614C" w:rsidP="007620DB">
      <w:pPr>
        <w:spacing w:after="120"/>
        <w:rPr>
          <w:rFonts w:eastAsia="Calibri"/>
          <w:bCs/>
          <w:sz w:val="23"/>
          <w:szCs w:val="23"/>
        </w:rPr>
      </w:pPr>
    </w:p>
    <w:p w:rsidR="00C82C80" w:rsidRDefault="00C82C80">
      <w:r>
        <w:br w:type="page"/>
      </w:r>
    </w:p>
    <w:p w:rsidR="00FC6F88" w:rsidRPr="00FC6F88" w:rsidRDefault="00FC6F88" w:rsidP="00C82C80">
      <w:r w:rsidRPr="00FC6F88">
        <w:rPr>
          <w:rFonts w:ascii="Calibri" w:eastAsia="Calibri" w:hAnsi="Calibri" w:cs="Times New Roman"/>
          <w:b/>
          <w:sz w:val="23"/>
          <w:szCs w:val="23"/>
        </w:rPr>
        <w:t xml:space="preserve">About FTA </w:t>
      </w:r>
    </w:p>
    <w:p w:rsidR="00FC6F88" w:rsidRPr="00FC6F88" w:rsidRDefault="00FC6F88" w:rsidP="00FC6F88">
      <w:pPr>
        <w:spacing w:after="0" w:line="240" w:lineRule="auto"/>
        <w:rPr>
          <w:rFonts w:ascii="Calibri" w:eastAsia="Calibri" w:hAnsi="Calibri" w:cs="Times New Roman"/>
          <w:i/>
          <w:sz w:val="23"/>
          <w:szCs w:val="23"/>
        </w:rPr>
      </w:pPr>
    </w:p>
    <w:p w:rsidR="00FC6F88" w:rsidRPr="00FC6F88" w:rsidRDefault="00FC6F88" w:rsidP="00FC6F88">
      <w:pPr>
        <w:spacing w:after="0" w:line="240" w:lineRule="auto"/>
        <w:rPr>
          <w:rFonts w:ascii="Calibri" w:eastAsia="Calibri" w:hAnsi="Calibri" w:cs="Times New Roman"/>
          <w:i/>
          <w:sz w:val="23"/>
          <w:szCs w:val="23"/>
        </w:rPr>
      </w:pPr>
    </w:p>
    <w:p w:rsidR="00FC6F88" w:rsidRPr="00FC6F88" w:rsidRDefault="00FC6F88" w:rsidP="00FC6F88">
      <w:pPr>
        <w:spacing w:after="0" w:line="240" w:lineRule="auto"/>
        <w:rPr>
          <w:rFonts w:ascii="Calibri" w:eastAsia="Calibri" w:hAnsi="Calibri" w:cs="Times New Roman"/>
          <w:i/>
          <w:sz w:val="23"/>
          <w:szCs w:val="23"/>
        </w:rPr>
      </w:pPr>
      <w:r w:rsidRPr="00FC6F88">
        <w:rPr>
          <w:rFonts w:ascii="Calibri" w:eastAsia="Calibri" w:hAnsi="Calibri" w:cs="Times New Roman"/>
          <w:i/>
          <w:sz w:val="23"/>
          <w:szCs w:val="23"/>
        </w:rPr>
        <w:t xml:space="preserve">The Finance and Treasury Association engages in Advocacy activities on behalf its members and the broader treasury and finance profession in order </w:t>
      </w:r>
      <w:r w:rsidRPr="00FC6F88">
        <w:rPr>
          <w:rFonts w:ascii="Calibri" w:eastAsia="Calibri" w:hAnsi="Calibri" w:cs="Times New Roman"/>
          <w:b/>
          <w:i/>
          <w:sz w:val="23"/>
          <w:szCs w:val="23"/>
        </w:rPr>
        <w:t xml:space="preserve">to inform policy, regulation and market operations that impact on the corporate treasury function and more generally the Australian financial markets. </w:t>
      </w:r>
      <w:r w:rsidRPr="00FC6F88">
        <w:rPr>
          <w:rFonts w:ascii="Calibri" w:eastAsia="Calibri" w:hAnsi="Calibri" w:cs="Times New Roman"/>
          <w:i/>
          <w:sz w:val="23"/>
          <w:szCs w:val="23"/>
        </w:rPr>
        <w:t>Furthermore, FTA’s Advocacy activities are intended to raise the profile of treasury functions in non-financial and public sector organisations and the community at large as it is considered that treasury and financial risk professionals</w:t>
      </w:r>
      <w:r w:rsidR="000A4DB6">
        <w:rPr>
          <w:rFonts w:ascii="Calibri" w:eastAsia="Calibri" w:hAnsi="Calibri" w:cs="Times New Roman"/>
          <w:i/>
          <w:sz w:val="23"/>
          <w:szCs w:val="23"/>
        </w:rPr>
        <w:t xml:space="preserve"> have a unique and valuable perspective.</w:t>
      </w:r>
    </w:p>
    <w:p w:rsidR="00FC6F88" w:rsidRPr="00FC6F88" w:rsidRDefault="00FC6F88" w:rsidP="00FC6F88">
      <w:pPr>
        <w:spacing w:after="0" w:line="240" w:lineRule="auto"/>
        <w:rPr>
          <w:rFonts w:ascii="Calibri" w:eastAsia="Calibri" w:hAnsi="Calibri" w:cs="Times New Roman"/>
          <w:sz w:val="23"/>
          <w:szCs w:val="23"/>
        </w:rPr>
      </w:pPr>
    </w:p>
    <w:p w:rsidR="00FC6F88" w:rsidRPr="00FC6F88" w:rsidRDefault="00FC6F88" w:rsidP="00FC6F88">
      <w:pPr>
        <w:spacing w:after="0" w:line="240" w:lineRule="auto"/>
        <w:rPr>
          <w:rFonts w:ascii="Calibri" w:eastAsia="Calibri" w:hAnsi="Calibri" w:cs="Times New Roman"/>
          <w:sz w:val="23"/>
          <w:szCs w:val="23"/>
        </w:rPr>
      </w:pPr>
      <w:r w:rsidRPr="00FC6F88">
        <w:rPr>
          <w:rFonts w:ascii="Calibri" w:eastAsia="Calibri" w:hAnsi="Calibri" w:cs="Times New Roman"/>
          <w:sz w:val="23"/>
          <w:szCs w:val="23"/>
        </w:rPr>
        <w:t>FTA’s more senior members tend to be corporate treasurers. They are the natural counterparts externally to banks and investment banks, and to specialist risk, legal, tax and accounting advisors.  (And with their CFOs they have a primary responsibility for interaction with debt investors and ratings agencies.)</w:t>
      </w:r>
    </w:p>
    <w:p w:rsidR="00FC6F88" w:rsidRPr="00FC6F88" w:rsidRDefault="00FC6F88" w:rsidP="00FC6F88">
      <w:pPr>
        <w:spacing w:after="0" w:line="240" w:lineRule="auto"/>
        <w:rPr>
          <w:rFonts w:ascii="Calibri" w:eastAsia="Calibri" w:hAnsi="Calibri" w:cs="Times New Roman"/>
          <w:sz w:val="23"/>
          <w:szCs w:val="23"/>
        </w:rPr>
      </w:pPr>
    </w:p>
    <w:p w:rsidR="00FC6F88" w:rsidRPr="00FC6F88" w:rsidRDefault="00FC6F88" w:rsidP="00FC6F88">
      <w:pPr>
        <w:spacing w:after="0" w:line="240" w:lineRule="auto"/>
        <w:rPr>
          <w:rFonts w:ascii="Calibri" w:eastAsia="Calibri" w:hAnsi="Calibri" w:cs="Times New Roman"/>
          <w:sz w:val="23"/>
          <w:szCs w:val="23"/>
        </w:rPr>
      </w:pPr>
      <w:r w:rsidRPr="00FC6F88">
        <w:rPr>
          <w:rFonts w:ascii="Calibri" w:eastAsia="Calibri" w:hAnsi="Calibri" w:cs="Times New Roman"/>
          <w:sz w:val="23"/>
          <w:szCs w:val="23"/>
        </w:rPr>
        <w:t>And due to their core centralised cash management function, corporate treasurers interact with a range of internal stakeholders i.e. most of their company’s key business units.  As the corporate finance professionals who are the in-house corporate finance experts, corporate treasurers are trusted to make decisions about sources of capital; for instance, internally they are the key drivers of corporate bond issuance.</w:t>
      </w:r>
    </w:p>
    <w:p w:rsidR="00FC6F88" w:rsidRPr="00FC6F88" w:rsidRDefault="00FC6F88" w:rsidP="00FC6F88">
      <w:pPr>
        <w:spacing w:after="0" w:line="240" w:lineRule="auto"/>
        <w:rPr>
          <w:rFonts w:ascii="Calibri" w:eastAsia="Calibri" w:hAnsi="Calibri" w:cs="Times New Roman"/>
          <w:sz w:val="23"/>
          <w:szCs w:val="23"/>
        </w:rPr>
      </w:pPr>
    </w:p>
    <w:p w:rsidR="00FC6F88" w:rsidRPr="00FC6F88" w:rsidRDefault="00FC6F88" w:rsidP="00FC6F88">
      <w:pPr>
        <w:spacing w:after="0" w:line="240" w:lineRule="auto"/>
        <w:rPr>
          <w:rFonts w:ascii="Calibri" w:eastAsia="Calibri" w:hAnsi="Calibri" w:cs="Times New Roman"/>
          <w:sz w:val="23"/>
          <w:szCs w:val="23"/>
        </w:rPr>
      </w:pPr>
      <w:r w:rsidRPr="00FC6F88">
        <w:rPr>
          <w:rFonts w:ascii="Calibri" w:eastAsia="Calibri" w:hAnsi="Calibri" w:cs="Times New Roman"/>
          <w:sz w:val="23"/>
          <w:szCs w:val="23"/>
        </w:rPr>
        <w:t>With this responsibility for both liquidity and funding, treasurers are required to implement strategies to ensure solvency and to protect corporate balance sheets. A key activity of most sophisticated treasuries is thus hedging of interest rate and exchange rates, and commodity price inputs and outputs. Key tools used by treasurers are exchange-traded and over-the-counter derivatives. Corporate treasurers are primary end-users of financial services.</w:t>
      </w:r>
    </w:p>
    <w:p w:rsidR="00FC6F88" w:rsidRPr="00FC6F88" w:rsidRDefault="00FC6F88" w:rsidP="00FC6F88">
      <w:pPr>
        <w:spacing w:after="0" w:line="240" w:lineRule="auto"/>
        <w:rPr>
          <w:rFonts w:ascii="Calibri" w:eastAsia="Calibri" w:hAnsi="Calibri" w:cs="Times New Roman"/>
          <w:sz w:val="23"/>
          <w:szCs w:val="23"/>
        </w:rPr>
      </w:pPr>
    </w:p>
    <w:p w:rsidR="00FC6F88" w:rsidRPr="00FC6F88" w:rsidRDefault="00FC6F88" w:rsidP="00FC6F88">
      <w:pPr>
        <w:spacing w:after="0" w:line="240" w:lineRule="auto"/>
        <w:rPr>
          <w:rFonts w:ascii="Calibri" w:eastAsia="Calibri" w:hAnsi="Calibri" w:cs="Times New Roman"/>
          <w:sz w:val="23"/>
          <w:szCs w:val="23"/>
        </w:rPr>
      </w:pPr>
      <w:r w:rsidRPr="00FC6F88">
        <w:rPr>
          <w:rFonts w:ascii="Calibri" w:eastAsia="Calibri" w:hAnsi="Calibri" w:cs="Times New Roman"/>
          <w:sz w:val="23"/>
          <w:szCs w:val="23"/>
        </w:rPr>
        <w:t>Corporate treasurers have corporate governance responsibilities and must operate within board-approved policies. Most corporate treasurers have reporting lines into Board committees, the Chief Executives and Chief Financial Officers.</w:t>
      </w:r>
    </w:p>
    <w:p w:rsidR="00FC6F88" w:rsidRPr="00FC6F88" w:rsidRDefault="00FC6F88" w:rsidP="00FC6F88">
      <w:pPr>
        <w:spacing w:after="0" w:line="240" w:lineRule="auto"/>
        <w:rPr>
          <w:rFonts w:ascii="Calibri" w:eastAsia="Calibri" w:hAnsi="Calibri" w:cs="Times New Roman"/>
          <w:sz w:val="23"/>
          <w:szCs w:val="23"/>
        </w:rPr>
      </w:pPr>
    </w:p>
    <w:p w:rsidR="00FC6F88" w:rsidRPr="00FC6F88" w:rsidRDefault="00FC6F88" w:rsidP="00FC6F88">
      <w:pPr>
        <w:spacing w:after="0" w:line="240" w:lineRule="auto"/>
        <w:rPr>
          <w:rFonts w:ascii="Calibri" w:eastAsia="Calibri" w:hAnsi="Calibri" w:cs="Times New Roman"/>
          <w:sz w:val="23"/>
          <w:szCs w:val="23"/>
        </w:rPr>
      </w:pPr>
      <w:r w:rsidRPr="00FC6F88">
        <w:rPr>
          <w:rFonts w:ascii="Calibri" w:eastAsia="Calibri" w:hAnsi="Calibri" w:cs="Times New Roman"/>
          <w:sz w:val="23"/>
          <w:szCs w:val="23"/>
        </w:rPr>
        <w:t>Ultimately, finance and treasury professionals are key custodians of corporate value and reputation.</w:t>
      </w:r>
    </w:p>
    <w:p w:rsidR="00FC6F88" w:rsidRPr="00FC6F88" w:rsidRDefault="00FC6F88" w:rsidP="00FC6F88">
      <w:pPr>
        <w:spacing w:after="0" w:line="240" w:lineRule="auto"/>
        <w:rPr>
          <w:rFonts w:ascii="Calibri" w:eastAsia="Calibri" w:hAnsi="Calibri" w:cs="Times New Roman"/>
          <w:sz w:val="23"/>
          <w:szCs w:val="23"/>
        </w:rPr>
      </w:pPr>
      <w:r w:rsidRPr="00FC6F88">
        <w:rPr>
          <w:rFonts w:ascii="Calibri" w:eastAsia="Calibri" w:hAnsi="Calibri" w:cs="Times New Roman"/>
          <w:sz w:val="23"/>
          <w:szCs w:val="23"/>
        </w:rPr>
        <w:t>As such FTA considers that corporate treasurers have a vital and differentiated perspective to provide to policy-makers, regulators, service providers and other financial market participants.</w:t>
      </w:r>
    </w:p>
    <w:p w:rsidR="00FC6F88" w:rsidRPr="00FC6F88" w:rsidRDefault="00FC6F88" w:rsidP="00FC6F88">
      <w:pPr>
        <w:spacing w:after="0" w:line="240" w:lineRule="auto"/>
        <w:rPr>
          <w:rFonts w:ascii="Calibri" w:eastAsia="Calibri" w:hAnsi="Calibri" w:cs="Times New Roman"/>
          <w:sz w:val="23"/>
          <w:szCs w:val="23"/>
        </w:rPr>
      </w:pPr>
    </w:p>
    <w:p w:rsidR="00FC6F88" w:rsidRPr="00FC6F88" w:rsidRDefault="00FC6F88" w:rsidP="00FC6F88">
      <w:pPr>
        <w:spacing w:after="0" w:line="240" w:lineRule="auto"/>
        <w:rPr>
          <w:rFonts w:ascii="Calibri" w:eastAsia="Calibri" w:hAnsi="Calibri" w:cs="Times New Roman"/>
          <w:sz w:val="23"/>
          <w:szCs w:val="23"/>
        </w:rPr>
      </w:pPr>
      <w:r w:rsidRPr="00FC6F88">
        <w:rPr>
          <w:rFonts w:ascii="Calibri" w:eastAsia="Calibri" w:hAnsi="Calibri" w:cs="Times New Roman"/>
          <w:sz w:val="23"/>
          <w:szCs w:val="23"/>
        </w:rPr>
        <w:t xml:space="preserve">FTA seeks to elevate the understanding of treasury </w:t>
      </w:r>
      <w:r w:rsidR="000A4DB6">
        <w:rPr>
          <w:rFonts w:ascii="Calibri" w:eastAsia="Calibri" w:hAnsi="Calibri" w:cs="Times New Roman"/>
          <w:sz w:val="23"/>
          <w:szCs w:val="23"/>
        </w:rPr>
        <w:t xml:space="preserve">activities and responsibilities </w:t>
      </w:r>
      <w:r w:rsidRPr="00FC6F88">
        <w:rPr>
          <w:rFonts w:ascii="Calibri" w:eastAsia="Calibri" w:hAnsi="Calibri" w:cs="Times New Roman"/>
          <w:sz w:val="23"/>
          <w:szCs w:val="23"/>
        </w:rPr>
        <w:t xml:space="preserve">among external and internal stakeholders and to provide an authoritative voice on all matters that relate to the practice of corporate treasury and financial risk management. </w:t>
      </w:r>
    </w:p>
    <w:p w:rsidR="00FC6F88" w:rsidRPr="00FC6F88" w:rsidRDefault="00FC6F88" w:rsidP="00FC6F88">
      <w:pPr>
        <w:spacing w:after="0" w:line="240" w:lineRule="auto"/>
        <w:rPr>
          <w:rFonts w:ascii="Calibri" w:eastAsia="Calibri" w:hAnsi="Calibri" w:cs="Times New Roman"/>
          <w:sz w:val="23"/>
          <w:szCs w:val="23"/>
        </w:rPr>
      </w:pPr>
    </w:p>
    <w:p w:rsidR="00FC6F88" w:rsidRPr="00FC6F88" w:rsidRDefault="00FC6F88" w:rsidP="00FC6F88">
      <w:pPr>
        <w:spacing w:after="0" w:line="240" w:lineRule="auto"/>
        <w:rPr>
          <w:rFonts w:ascii="Calibri" w:eastAsia="Calibri" w:hAnsi="Calibri" w:cs="Times New Roman"/>
          <w:sz w:val="23"/>
          <w:szCs w:val="23"/>
        </w:rPr>
      </w:pPr>
      <w:r w:rsidRPr="00FC6F88">
        <w:rPr>
          <w:rFonts w:ascii="Calibri" w:eastAsia="Calibri" w:hAnsi="Calibri" w:cs="Times New Roman"/>
          <w:sz w:val="23"/>
          <w:szCs w:val="23"/>
        </w:rPr>
        <w:t>FTA develops its advocacy positions independently of its own commercial considerations.</w:t>
      </w:r>
    </w:p>
    <w:p w:rsidR="00FC6F88" w:rsidRPr="00FC6F88" w:rsidRDefault="00FC6F88" w:rsidP="00FC6F88">
      <w:pPr>
        <w:spacing w:after="0" w:line="240" w:lineRule="auto"/>
        <w:rPr>
          <w:rFonts w:ascii="Calibri" w:eastAsia="Calibri" w:hAnsi="Calibri" w:cs="Times New Roman"/>
          <w:sz w:val="23"/>
          <w:szCs w:val="23"/>
        </w:rPr>
      </w:pPr>
      <w:r w:rsidRPr="00FC6F88">
        <w:rPr>
          <w:rFonts w:ascii="Calibri" w:eastAsia="Calibri" w:hAnsi="Calibri" w:cs="Times New Roman"/>
          <w:sz w:val="23"/>
          <w:szCs w:val="23"/>
        </w:rPr>
        <w:t>In its advocacy activities FTA takes the standpoint of non-financial-sector corporations although as a skill-set based body, FTA’s membership includes members whose professional role is to provide services to non-financial-sector corporations. FTA works with like-minded Associations on matters of common interest and to share resources.</w:t>
      </w:r>
    </w:p>
    <w:p w:rsidR="00FC6F88" w:rsidRPr="00FC6F88" w:rsidRDefault="00FC6F88" w:rsidP="00FC6F88">
      <w:pPr>
        <w:spacing w:after="0" w:line="240" w:lineRule="auto"/>
        <w:rPr>
          <w:rFonts w:ascii="Calibri" w:eastAsia="Calibri" w:hAnsi="Calibri" w:cs="Times New Roman"/>
          <w:sz w:val="23"/>
          <w:szCs w:val="23"/>
        </w:rPr>
      </w:pPr>
    </w:p>
    <w:p w:rsidR="00FC6F88" w:rsidRPr="00FC6F88" w:rsidRDefault="00FC6F88" w:rsidP="00FC6F88">
      <w:pPr>
        <w:spacing w:after="0" w:line="240" w:lineRule="auto"/>
        <w:rPr>
          <w:rFonts w:ascii="Calibri" w:eastAsia="Calibri" w:hAnsi="Calibri" w:cs="Times New Roman"/>
          <w:sz w:val="23"/>
          <w:szCs w:val="23"/>
        </w:rPr>
      </w:pPr>
    </w:p>
    <w:p w:rsidR="00FC6F88" w:rsidRPr="00FC6F88" w:rsidRDefault="00FC6F88" w:rsidP="00FC6F88">
      <w:pPr>
        <w:spacing w:after="0" w:line="240" w:lineRule="auto"/>
        <w:rPr>
          <w:rFonts w:ascii="Calibri" w:eastAsia="Calibri" w:hAnsi="Calibri" w:cs="Times New Roman"/>
          <w:sz w:val="23"/>
          <w:szCs w:val="23"/>
        </w:rPr>
      </w:pPr>
    </w:p>
    <w:p w:rsidR="00FC6F88" w:rsidRPr="00FC6F88" w:rsidRDefault="00FC6F88" w:rsidP="00FC6F88">
      <w:pPr>
        <w:spacing w:after="0" w:line="240" w:lineRule="auto"/>
        <w:rPr>
          <w:rFonts w:ascii="Calibri" w:eastAsia="Calibri" w:hAnsi="Calibri" w:cs="Times New Roman"/>
          <w:sz w:val="23"/>
          <w:szCs w:val="23"/>
        </w:rPr>
      </w:pPr>
      <w:r w:rsidRPr="00FC6F88">
        <w:rPr>
          <w:rFonts w:ascii="Calibri" w:eastAsia="Calibri" w:hAnsi="Calibri" w:cs="Times New Roman"/>
          <w:sz w:val="23"/>
          <w:szCs w:val="23"/>
        </w:rPr>
        <w:t>FTA will respond to formal and informal consultations from governments and regulator as well other associations which set or oversee market practices in the following areas:</w:t>
      </w:r>
    </w:p>
    <w:p w:rsidR="00FC6F88" w:rsidRPr="00FC6F88" w:rsidRDefault="00FC6F88" w:rsidP="00FC6F88">
      <w:pPr>
        <w:spacing w:after="0" w:line="240" w:lineRule="auto"/>
        <w:rPr>
          <w:rFonts w:ascii="Calibri" w:eastAsia="Calibri" w:hAnsi="Calibri" w:cs="Times New Roman"/>
          <w:sz w:val="23"/>
          <w:szCs w:val="23"/>
        </w:rPr>
      </w:pPr>
    </w:p>
    <w:p w:rsidR="00FC6F88" w:rsidRPr="00FC6F88" w:rsidRDefault="00FC6F88" w:rsidP="00FC6F88">
      <w:pPr>
        <w:numPr>
          <w:ilvl w:val="0"/>
          <w:numId w:val="18"/>
        </w:numPr>
        <w:spacing w:after="200" w:line="276" w:lineRule="auto"/>
        <w:rPr>
          <w:rFonts w:ascii="Calibri" w:eastAsia="Calibri" w:hAnsi="Calibri" w:cs="Times New Roman"/>
          <w:sz w:val="23"/>
          <w:szCs w:val="23"/>
        </w:rPr>
      </w:pPr>
      <w:r w:rsidRPr="00FC6F88">
        <w:rPr>
          <w:rFonts w:ascii="Calibri" w:eastAsia="Calibri" w:hAnsi="Calibri" w:cs="Times New Roman"/>
          <w:sz w:val="23"/>
          <w:szCs w:val="23"/>
        </w:rPr>
        <w:t xml:space="preserve">Role of non-financial corporations as end users of financial products/services/markets </w:t>
      </w:r>
    </w:p>
    <w:p w:rsidR="00FC6F88" w:rsidRPr="00FC6F88" w:rsidRDefault="00FC6F88" w:rsidP="00FC6F88">
      <w:pPr>
        <w:numPr>
          <w:ilvl w:val="0"/>
          <w:numId w:val="18"/>
        </w:numPr>
        <w:spacing w:after="200" w:line="276" w:lineRule="auto"/>
        <w:rPr>
          <w:rFonts w:ascii="Calibri" w:eastAsia="Calibri" w:hAnsi="Calibri" w:cs="Times New Roman"/>
          <w:sz w:val="23"/>
          <w:szCs w:val="23"/>
        </w:rPr>
      </w:pPr>
      <w:r w:rsidRPr="00FC6F88">
        <w:rPr>
          <w:rFonts w:ascii="Calibri" w:eastAsia="Calibri" w:hAnsi="Calibri" w:cs="Times New Roman"/>
          <w:sz w:val="23"/>
          <w:szCs w:val="23"/>
        </w:rPr>
        <w:t>Corporate financial policy and financial management</w:t>
      </w:r>
    </w:p>
    <w:p w:rsidR="00FC6F88" w:rsidRPr="00FC6F88" w:rsidRDefault="00FC6F88" w:rsidP="00FC6F88">
      <w:pPr>
        <w:numPr>
          <w:ilvl w:val="0"/>
          <w:numId w:val="18"/>
        </w:numPr>
        <w:spacing w:after="200" w:line="276" w:lineRule="auto"/>
        <w:rPr>
          <w:rFonts w:ascii="Calibri" w:eastAsia="Calibri" w:hAnsi="Calibri" w:cs="Times New Roman"/>
          <w:sz w:val="23"/>
          <w:szCs w:val="23"/>
        </w:rPr>
      </w:pPr>
      <w:r w:rsidRPr="00FC6F88">
        <w:rPr>
          <w:rFonts w:ascii="Calibri" w:eastAsia="Calibri" w:hAnsi="Calibri" w:cs="Times New Roman"/>
          <w:sz w:val="23"/>
          <w:szCs w:val="23"/>
        </w:rPr>
        <w:t>Risk management</w:t>
      </w:r>
    </w:p>
    <w:p w:rsidR="00FC6F88" w:rsidRPr="00FC6F88" w:rsidRDefault="00FC6F88" w:rsidP="00FC6F88">
      <w:pPr>
        <w:numPr>
          <w:ilvl w:val="0"/>
          <w:numId w:val="18"/>
        </w:numPr>
        <w:spacing w:after="200" w:line="276" w:lineRule="auto"/>
        <w:rPr>
          <w:rFonts w:ascii="Calibri" w:eastAsia="Calibri" w:hAnsi="Calibri" w:cs="Times New Roman"/>
          <w:sz w:val="23"/>
          <w:szCs w:val="23"/>
        </w:rPr>
      </w:pPr>
      <w:r w:rsidRPr="00FC6F88">
        <w:rPr>
          <w:rFonts w:ascii="Calibri" w:eastAsia="Calibri" w:hAnsi="Calibri" w:cs="Times New Roman"/>
          <w:sz w:val="23"/>
          <w:szCs w:val="23"/>
        </w:rPr>
        <w:t>Banking and payment systems</w:t>
      </w:r>
    </w:p>
    <w:p w:rsidR="00FC6F88" w:rsidRPr="00FC6F88" w:rsidRDefault="00FC6F88" w:rsidP="00FC6F88">
      <w:pPr>
        <w:numPr>
          <w:ilvl w:val="0"/>
          <w:numId w:val="18"/>
        </w:numPr>
        <w:spacing w:after="200" w:line="276" w:lineRule="auto"/>
        <w:rPr>
          <w:rFonts w:ascii="Calibri" w:eastAsia="Calibri" w:hAnsi="Calibri" w:cs="Times New Roman"/>
          <w:sz w:val="23"/>
          <w:szCs w:val="23"/>
        </w:rPr>
      </w:pPr>
      <w:r w:rsidRPr="00FC6F88">
        <w:rPr>
          <w:rFonts w:ascii="Calibri" w:eastAsia="Calibri" w:hAnsi="Calibri" w:cs="Times New Roman"/>
          <w:sz w:val="23"/>
          <w:szCs w:val="23"/>
        </w:rPr>
        <w:t>Tax</w:t>
      </w:r>
    </w:p>
    <w:p w:rsidR="00FC6F88" w:rsidRPr="00FC6F88" w:rsidRDefault="00FC6F88" w:rsidP="00FC6F88">
      <w:pPr>
        <w:numPr>
          <w:ilvl w:val="0"/>
          <w:numId w:val="18"/>
        </w:numPr>
        <w:spacing w:after="200" w:line="276" w:lineRule="auto"/>
        <w:rPr>
          <w:rFonts w:ascii="Calibri" w:eastAsia="Calibri" w:hAnsi="Calibri" w:cs="Times New Roman"/>
          <w:sz w:val="23"/>
          <w:szCs w:val="23"/>
        </w:rPr>
      </w:pPr>
      <w:r w:rsidRPr="00FC6F88">
        <w:rPr>
          <w:rFonts w:ascii="Calibri" w:eastAsia="Calibri" w:hAnsi="Calibri" w:cs="Times New Roman"/>
          <w:sz w:val="23"/>
          <w:szCs w:val="23"/>
        </w:rPr>
        <w:t>Relevant accounting and other disclosure practices and standards</w:t>
      </w:r>
    </w:p>
    <w:p w:rsidR="00FC6F88" w:rsidRDefault="00FC6F88" w:rsidP="00C82C80">
      <w:pPr>
        <w:numPr>
          <w:ilvl w:val="0"/>
          <w:numId w:val="18"/>
        </w:numPr>
        <w:spacing w:after="200" w:line="276" w:lineRule="auto"/>
      </w:pPr>
      <w:r w:rsidRPr="00FC6F88">
        <w:rPr>
          <w:rFonts w:ascii="Calibri" w:eastAsia="Calibri" w:hAnsi="Calibri" w:cs="Times New Roman"/>
          <w:sz w:val="23"/>
          <w:szCs w:val="23"/>
        </w:rPr>
        <w:t xml:space="preserve">Corporate governance </w:t>
      </w:r>
    </w:p>
    <w:sectPr w:rsidR="00FC6F88" w:rsidSect="00546D7D">
      <w:headerReference w:type="default" r:id="rId14"/>
      <w:footerReference w:type="default" r:id="rId15"/>
      <w:pgSz w:w="11907" w:h="16839" w:code="9"/>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77BF8A2" w15:done="0"/>
  <w15:commentEx w15:paraId="2537A3F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4B8A" w:rsidRDefault="009E4B8A" w:rsidP="003D498B">
      <w:pPr>
        <w:spacing w:after="0" w:line="240" w:lineRule="auto"/>
      </w:pPr>
      <w:r>
        <w:separator/>
      </w:r>
    </w:p>
  </w:endnote>
  <w:endnote w:type="continuationSeparator" w:id="0">
    <w:p w:rsidR="009E4B8A" w:rsidRDefault="009E4B8A" w:rsidP="003D49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539100"/>
      <w:docPartObj>
        <w:docPartGallery w:val="Page Numbers (Bottom of Page)"/>
        <w:docPartUnique/>
      </w:docPartObj>
    </w:sdtPr>
    <w:sdtEndPr>
      <w:rPr>
        <w:noProof/>
      </w:rPr>
    </w:sdtEndPr>
    <w:sdtContent>
      <w:p w:rsidR="004A4D82" w:rsidRDefault="004A4D82">
        <w:pPr>
          <w:pStyle w:val="Footer"/>
          <w:jc w:val="right"/>
        </w:pPr>
        <w:r>
          <w:fldChar w:fldCharType="begin"/>
        </w:r>
        <w:r>
          <w:instrText xml:space="preserve"> PAGE   \* MERGEFORMAT </w:instrText>
        </w:r>
        <w:r>
          <w:fldChar w:fldCharType="separate"/>
        </w:r>
        <w:r w:rsidR="009E4B8A">
          <w:rPr>
            <w:noProof/>
          </w:rPr>
          <w:t>1</w:t>
        </w:r>
        <w:r>
          <w:rPr>
            <w:noProof/>
          </w:rPr>
          <w:fldChar w:fldCharType="end"/>
        </w:r>
      </w:p>
    </w:sdtContent>
  </w:sdt>
  <w:p w:rsidR="00D959A9" w:rsidRPr="007620DB" w:rsidRDefault="00D959A9" w:rsidP="00063747">
    <w:pPr>
      <w:pStyle w:val="Footer"/>
      <w:pBdr>
        <w:top w:val="single" w:sz="4" w:space="1" w:color="D9D9D9" w:themeColor="background1" w:themeShade="D9"/>
      </w:pBdr>
      <w:rPr>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4B8A" w:rsidRDefault="009E4B8A" w:rsidP="003D498B">
      <w:pPr>
        <w:spacing w:after="0" w:line="240" w:lineRule="auto"/>
      </w:pPr>
      <w:r>
        <w:separator/>
      </w:r>
    </w:p>
  </w:footnote>
  <w:footnote w:type="continuationSeparator" w:id="0">
    <w:p w:rsidR="009E4B8A" w:rsidRDefault="009E4B8A" w:rsidP="003D498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081C" w:rsidRDefault="008D081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75CD0"/>
    <w:multiLevelType w:val="hybridMultilevel"/>
    <w:tmpl w:val="DB3AFAF8"/>
    <w:lvl w:ilvl="0" w:tplc="44EEDCEE">
      <w:numFmt w:val="bullet"/>
      <w:lvlText w:val="-"/>
      <w:lvlJc w:val="left"/>
      <w:pPr>
        <w:ind w:left="720" w:hanging="360"/>
      </w:pPr>
      <w:rPr>
        <w:rFonts w:ascii="Courier New" w:eastAsiaTheme="minorHAnsi"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93E3023"/>
    <w:multiLevelType w:val="hybridMultilevel"/>
    <w:tmpl w:val="CCC2CEA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nsid w:val="0D0B177A"/>
    <w:multiLevelType w:val="hybridMultilevel"/>
    <w:tmpl w:val="D1347928"/>
    <w:lvl w:ilvl="0" w:tplc="4446BAA8">
      <w:start w:val="1"/>
      <w:numFmt w:val="bullet"/>
      <w:lvlText w:val="-"/>
      <w:lvlJc w:val="left"/>
      <w:pPr>
        <w:ind w:left="720" w:hanging="360"/>
      </w:pPr>
      <w:rPr>
        <w:rFonts w:ascii="Franklin Gothic Book" w:eastAsia="Times New Roman" w:hAnsi="Franklin Gothic Book"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11D3053B"/>
    <w:multiLevelType w:val="hybridMultilevel"/>
    <w:tmpl w:val="CB0C256A"/>
    <w:lvl w:ilvl="0" w:tplc="44EEDCEE">
      <w:numFmt w:val="bullet"/>
      <w:lvlText w:val="-"/>
      <w:lvlJc w:val="left"/>
      <w:pPr>
        <w:ind w:left="1146" w:hanging="360"/>
      </w:pPr>
      <w:rPr>
        <w:rFonts w:ascii="Courier New" w:eastAsiaTheme="minorHAnsi" w:hAnsi="Courier New" w:cs="Courier New" w:hint="default"/>
      </w:rPr>
    </w:lvl>
    <w:lvl w:ilvl="1" w:tplc="0C090003" w:tentative="1">
      <w:start w:val="1"/>
      <w:numFmt w:val="bullet"/>
      <w:lvlText w:val="o"/>
      <w:lvlJc w:val="left"/>
      <w:pPr>
        <w:ind w:left="1866" w:hanging="360"/>
      </w:pPr>
      <w:rPr>
        <w:rFonts w:ascii="Courier New" w:hAnsi="Courier New" w:cs="Courier New" w:hint="default"/>
      </w:rPr>
    </w:lvl>
    <w:lvl w:ilvl="2" w:tplc="0C090005" w:tentative="1">
      <w:start w:val="1"/>
      <w:numFmt w:val="bullet"/>
      <w:lvlText w:val=""/>
      <w:lvlJc w:val="left"/>
      <w:pPr>
        <w:ind w:left="2586" w:hanging="360"/>
      </w:pPr>
      <w:rPr>
        <w:rFonts w:ascii="Wingdings" w:hAnsi="Wingdings" w:hint="default"/>
      </w:rPr>
    </w:lvl>
    <w:lvl w:ilvl="3" w:tplc="0C090001" w:tentative="1">
      <w:start w:val="1"/>
      <w:numFmt w:val="bullet"/>
      <w:lvlText w:val=""/>
      <w:lvlJc w:val="left"/>
      <w:pPr>
        <w:ind w:left="3306" w:hanging="360"/>
      </w:pPr>
      <w:rPr>
        <w:rFonts w:ascii="Symbol" w:hAnsi="Symbol" w:hint="default"/>
      </w:rPr>
    </w:lvl>
    <w:lvl w:ilvl="4" w:tplc="0C090003" w:tentative="1">
      <w:start w:val="1"/>
      <w:numFmt w:val="bullet"/>
      <w:lvlText w:val="o"/>
      <w:lvlJc w:val="left"/>
      <w:pPr>
        <w:ind w:left="4026" w:hanging="360"/>
      </w:pPr>
      <w:rPr>
        <w:rFonts w:ascii="Courier New" w:hAnsi="Courier New" w:cs="Courier New" w:hint="default"/>
      </w:rPr>
    </w:lvl>
    <w:lvl w:ilvl="5" w:tplc="0C090005" w:tentative="1">
      <w:start w:val="1"/>
      <w:numFmt w:val="bullet"/>
      <w:lvlText w:val=""/>
      <w:lvlJc w:val="left"/>
      <w:pPr>
        <w:ind w:left="4746" w:hanging="360"/>
      </w:pPr>
      <w:rPr>
        <w:rFonts w:ascii="Wingdings" w:hAnsi="Wingdings" w:hint="default"/>
      </w:rPr>
    </w:lvl>
    <w:lvl w:ilvl="6" w:tplc="0C090001" w:tentative="1">
      <w:start w:val="1"/>
      <w:numFmt w:val="bullet"/>
      <w:lvlText w:val=""/>
      <w:lvlJc w:val="left"/>
      <w:pPr>
        <w:ind w:left="5466" w:hanging="360"/>
      </w:pPr>
      <w:rPr>
        <w:rFonts w:ascii="Symbol" w:hAnsi="Symbol" w:hint="default"/>
      </w:rPr>
    </w:lvl>
    <w:lvl w:ilvl="7" w:tplc="0C090003" w:tentative="1">
      <w:start w:val="1"/>
      <w:numFmt w:val="bullet"/>
      <w:lvlText w:val="o"/>
      <w:lvlJc w:val="left"/>
      <w:pPr>
        <w:ind w:left="6186" w:hanging="360"/>
      </w:pPr>
      <w:rPr>
        <w:rFonts w:ascii="Courier New" w:hAnsi="Courier New" w:cs="Courier New" w:hint="default"/>
      </w:rPr>
    </w:lvl>
    <w:lvl w:ilvl="8" w:tplc="0C090005" w:tentative="1">
      <w:start w:val="1"/>
      <w:numFmt w:val="bullet"/>
      <w:lvlText w:val=""/>
      <w:lvlJc w:val="left"/>
      <w:pPr>
        <w:ind w:left="6906" w:hanging="360"/>
      </w:pPr>
      <w:rPr>
        <w:rFonts w:ascii="Wingdings" w:hAnsi="Wingdings" w:hint="default"/>
      </w:rPr>
    </w:lvl>
  </w:abstractNum>
  <w:abstractNum w:abstractNumId="4">
    <w:nsid w:val="124C2680"/>
    <w:multiLevelType w:val="hybridMultilevel"/>
    <w:tmpl w:val="8D347C8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140D62CA"/>
    <w:multiLevelType w:val="hybridMultilevel"/>
    <w:tmpl w:val="568EE4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98D7DC5"/>
    <w:multiLevelType w:val="multilevel"/>
    <w:tmpl w:val="5E9E5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B5A002F"/>
    <w:multiLevelType w:val="hybridMultilevel"/>
    <w:tmpl w:val="8CAC4A48"/>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8">
    <w:nsid w:val="1C952FB9"/>
    <w:multiLevelType w:val="hybridMultilevel"/>
    <w:tmpl w:val="19C04D26"/>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9">
    <w:nsid w:val="2AB81D52"/>
    <w:multiLevelType w:val="hybridMultilevel"/>
    <w:tmpl w:val="51EEA8F4"/>
    <w:lvl w:ilvl="0" w:tplc="0C090001">
      <w:start w:val="1"/>
      <w:numFmt w:val="bullet"/>
      <w:lvlText w:val=""/>
      <w:lvlJc w:val="left"/>
      <w:pPr>
        <w:ind w:left="363" w:hanging="360"/>
      </w:pPr>
      <w:rPr>
        <w:rFonts w:ascii="Symbol" w:hAnsi="Symbol" w:hint="default"/>
      </w:rPr>
    </w:lvl>
    <w:lvl w:ilvl="1" w:tplc="0C090003">
      <w:start w:val="1"/>
      <w:numFmt w:val="bullet"/>
      <w:lvlText w:val="o"/>
      <w:lvlJc w:val="left"/>
      <w:pPr>
        <w:ind w:left="1083" w:hanging="360"/>
      </w:pPr>
      <w:rPr>
        <w:rFonts w:ascii="Courier New" w:hAnsi="Courier New" w:cs="Courier New" w:hint="default"/>
      </w:rPr>
    </w:lvl>
    <w:lvl w:ilvl="2" w:tplc="0C090005" w:tentative="1">
      <w:start w:val="1"/>
      <w:numFmt w:val="bullet"/>
      <w:lvlText w:val=""/>
      <w:lvlJc w:val="left"/>
      <w:pPr>
        <w:ind w:left="1803" w:hanging="360"/>
      </w:pPr>
      <w:rPr>
        <w:rFonts w:ascii="Wingdings" w:hAnsi="Wingdings" w:hint="default"/>
      </w:rPr>
    </w:lvl>
    <w:lvl w:ilvl="3" w:tplc="0C090001" w:tentative="1">
      <w:start w:val="1"/>
      <w:numFmt w:val="bullet"/>
      <w:lvlText w:val=""/>
      <w:lvlJc w:val="left"/>
      <w:pPr>
        <w:ind w:left="2523" w:hanging="360"/>
      </w:pPr>
      <w:rPr>
        <w:rFonts w:ascii="Symbol" w:hAnsi="Symbol" w:hint="default"/>
      </w:rPr>
    </w:lvl>
    <w:lvl w:ilvl="4" w:tplc="0C090003" w:tentative="1">
      <w:start w:val="1"/>
      <w:numFmt w:val="bullet"/>
      <w:lvlText w:val="o"/>
      <w:lvlJc w:val="left"/>
      <w:pPr>
        <w:ind w:left="3243" w:hanging="360"/>
      </w:pPr>
      <w:rPr>
        <w:rFonts w:ascii="Courier New" w:hAnsi="Courier New" w:cs="Courier New" w:hint="default"/>
      </w:rPr>
    </w:lvl>
    <w:lvl w:ilvl="5" w:tplc="0C090005" w:tentative="1">
      <w:start w:val="1"/>
      <w:numFmt w:val="bullet"/>
      <w:lvlText w:val=""/>
      <w:lvlJc w:val="left"/>
      <w:pPr>
        <w:ind w:left="3963" w:hanging="360"/>
      </w:pPr>
      <w:rPr>
        <w:rFonts w:ascii="Wingdings" w:hAnsi="Wingdings" w:hint="default"/>
      </w:rPr>
    </w:lvl>
    <w:lvl w:ilvl="6" w:tplc="0C090001" w:tentative="1">
      <w:start w:val="1"/>
      <w:numFmt w:val="bullet"/>
      <w:lvlText w:val=""/>
      <w:lvlJc w:val="left"/>
      <w:pPr>
        <w:ind w:left="4683" w:hanging="360"/>
      </w:pPr>
      <w:rPr>
        <w:rFonts w:ascii="Symbol" w:hAnsi="Symbol" w:hint="default"/>
      </w:rPr>
    </w:lvl>
    <w:lvl w:ilvl="7" w:tplc="0C090003" w:tentative="1">
      <w:start w:val="1"/>
      <w:numFmt w:val="bullet"/>
      <w:lvlText w:val="o"/>
      <w:lvlJc w:val="left"/>
      <w:pPr>
        <w:ind w:left="5403" w:hanging="360"/>
      </w:pPr>
      <w:rPr>
        <w:rFonts w:ascii="Courier New" w:hAnsi="Courier New" w:cs="Courier New" w:hint="default"/>
      </w:rPr>
    </w:lvl>
    <w:lvl w:ilvl="8" w:tplc="0C090005" w:tentative="1">
      <w:start w:val="1"/>
      <w:numFmt w:val="bullet"/>
      <w:lvlText w:val=""/>
      <w:lvlJc w:val="left"/>
      <w:pPr>
        <w:ind w:left="6123" w:hanging="360"/>
      </w:pPr>
      <w:rPr>
        <w:rFonts w:ascii="Wingdings" w:hAnsi="Wingdings" w:hint="default"/>
      </w:rPr>
    </w:lvl>
  </w:abstractNum>
  <w:abstractNum w:abstractNumId="10">
    <w:nsid w:val="356A6EC3"/>
    <w:multiLevelType w:val="hybridMultilevel"/>
    <w:tmpl w:val="E7DC744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1">
    <w:nsid w:val="3BB31490"/>
    <w:multiLevelType w:val="hybridMultilevel"/>
    <w:tmpl w:val="B6FA3CDE"/>
    <w:lvl w:ilvl="0" w:tplc="75386C0E">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4700144C"/>
    <w:multiLevelType w:val="hybridMultilevel"/>
    <w:tmpl w:val="B366CA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4EE906B1"/>
    <w:multiLevelType w:val="hybridMultilevel"/>
    <w:tmpl w:val="A664C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6925A72"/>
    <w:multiLevelType w:val="multilevel"/>
    <w:tmpl w:val="47AAD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0A02C8A"/>
    <w:multiLevelType w:val="hybridMultilevel"/>
    <w:tmpl w:val="CA722B4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6A621017"/>
    <w:multiLevelType w:val="hybridMultilevel"/>
    <w:tmpl w:val="384C2EAC"/>
    <w:lvl w:ilvl="0" w:tplc="44EEDCEE">
      <w:numFmt w:val="bullet"/>
      <w:lvlText w:val="-"/>
      <w:lvlJc w:val="left"/>
      <w:pPr>
        <w:ind w:left="720" w:hanging="360"/>
      </w:pPr>
      <w:rPr>
        <w:rFonts w:ascii="Courier New" w:eastAsiaTheme="minorHAnsi"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6E016256"/>
    <w:multiLevelType w:val="hybridMultilevel"/>
    <w:tmpl w:val="88581BA0"/>
    <w:lvl w:ilvl="0" w:tplc="25BC1016">
      <w:start w:val="1"/>
      <w:numFmt w:val="bullet"/>
      <w:lvlText w:val=""/>
      <w:lvlJc w:val="left"/>
      <w:pPr>
        <w:ind w:left="780" w:hanging="360"/>
      </w:pPr>
      <w:rPr>
        <w:rFonts w:ascii="Wingdings" w:hAnsi="Wingdings" w:hint="default"/>
        <w:b/>
        <w:i w:val="0"/>
        <w:color w:val="auto"/>
      </w:rPr>
    </w:lvl>
    <w:lvl w:ilvl="1" w:tplc="0C090003" w:tentative="1">
      <w:start w:val="1"/>
      <w:numFmt w:val="bullet"/>
      <w:lvlText w:val="o"/>
      <w:lvlJc w:val="left"/>
      <w:pPr>
        <w:ind w:left="1500" w:hanging="360"/>
      </w:pPr>
      <w:rPr>
        <w:rFonts w:ascii="Courier New" w:hAnsi="Courier New" w:cs="Courier New" w:hint="default"/>
      </w:rPr>
    </w:lvl>
    <w:lvl w:ilvl="2" w:tplc="0C090005" w:tentative="1">
      <w:start w:val="1"/>
      <w:numFmt w:val="bullet"/>
      <w:lvlText w:val=""/>
      <w:lvlJc w:val="left"/>
      <w:pPr>
        <w:ind w:left="2220" w:hanging="360"/>
      </w:pPr>
      <w:rPr>
        <w:rFonts w:ascii="Wingdings" w:hAnsi="Wingdings" w:hint="default"/>
      </w:rPr>
    </w:lvl>
    <w:lvl w:ilvl="3" w:tplc="0C090001" w:tentative="1">
      <w:start w:val="1"/>
      <w:numFmt w:val="bullet"/>
      <w:lvlText w:val=""/>
      <w:lvlJc w:val="left"/>
      <w:pPr>
        <w:ind w:left="2940" w:hanging="360"/>
      </w:pPr>
      <w:rPr>
        <w:rFonts w:ascii="Symbol" w:hAnsi="Symbol" w:hint="default"/>
      </w:rPr>
    </w:lvl>
    <w:lvl w:ilvl="4" w:tplc="0C090003" w:tentative="1">
      <w:start w:val="1"/>
      <w:numFmt w:val="bullet"/>
      <w:lvlText w:val="o"/>
      <w:lvlJc w:val="left"/>
      <w:pPr>
        <w:ind w:left="3660" w:hanging="360"/>
      </w:pPr>
      <w:rPr>
        <w:rFonts w:ascii="Courier New" w:hAnsi="Courier New" w:cs="Courier New" w:hint="default"/>
      </w:rPr>
    </w:lvl>
    <w:lvl w:ilvl="5" w:tplc="0C090005" w:tentative="1">
      <w:start w:val="1"/>
      <w:numFmt w:val="bullet"/>
      <w:lvlText w:val=""/>
      <w:lvlJc w:val="left"/>
      <w:pPr>
        <w:ind w:left="4380" w:hanging="360"/>
      </w:pPr>
      <w:rPr>
        <w:rFonts w:ascii="Wingdings" w:hAnsi="Wingdings" w:hint="default"/>
      </w:rPr>
    </w:lvl>
    <w:lvl w:ilvl="6" w:tplc="0C090001" w:tentative="1">
      <w:start w:val="1"/>
      <w:numFmt w:val="bullet"/>
      <w:lvlText w:val=""/>
      <w:lvlJc w:val="left"/>
      <w:pPr>
        <w:ind w:left="5100" w:hanging="360"/>
      </w:pPr>
      <w:rPr>
        <w:rFonts w:ascii="Symbol" w:hAnsi="Symbol" w:hint="default"/>
      </w:rPr>
    </w:lvl>
    <w:lvl w:ilvl="7" w:tplc="0C090003" w:tentative="1">
      <w:start w:val="1"/>
      <w:numFmt w:val="bullet"/>
      <w:lvlText w:val="o"/>
      <w:lvlJc w:val="left"/>
      <w:pPr>
        <w:ind w:left="5820" w:hanging="360"/>
      </w:pPr>
      <w:rPr>
        <w:rFonts w:ascii="Courier New" w:hAnsi="Courier New" w:cs="Courier New" w:hint="default"/>
      </w:rPr>
    </w:lvl>
    <w:lvl w:ilvl="8" w:tplc="0C090005" w:tentative="1">
      <w:start w:val="1"/>
      <w:numFmt w:val="bullet"/>
      <w:lvlText w:val=""/>
      <w:lvlJc w:val="left"/>
      <w:pPr>
        <w:ind w:left="6540" w:hanging="360"/>
      </w:pPr>
      <w:rPr>
        <w:rFonts w:ascii="Wingdings" w:hAnsi="Wingdings" w:hint="default"/>
      </w:rPr>
    </w:lvl>
  </w:abstractNum>
  <w:abstractNum w:abstractNumId="18">
    <w:nsid w:val="709F54B6"/>
    <w:multiLevelType w:val="hybridMultilevel"/>
    <w:tmpl w:val="2490255C"/>
    <w:lvl w:ilvl="0" w:tplc="0C090001">
      <w:start w:val="1"/>
      <w:numFmt w:val="bullet"/>
      <w:lvlText w:val=""/>
      <w:lvlJc w:val="left"/>
      <w:pPr>
        <w:ind w:left="766" w:hanging="360"/>
      </w:pPr>
      <w:rPr>
        <w:rFonts w:ascii="Symbol" w:hAnsi="Symbol" w:hint="default"/>
      </w:rPr>
    </w:lvl>
    <w:lvl w:ilvl="1" w:tplc="0C090003" w:tentative="1">
      <w:start w:val="1"/>
      <w:numFmt w:val="bullet"/>
      <w:lvlText w:val="o"/>
      <w:lvlJc w:val="left"/>
      <w:pPr>
        <w:ind w:left="1486" w:hanging="360"/>
      </w:pPr>
      <w:rPr>
        <w:rFonts w:ascii="Courier New" w:hAnsi="Courier New" w:cs="Courier New" w:hint="default"/>
      </w:rPr>
    </w:lvl>
    <w:lvl w:ilvl="2" w:tplc="0C090005" w:tentative="1">
      <w:start w:val="1"/>
      <w:numFmt w:val="bullet"/>
      <w:lvlText w:val=""/>
      <w:lvlJc w:val="left"/>
      <w:pPr>
        <w:ind w:left="2206" w:hanging="360"/>
      </w:pPr>
      <w:rPr>
        <w:rFonts w:ascii="Wingdings" w:hAnsi="Wingdings" w:hint="default"/>
      </w:rPr>
    </w:lvl>
    <w:lvl w:ilvl="3" w:tplc="0C090001" w:tentative="1">
      <w:start w:val="1"/>
      <w:numFmt w:val="bullet"/>
      <w:lvlText w:val=""/>
      <w:lvlJc w:val="left"/>
      <w:pPr>
        <w:ind w:left="2926" w:hanging="360"/>
      </w:pPr>
      <w:rPr>
        <w:rFonts w:ascii="Symbol" w:hAnsi="Symbol" w:hint="default"/>
      </w:rPr>
    </w:lvl>
    <w:lvl w:ilvl="4" w:tplc="0C090003" w:tentative="1">
      <w:start w:val="1"/>
      <w:numFmt w:val="bullet"/>
      <w:lvlText w:val="o"/>
      <w:lvlJc w:val="left"/>
      <w:pPr>
        <w:ind w:left="3646" w:hanging="360"/>
      </w:pPr>
      <w:rPr>
        <w:rFonts w:ascii="Courier New" w:hAnsi="Courier New" w:cs="Courier New" w:hint="default"/>
      </w:rPr>
    </w:lvl>
    <w:lvl w:ilvl="5" w:tplc="0C090005" w:tentative="1">
      <w:start w:val="1"/>
      <w:numFmt w:val="bullet"/>
      <w:lvlText w:val=""/>
      <w:lvlJc w:val="left"/>
      <w:pPr>
        <w:ind w:left="4366" w:hanging="360"/>
      </w:pPr>
      <w:rPr>
        <w:rFonts w:ascii="Wingdings" w:hAnsi="Wingdings" w:hint="default"/>
      </w:rPr>
    </w:lvl>
    <w:lvl w:ilvl="6" w:tplc="0C090001" w:tentative="1">
      <w:start w:val="1"/>
      <w:numFmt w:val="bullet"/>
      <w:lvlText w:val=""/>
      <w:lvlJc w:val="left"/>
      <w:pPr>
        <w:ind w:left="5086" w:hanging="360"/>
      </w:pPr>
      <w:rPr>
        <w:rFonts w:ascii="Symbol" w:hAnsi="Symbol" w:hint="default"/>
      </w:rPr>
    </w:lvl>
    <w:lvl w:ilvl="7" w:tplc="0C090003" w:tentative="1">
      <w:start w:val="1"/>
      <w:numFmt w:val="bullet"/>
      <w:lvlText w:val="o"/>
      <w:lvlJc w:val="left"/>
      <w:pPr>
        <w:ind w:left="5806" w:hanging="360"/>
      </w:pPr>
      <w:rPr>
        <w:rFonts w:ascii="Courier New" w:hAnsi="Courier New" w:cs="Courier New" w:hint="default"/>
      </w:rPr>
    </w:lvl>
    <w:lvl w:ilvl="8" w:tplc="0C090005" w:tentative="1">
      <w:start w:val="1"/>
      <w:numFmt w:val="bullet"/>
      <w:lvlText w:val=""/>
      <w:lvlJc w:val="left"/>
      <w:pPr>
        <w:ind w:left="6526" w:hanging="360"/>
      </w:pPr>
      <w:rPr>
        <w:rFonts w:ascii="Wingdings" w:hAnsi="Wingdings" w:hint="default"/>
      </w:rPr>
    </w:lvl>
  </w:abstractNum>
  <w:abstractNum w:abstractNumId="19">
    <w:nsid w:val="728C32D0"/>
    <w:multiLevelType w:val="hybridMultilevel"/>
    <w:tmpl w:val="1FEA9DE6"/>
    <w:lvl w:ilvl="0" w:tplc="44EEDCEE">
      <w:numFmt w:val="bullet"/>
      <w:lvlText w:val="-"/>
      <w:lvlJc w:val="left"/>
      <w:pPr>
        <w:ind w:left="1440" w:hanging="360"/>
      </w:pPr>
      <w:rPr>
        <w:rFonts w:ascii="Courier New" w:eastAsiaTheme="minorHAnsi"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num w:numId="1">
    <w:abstractNumId w:val="16"/>
  </w:num>
  <w:num w:numId="2">
    <w:abstractNumId w:val="9"/>
  </w:num>
  <w:num w:numId="3">
    <w:abstractNumId w:val="5"/>
  </w:num>
  <w:num w:numId="4">
    <w:abstractNumId w:val="11"/>
  </w:num>
  <w:num w:numId="5">
    <w:abstractNumId w:val="13"/>
  </w:num>
  <w:num w:numId="6">
    <w:abstractNumId w:val="17"/>
  </w:num>
  <w:num w:numId="7">
    <w:abstractNumId w:val="3"/>
  </w:num>
  <w:num w:numId="8">
    <w:abstractNumId w:val="1"/>
  </w:num>
  <w:num w:numId="9">
    <w:abstractNumId w:val="7"/>
  </w:num>
  <w:num w:numId="10">
    <w:abstractNumId w:val="19"/>
  </w:num>
  <w:num w:numId="11">
    <w:abstractNumId w:val="0"/>
  </w:num>
  <w:num w:numId="12">
    <w:abstractNumId w:val="15"/>
  </w:num>
  <w:num w:numId="13">
    <w:abstractNumId w:val="2"/>
  </w:num>
  <w:num w:numId="14">
    <w:abstractNumId w:val="10"/>
  </w:num>
  <w:num w:numId="15">
    <w:abstractNumId w:val="12"/>
  </w:num>
  <w:num w:numId="16">
    <w:abstractNumId w:val="18"/>
  </w:num>
  <w:num w:numId="17">
    <w:abstractNumId w:val="4"/>
  </w:num>
  <w:num w:numId="18">
    <w:abstractNumId w:val="14"/>
  </w:num>
  <w:num w:numId="19">
    <w:abstractNumId w:val="8"/>
  </w:num>
  <w:num w:numId="20">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tin Jones">
    <w15:presenceInfo w15:providerId="None" w15:userId="Martin Jone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121C"/>
    <w:rsid w:val="00000EA7"/>
    <w:rsid w:val="00001EEF"/>
    <w:rsid w:val="0000244A"/>
    <w:rsid w:val="00034D26"/>
    <w:rsid w:val="00063747"/>
    <w:rsid w:val="000766E6"/>
    <w:rsid w:val="00090314"/>
    <w:rsid w:val="000A4DB6"/>
    <w:rsid w:val="000A72D8"/>
    <w:rsid w:val="000F1462"/>
    <w:rsid w:val="000F4844"/>
    <w:rsid w:val="001161B0"/>
    <w:rsid w:val="001400DA"/>
    <w:rsid w:val="00157262"/>
    <w:rsid w:val="001B1A68"/>
    <w:rsid w:val="00301F80"/>
    <w:rsid w:val="00335F3D"/>
    <w:rsid w:val="003610CB"/>
    <w:rsid w:val="003730EB"/>
    <w:rsid w:val="003A592F"/>
    <w:rsid w:val="003D498B"/>
    <w:rsid w:val="003D7896"/>
    <w:rsid w:val="00444814"/>
    <w:rsid w:val="00497C19"/>
    <w:rsid w:val="004A4D82"/>
    <w:rsid w:val="004A7CB8"/>
    <w:rsid w:val="004B7FA5"/>
    <w:rsid w:val="004F3D64"/>
    <w:rsid w:val="00506A4B"/>
    <w:rsid w:val="00546D7D"/>
    <w:rsid w:val="005C4A02"/>
    <w:rsid w:val="005E6050"/>
    <w:rsid w:val="005E62F7"/>
    <w:rsid w:val="00613FB4"/>
    <w:rsid w:val="006524FE"/>
    <w:rsid w:val="00664FF0"/>
    <w:rsid w:val="006963DB"/>
    <w:rsid w:val="006E4149"/>
    <w:rsid w:val="006E614C"/>
    <w:rsid w:val="00723C56"/>
    <w:rsid w:val="0075669A"/>
    <w:rsid w:val="007620DB"/>
    <w:rsid w:val="0077715F"/>
    <w:rsid w:val="00782F65"/>
    <w:rsid w:val="00784659"/>
    <w:rsid w:val="007A1440"/>
    <w:rsid w:val="007F2CB9"/>
    <w:rsid w:val="0081121C"/>
    <w:rsid w:val="00813703"/>
    <w:rsid w:val="008172DC"/>
    <w:rsid w:val="008315A3"/>
    <w:rsid w:val="00840E26"/>
    <w:rsid w:val="00887284"/>
    <w:rsid w:val="008B643F"/>
    <w:rsid w:val="008D081C"/>
    <w:rsid w:val="009116C5"/>
    <w:rsid w:val="00912A0D"/>
    <w:rsid w:val="009402C5"/>
    <w:rsid w:val="009544BC"/>
    <w:rsid w:val="009A2694"/>
    <w:rsid w:val="009A3E93"/>
    <w:rsid w:val="009B1912"/>
    <w:rsid w:val="009E1EB1"/>
    <w:rsid w:val="009E4839"/>
    <w:rsid w:val="009E4B8A"/>
    <w:rsid w:val="00A00163"/>
    <w:rsid w:val="00A37E41"/>
    <w:rsid w:val="00A45E1F"/>
    <w:rsid w:val="00AD4CBE"/>
    <w:rsid w:val="00AE654E"/>
    <w:rsid w:val="00AF1216"/>
    <w:rsid w:val="00B00EE7"/>
    <w:rsid w:val="00B80573"/>
    <w:rsid w:val="00BB7C44"/>
    <w:rsid w:val="00C34D42"/>
    <w:rsid w:val="00C35FA8"/>
    <w:rsid w:val="00C44702"/>
    <w:rsid w:val="00C82C80"/>
    <w:rsid w:val="00C83C64"/>
    <w:rsid w:val="00C91185"/>
    <w:rsid w:val="00C93FED"/>
    <w:rsid w:val="00CD5281"/>
    <w:rsid w:val="00D27762"/>
    <w:rsid w:val="00D71AD7"/>
    <w:rsid w:val="00D91DB7"/>
    <w:rsid w:val="00D959A9"/>
    <w:rsid w:val="00DA2285"/>
    <w:rsid w:val="00DB5A4B"/>
    <w:rsid w:val="00DD4727"/>
    <w:rsid w:val="00E347F2"/>
    <w:rsid w:val="00EA1F44"/>
    <w:rsid w:val="00EC4379"/>
    <w:rsid w:val="00EF5FD1"/>
    <w:rsid w:val="00F91010"/>
    <w:rsid w:val="00FC6F88"/>
    <w:rsid w:val="00FE27F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4D8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D498B"/>
    <w:pPr>
      <w:autoSpaceDE w:val="0"/>
      <w:autoSpaceDN w:val="0"/>
      <w:adjustRightInd w:val="0"/>
      <w:spacing w:after="0" w:line="240" w:lineRule="auto"/>
    </w:pPr>
    <w:rPr>
      <w:rFonts w:ascii="Symbol" w:hAnsi="Symbol" w:cs="Symbol"/>
      <w:color w:val="000000"/>
      <w:sz w:val="24"/>
      <w:szCs w:val="24"/>
    </w:rPr>
  </w:style>
  <w:style w:type="paragraph" w:styleId="Header">
    <w:name w:val="header"/>
    <w:basedOn w:val="Normal"/>
    <w:link w:val="HeaderChar"/>
    <w:uiPriority w:val="99"/>
    <w:unhideWhenUsed/>
    <w:rsid w:val="003D49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D498B"/>
  </w:style>
  <w:style w:type="paragraph" w:styleId="Footer">
    <w:name w:val="footer"/>
    <w:basedOn w:val="Normal"/>
    <w:link w:val="FooterChar"/>
    <w:uiPriority w:val="99"/>
    <w:unhideWhenUsed/>
    <w:rsid w:val="003D49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D498B"/>
  </w:style>
  <w:style w:type="paragraph" w:styleId="ListParagraph">
    <w:name w:val="List Paragraph"/>
    <w:basedOn w:val="Normal"/>
    <w:uiPriority w:val="34"/>
    <w:qFormat/>
    <w:rsid w:val="003D498B"/>
    <w:pPr>
      <w:ind w:left="720"/>
      <w:contextualSpacing/>
    </w:pPr>
  </w:style>
  <w:style w:type="character" w:styleId="CommentReference">
    <w:name w:val="annotation reference"/>
    <w:basedOn w:val="DefaultParagraphFont"/>
    <w:uiPriority w:val="99"/>
    <w:semiHidden/>
    <w:unhideWhenUsed/>
    <w:rsid w:val="00782F65"/>
    <w:rPr>
      <w:sz w:val="16"/>
      <w:szCs w:val="16"/>
    </w:rPr>
  </w:style>
  <w:style w:type="paragraph" w:styleId="CommentText">
    <w:name w:val="annotation text"/>
    <w:basedOn w:val="Normal"/>
    <w:link w:val="CommentTextChar"/>
    <w:uiPriority w:val="99"/>
    <w:semiHidden/>
    <w:unhideWhenUsed/>
    <w:rsid w:val="00782F65"/>
    <w:pPr>
      <w:spacing w:line="240" w:lineRule="auto"/>
    </w:pPr>
    <w:rPr>
      <w:sz w:val="20"/>
      <w:szCs w:val="20"/>
    </w:rPr>
  </w:style>
  <w:style w:type="character" w:customStyle="1" w:styleId="CommentTextChar">
    <w:name w:val="Comment Text Char"/>
    <w:basedOn w:val="DefaultParagraphFont"/>
    <w:link w:val="CommentText"/>
    <w:uiPriority w:val="99"/>
    <w:semiHidden/>
    <w:rsid w:val="00782F65"/>
    <w:rPr>
      <w:sz w:val="20"/>
      <w:szCs w:val="20"/>
    </w:rPr>
  </w:style>
  <w:style w:type="paragraph" w:styleId="CommentSubject">
    <w:name w:val="annotation subject"/>
    <w:basedOn w:val="CommentText"/>
    <w:next w:val="CommentText"/>
    <w:link w:val="CommentSubjectChar"/>
    <w:uiPriority w:val="99"/>
    <w:semiHidden/>
    <w:unhideWhenUsed/>
    <w:rsid w:val="00782F65"/>
    <w:rPr>
      <w:b/>
      <w:bCs/>
    </w:rPr>
  </w:style>
  <w:style w:type="character" w:customStyle="1" w:styleId="CommentSubjectChar">
    <w:name w:val="Comment Subject Char"/>
    <w:basedOn w:val="CommentTextChar"/>
    <w:link w:val="CommentSubject"/>
    <w:uiPriority w:val="99"/>
    <w:semiHidden/>
    <w:rsid w:val="00782F65"/>
    <w:rPr>
      <w:b/>
      <w:bCs/>
      <w:sz w:val="20"/>
      <w:szCs w:val="20"/>
    </w:rPr>
  </w:style>
  <w:style w:type="paragraph" w:styleId="BalloonText">
    <w:name w:val="Balloon Text"/>
    <w:basedOn w:val="Normal"/>
    <w:link w:val="BalloonTextChar"/>
    <w:uiPriority w:val="99"/>
    <w:semiHidden/>
    <w:unhideWhenUsed/>
    <w:rsid w:val="00782F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2F65"/>
    <w:rPr>
      <w:rFonts w:ascii="Segoe UI" w:hAnsi="Segoe UI" w:cs="Segoe UI"/>
      <w:sz w:val="18"/>
      <w:szCs w:val="18"/>
    </w:rPr>
  </w:style>
  <w:style w:type="character" w:styleId="Hyperlink">
    <w:name w:val="Hyperlink"/>
    <w:basedOn w:val="DefaultParagraphFont"/>
    <w:uiPriority w:val="99"/>
    <w:unhideWhenUsed/>
    <w:rsid w:val="0077715F"/>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4D8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D498B"/>
    <w:pPr>
      <w:autoSpaceDE w:val="0"/>
      <w:autoSpaceDN w:val="0"/>
      <w:adjustRightInd w:val="0"/>
      <w:spacing w:after="0" w:line="240" w:lineRule="auto"/>
    </w:pPr>
    <w:rPr>
      <w:rFonts w:ascii="Symbol" w:hAnsi="Symbol" w:cs="Symbol"/>
      <w:color w:val="000000"/>
      <w:sz w:val="24"/>
      <w:szCs w:val="24"/>
    </w:rPr>
  </w:style>
  <w:style w:type="paragraph" w:styleId="Header">
    <w:name w:val="header"/>
    <w:basedOn w:val="Normal"/>
    <w:link w:val="HeaderChar"/>
    <w:uiPriority w:val="99"/>
    <w:unhideWhenUsed/>
    <w:rsid w:val="003D49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D498B"/>
  </w:style>
  <w:style w:type="paragraph" w:styleId="Footer">
    <w:name w:val="footer"/>
    <w:basedOn w:val="Normal"/>
    <w:link w:val="FooterChar"/>
    <w:uiPriority w:val="99"/>
    <w:unhideWhenUsed/>
    <w:rsid w:val="003D49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D498B"/>
  </w:style>
  <w:style w:type="paragraph" w:styleId="ListParagraph">
    <w:name w:val="List Paragraph"/>
    <w:basedOn w:val="Normal"/>
    <w:uiPriority w:val="34"/>
    <w:qFormat/>
    <w:rsid w:val="003D498B"/>
    <w:pPr>
      <w:ind w:left="720"/>
      <w:contextualSpacing/>
    </w:pPr>
  </w:style>
  <w:style w:type="character" w:styleId="CommentReference">
    <w:name w:val="annotation reference"/>
    <w:basedOn w:val="DefaultParagraphFont"/>
    <w:uiPriority w:val="99"/>
    <w:semiHidden/>
    <w:unhideWhenUsed/>
    <w:rsid w:val="00782F65"/>
    <w:rPr>
      <w:sz w:val="16"/>
      <w:szCs w:val="16"/>
    </w:rPr>
  </w:style>
  <w:style w:type="paragraph" w:styleId="CommentText">
    <w:name w:val="annotation text"/>
    <w:basedOn w:val="Normal"/>
    <w:link w:val="CommentTextChar"/>
    <w:uiPriority w:val="99"/>
    <w:semiHidden/>
    <w:unhideWhenUsed/>
    <w:rsid w:val="00782F65"/>
    <w:pPr>
      <w:spacing w:line="240" w:lineRule="auto"/>
    </w:pPr>
    <w:rPr>
      <w:sz w:val="20"/>
      <w:szCs w:val="20"/>
    </w:rPr>
  </w:style>
  <w:style w:type="character" w:customStyle="1" w:styleId="CommentTextChar">
    <w:name w:val="Comment Text Char"/>
    <w:basedOn w:val="DefaultParagraphFont"/>
    <w:link w:val="CommentText"/>
    <w:uiPriority w:val="99"/>
    <w:semiHidden/>
    <w:rsid w:val="00782F65"/>
    <w:rPr>
      <w:sz w:val="20"/>
      <w:szCs w:val="20"/>
    </w:rPr>
  </w:style>
  <w:style w:type="paragraph" w:styleId="CommentSubject">
    <w:name w:val="annotation subject"/>
    <w:basedOn w:val="CommentText"/>
    <w:next w:val="CommentText"/>
    <w:link w:val="CommentSubjectChar"/>
    <w:uiPriority w:val="99"/>
    <w:semiHidden/>
    <w:unhideWhenUsed/>
    <w:rsid w:val="00782F65"/>
    <w:rPr>
      <w:b/>
      <w:bCs/>
    </w:rPr>
  </w:style>
  <w:style w:type="character" w:customStyle="1" w:styleId="CommentSubjectChar">
    <w:name w:val="Comment Subject Char"/>
    <w:basedOn w:val="CommentTextChar"/>
    <w:link w:val="CommentSubject"/>
    <w:uiPriority w:val="99"/>
    <w:semiHidden/>
    <w:rsid w:val="00782F65"/>
    <w:rPr>
      <w:b/>
      <w:bCs/>
      <w:sz w:val="20"/>
      <w:szCs w:val="20"/>
    </w:rPr>
  </w:style>
  <w:style w:type="paragraph" w:styleId="BalloonText">
    <w:name w:val="Balloon Text"/>
    <w:basedOn w:val="Normal"/>
    <w:link w:val="BalloonTextChar"/>
    <w:uiPriority w:val="99"/>
    <w:semiHidden/>
    <w:unhideWhenUsed/>
    <w:rsid w:val="00782F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2F65"/>
    <w:rPr>
      <w:rFonts w:ascii="Segoe UI" w:hAnsi="Segoe UI" w:cs="Segoe UI"/>
      <w:sz w:val="18"/>
      <w:szCs w:val="18"/>
    </w:rPr>
  </w:style>
  <w:style w:type="character" w:styleId="Hyperlink">
    <w:name w:val="Hyperlink"/>
    <w:basedOn w:val="DefaultParagraphFont"/>
    <w:uiPriority w:val="99"/>
    <w:unhideWhenUsed/>
    <w:rsid w:val="0077715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9051435">
      <w:bodyDiv w:val="1"/>
      <w:marLeft w:val="0"/>
      <w:marRight w:val="0"/>
      <w:marTop w:val="0"/>
      <w:marBottom w:val="0"/>
      <w:divBdr>
        <w:top w:val="none" w:sz="0" w:space="0" w:color="auto"/>
        <w:left w:val="none" w:sz="0" w:space="0" w:color="auto"/>
        <w:bottom w:val="none" w:sz="0" w:space="0" w:color="auto"/>
        <w:right w:val="none" w:sz="0" w:space="0" w:color="auto"/>
      </w:divBdr>
    </w:div>
    <w:div w:id="992180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pysubmissions@rba.gov.au" TargetMode="External"/><Relationship Id="rId3" Type="http://schemas.openxmlformats.org/officeDocument/2006/relationships/customXml" Target="../customXml/item3.xml"/><Relationship Id="rId21" Type="http://schemas.microsoft.com/office/2011/relationships/commentsExtended" Target="commentsExtended.xml"/><Relationship Id="rId7" Type="http://schemas.microsoft.com/office/2007/relationships/stylesWithEffects" Target="stylesWithEffects.xm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7E717D336689945B642BAFD7D3DB45A" ma:contentTypeVersion="0" ma:contentTypeDescription="Create a new document." ma:contentTypeScope="" ma:versionID="35e16ae000b6b5cb099a55a35fbdecee">
  <xsd:schema xmlns:xsd="http://www.w3.org/2001/XMLSchema" xmlns:xs="http://www.w3.org/2001/XMLSchema" xmlns:p="http://schemas.microsoft.com/office/2006/metadata/properties" targetNamespace="http://schemas.microsoft.com/office/2006/metadata/properties" ma:root="true" ma:fieldsID="73c394be445a4d5146a7e3509098e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CAE8BC-3A24-4B75-80E9-670B0D0733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9463D1E-8E66-4F15-AA78-4C4EE215ADA1}">
  <ds:schemaRefs>
    <ds:schemaRef ds:uri="http://schemas.microsoft.com/sharepoint/v3/contenttype/forms"/>
  </ds:schemaRefs>
</ds:datastoreItem>
</file>

<file path=customXml/itemProps3.xml><?xml version="1.0" encoding="utf-8"?>
<ds:datastoreItem xmlns:ds="http://schemas.openxmlformats.org/officeDocument/2006/customXml" ds:itemID="{5011DDDB-6139-4ABE-B5F4-5793919578B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643F687-EE69-4FC1-B48A-AAD8D33204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9</Pages>
  <Words>2725</Words>
  <Characters>15538</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CSR Ltd</Company>
  <LinksUpToDate>false</LinksUpToDate>
  <CharactersWithSpaces>18227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 Jones</dc:creator>
  <cp:lastModifiedBy>David Michell</cp:lastModifiedBy>
  <cp:revision>6</cp:revision>
  <cp:lastPrinted>2015-04-22T00:06:00Z</cp:lastPrinted>
  <dcterms:created xsi:type="dcterms:W3CDTF">2015-05-27T01:48:00Z</dcterms:created>
  <dcterms:modified xsi:type="dcterms:W3CDTF">2015-05-27T02:08:00Z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0x01010067E717D336689945B642BAFD7D3DB45A</vt:lpwstr>
  </property>
</Properties>
</file>