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45857B" w14:textId="77777777" w:rsidR="00DE7F36" w:rsidRDefault="00D15990" w:rsidP="008B248B">
      <w:pPr>
        <w:pStyle w:val="NoSpacing"/>
        <w:rPr>
          <w:rFonts w:ascii="Segoe UI" w:hAnsi="Segoe UI" w:cs="Segoe UI"/>
        </w:rPr>
      </w:pPr>
      <w:bookmarkStart w:id="0" w:name="_GoBack"/>
      <w:bookmarkEnd w:id="0"/>
      <w:r w:rsidRPr="00426E9B">
        <w:rPr>
          <w:rFonts w:ascii="Segoe UI" w:hAnsi="Segoe UI" w:cs="Segoe UI"/>
          <w:noProof/>
          <w:lang w:val="en-AU" w:eastAsia="en-AU"/>
        </w:rPr>
        <w:drawing>
          <wp:anchor distT="0" distB="0" distL="114300" distR="114300" simplePos="0" relativeHeight="251659264" behindDoc="0" locked="0" layoutInCell="1" allowOverlap="1" wp14:anchorId="46E1B173" wp14:editId="5B615EF2">
            <wp:simplePos x="0" y="0"/>
            <wp:positionH relativeFrom="column">
              <wp:posOffset>4483735</wp:posOffset>
            </wp:positionH>
            <wp:positionV relativeFrom="paragraph">
              <wp:posOffset>-397510</wp:posOffset>
            </wp:positionV>
            <wp:extent cx="1592580" cy="742950"/>
            <wp:effectExtent l="0" t="0" r="762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t="36781" r="23376"/>
                    <a:stretch>
                      <a:fillRect/>
                    </a:stretch>
                  </pic:blipFill>
                  <pic:spPr bwMode="auto">
                    <a:xfrm>
                      <a:off x="0" y="0"/>
                      <a:ext cx="1592580" cy="7429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B1EAECE" w14:textId="77777777" w:rsidR="008B248B" w:rsidRPr="0089281F" w:rsidRDefault="00DE7F36" w:rsidP="008B248B">
      <w:pPr>
        <w:pStyle w:val="NoSpacing"/>
        <w:rPr>
          <w:rFonts w:ascii="Segoe UI" w:hAnsi="Segoe UI" w:cs="Segoe UI"/>
          <w:sz w:val="21"/>
          <w:szCs w:val="21"/>
        </w:rPr>
      </w:pPr>
      <w:r w:rsidRPr="0089281F">
        <w:rPr>
          <w:rFonts w:ascii="Segoe UI" w:hAnsi="Segoe UI" w:cs="Segoe UI"/>
          <w:sz w:val="21"/>
          <w:szCs w:val="21"/>
        </w:rPr>
        <w:t>24 April 2015</w:t>
      </w:r>
    </w:p>
    <w:p w14:paraId="3324D6A0" w14:textId="77777777" w:rsidR="008B248B" w:rsidRPr="0089281F" w:rsidRDefault="008B248B" w:rsidP="008B248B">
      <w:pPr>
        <w:rPr>
          <w:rFonts w:ascii="Segoe UI" w:hAnsi="Segoe UI" w:cs="Segoe UI"/>
          <w:sz w:val="21"/>
          <w:szCs w:val="21"/>
        </w:rPr>
      </w:pPr>
    </w:p>
    <w:p w14:paraId="274A7E09" w14:textId="77777777" w:rsidR="008B248B" w:rsidRPr="0089281F" w:rsidRDefault="008B248B" w:rsidP="008B248B">
      <w:pPr>
        <w:rPr>
          <w:rFonts w:ascii="Segoe UI" w:hAnsi="Segoe UI" w:cs="Segoe UI"/>
          <w:sz w:val="21"/>
          <w:szCs w:val="21"/>
        </w:rPr>
      </w:pPr>
    </w:p>
    <w:p w14:paraId="6FD1E4CD" w14:textId="77777777" w:rsidR="008B248B" w:rsidRPr="0089281F" w:rsidRDefault="008B248B" w:rsidP="008B248B">
      <w:pPr>
        <w:rPr>
          <w:rFonts w:ascii="Segoe UI" w:hAnsi="Segoe UI" w:cs="Segoe UI"/>
          <w:sz w:val="21"/>
          <w:szCs w:val="21"/>
        </w:rPr>
      </w:pPr>
      <w:r w:rsidRPr="0089281F">
        <w:rPr>
          <w:rFonts w:ascii="Segoe UI" w:hAnsi="Segoe UI" w:cs="Segoe UI"/>
          <w:sz w:val="21"/>
          <w:szCs w:val="21"/>
        </w:rPr>
        <w:t xml:space="preserve">Dr Tony Richards </w:t>
      </w:r>
    </w:p>
    <w:p w14:paraId="62437BE4" w14:textId="77777777" w:rsidR="008B248B" w:rsidRPr="0089281F" w:rsidRDefault="008B248B" w:rsidP="008B248B">
      <w:pPr>
        <w:rPr>
          <w:rFonts w:ascii="Segoe UI" w:hAnsi="Segoe UI" w:cs="Segoe UI"/>
          <w:sz w:val="21"/>
          <w:szCs w:val="21"/>
        </w:rPr>
      </w:pPr>
      <w:r w:rsidRPr="0089281F">
        <w:rPr>
          <w:rFonts w:ascii="Segoe UI" w:hAnsi="Segoe UI" w:cs="Segoe UI"/>
          <w:sz w:val="21"/>
          <w:szCs w:val="21"/>
        </w:rPr>
        <w:t>Head of Payments Policy Department</w:t>
      </w:r>
    </w:p>
    <w:p w14:paraId="51F4B790" w14:textId="77777777" w:rsidR="008B248B" w:rsidRPr="0089281F" w:rsidRDefault="008B248B" w:rsidP="008B248B">
      <w:pPr>
        <w:rPr>
          <w:rFonts w:ascii="Segoe UI" w:hAnsi="Segoe UI" w:cs="Segoe UI"/>
          <w:sz w:val="21"/>
          <w:szCs w:val="21"/>
        </w:rPr>
      </w:pPr>
      <w:r w:rsidRPr="0089281F">
        <w:rPr>
          <w:rFonts w:ascii="Segoe UI" w:hAnsi="Segoe UI" w:cs="Segoe UI"/>
          <w:sz w:val="21"/>
          <w:szCs w:val="21"/>
        </w:rPr>
        <w:t>Reserve Bank of Australia</w:t>
      </w:r>
    </w:p>
    <w:p w14:paraId="3432F212" w14:textId="77777777" w:rsidR="008B248B" w:rsidRPr="0089281F" w:rsidRDefault="008B248B" w:rsidP="008B248B">
      <w:pPr>
        <w:rPr>
          <w:rFonts w:ascii="Segoe UI" w:hAnsi="Segoe UI" w:cs="Segoe UI"/>
          <w:sz w:val="21"/>
          <w:szCs w:val="21"/>
        </w:rPr>
      </w:pPr>
      <w:r w:rsidRPr="0089281F">
        <w:rPr>
          <w:rFonts w:ascii="Segoe UI" w:hAnsi="Segoe UI" w:cs="Segoe UI"/>
          <w:sz w:val="21"/>
          <w:szCs w:val="21"/>
        </w:rPr>
        <w:t>GPO Box 3947</w:t>
      </w:r>
    </w:p>
    <w:p w14:paraId="217D5F74" w14:textId="77777777" w:rsidR="008B248B" w:rsidRPr="0089281F" w:rsidRDefault="008B248B" w:rsidP="008B248B">
      <w:pPr>
        <w:rPr>
          <w:rFonts w:ascii="Segoe UI" w:hAnsi="Segoe UI" w:cs="Segoe UI"/>
          <w:sz w:val="21"/>
          <w:szCs w:val="21"/>
        </w:rPr>
      </w:pPr>
      <w:r w:rsidRPr="0089281F">
        <w:rPr>
          <w:rFonts w:ascii="Segoe UI" w:hAnsi="Segoe UI" w:cs="Segoe UI"/>
          <w:sz w:val="21"/>
          <w:szCs w:val="21"/>
        </w:rPr>
        <w:t xml:space="preserve">Sydney NSW 2001 </w:t>
      </w:r>
    </w:p>
    <w:p w14:paraId="61C3A07B" w14:textId="77777777" w:rsidR="008B248B" w:rsidRPr="0089281F" w:rsidRDefault="008B248B" w:rsidP="008B248B">
      <w:pPr>
        <w:rPr>
          <w:rFonts w:ascii="Segoe UI" w:hAnsi="Segoe UI" w:cs="Segoe UI"/>
          <w:sz w:val="21"/>
          <w:szCs w:val="21"/>
        </w:rPr>
      </w:pPr>
      <w:r w:rsidRPr="0089281F">
        <w:rPr>
          <w:rFonts w:ascii="Segoe UI" w:hAnsi="Segoe UI" w:cs="Segoe UI"/>
          <w:sz w:val="21"/>
          <w:szCs w:val="21"/>
        </w:rPr>
        <w:t>Via email: pysubmissions@rba.gov.au</w:t>
      </w:r>
    </w:p>
    <w:p w14:paraId="28F0897E" w14:textId="77777777" w:rsidR="008B248B" w:rsidRPr="0089281F" w:rsidRDefault="008B248B" w:rsidP="008B248B">
      <w:pPr>
        <w:rPr>
          <w:rFonts w:ascii="Segoe UI" w:hAnsi="Segoe UI" w:cs="Segoe UI"/>
          <w:sz w:val="21"/>
          <w:szCs w:val="21"/>
        </w:rPr>
      </w:pPr>
    </w:p>
    <w:p w14:paraId="2ED77573" w14:textId="77777777" w:rsidR="008B248B" w:rsidRPr="0089281F" w:rsidRDefault="008B248B" w:rsidP="008B248B">
      <w:pPr>
        <w:rPr>
          <w:rFonts w:ascii="Segoe UI" w:hAnsi="Segoe UI" w:cs="Segoe UI"/>
          <w:sz w:val="21"/>
          <w:szCs w:val="21"/>
        </w:rPr>
      </w:pPr>
    </w:p>
    <w:p w14:paraId="1AC18BFB" w14:textId="77777777" w:rsidR="008B248B" w:rsidRPr="0089281F" w:rsidRDefault="008B248B" w:rsidP="008B248B">
      <w:pPr>
        <w:jc w:val="both"/>
        <w:rPr>
          <w:rFonts w:ascii="Segoe UI" w:hAnsi="Segoe UI" w:cs="Segoe UI"/>
          <w:sz w:val="21"/>
          <w:szCs w:val="21"/>
        </w:rPr>
      </w:pPr>
      <w:r w:rsidRPr="0089281F">
        <w:rPr>
          <w:rFonts w:ascii="Segoe UI" w:hAnsi="Segoe UI" w:cs="Segoe UI"/>
          <w:sz w:val="21"/>
          <w:szCs w:val="21"/>
        </w:rPr>
        <w:t>Dear Dr Richards</w:t>
      </w:r>
    </w:p>
    <w:p w14:paraId="0E23CF70" w14:textId="77777777" w:rsidR="008B248B" w:rsidRPr="0089281F" w:rsidRDefault="008B248B" w:rsidP="008B248B">
      <w:pPr>
        <w:jc w:val="both"/>
        <w:rPr>
          <w:rFonts w:ascii="Segoe UI" w:hAnsi="Segoe UI" w:cs="Segoe UI"/>
          <w:sz w:val="21"/>
          <w:szCs w:val="21"/>
        </w:rPr>
      </w:pPr>
    </w:p>
    <w:p w14:paraId="0ED9B875" w14:textId="77777777" w:rsidR="008B248B" w:rsidRPr="0089281F" w:rsidRDefault="008B248B" w:rsidP="008B248B">
      <w:pPr>
        <w:jc w:val="both"/>
        <w:rPr>
          <w:rFonts w:ascii="Segoe UI" w:hAnsi="Segoe UI" w:cs="Segoe UI"/>
          <w:b/>
          <w:sz w:val="21"/>
          <w:szCs w:val="21"/>
        </w:rPr>
      </w:pPr>
      <w:r w:rsidRPr="0089281F">
        <w:rPr>
          <w:rFonts w:ascii="Segoe UI" w:hAnsi="Segoe UI" w:cs="Segoe UI"/>
          <w:b/>
          <w:sz w:val="21"/>
          <w:szCs w:val="21"/>
        </w:rPr>
        <w:t>Visa</w:t>
      </w:r>
      <w:r w:rsidR="00CC6881" w:rsidRPr="0089281F">
        <w:rPr>
          <w:rFonts w:ascii="Segoe UI" w:hAnsi="Segoe UI" w:cs="Segoe UI"/>
          <w:b/>
          <w:sz w:val="21"/>
          <w:szCs w:val="21"/>
        </w:rPr>
        <w:t xml:space="preserve"> Inc.</w:t>
      </w:r>
      <w:r w:rsidRPr="0089281F">
        <w:rPr>
          <w:rFonts w:ascii="Segoe UI" w:hAnsi="Segoe UI" w:cs="Segoe UI"/>
          <w:b/>
          <w:sz w:val="21"/>
          <w:szCs w:val="21"/>
        </w:rPr>
        <w:t xml:space="preserve">’s Submission to the Payments System Board and Reserve Bank of Australia’s Review of Card Payments Regulation </w:t>
      </w:r>
    </w:p>
    <w:p w14:paraId="51861FE4" w14:textId="77777777" w:rsidR="008B248B" w:rsidRPr="0089281F" w:rsidRDefault="008B248B" w:rsidP="008B248B">
      <w:pPr>
        <w:jc w:val="both"/>
        <w:rPr>
          <w:rFonts w:ascii="Segoe UI" w:hAnsi="Segoe UI" w:cs="Segoe UI"/>
          <w:sz w:val="21"/>
          <w:szCs w:val="21"/>
        </w:rPr>
      </w:pPr>
    </w:p>
    <w:p w14:paraId="2182614B" w14:textId="77777777" w:rsidR="008B248B" w:rsidRPr="0089281F" w:rsidRDefault="008B248B" w:rsidP="008B248B">
      <w:pPr>
        <w:jc w:val="both"/>
        <w:rPr>
          <w:rFonts w:ascii="Segoe UI" w:hAnsi="Segoe UI" w:cs="Segoe UI"/>
          <w:sz w:val="21"/>
          <w:szCs w:val="21"/>
        </w:rPr>
      </w:pPr>
      <w:r w:rsidRPr="0089281F">
        <w:rPr>
          <w:rFonts w:ascii="Segoe UI" w:hAnsi="Segoe UI" w:cs="Segoe UI"/>
          <w:sz w:val="21"/>
          <w:szCs w:val="21"/>
        </w:rPr>
        <w:t xml:space="preserve">Visa welcomes the opportunity to respond to the Payments System Board </w:t>
      </w:r>
      <w:r w:rsidR="00D72A1E" w:rsidRPr="0089281F">
        <w:rPr>
          <w:rFonts w:ascii="Segoe UI" w:hAnsi="Segoe UI" w:cs="Segoe UI"/>
          <w:sz w:val="21"/>
          <w:szCs w:val="21"/>
        </w:rPr>
        <w:t xml:space="preserve">(PSB) </w:t>
      </w:r>
      <w:r w:rsidRPr="0089281F">
        <w:rPr>
          <w:rFonts w:ascii="Segoe UI" w:hAnsi="Segoe UI" w:cs="Segoe UI"/>
          <w:sz w:val="21"/>
          <w:szCs w:val="21"/>
        </w:rPr>
        <w:t xml:space="preserve">and Reserve Bank of Australia’s </w:t>
      </w:r>
      <w:r w:rsidR="00D72A1E" w:rsidRPr="0089281F">
        <w:rPr>
          <w:rFonts w:ascii="Segoe UI" w:hAnsi="Segoe UI" w:cs="Segoe UI"/>
          <w:sz w:val="21"/>
          <w:szCs w:val="21"/>
        </w:rPr>
        <w:t xml:space="preserve">(RBA) </w:t>
      </w:r>
      <w:r w:rsidRPr="0089281F">
        <w:rPr>
          <w:rFonts w:ascii="Segoe UI" w:hAnsi="Segoe UI" w:cs="Segoe UI"/>
          <w:sz w:val="21"/>
          <w:szCs w:val="21"/>
        </w:rPr>
        <w:t xml:space="preserve">Issues Paper to commence a review of card payments </w:t>
      </w:r>
      <w:r w:rsidR="00CC6881" w:rsidRPr="0089281F">
        <w:rPr>
          <w:rFonts w:ascii="Segoe UI" w:hAnsi="Segoe UI" w:cs="Segoe UI"/>
          <w:sz w:val="21"/>
          <w:szCs w:val="21"/>
        </w:rPr>
        <w:t>regulation (</w:t>
      </w:r>
      <w:r w:rsidRPr="0089281F">
        <w:rPr>
          <w:rFonts w:ascii="Segoe UI" w:hAnsi="Segoe UI" w:cs="Segoe UI"/>
          <w:sz w:val="21"/>
          <w:szCs w:val="21"/>
        </w:rPr>
        <w:t>released on 4 March 2015</w:t>
      </w:r>
      <w:r w:rsidR="00CC6881" w:rsidRPr="0089281F">
        <w:rPr>
          <w:rFonts w:ascii="Segoe UI" w:hAnsi="Segoe UI" w:cs="Segoe UI"/>
          <w:sz w:val="21"/>
          <w:szCs w:val="21"/>
        </w:rPr>
        <w:t>)</w:t>
      </w:r>
      <w:r w:rsidRPr="0089281F">
        <w:rPr>
          <w:rFonts w:ascii="Segoe UI" w:hAnsi="Segoe UI" w:cs="Segoe UI"/>
          <w:sz w:val="21"/>
          <w:szCs w:val="21"/>
        </w:rPr>
        <w:t xml:space="preserve"> and appreciates the efforts of the RBA to engage with industry.  </w:t>
      </w:r>
    </w:p>
    <w:p w14:paraId="21DB5091" w14:textId="77777777" w:rsidR="008B248B" w:rsidRPr="0089281F" w:rsidRDefault="008B248B" w:rsidP="008B248B">
      <w:pPr>
        <w:jc w:val="both"/>
        <w:rPr>
          <w:rFonts w:ascii="Segoe UI" w:hAnsi="Segoe UI" w:cs="Segoe UI"/>
          <w:sz w:val="21"/>
          <w:szCs w:val="21"/>
        </w:rPr>
      </w:pPr>
    </w:p>
    <w:p w14:paraId="75AE87BD" w14:textId="77777777" w:rsidR="008B248B" w:rsidRPr="0089281F" w:rsidRDefault="008B248B" w:rsidP="008B248B">
      <w:pPr>
        <w:jc w:val="both"/>
        <w:rPr>
          <w:rFonts w:ascii="Segoe UI" w:hAnsi="Segoe UI" w:cs="Segoe UI"/>
          <w:sz w:val="21"/>
          <w:szCs w:val="21"/>
        </w:rPr>
      </w:pPr>
      <w:r w:rsidRPr="0089281F">
        <w:rPr>
          <w:rFonts w:ascii="Segoe UI" w:hAnsi="Segoe UI" w:cs="Segoe UI"/>
          <w:sz w:val="21"/>
          <w:szCs w:val="21"/>
        </w:rPr>
        <w:t xml:space="preserve">Visa has participated </w:t>
      </w:r>
      <w:r w:rsidR="00DE7F36" w:rsidRPr="0089281F">
        <w:rPr>
          <w:rFonts w:ascii="Segoe UI" w:hAnsi="Segoe UI" w:cs="Segoe UI"/>
          <w:sz w:val="21"/>
          <w:szCs w:val="21"/>
        </w:rPr>
        <w:t xml:space="preserve">actively </w:t>
      </w:r>
      <w:r w:rsidRPr="0089281F">
        <w:rPr>
          <w:rFonts w:ascii="Segoe UI" w:hAnsi="Segoe UI" w:cs="Segoe UI"/>
          <w:sz w:val="21"/>
          <w:szCs w:val="21"/>
        </w:rPr>
        <w:t xml:space="preserve">in previous reviews conducted by RBA over the preceding decade. More recently, Visa has put forward submissions to the </w:t>
      </w:r>
      <w:r w:rsidR="009A3FB0" w:rsidRPr="0089281F">
        <w:rPr>
          <w:rFonts w:ascii="Segoe UI" w:hAnsi="Segoe UI" w:cs="Segoe UI"/>
          <w:sz w:val="21"/>
          <w:szCs w:val="21"/>
        </w:rPr>
        <w:t xml:space="preserve">Federal Government’s </w:t>
      </w:r>
      <w:r w:rsidRPr="0089281F">
        <w:rPr>
          <w:rFonts w:ascii="Segoe UI" w:hAnsi="Segoe UI" w:cs="Segoe UI"/>
          <w:sz w:val="21"/>
          <w:szCs w:val="21"/>
        </w:rPr>
        <w:t xml:space="preserve">Financial System Inquiry (FSI) </w:t>
      </w:r>
      <w:r w:rsidR="009A3FB0" w:rsidRPr="0089281F">
        <w:rPr>
          <w:rFonts w:ascii="Segoe UI" w:hAnsi="Segoe UI" w:cs="Segoe UI"/>
          <w:sz w:val="21"/>
          <w:szCs w:val="21"/>
        </w:rPr>
        <w:t xml:space="preserve">Review </w:t>
      </w:r>
      <w:r w:rsidRPr="0089281F">
        <w:rPr>
          <w:rFonts w:ascii="Segoe UI" w:hAnsi="Segoe UI" w:cs="Segoe UI"/>
          <w:sz w:val="21"/>
          <w:szCs w:val="21"/>
        </w:rPr>
        <w:t>in March 2014 and August 2014, as well as the Treasury’s review of the final recommendations associated with the FSI report in March 2015.</w:t>
      </w:r>
      <w:r w:rsidR="009A3FB0" w:rsidRPr="0089281F">
        <w:rPr>
          <w:rFonts w:ascii="Segoe UI" w:hAnsi="Segoe UI" w:cs="Segoe UI"/>
          <w:sz w:val="21"/>
          <w:szCs w:val="21"/>
        </w:rPr>
        <w:t xml:space="preserve"> </w:t>
      </w:r>
    </w:p>
    <w:p w14:paraId="439A5F49" w14:textId="77777777" w:rsidR="008B248B" w:rsidRPr="0089281F" w:rsidRDefault="008B248B" w:rsidP="008B248B">
      <w:pPr>
        <w:jc w:val="both"/>
        <w:rPr>
          <w:rFonts w:ascii="Segoe UI" w:hAnsi="Segoe UI" w:cs="Segoe UI"/>
          <w:sz w:val="21"/>
          <w:szCs w:val="21"/>
        </w:rPr>
      </w:pPr>
    </w:p>
    <w:p w14:paraId="144656A7" w14:textId="77777777" w:rsidR="009A3FB0" w:rsidRPr="0089281F" w:rsidRDefault="008B248B" w:rsidP="008B248B">
      <w:pPr>
        <w:jc w:val="both"/>
        <w:rPr>
          <w:rFonts w:ascii="Segoe UI" w:hAnsi="Segoe UI" w:cs="Segoe UI"/>
          <w:sz w:val="21"/>
          <w:szCs w:val="21"/>
        </w:rPr>
      </w:pPr>
      <w:r w:rsidRPr="0089281F">
        <w:rPr>
          <w:rFonts w:ascii="Segoe UI" w:hAnsi="Segoe UI" w:cs="Segoe UI"/>
          <w:sz w:val="21"/>
          <w:szCs w:val="21"/>
        </w:rPr>
        <w:t xml:space="preserve">In each of our submissions to these reviews, Visa has </w:t>
      </w:r>
      <w:r w:rsidR="00DE7F36" w:rsidRPr="0089281F">
        <w:rPr>
          <w:rFonts w:ascii="Segoe UI" w:hAnsi="Segoe UI" w:cs="Segoe UI"/>
          <w:sz w:val="21"/>
          <w:szCs w:val="21"/>
        </w:rPr>
        <w:t>highlighted</w:t>
      </w:r>
      <w:r w:rsidRPr="0089281F">
        <w:rPr>
          <w:rFonts w:ascii="Segoe UI" w:hAnsi="Segoe UI" w:cs="Segoe UI"/>
          <w:sz w:val="21"/>
          <w:szCs w:val="21"/>
        </w:rPr>
        <w:t xml:space="preserve"> the need for balanced, equally applied and innovation enabling approaches to regulation of electronic payments. Visa</w:t>
      </w:r>
      <w:r w:rsidR="009A3FB0" w:rsidRPr="0089281F">
        <w:rPr>
          <w:rFonts w:ascii="Segoe UI" w:hAnsi="Segoe UI" w:cs="Segoe UI"/>
          <w:sz w:val="21"/>
          <w:szCs w:val="21"/>
        </w:rPr>
        <w:t xml:space="preserve"> has </w:t>
      </w:r>
      <w:r w:rsidR="00653966" w:rsidRPr="0089281F">
        <w:rPr>
          <w:rFonts w:ascii="Segoe UI" w:hAnsi="Segoe UI" w:cs="Segoe UI"/>
          <w:sz w:val="21"/>
          <w:szCs w:val="21"/>
        </w:rPr>
        <w:t xml:space="preserve">also </w:t>
      </w:r>
      <w:r w:rsidR="009A3FB0" w:rsidRPr="0089281F">
        <w:rPr>
          <w:rFonts w:ascii="Segoe UI" w:hAnsi="Segoe UI" w:cs="Segoe UI"/>
          <w:sz w:val="21"/>
          <w:szCs w:val="21"/>
        </w:rPr>
        <w:t>raised</w:t>
      </w:r>
      <w:r w:rsidRPr="0089281F">
        <w:rPr>
          <w:rFonts w:ascii="Segoe UI" w:hAnsi="Segoe UI" w:cs="Segoe UI"/>
          <w:sz w:val="21"/>
          <w:szCs w:val="21"/>
        </w:rPr>
        <w:t xml:space="preserve"> ongoing concerns </w:t>
      </w:r>
      <w:r w:rsidR="00D72A1E" w:rsidRPr="0089281F">
        <w:rPr>
          <w:rFonts w:ascii="Segoe UI" w:hAnsi="Segoe UI" w:cs="Segoe UI"/>
          <w:sz w:val="21"/>
          <w:szCs w:val="21"/>
        </w:rPr>
        <w:t>about</w:t>
      </w:r>
      <w:r w:rsidRPr="0089281F">
        <w:rPr>
          <w:rFonts w:ascii="Segoe UI" w:hAnsi="Segoe UI" w:cs="Segoe UI"/>
          <w:sz w:val="21"/>
          <w:szCs w:val="21"/>
        </w:rPr>
        <w:t xml:space="preserve"> the </w:t>
      </w:r>
      <w:r w:rsidRPr="0089281F">
        <w:rPr>
          <w:rFonts w:ascii="Segoe UI" w:hAnsi="Segoe UI" w:cs="Segoe UI"/>
          <w:i/>
          <w:sz w:val="21"/>
          <w:szCs w:val="21"/>
        </w:rPr>
        <w:t>Payment System (Regulation) Act 1998</w:t>
      </w:r>
      <w:r w:rsidR="009A3FB0" w:rsidRPr="0089281F">
        <w:rPr>
          <w:rFonts w:ascii="Segoe UI" w:hAnsi="Segoe UI" w:cs="Segoe UI"/>
          <w:sz w:val="21"/>
          <w:szCs w:val="21"/>
        </w:rPr>
        <w:t xml:space="preserve">. </w:t>
      </w:r>
    </w:p>
    <w:p w14:paraId="6977040E" w14:textId="77777777" w:rsidR="009A3FB0" w:rsidRPr="0089281F" w:rsidRDefault="009A3FB0" w:rsidP="008B248B">
      <w:pPr>
        <w:jc w:val="both"/>
        <w:rPr>
          <w:rFonts w:ascii="Segoe UI" w:hAnsi="Segoe UI" w:cs="Segoe UI"/>
          <w:sz w:val="21"/>
          <w:szCs w:val="21"/>
        </w:rPr>
      </w:pPr>
    </w:p>
    <w:p w14:paraId="15E3808E" w14:textId="77777777" w:rsidR="008B248B" w:rsidRPr="0089281F" w:rsidRDefault="009A3FB0" w:rsidP="008B248B">
      <w:pPr>
        <w:jc w:val="both"/>
        <w:rPr>
          <w:rFonts w:ascii="Segoe UI" w:hAnsi="Segoe UI" w:cs="Segoe UI"/>
          <w:sz w:val="21"/>
          <w:szCs w:val="21"/>
        </w:rPr>
      </w:pPr>
      <w:r w:rsidRPr="0089281F">
        <w:rPr>
          <w:rFonts w:ascii="Segoe UI" w:hAnsi="Segoe UI" w:cs="Segoe UI"/>
          <w:sz w:val="21"/>
          <w:szCs w:val="21"/>
        </w:rPr>
        <w:t>This submission</w:t>
      </w:r>
      <w:r w:rsidR="008B248B" w:rsidRPr="0089281F">
        <w:rPr>
          <w:rFonts w:ascii="Segoe UI" w:hAnsi="Segoe UI" w:cs="Segoe UI"/>
          <w:sz w:val="21"/>
          <w:szCs w:val="21"/>
        </w:rPr>
        <w:t xml:space="preserve"> focuses specifically on the need for a level playing field in card regulation, the management of </w:t>
      </w:r>
      <w:r w:rsidR="00506FE8" w:rsidRPr="0089281F">
        <w:rPr>
          <w:rFonts w:ascii="Segoe UI" w:hAnsi="Segoe UI" w:cs="Segoe UI"/>
          <w:sz w:val="21"/>
          <w:szCs w:val="21"/>
        </w:rPr>
        <w:t>interchange fees, surcharging, Dual Network Debit C</w:t>
      </w:r>
      <w:r w:rsidR="008B248B" w:rsidRPr="0089281F">
        <w:rPr>
          <w:rFonts w:ascii="Segoe UI" w:hAnsi="Segoe UI" w:cs="Segoe UI"/>
          <w:sz w:val="21"/>
          <w:szCs w:val="21"/>
        </w:rPr>
        <w:t xml:space="preserve">ards, merchant transparency </w:t>
      </w:r>
      <w:r w:rsidR="00506FE8" w:rsidRPr="0089281F">
        <w:rPr>
          <w:rFonts w:ascii="Segoe UI" w:hAnsi="Segoe UI" w:cs="Segoe UI"/>
          <w:sz w:val="21"/>
          <w:szCs w:val="21"/>
        </w:rPr>
        <w:t>of card payments, P</w:t>
      </w:r>
      <w:r w:rsidR="008B248B" w:rsidRPr="0089281F">
        <w:rPr>
          <w:rFonts w:ascii="Segoe UI" w:hAnsi="Segoe UI" w:cs="Segoe UI"/>
          <w:sz w:val="21"/>
          <w:szCs w:val="21"/>
        </w:rPr>
        <w:t xml:space="preserve">repaid cards, other related matters (for example, the treatment of commercial cards) and the implementation timeframe.  </w:t>
      </w:r>
    </w:p>
    <w:p w14:paraId="53C7778A" w14:textId="77777777" w:rsidR="008B248B" w:rsidRPr="0089281F" w:rsidRDefault="008B248B" w:rsidP="008B248B">
      <w:pPr>
        <w:jc w:val="both"/>
        <w:rPr>
          <w:rFonts w:ascii="Segoe UI" w:hAnsi="Segoe UI" w:cs="Segoe UI"/>
          <w:sz w:val="21"/>
          <w:szCs w:val="21"/>
        </w:rPr>
      </w:pPr>
    </w:p>
    <w:p w14:paraId="2641CC91" w14:textId="62B7B95F" w:rsidR="008B248B" w:rsidRPr="0089281F" w:rsidRDefault="008B248B" w:rsidP="008B248B">
      <w:pPr>
        <w:jc w:val="both"/>
        <w:rPr>
          <w:rFonts w:ascii="Segoe UI" w:hAnsi="Segoe UI" w:cs="Segoe UI"/>
          <w:sz w:val="21"/>
          <w:szCs w:val="21"/>
        </w:rPr>
      </w:pPr>
      <w:r w:rsidRPr="0089281F">
        <w:rPr>
          <w:rFonts w:ascii="Segoe UI" w:hAnsi="Segoe UI" w:cs="Segoe UI"/>
          <w:sz w:val="21"/>
          <w:szCs w:val="21"/>
        </w:rPr>
        <w:t xml:space="preserve">If you have any further questions regarding our response contained in this submission, please do not hesitate to contact Ms Taleen Shamlian, Head of Government </w:t>
      </w:r>
      <w:r w:rsidR="004E5ECB">
        <w:rPr>
          <w:rFonts w:ascii="Segoe UI" w:hAnsi="Segoe UI" w:cs="Segoe UI"/>
          <w:sz w:val="21"/>
          <w:szCs w:val="21"/>
        </w:rPr>
        <w:t>Relations</w:t>
      </w:r>
      <w:r w:rsidRPr="0089281F">
        <w:rPr>
          <w:rFonts w:ascii="Segoe UI" w:hAnsi="Segoe UI" w:cs="Segoe UI"/>
          <w:sz w:val="21"/>
          <w:szCs w:val="21"/>
        </w:rPr>
        <w:t xml:space="preserve">, Australia, New Zealand &amp; the South Pacific (e: </w:t>
      </w:r>
      <w:r w:rsidRPr="00720F64">
        <w:rPr>
          <w:rFonts w:ascii="Segoe UI" w:hAnsi="Segoe UI" w:cs="Segoe UI"/>
          <w:sz w:val="21"/>
          <w:szCs w:val="21"/>
        </w:rPr>
        <w:t>tshamlia@visa.com</w:t>
      </w:r>
      <w:r w:rsidR="00720F64">
        <w:rPr>
          <w:rFonts w:ascii="Segoe UI" w:hAnsi="Segoe UI" w:cs="Segoe UI"/>
          <w:sz w:val="21"/>
          <w:szCs w:val="21"/>
        </w:rPr>
        <w:t>).</w:t>
      </w:r>
    </w:p>
    <w:p w14:paraId="45518B93" w14:textId="77777777" w:rsidR="008B248B" w:rsidRPr="0089281F" w:rsidRDefault="008B248B" w:rsidP="008B248B">
      <w:pPr>
        <w:jc w:val="both"/>
        <w:rPr>
          <w:rFonts w:ascii="Segoe UI" w:hAnsi="Segoe UI" w:cs="Segoe UI"/>
          <w:sz w:val="21"/>
          <w:szCs w:val="21"/>
        </w:rPr>
      </w:pPr>
    </w:p>
    <w:p w14:paraId="64646961" w14:textId="77777777" w:rsidR="008B248B" w:rsidRPr="0089281F" w:rsidRDefault="008B248B" w:rsidP="008B248B">
      <w:pPr>
        <w:jc w:val="both"/>
        <w:rPr>
          <w:rFonts w:ascii="Segoe UI" w:hAnsi="Segoe UI" w:cs="Segoe UI"/>
          <w:sz w:val="21"/>
          <w:szCs w:val="21"/>
        </w:rPr>
      </w:pPr>
      <w:r w:rsidRPr="0089281F">
        <w:rPr>
          <w:rFonts w:ascii="Segoe UI" w:hAnsi="Segoe UI" w:cs="Segoe UI"/>
          <w:sz w:val="21"/>
          <w:szCs w:val="21"/>
        </w:rPr>
        <w:t>Yours sincerely</w:t>
      </w:r>
    </w:p>
    <w:p w14:paraId="7B2BAC6A" w14:textId="77777777" w:rsidR="008B248B" w:rsidRPr="0089281F" w:rsidRDefault="008B248B" w:rsidP="008B248B">
      <w:pPr>
        <w:jc w:val="both"/>
        <w:rPr>
          <w:rFonts w:ascii="Segoe UI" w:hAnsi="Segoe UI" w:cs="Segoe UI"/>
          <w:sz w:val="21"/>
          <w:szCs w:val="21"/>
        </w:rPr>
      </w:pPr>
    </w:p>
    <w:p w14:paraId="55825A37" w14:textId="57FD9709" w:rsidR="008B248B" w:rsidRPr="0089281F" w:rsidRDefault="008B248B" w:rsidP="008B248B">
      <w:pPr>
        <w:jc w:val="both"/>
        <w:rPr>
          <w:rFonts w:ascii="Segoe UI" w:hAnsi="Segoe UI" w:cs="Segoe UI"/>
          <w:sz w:val="21"/>
          <w:szCs w:val="21"/>
        </w:rPr>
      </w:pPr>
    </w:p>
    <w:p w14:paraId="18695635" w14:textId="77777777" w:rsidR="008B248B" w:rsidRPr="0089281F" w:rsidRDefault="008B248B" w:rsidP="008B248B">
      <w:pPr>
        <w:jc w:val="both"/>
        <w:rPr>
          <w:rFonts w:ascii="Segoe UI" w:hAnsi="Segoe UI" w:cs="Segoe UI"/>
          <w:b/>
          <w:sz w:val="21"/>
          <w:szCs w:val="21"/>
        </w:rPr>
      </w:pPr>
      <w:r w:rsidRPr="0089281F">
        <w:rPr>
          <w:rFonts w:ascii="Segoe UI" w:hAnsi="Segoe UI" w:cs="Segoe UI"/>
          <w:b/>
          <w:sz w:val="21"/>
          <w:szCs w:val="21"/>
        </w:rPr>
        <w:t>Stephen Karpin</w:t>
      </w:r>
    </w:p>
    <w:p w14:paraId="1C1CE2E2" w14:textId="77777777" w:rsidR="008B248B" w:rsidRPr="0089281F" w:rsidRDefault="008B248B" w:rsidP="008B248B">
      <w:pPr>
        <w:jc w:val="both"/>
        <w:rPr>
          <w:rFonts w:ascii="Segoe UI" w:hAnsi="Segoe UI" w:cs="Segoe UI"/>
          <w:sz w:val="21"/>
          <w:szCs w:val="21"/>
        </w:rPr>
      </w:pPr>
      <w:r w:rsidRPr="0089281F">
        <w:rPr>
          <w:rFonts w:ascii="Segoe UI" w:hAnsi="Segoe UI" w:cs="Segoe UI"/>
          <w:sz w:val="21"/>
          <w:szCs w:val="21"/>
        </w:rPr>
        <w:t>Group Country Manager</w:t>
      </w:r>
    </w:p>
    <w:p w14:paraId="1B38B159" w14:textId="77777777" w:rsidR="004F139D" w:rsidRPr="0089281F" w:rsidRDefault="008B248B" w:rsidP="004F139D">
      <w:pPr>
        <w:spacing w:after="200" w:line="276" w:lineRule="auto"/>
        <w:rPr>
          <w:sz w:val="21"/>
          <w:szCs w:val="21"/>
        </w:rPr>
      </w:pPr>
      <w:r w:rsidRPr="0089281F">
        <w:rPr>
          <w:rFonts w:ascii="Segoe UI" w:hAnsi="Segoe UI" w:cs="Segoe UI"/>
          <w:sz w:val="21"/>
          <w:szCs w:val="21"/>
        </w:rPr>
        <w:t>Australia, New Zealand and the South Pacific</w:t>
      </w:r>
    </w:p>
    <w:p w14:paraId="68F8747A" w14:textId="77777777" w:rsidR="004F139D" w:rsidRDefault="004F139D" w:rsidP="004F139D">
      <w:pPr>
        <w:spacing w:after="200" w:line="276" w:lineRule="auto"/>
      </w:pPr>
    </w:p>
    <w:p w14:paraId="7289EE6F" w14:textId="73AA3338" w:rsidR="00620818" w:rsidRDefault="00620818">
      <w:pPr>
        <w:spacing w:after="200" w:line="276" w:lineRule="auto"/>
      </w:pPr>
    </w:p>
    <w:p w14:paraId="2D18B407" w14:textId="77777777" w:rsidR="00620818" w:rsidRDefault="00620818" w:rsidP="004F139D">
      <w:pPr>
        <w:spacing w:after="200" w:line="276" w:lineRule="auto"/>
        <w:sectPr w:rsidR="00620818" w:rsidSect="00B21569">
          <w:footerReference w:type="even" r:id="rId10"/>
          <w:footerReference w:type="default" r:id="rId11"/>
          <w:type w:val="continuous"/>
          <w:pgSz w:w="11907" w:h="16839" w:code="9"/>
          <w:pgMar w:top="1440" w:right="1440" w:bottom="1440" w:left="1440" w:header="720" w:footer="720" w:gutter="0"/>
          <w:cols w:space="720"/>
          <w:docGrid w:linePitch="360"/>
        </w:sectPr>
      </w:pPr>
    </w:p>
    <w:p w14:paraId="1E9961A9" w14:textId="77777777" w:rsidR="00B21569" w:rsidRDefault="00D15990">
      <w:pPr>
        <w:spacing w:after="200" w:line="276" w:lineRule="auto"/>
      </w:pPr>
      <w:r w:rsidRPr="00426E9B">
        <w:rPr>
          <w:rFonts w:ascii="Segoe UI" w:hAnsi="Segoe UI" w:cs="Segoe UI"/>
          <w:noProof/>
          <w:lang w:val="en-AU" w:eastAsia="en-AU"/>
        </w:rPr>
        <w:lastRenderedPageBreak/>
        <w:drawing>
          <wp:anchor distT="0" distB="0" distL="114300" distR="114300" simplePos="0" relativeHeight="251662336" behindDoc="0" locked="0" layoutInCell="1" allowOverlap="1" wp14:anchorId="41845669" wp14:editId="0CF3D496">
            <wp:simplePos x="0" y="0"/>
            <wp:positionH relativeFrom="column">
              <wp:posOffset>4335780</wp:posOffset>
            </wp:positionH>
            <wp:positionV relativeFrom="paragraph">
              <wp:posOffset>-340360</wp:posOffset>
            </wp:positionV>
            <wp:extent cx="1592580" cy="742950"/>
            <wp:effectExtent l="0" t="0" r="762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t="36781" r="23376"/>
                    <a:stretch>
                      <a:fillRect/>
                    </a:stretch>
                  </pic:blipFill>
                  <pic:spPr bwMode="auto">
                    <a:xfrm>
                      <a:off x="0" y="0"/>
                      <a:ext cx="1592580" cy="7429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D44551A" w14:textId="77777777" w:rsidR="00D15990" w:rsidRDefault="00D15990" w:rsidP="00D15990">
      <w:pPr>
        <w:rPr>
          <w:rFonts w:ascii="Segoe UI" w:hAnsi="Segoe UI" w:cs="Segoe UI"/>
          <w:b/>
          <w:color w:val="1A1F71"/>
          <w:sz w:val="32"/>
          <w:szCs w:val="32"/>
        </w:rPr>
      </w:pPr>
    </w:p>
    <w:p w14:paraId="4181B5F0" w14:textId="77777777" w:rsidR="00D15990" w:rsidRDefault="00D15990" w:rsidP="00D15990">
      <w:pPr>
        <w:rPr>
          <w:rFonts w:ascii="Segoe UI" w:hAnsi="Segoe UI" w:cs="Segoe UI"/>
          <w:b/>
          <w:color w:val="1A1F71"/>
          <w:sz w:val="32"/>
          <w:szCs w:val="32"/>
        </w:rPr>
      </w:pPr>
    </w:p>
    <w:p w14:paraId="282D9CD1" w14:textId="77777777" w:rsidR="00D15990" w:rsidRDefault="00D15990" w:rsidP="00D15990">
      <w:pPr>
        <w:rPr>
          <w:rFonts w:ascii="Segoe UI" w:hAnsi="Segoe UI" w:cs="Segoe UI"/>
          <w:b/>
          <w:color w:val="1A1F71"/>
          <w:sz w:val="32"/>
          <w:szCs w:val="32"/>
        </w:rPr>
      </w:pPr>
    </w:p>
    <w:p w14:paraId="78E5D597" w14:textId="77777777" w:rsidR="00D15990" w:rsidRDefault="00D15990" w:rsidP="00D15990">
      <w:pPr>
        <w:rPr>
          <w:rFonts w:ascii="Segoe UI" w:hAnsi="Segoe UI" w:cs="Segoe UI"/>
          <w:b/>
          <w:color w:val="1A1F71"/>
          <w:sz w:val="32"/>
          <w:szCs w:val="32"/>
        </w:rPr>
      </w:pPr>
    </w:p>
    <w:p w14:paraId="43D8AB03" w14:textId="77777777" w:rsidR="00864142" w:rsidRPr="00D15990" w:rsidRDefault="00D15990" w:rsidP="00D15990">
      <w:pPr>
        <w:rPr>
          <w:rFonts w:ascii="Segoe UI" w:hAnsi="Segoe UI" w:cs="Segoe UI"/>
          <w:b/>
          <w:color w:val="1A1F71"/>
          <w:sz w:val="32"/>
          <w:szCs w:val="32"/>
        </w:rPr>
      </w:pPr>
      <w:r w:rsidRPr="00D15990">
        <w:rPr>
          <w:rFonts w:ascii="Segoe UI" w:hAnsi="Segoe UI" w:cs="Segoe UI"/>
          <w:b/>
          <w:color w:val="1A1F71"/>
          <w:sz w:val="32"/>
          <w:szCs w:val="32"/>
        </w:rPr>
        <w:t xml:space="preserve">Visa’s </w:t>
      </w:r>
      <w:r w:rsidRPr="0089281F">
        <w:rPr>
          <w:rFonts w:ascii="Segoe UI" w:hAnsi="Segoe UI" w:cs="Segoe UI"/>
          <w:b/>
          <w:color w:val="002060"/>
          <w:sz w:val="32"/>
          <w:szCs w:val="32"/>
        </w:rPr>
        <w:t>Submission</w:t>
      </w:r>
    </w:p>
    <w:p w14:paraId="6A255C6B" w14:textId="10CE2E26" w:rsidR="00D15990" w:rsidRDefault="00D15990" w:rsidP="00D15990">
      <w:pPr>
        <w:rPr>
          <w:rFonts w:ascii="Segoe UI" w:hAnsi="Segoe UI" w:cs="Segoe UI"/>
          <w:b/>
          <w:color w:val="1A1F71"/>
          <w:sz w:val="32"/>
          <w:szCs w:val="32"/>
        </w:rPr>
      </w:pPr>
      <w:r w:rsidRPr="00D15990">
        <w:rPr>
          <w:rFonts w:ascii="Segoe UI" w:hAnsi="Segoe UI" w:cs="Segoe UI"/>
          <w:b/>
          <w:color w:val="1A1F71"/>
          <w:sz w:val="32"/>
          <w:szCs w:val="32"/>
        </w:rPr>
        <w:t xml:space="preserve">Reserve Bank of Australia’s Review into </w:t>
      </w:r>
      <w:r w:rsidR="00242DDB">
        <w:rPr>
          <w:rFonts w:ascii="Segoe UI" w:hAnsi="Segoe UI" w:cs="Segoe UI"/>
          <w:b/>
          <w:color w:val="1A1F71"/>
          <w:sz w:val="32"/>
          <w:szCs w:val="32"/>
        </w:rPr>
        <w:t>C</w:t>
      </w:r>
      <w:r w:rsidRPr="00D15990">
        <w:rPr>
          <w:rFonts w:ascii="Segoe UI" w:hAnsi="Segoe UI" w:cs="Segoe UI"/>
          <w:b/>
          <w:color w:val="1A1F71"/>
          <w:sz w:val="32"/>
          <w:szCs w:val="32"/>
        </w:rPr>
        <w:t>ard Payments</w:t>
      </w:r>
    </w:p>
    <w:p w14:paraId="365755E7" w14:textId="77777777" w:rsidR="00D15990" w:rsidRDefault="00D15990" w:rsidP="00D15990">
      <w:pPr>
        <w:rPr>
          <w:rFonts w:ascii="Segoe UI" w:hAnsi="Segoe UI" w:cs="Segoe UI"/>
          <w:b/>
          <w:color w:val="1A1F71"/>
          <w:sz w:val="32"/>
          <w:szCs w:val="32"/>
        </w:rPr>
      </w:pPr>
    </w:p>
    <w:p w14:paraId="4F876160" w14:textId="72C1197E" w:rsidR="00D15990" w:rsidRPr="0089281F" w:rsidRDefault="00D15990" w:rsidP="00D15990">
      <w:pPr>
        <w:rPr>
          <w:rFonts w:ascii="Segoe UI" w:hAnsi="Segoe UI" w:cs="Segoe UI"/>
          <w:color w:val="1A1F71"/>
          <w:sz w:val="32"/>
          <w:szCs w:val="32"/>
        </w:rPr>
      </w:pPr>
      <w:r w:rsidRPr="0089281F">
        <w:rPr>
          <w:rFonts w:ascii="Segoe UI" w:hAnsi="Segoe UI" w:cs="Segoe UI"/>
          <w:color w:val="1A1F71"/>
          <w:sz w:val="32"/>
          <w:szCs w:val="32"/>
        </w:rPr>
        <w:t>24 April 2015</w:t>
      </w:r>
    </w:p>
    <w:p w14:paraId="17AF6D47" w14:textId="31B0F135" w:rsidR="00D15990" w:rsidRPr="00D15990" w:rsidRDefault="00D15990" w:rsidP="00D15990">
      <w:pPr>
        <w:rPr>
          <w:rFonts w:ascii="Segoe UI" w:hAnsi="Segoe UI" w:cs="Segoe UI"/>
          <w:b/>
          <w:color w:val="1A1F71"/>
          <w:sz w:val="32"/>
          <w:szCs w:val="32"/>
        </w:rPr>
      </w:pPr>
    </w:p>
    <w:p w14:paraId="260A9284" w14:textId="36981BF9" w:rsidR="00B21569" w:rsidRDefault="00B21569">
      <w:pPr>
        <w:spacing w:after="200" w:line="276" w:lineRule="auto"/>
      </w:pPr>
      <w:r>
        <w:br w:type="page"/>
      </w:r>
    </w:p>
    <w:bookmarkStart w:id="1" w:name="_Toc417303919" w:displacedByCustomXml="next"/>
    <w:sdt>
      <w:sdtPr>
        <w:rPr>
          <w:rFonts w:ascii="Segoe UI" w:eastAsiaTheme="minorEastAsia" w:hAnsi="Segoe UI" w:cs="Segoe UI"/>
          <w:b w:val="0"/>
          <w:bCs w:val="0"/>
          <w:color w:val="auto"/>
          <w:sz w:val="36"/>
          <w:szCs w:val="36"/>
        </w:rPr>
        <w:id w:val="-552625090"/>
        <w:docPartObj>
          <w:docPartGallery w:val="Table of Contents"/>
          <w:docPartUnique/>
        </w:docPartObj>
      </w:sdtPr>
      <w:sdtEndPr>
        <w:rPr>
          <w:rFonts w:asciiTheme="minorHAnsi" w:hAnsiTheme="minorHAnsi" w:cstheme="minorBidi"/>
          <w:noProof/>
          <w:sz w:val="24"/>
          <w:szCs w:val="24"/>
        </w:rPr>
      </w:sdtEndPr>
      <w:sdtContent>
        <w:p w14:paraId="7EA3A6D8" w14:textId="77777777" w:rsidR="00224432" w:rsidRPr="0089281F" w:rsidRDefault="00224432">
          <w:pPr>
            <w:pStyle w:val="TOCHeading"/>
            <w:rPr>
              <w:rFonts w:ascii="Segoe UI" w:hAnsi="Segoe UI" w:cs="Segoe UI"/>
              <w:color w:val="002060"/>
              <w:sz w:val="36"/>
              <w:szCs w:val="36"/>
            </w:rPr>
          </w:pPr>
          <w:r w:rsidRPr="0089281F">
            <w:rPr>
              <w:rFonts w:ascii="Segoe UI" w:hAnsi="Segoe UI" w:cs="Segoe UI"/>
              <w:color w:val="002060"/>
              <w:sz w:val="36"/>
              <w:szCs w:val="36"/>
            </w:rPr>
            <w:t>Table of Contents</w:t>
          </w:r>
        </w:p>
        <w:p w14:paraId="6744A4F4" w14:textId="77777777" w:rsidR="00D15990" w:rsidRDefault="00224432">
          <w:pPr>
            <w:pStyle w:val="TOC1"/>
            <w:tabs>
              <w:tab w:val="right" w:leader="dot" w:pos="9017"/>
            </w:tabs>
            <w:rPr>
              <w:rFonts w:asciiTheme="minorHAnsi" w:hAnsiTheme="minorHAnsi"/>
              <w:b w:val="0"/>
              <w:noProof/>
              <w:color w:val="auto"/>
              <w:sz w:val="22"/>
              <w:szCs w:val="22"/>
            </w:rPr>
          </w:pPr>
          <w:r w:rsidRPr="00B21569">
            <w:rPr>
              <w:rFonts w:ascii="Segoe UI" w:hAnsi="Segoe UI" w:cs="Segoe UI"/>
              <w:b w:val="0"/>
              <w:sz w:val="22"/>
              <w:szCs w:val="22"/>
            </w:rPr>
            <w:fldChar w:fldCharType="begin"/>
          </w:r>
          <w:r w:rsidRPr="00B21569">
            <w:rPr>
              <w:rFonts w:ascii="Segoe UI" w:hAnsi="Segoe UI" w:cs="Segoe UI"/>
              <w:sz w:val="22"/>
              <w:szCs w:val="22"/>
            </w:rPr>
            <w:instrText xml:space="preserve"> TOC \o "1-3" \h \z \u </w:instrText>
          </w:r>
          <w:r w:rsidRPr="00B21569">
            <w:rPr>
              <w:rFonts w:ascii="Segoe UI" w:hAnsi="Segoe UI" w:cs="Segoe UI"/>
              <w:b w:val="0"/>
              <w:sz w:val="22"/>
              <w:szCs w:val="22"/>
            </w:rPr>
            <w:fldChar w:fldCharType="separate"/>
          </w:r>
          <w:hyperlink w:anchor="_Toc417572676" w:history="1">
            <w:r w:rsidR="00D15990" w:rsidRPr="000E0A4D">
              <w:rPr>
                <w:rStyle w:val="Hyperlink"/>
                <w:rFonts w:ascii="Segoe UI" w:hAnsi="Segoe UI" w:cs="Segoe UI"/>
                <w:noProof/>
              </w:rPr>
              <w:t>Summary of Visa Inc.’s position</w:t>
            </w:r>
            <w:r w:rsidR="00D15990">
              <w:rPr>
                <w:noProof/>
                <w:webHidden/>
              </w:rPr>
              <w:tab/>
            </w:r>
            <w:r w:rsidR="00D15990">
              <w:rPr>
                <w:noProof/>
                <w:webHidden/>
              </w:rPr>
              <w:fldChar w:fldCharType="begin"/>
            </w:r>
            <w:r w:rsidR="00D15990">
              <w:rPr>
                <w:noProof/>
                <w:webHidden/>
              </w:rPr>
              <w:instrText xml:space="preserve"> PAGEREF _Toc417572676 \h </w:instrText>
            </w:r>
            <w:r w:rsidR="00D15990">
              <w:rPr>
                <w:noProof/>
                <w:webHidden/>
              </w:rPr>
            </w:r>
            <w:r w:rsidR="00D15990">
              <w:rPr>
                <w:noProof/>
                <w:webHidden/>
              </w:rPr>
              <w:fldChar w:fldCharType="separate"/>
            </w:r>
            <w:r w:rsidR="00F57C32">
              <w:rPr>
                <w:noProof/>
                <w:webHidden/>
              </w:rPr>
              <w:t>1</w:t>
            </w:r>
            <w:r w:rsidR="00D15990">
              <w:rPr>
                <w:noProof/>
                <w:webHidden/>
              </w:rPr>
              <w:fldChar w:fldCharType="end"/>
            </w:r>
          </w:hyperlink>
        </w:p>
        <w:p w14:paraId="4F79017A" w14:textId="77777777" w:rsidR="00D15990" w:rsidRDefault="00CC17D5">
          <w:pPr>
            <w:pStyle w:val="TOC1"/>
            <w:tabs>
              <w:tab w:val="right" w:leader="dot" w:pos="9017"/>
            </w:tabs>
            <w:rPr>
              <w:rFonts w:asciiTheme="minorHAnsi" w:hAnsiTheme="minorHAnsi"/>
              <w:b w:val="0"/>
              <w:noProof/>
              <w:color w:val="auto"/>
              <w:sz w:val="22"/>
              <w:szCs w:val="22"/>
            </w:rPr>
          </w:pPr>
          <w:hyperlink w:anchor="_Toc417572677" w:history="1">
            <w:r w:rsidR="00D15990" w:rsidRPr="000E0A4D">
              <w:rPr>
                <w:rStyle w:val="Hyperlink"/>
                <w:rFonts w:ascii="Segoe UI" w:hAnsi="Segoe UI" w:cs="Segoe UI"/>
                <w:noProof/>
              </w:rPr>
              <w:t>Chapter 1: The future of digital payments</w:t>
            </w:r>
            <w:r w:rsidR="00D15990">
              <w:rPr>
                <w:noProof/>
                <w:webHidden/>
              </w:rPr>
              <w:tab/>
            </w:r>
            <w:r w:rsidR="00D15990">
              <w:rPr>
                <w:noProof/>
                <w:webHidden/>
              </w:rPr>
              <w:fldChar w:fldCharType="begin"/>
            </w:r>
            <w:r w:rsidR="00D15990">
              <w:rPr>
                <w:noProof/>
                <w:webHidden/>
              </w:rPr>
              <w:instrText xml:space="preserve"> PAGEREF _Toc417572677 \h </w:instrText>
            </w:r>
            <w:r w:rsidR="00D15990">
              <w:rPr>
                <w:noProof/>
                <w:webHidden/>
              </w:rPr>
            </w:r>
            <w:r w:rsidR="00D15990">
              <w:rPr>
                <w:noProof/>
                <w:webHidden/>
              </w:rPr>
              <w:fldChar w:fldCharType="separate"/>
            </w:r>
            <w:r w:rsidR="00F57C32">
              <w:rPr>
                <w:noProof/>
                <w:webHidden/>
              </w:rPr>
              <w:t>7</w:t>
            </w:r>
            <w:r w:rsidR="00D15990">
              <w:rPr>
                <w:noProof/>
                <w:webHidden/>
              </w:rPr>
              <w:fldChar w:fldCharType="end"/>
            </w:r>
          </w:hyperlink>
        </w:p>
        <w:p w14:paraId="703A812E" w14:textId="77777777" w:rsidR="00D15990" w:rsidRDefault="00CC17D5">
          <w:pPr>
            <w:pStyle w:val="TOC2"/>
            <w:tabs>
              <w:tab w:val="left" w:pos="720"/>
              <w:tab w:val="right" w:leader="dot" w:pos="9017"/>
            </w:tabs>
            <w:rPr>
              <w:noProof/>
            </w:rPr>
          </w:pPr>
          <w:hyperlink w:anchor="_Toc417572678" w:history="1">
            <w:r w:rsidR="00D15990" w:rsidRPr="000E0A4D">
              <w:rPr>
                <w:rStyle w:val="Hyperlink"/>
                <w:rFonts w:ascii="Segoe UI" w:hAnsi="Segoe UI" w:cs="Segoe UI"/>
                <w:noProof/>
              </w:rPr>
              <w:t>1.1</w:t>
            </w:r>
            <w:r w:rsidR="00D15990">
              <w:rPr>
                <w:noProof/>
              </w:rPr>
              <w:tab/>
            </w:r>
            <w:r w:rsidR="00D15990" w:rsidRPr="000E0A4D">
              <w:rPr>
                <w:rStyle w:val="Hyperlink"/>
                <w:rFonts w:ascii="Segoe UI" w:hAnsi="Segoe UI" w:cs="Segoe UI"/>
                <w:noProof/>
              </w:rPr>
              <w:t>Introduction</w:t>
            </w:r>
            <w:r w:rsidR="00D15990">
              <w:rPr>
                <w:noProof/>
                <w:webHidden/>
              </w:rPr>
              <w:tab/>
            </w:r>
            <w:r w:rsidR="00D15990">
              <w:rPr>
                <w:noProof/>
                <w:webHidden/>
              </w:rPr>
              <w:fldChar w:fldCharType="begin"/>
            </w:r>
            <w:r w:rsidR="00D15990">
              <w:rPr>
                <w:noProof/>
                <w:webHidden/>
              </w:rPr>
              <w:instrText xml:space="preserve"> PAGEREF _Toc417572678 \h </w:instrText>
            </w:r>
            <w:r w:rsidR="00D15990">
              <w:rPr>
                <w:noProof/>
                <w:webHidden/>
              </w:rPr>
            </w:r>
            <w:r w:rsidR="00D15990">
              <w:rPr>
                <w:noProof/>
                <w:webHidden/>
              </w:rPr>
              <w:fldChar w:fldCharType="separate"/>
            </w:r>
            <w:r w:rsidR="00F57C32">
              <w:rPr>
                <w:noProof/>
                <w:webHidden/>
              </w:rPr>
              <w:t>7</w:t>
            </w:r>
            <w:r w:rsidR="00D15990">
              <w:rPr>
                <w:noProof/>
                <w:webHidden/>
              </w:rPr>
              <w:fldChar w:fldCharType="end"/>
            </w:r>
          </w:hyperlink>
        </w:p>
        <w:p w14:paraId="0F7AB614" w14:textId="77777777" w:rsidR="00D15990" w:rsidRDefault="00CC17D5">
          <w:pPr>
            <w:pStyle w:val="TOC2"/>
            <w:tabs>
              <w:tab w:val="left" w:pos="720"/>
              <w:tab w:val="right" w:leader="dot" w:pos="9017"/>
            </w:tabs>
            <w:rPr>
              <w:noProof/>
            </w:rPr>
          </w:pPr>
          <w:hyperlink w:anchor="_Toc417572679" w:history="1">
            <w:r w:rsidR="00D15990" w:rsidRPr="000E0A4D">
              <w:rPr>
                <w:rStyle w:val="Hyperlink"/>
                <w:rFonts w:ascii="Segoe UI" w:hAnsi="Segoe UI" w:cs="Segoe UI"/>
                <w:noProof/>
              </w:rPr>
              <w:t>1.2</w:t>
            </w:r>
            <w:r w:rsidR="00D15990">
              <w:rPr>
                <w:noProof/>
              </w:rPr>
              <w:tab/>
            </w:r>
            <w:r w:rsidR="00D15990" w:rsidRPr="000E0A4D">
              <w:rPr>
                <w:rStyle w:val="Hyperlink"/>
                <w:rFonts w:ascii="Segoe UI" w:hAnsi="Segoe UI" w:cs="Segoe UI"/>
                <w:noProof/>
              </w:rPr>
              <w:t>Australia’s experience in electronic payments</w:t>
            </w:r>
            <w:r w:rsidR="00D15990">
              <w:rPr>
                <w:noProof/>
                <w:webHidden/>
              </w:rPr>
              <w:tab/>
            </w:r>
            <w:r w:rsidR="00D15990">
              <w:rPr>
                <w:noProof/>
                <w:webHidden/>
              </w:rPr>
              <w:fldChar w:fldCharType="begin"/>
            </w:r>
            <w:r w:rsidR="00D15990">
              <w:rPr>
                <w:noProof/>
                <w:webHidden/>
              </w:rPr>
              <w:instrText xml:space="preserve"> PAGEREF _Toc417572679 \h </w:instrText>
            </w:r>
            <w:r w:rsidR="00D15990">
              <w:rPr>
                <w:noProof/>
                <w:webHidden/>
              </w:rPr>
            </w:r>
            <w:r w:rsidR="00D15990">
              <w:rPr>
                <w:noProof/>
                <w:webHidden/>
              </w:rPr>
              <w:fldChar w:fldCharType="separate"/>
            </w:r>
            <w:r w:rsidR="00F57C32">
              <w:rPr>
                <w:noProof/>
                <w:webHidden/>
              </w:rPr>
              <w:t>8</w:t>
            </w:r>
            <w:r w:rsidR="00D15990">
              <w:rPr>
                <w:noProof/>
                <w:webHidden/>
              </w:rPr>
              <w:fldChar w:fldCharType="end"/>
            </w:r>
          </w:hyperlink>
        </w:p>
        <w:p w14:paraId="71A7D42F" w14:textId="77777777" w:rsidR="00D15990" w:rsidRDefault="00CC17D5">
          <w:pPr>
            <w:pStyle w:val="TOC2"/>
            <w:tabs>
              <w:tab w:val="left" w:pos="720"/>
              <w:tab w:val="right" w:leader="dot" w:pos="9017"/>
            </w:tabs>
            <w:rPr>
              <w:noProof/>
            </w:rPr>
          </w:pPr>
          <w:hyperlink w:anchor="_Toc417572680" w:history="1">
            <w:r w:rsidR="00D15990" w:rsidRPr="000E0A4D">
              <w:rPr>
                <w:rStyle w:val="Hyperlink"/>
                <w:rFonts w:ascii="Segoe UI" w:hAnsi="Segoe UI" w:cs="Segoe UI"/>
                <w:noProof/>
              </w:rPr>
              <w:t>1.3</w:t>
            </w:r>
            <w:r w:rsidR="00D15990">
              <w:rPr>
                <w:noProof/>
              </w:rPr>
              <w:tab/>
            </w:r>
            <w:r w:rsidR="00D15990" w:rsidRPr="000E0A4D">
              <w:rPr>
                <w:rStyle w:val="Hyperlink"/>
                <w:rFonts w:ascii="Segoe UI" w:hAnsi="Segoe UI" w:cs="Segoe UI"/>
                <w:noProof/>
              </w:rPr>
              <w:t>The role of government in technology regulation</w:t>
            </w:r>
            <w:r w:rsidR="00D15990">
              <w:rPr>
                <w:noProof/>
                <w:webHidden/>
              </w:rPr>
              <w:tab/>
            </w:r>
            <w:r w:rsidR="00D15990">
              <w:rPr>
                <w:noProof/>
                <w:webHidden/>
              </w:rPr>
              <w:fldChar w:fldCharType="begin"/>
            </w:r>
            <w:r w:rsidR="00D15990">
              <w:rPr>
                <w:noProof/>
                <w:webHidden/>
              </w:rPr>
              <w:instrText xml:space="preserve"> PAGEREF _Toc417572680 \h </w:instrText>
            </w:r>
            <w:r w:rsidR="00D15990">
              <w:rPr>
                <w:noProof/>
                <w:webHidden/>
              </w:rPr>
            </w:r>
            <w:r w:rsidR="00D15990">
              <w:rPr>
                <w:noProof/>
                <w:webHidden/>
              </w:rPr>
              <w:fldChar w:fldCharType="separate"/>
            </w:r>
            <w:r w:rsidR="00F57C32">
              <w:rPr>
                <w:noProof/>
                <w:webHidden/>
              </w:rPr>
              <w:t>10</w:t>
            </w:r>
            <w:r w:rsidR="00D15990">
              <w:rPr>
                <w:noProof/>
                <w:webHidden/>
              </w:rPr>
              <w:fldChar w:fldCharType="end"/>
            </w:r>
          </w:hyperlink>
        </w:p>
        <w:p w14:paraId="4E8414BF" w14:textId="77777777" w:rsidR="00D15990" w:rsidRDefault="00CC17D5">
          <w:pPr>
            <w:pStyle w:val="TOC1"/>
            <w:tabs>
              <w:tab w:val="right" w:leader="dot" w:pos="9017"/>
            </w:tabs>
            <w:rPr>
              <w:rFonts w:asciiTheme="minorHAnsi" w:hAnsiTheme="minorHAnsi"/>
              <w:b w:val="0"/>
              <w:noProof/>
              <w:color w:val="auto"/>
              <w:sz w:val="22"/>
              <w:szCs w:val="22"/>
            </w:rPr>
          </w:pPr>
          <w:hyperlink w:anchor="_Toc417572681" w:history="1">
            <w:r w:rsidR="00D15990" w:rsidRPr="000E0A4D">
              <w:rPr>
                <w:rStyle w:val="Hyperlink"/>
                <w:rFonts w:ascii="Segoe UI" w:hAnsi="Segoe UI" w:cs="Segoe UI"/>
                <w:noProof/>
              </w:rPr>
              <w:t>Chapter 2: Competitive neutrality</w:t>
            </w:r>
            <w:r w:rsidR="00D15990">
              <w:rPr>
                <w:noProof/>
                <w:webHidden/>
              </w:rPr>
              <w:tab/>
            </w:r>
            <w:r w:rsidR="00D15990">
              <w:rPr>
                <w:noProof/>
                <w:webHidden/>
              </w:rPr>
              <w:fldChar w:fldCharType="begin"/>
            </w:r>
            <w:r w:rsidR="00D15990">
              <w:rPr>
                <w:noProof/>
                <w:webHidden/>
              </w:rPr>
              <w:instrText xml:space="preserve"> PAGEREF _Toc417572681 \h </w:instrText>
            </w:r>
            <w:r w:rsidR="00D15990">
              <w:rPr>
                <w:noProof/>
                <w:webHidden/>
              </w:rPr>
            </w:r>
            <w:r w:rsidR="00D15990">
              <w:rPr>
                <w:noProof/>
                <w:webHidden/>
              </w:rPr>
              <w:fldChar w:fldCharType="separate"/>
            </w:r>
            <w:r w:rsidR="00F57C32">
              <w:rPr>
                <w:noProof/>
                <w:webHidden/>
              </w:rPr>
              <w:t>12</w:t>
            </w:r>
            <w:r w:rsidR="00D15990">
              <w:rPr>
                <w:noProof/>
                <w:webHidden/>
              </w:rPr>
              <w:fldChar w:fldCharType="end"/>
            </w:r>
          </w:hyperlink>
        </w:p>
        <w:p w14:paraId="3C1CBF06" w14:textId="77777777" w:rsidR="00D15990" w:rsidRDefault="00CC17D5">
          <w:pPr>
            <w:pStyle w:val="TOC2"/>
            <w:tabs>
              <w:tab w:val="left" w:pos="720"/>
              <w:tab w:val="right" w:leader="dot" w:pos="9017"/>
            </w:tabs>
            <w:rPr>
              <w:noProof/>
            </w:rPr>
          </w:pPr>
          <w:hyperlink w:anchor="_Toc417572682" w:history="1">
            <w:r w:rsidR="00D15990" w:rsidRPr="000E0A4D">
              <w:rPr>
                <w:rStyle w:val="Hyperlink"/>
                <w:rFonts w:ascii="Segoe UI" w:hAnsi="Segoe UI" w:cs="Segoe UI"/>
                <w:noProof/>
              </w:rPr>
              <w:t>2.1</w:t>
            </w:r>
            <w:r w:rsidR="00D15990">
              <w:rPr>
                <w:noProof/>
              </w:rPr>
              <w:tab/>
            </w:r>
            <w:r w:rsidR="00D15990" w:rsidRPr="000E0A4D">
              <w:rPr>
                <w:rStyle w:val="Hyperlink"/>
                <w:rFonts w:ascii="Segoe UI" w:hAnsi="Segoe UI" w:cs="Segoe UI"/>
                <w:noProof/>
              </w:rPr>
              <w:t>Introduction</w:t>
            </w:r>
            <w:r w:rsidR="00D15990">
              <w:rPr>
                <w:noProof/>
                <w:webHidden/>
              </w:rPr>
              <w:tab/>
            </w:r>
            <w:r w:rsidR="00D15990">
              <w:rPr>
                <w:noProof/>
                <w:webHidden/>
              </w:rPr>
              <w:fldChar w:fldCharType="begin"/>
            </w:r>
            <w:r w:rsidR="00D15990">
              <w:rPr>
                <w:noProof/>
                <w:webHidden/>
              </w:rPr>
              <w:instrText xml:space="preserve"> PAGEREF _Toc417572682 \h </w:instrText>
            </w:r>
            <w:r w:rsidR="00D15990">
              <w:rPr>
                <w:noProof/>
                <w:webHidden/>
              </w:rPr>
            </w:r>
            <w:r w:rsidR="00D15990">
              <w:rPr>
                <w:noProof/>
                <w:webHidden/>
              </w:rPr>
              <w:fldChar w:fldCharType="separate"/>
            </w:r>
            <w:r w:rsidR="00F57C32">
              <w:rPr>
                <w:noProof/>
                <w:webHidden/>
              </w:rPr>
              <w:t>12</w:t>
            </w:r>
            <w:r w:rsidR="00D15990">
              <w:rPr>
                <w:noProof/>
                <w:webHidden/>
              </w:rPr>
              <w:fldChar w:fldCharType="end"/>
            </w:r>
          </w:hyperlink>
        </w:p>
        <w:p w14:paraId="35D928A4" w14:textId="77777777" w:rsidR="00D15990" w:rsidRDefault="00CC17D5">
          <w:pPr>
            <w:pStyle w:val="TOC2"/>
            <w:tabs>
              <w:tab w:val="left" w:pos="720"/>
              <w:tab w:val="right" w:leader="dot" w:pos="9017"/>
            </w:tabs>
            <w:rPr>
              <w:noProof/>
            </w:rPr>
          </w:pPr>
          <w:hyperlink w:anchor="_Toc417572683" w:history="1">
            <w:r w:rsidR="00D15990" w:rsidRPr="000E0A4D">
              <w:rPr>
                <w:rStyle w:val="Hyperlink"/>
                <w:rFonts w:ascii="Segoe UI" w:hAnsi="Segoe UI" w:cs="Segoe UI"/>
                <w:noProof/>
              </w:rPr>
              <w:t>2.2</w:t>
            </w:r>
            <w:r w:rsidR="00D15990">
              <w:rPr>
                <w:noProof/>
              </w:rPr>
              <w:tab/>
            </w:r>
            <w:r w:rsidR="00D15990" w:rsidRPr="000E0A4D">
              <w:rPr>
                <w:rStyle w:val="Hyperlink"/>
                <w:rFonts w:ascii="Segoe UI" w:hAnsi="Segoe UI" w:cs="Segoe UI"/>
                <w:noProof/>
              </w:rPr>
              <w:t>Publishing thresholds</w:t>
            </w:r>
            <w:r w:rsidR="00D15990">
              <w:rPr>
                <w:noProof/>
                <w:webHidden/>
              </w:rPr>
              <w:tab/>
            </w:r>
            <w:r w:rsidR="00D15990">
              <w:rPr>
                <w:noProof/>
                <w:webHidden/>
              </w:rPr>
              <w:fldChar w:fldCharType="begin"/>
            </w:r>
            <w:r w:rsidR="00D15990">
              <w:rPr>
                <w:noProof/>
                <w:webHidden/>
              </w:rPr>
              <w:instrText xml:space="preserve"> PAGEREF _Toc417572683 \h </w:instrText>
            </w:r>
            <w:r w:rsidR="00D15990">
              <w:rPr>
                <w:noProof/>
                <w:webHidden/>
              </w:rPr>
            </w:r>
            <w:r w:rsidR="00D15990">
              <w:rPr>
                <w:noProof/>
                <w:webHidden/>
              </w:rPr>
              <w:fldChar w:fldCharType="separate"/>
            </w:r>
            <w:r w:rsidR="00F57C32">
              <w:rPr>
                <w:noProof/>
                <w:webHidden/>
              </w:rPr>
              <w:t>14</w:t>
            </w:r>
            <w:r w:rsidR="00D15990">
              <w:rPr>
                <w:noProof/>
                <w:webHidden/>
              </w:rPr>
              <w:fldChar w:fldCharType="end"/>
            </w:r>
          </w:hyperlink>
        </w:p>
        <w:p w14:paraId="66F8DEC9" w14:textId="77777777" w:rsidR="00D15990" w:rsidRDefault="00CC17D5">
          <w:pPr>
            <w:pStyle w:val="TOC2"/>
            <w:tabs>
              <w:tab w:val="left" w:pos="720"/>
              <w:tab w:val="right" w:leader="dot" w:pos="9017"/>
            </w:tabs>
            <w:rPr>
              <w:noProof/>
            </w:rPr>
          </w:pPr>
          <w:hyperlink w:anchor="_Toc417572684" w:history="1">
            <w:r w:rsidR="00D15990" w:rsidRPr="000E0A4D">
              <w:rPr>
                <w:rStyle w:val="Hyperlink"/>
                <w:rFonts w:ascii="Segoe UI" w:hAnsi="Segoe UI" w:cs="Segoe UI"/>
                <w:noProof/>
              </w:rPr>
              <w:t>2.3</w:t>
            </w:r>
            <w:r w:rsidR="00D15990">
              <w:rPr>
                <w:noProof/>
              </w:rPr>
              <w:tab/>
            </w:r>
            <w:r w:rsidR="00D15990" w:rsidRPr="000E0A4D">
              <w:rPr>
                <w:rStyle w:val="Hyperlink"/>
                <w:rFonts w:ascii="Segoe UI" w:hAnsi="Segoe UI" w:cs="Segoe UI"/>
                <w:noProof/>
              </w:rPr>
              <w:t>Expansion of regulatory net</w:t>
            </w:r>
            <w:r w:rsidR="00D15990">
              <w:rPr>
                <w:noProof/>
                <w:webHidden/>
              </w:rPr>
              <w:tab/>
            </w:r>
            <w:r w:rsidR="00D15990">
              <w:rPr>
                <w:noProof/>
                <w:webHidden/>
              </w:rPr>
              <w:fldChar w:fldCharType="begin"/>
            </w:r>
            <w:r w:rsidR="00D15990">
              <w:rPr>
                <w:noProof/>
                <w:webHidden/>
              </w:rPr>
              <w:instrText xml:space="preserve"> PAGEREF _Toc417572684 \h </w:instrText>
            </w:r>
            <w:r w:rsidR="00D15990">
              <w:rPr>
                <w:noProof/>
                <w:webHidden/>
              </w:rPr>
            </w:r>
            <w:r w:rsidR="00D15990">
              <w:rPr>
                <w:noProof/>
                <w:webHidden/>
              </w:rPr>
              <w:fldChar w:fldCharType="separate"/>
            </w:r>
            <w:r w:rsidR="00F57C32">
              <w:rPr>
                <w:noProof/>
                <w:webHidden/>
              </w:rPr>
              <w:t>15</w:t>
            </w:r>
            <w:r w:rsidR="00D15990">
              <w:rPr>
                <w:noProof/>
                <w:webHidden/>
              </w:rPr>
              <w:fldChar w:fldCharType="end"/>
            </w:r>
          </w:hyperlink>
        </w:p>
        <w:p w14:paraId="7487C299" w14:textId="77777777" w:rsidR="00D15990" w:rsidRDefault="00CC17D5">
          <w:pPr>
            <w:pStyle w:val="TOC2"/>
            <w:tabs>
              <w:tab w:val="left" w:pos="720"/>
              <w:tab w:val="right" w:leader="dot" w:pos="9017"/>
            </w:tabs>
            <w:rPr>
              <w:noProof/>
            </w:rPr>
          </w:pPr>
          <w:hyperlink w:anchor="_Toc417572685" w:history="1">
            <w:r w:rsidR="00D15990" w:rsidRPr="000E0A4D">
              <w:rPr>
                <w:rStyle w:val="Hyperlink"/>
                <w:rFonts w:ascii="Segoe UI" w:hAnsi="Segoe UI" w:cs="Segoe UI"/>
                <w:noProof/>
              </w:rPr>
              <w:t>2.4</w:t>
            </w:r>
            <w:r w:rsidR="00D15990">
              <w:rPr>
                <w:noProof/>
              </w:rPr>
              <w:tab/>
            </w:r>
            <w:r w:rsidR="00D15990" w:rsidRPr="000E0A4D">
              <w:rPr>
                <w:rStyle w:val="Hyperlink"/>
                <w:rFonts w:ascii="Segoe UI" w:hAnsi="Segoe UI" w:cs="Segoe UI"/>
                <w:noProof/>
              </w:rPr>
              <w:t>“Traditional” or proprietary Three Party Schemes and new models</w:t>
            </w:r>
            <w:r w:rsidR="00D15990">
              <w:rPr>
                <w:noProof/>
                <w:webHidden/>
              </w:rPr>
              <w:tab/>
            </w:r>
            <w:r w:rsidR="00D15990">
              <w:rPr>
                <w:noProof/>
                <w:webHidden/>
              </w:rPr>
              <w:fldChar w:fldCharType="begin"/>
            </w:r>
            <w:r w:rsidR="00D15990">
              <w:rPr>
                <w:noProof/>
                <w:webHidden/>
              </w:rPr>
              <w:instrText xml:space="preserve"> PAGEREF _Toc417572685 \h </w:instrText>
            </w:r>
            <w:r w:rsidR="00D15990">
              <w:rPr>
                <w:noProof/>
                <w:webHidden/>
              </w:rPr>
            </w:r>
            <w:r w:rsidR="00D15990">
              <w:rPr>
                <w:noProof/>
                <w:webHidden/>
              </w:rPr>
              <w:fldChar w:fldCharType="separate"/>
            </w:r>
            <w:r w:rsidR="00F57C32">
              <w:rPr>
                <w:noProof/>
                <w:webHidden/>
              </w:rPr>
              <w:t>16</w:t>
            </w:r>
            <w:r w:rsidR="00D15990">
              <w:rPr>
                <w:noProof/>
                <w:webHidden/>
              </w:rPr>
              <w:fldChar w:fldCharType="end"/>
            </w:r>
          </w:hyperlink>
        </w:p>
        <w:p w14:paraId="174151E8" w14:textId="77777777" w:rsidR="00D15990" w:rsidRDefault="00CC17D5">
          <w:pPr>
            <w:pStyle w:val="TOC1"/>
            <w:tabs>
              <w:tab w:val="right" w:leader="dot" w:pos="9017"/>
            </w:tabs>
            <w:rPr>
              <w:rFonts w:asciiTheme="minorHAnsi" w:hAnsiTheme="minorHAnsi"/>
              <w:b w:val="0"/>
              <w:noProof/>
              <w:color w:val="auto"/>
              <w:sz w:val="22"/>
              <w:szCs w:val="22"/>
            </w:rPr>
          </w:pPr>
          <w:hyperlink w:anchor="_Toc417572686" w:history="1">
            <w:r w:rsidR="00D15990" w:rsidRPr="000E0A4D">
              <w:rPr>
                <w:rStyle w:val="Hyperlink"/>
                <w:rFonts w:ascii="Segoe UI" w:hAnsi="Segoe UI" w:cs="Segoe UI"/>
                <w:noProof/>
              </w:rPr>
              <w:t>Chapter 3: Interchange fees</w:t>
            </w:r>
            <w:r w:rsidR="00D15990">
              <w:rPr>
                <w:noProof/>
                <w:webHidden/>
              </w:rPr>
              <w:tab/>
            </w:r>
            <w:r w:rsidR="00D15990">
              <w:rPr>
                <w:noProof/>
                <w:webHidden/>
              </w:rPr>
              <w:fldChar w:fldCharType="begin"/>
            </w:r>
            <w:r w:rsidR="00D15990">
              <w:rPr>
                <w:noProof/>
                <w:webHidden/>
              </w:rPr>
              <w:instrText xml:space="preserve"> PAGEREF _Toc417572686 \h </w:instrText>
            </w:r>
            <w:r w:rsidR="00D15990">
              <w:rPr>
                <w:noProof/>
                <w:webHidden/>
              </w:rPr>
            </w:r>
            <w:r w:rsidR="00D15990">
              <w:rPr>
                <w:noProof/>
                <w:webHidden/>
              </w:rPr>
              <w:fldChar w:fldCharType="separate"/>
            </w:r>
            <w:r w:rsidR="00F57C32">
              <w:rPr>
                <w:noProof/>
                <w:webHidden/>
              </w:rPr>
              <w:t>18</w:t>
            </w:r>
            <w:r w:rsidR="00D15990">
              <w:rPr>
                <w:noProof/>
                <w:webHidden/>
              </w:rPr>
              <w:fldChar w:fldCharType="end"/>
            </w:r>
          </w:hyperlink>
        </w:p>
        <w:p w14:paraId="3FF00188" w14:textId="77777777" w:rsidR="00D15990" w:rsidRDefault="00CC17D5">
          <w:pPr>
            <w:pStyle w:val="TOC2"/>
            <w:tabs>
              <w:tab w:val="left" w:pos="720"/>
              <w:tab w:val="right" w:leader="dot" w:pos="9017"/>
            </w:tabs>
            <w:rPr>
              <w:noProof/>
            </w:rPr>
          </w:pPr>
          <w:hyperlink w:anchor="_Toc417572687" w:history="1">
            <w:r w:rsidR="00D15990" w:rsidRPr="000E0A4D">
              <w:rPr>
                <w:rStyle w:val="Hyperlink"/>
                <w:rFonts w:ascii="Segoe UI" w:hAnsi="Segoe UI" w:cs="Segoe UI"/>
                <w:noProof/>
              </w:rPr>
              <w:t>3.1</w:t>
            </w:r>
            <w:r w:rsidR="00D15990">
              <w:rPr>
                <w:noProof/>
              </w:rPr>
              <w:tab/>
            </w:r>
            <w:r w:rsidR="00D15990" w:rsidRPr="000E0A4D">
              <w:rPr>
                <w:rStyle w:val="Hyperlink"/>
                <w:rFonts w:ascii="Segoe UI" w:hAnsi="Segoe UI" w:cs="Segoe UI"/>
                <w:noProof/>
              </w:rPr>
              <w:t>Introduction</w:t>
            </w:r>
            <w:r w:rsidR="00D15990">
              <w:rPr>
                <w:noProof/>
                <w:webHidden/>
              </w:rPr>
              <w:tab/>
            </w:r>
            <w:r w:rsidR="00D15990">
              <w:rPr>
                <w:noProof/>
                <w:webHidden/>
              </w:rPr>
              <w:fldChar w:fldCharType="begin"/>
            </w:r>
            <w:r w:rsidR="00D15990">
              <w:rPr>
                <w:noProof/>
                <w:webHidden/>
              </w:rPr>
              <w:instrText xml:space="preserve"> PAGEREF _Toc417572687 \h </w:instrText>
            </w:r>
            <w:r w:rsidR="00D15990">
              <w:rPr>
                <w:noProof/>
                <w:webHidden/>
              </w:rPr>
            </w:r>
            <w:r w:rsidR="00D15990">
              <w:rPr>
                <w:noProof/>
                <w:webHidden/>
              </w:rPr>
              <w:fldChar w:fldCharType="separate"/>
            </w:r>
            <w:r w:rsidR="00F57C32">
              <w:rPr>
                <w:noProof/>
                <w:webHidden/>
              </w:rPr>
              <w:t>18</w:t>
            </w:r>
            <w:r w:rsidR="00D15990">
              <w:rPr>
                <w:noProof/>
                <w:webHidden/>
              </w:rPr>
              <w:fldChar w:fldCharType="end"/>
            </w:r>
          </w:hyperlink>
        </w:p>
        <w:p w14:paraId="7577867C" w14:textId="77777777" w:rsidR="00D15990" w:rsidRDefault="00CC17D5">
          <w:pPr>
            <w:pStyle w:val="TOC2"/>
            <w:tabs>
              <w:tab w:val="left" w:pos="720"/>
              <w:tab w:val="right" w:leader="dot" w:pos="9017"/>
            </w:tabs>
            <w:rPr>
              <w:noProof/>
            </w:rPr>
          </w:pPr>
          <w:hyperlink w:anchor="_Toc417572688" w:history="1">
            <w:r w:rsidR="00D15990" w:rsidRPr="000E0A4D">
              <w:rPr>
                <w:rStyle w:val="Hyperlink"/>
                <w:rFonts w:ascii="Segoe UI" w:hAnsi="Segoe UI" w:cs="Segoe UI"/>
                <w:noProof/>
              </w:rPr>
              <w:t>3.2</w:t>
            </w:r>
            <w:r w:rsidR="00D15990">
              <w:rPr>
                <w:noProof/>
              </w:rPr>
              <w:tab/>
            </w:r>
            <w:r w:rsidR="00D15990" w:rsidRPr="000E0A4D">
              <w:rPr>
                <w:rStyle w:val="Hyperlink"/>
                <w:rFonts w:ascii="Segoe UI" w:hAnsi="Segoe UI" w:cs="Segoe UI"/>
                <w:noProof/>
              </w:rPr>
              <w:t>Lowering interchange fee caps</w:t>
            </w:r>
            <w:r w:rsidR="00D15990">
              <w:rPr>
                <w:noProof/>
                <w:webHidden/>
              </w:rPr>
              <w:tab/>
            </w:r>
            <w:r w:rsidR="00D15990">
              <w:rPr>
                <w:noProof/>
                <w:webHidden/>
              </w:rPr>
              <w:fldChar w:fldCharType="begin"/>
            </w:r>
            <w:r w:rsidR="00D15990">
              <w:rPr>
                <w:noProof/>
                <w:webHidden/>
              </w:rPr>
              <w:instrText xml:space="preserve"> PAGEREF _Toc417572688 \h </w:instrText>
            </w:r>
            <w:r w:rsidR="00D15990">
              <w:rPr>
                <w:noProof/>
                <w:webHidden/>
              </w:rPr>
            </w:r>
            <w:r w:rsidR="00D15990">
              <w:rPr>
                <w:noProof/>
                <w:webHidden/>
              </w:rPr>
              <w:fldChar w:fldCharType="separate"/>
            </w:r>
            <w:r w:rsidR="00F57C32">
              <w:rPr>
                <w:noProof/>
                <w:webHidden/>
              </w:rPr>
              <w:t>20</w:t>
            </w:r>
            <w:r w:rsidR="00D15990">
              <w:rPr>
                <w:noProof/>
                <w:webHidden/>
              </w:rPr>
              <w:fldChar w:fldCharType="end"/>
            </w:r>
          </w:hyperlink>
        </w:p>
        <w:p w14:paraId="056F3936" w14:textId="77777777" w:rsidR="00D15990" w:rsidRDefault="00CC17D5">
          <w:pPr>
            <w:pStyle w:val="TOC2"/>
            <w:tabs>
              <w:tab w:val="left" w:pos="720"/>
              <w:tab w:val="right" w:leader="dot" w:pos="9017"/>
            </w:tabs>
            <w:rPr>
              <w:noProof/>
            </w:rPr>
          </w:pPr>
          <w:hyperlink w:anchor="_Toc417572689" w:history="1">
            <w:r w:rsidR="00D15990" w:rsidRPr="000E0A4D">
              <w:rPr>
                <w:rStyle w:val="Hyperlink"/>
                <w:rFonts w:ascii="Segoe UI" w:hAnsi="Segoe UI" w:cs="Segoe UI"/>
                <w:noProof/>
              </w:rPr>
              <w:t>3.4</w:t>
            </w:r>
            <w:r w:rsidR="00D15990">
              <w:rPr>
                <w:noProof/>
              </w:rPr>
              <w:tab/>
            </w:r>
            <w:r w:rsidR="00D15990" w:rsidRPr="000E0A4D">
              <w:rPr>
                <w:rStyle w:val="Hyperlink"/>
                <w:rFonts w:ascii="Segoe UI" w:hAnsi="Segoe UI" w:cs="Segoe UI"/>
                <w:noProof/>
              </w:rPr>
              <w:t>Replacing the three-year weighted-average caps with hard caps</w:t>
            </w:r>
            <w:r w:rsidR="00D15990">
              <w:rPr>
                <w:noProof/>
                <w:webHidden/>
              </w:rPr>
              <w:tab/>
            </w:r>
            <w:r w:rsidR="00D15990">
              <w:rPr>
                <w:noProof/>
                <w:webHidden/>
              </w:rPr>
              <w:fldChar w:fldCharType="begin"/>
            </w:r>
            <w:r w:rsidR="00D15990">
              <w:rPr>
                <w:noProof/>
                <w:webHidden/>
              </w:rPr>
              <w:instrText xml:space="preserve"> PAGEREF _Toc417572689 \h </w:instrText>
            </w:r>
            <w:r w:rsidR="00D15990">
              <w:rPr>
                <w:noProof/>
                <w:webHidden/>
              </w:rPr>
            </w:r>
            <w:r w:rsidR="00D15990">
              <w:rPr>
                <w:noProof/>
                <w:webHidden/>
              </w:rPr>
              <w:fldChar w:fldCharType="separate"/>
            </w:r>
            <w:r w:rsidR="00F57C32">
              <w:rPr>
                <w:noProof/>
                <w:webHidden/>
              </w:rPr>
              <w:t>22</w:t>
            </w:r>
            <w:r w:rsidR="00D15990">
              <w:rPr>
                <w:noProof/>
                <w:webHidden/>
              </w:rPr>
              <w:fldChar w:fldCharType="end"/>
            </w:r>
          </w:hyperlink>
        </w:p>
        <w:p w14:paraId="16F29154" w14:textId="77777777" w:rsidR="00D15990" w:rsidRDefault="00CC17D5">
          <w:pPr>
            <w:pStyle w:val="TOC2"/>
            <w:tabs>
              <w:tab w:val="left" w:pos="720"/>
              <w:tab w:val="right" w:leader="dot" w:pos="9017"/>
            </w:tabs>
            <w:rPr>
              <w:noProof/>
            </w:rPr>
          </w:pPr>
          <w:hyperlink w:anchor="_Toc417572690" w:history="1">
            <w:r w:rsidR="00D15990" w:rsidRPr="000E0A4D">
              <w:rPr>
                <w:rStyle w:val="Hyperlink"/>
                <w:rFonts w:ascii="Segoe UI" w:hAnsi="Segoe UI" w:cs="Segoe UI"/>
                <w:noProof/>
              </w:rPr>
              <w:t>3.5</w:t>
            </w:r>
            <w:r w:rsidR="00D15990">
              <w:rPr>
                <w:noProof/>
              </w:rPr>
              <w:tab/>
            </w:r>
            <w:r w:rsidR="00D15990" w:rsidRPr="000E0A4D">
              <w:rPr>
                <w:rStyle w:val="Hyperlink"/>
                <w:rFonts w:ascii="Segoe UI" w:hAnsi="Segoe UI" w:cs="Segoe UI"/>
                <w:noProof/>
              </w:rPr>
              <w:t>Increased frequency in the interchange rate three-year reset cycle</w:t>
            </w:r>
            <w:r w:rsidR="00D15990">
              <w:rPr>
                <w:noProof/>
                <w:webHidden/>
              </w:rPr>
              <w:tab/>
            </w:r>
            <w:r w:rsidR="00D15990">
              <w:rPr>
                <w:noProof/>
                <w:webHidden/>
              </w:rPr>
              <w:fldChar w:fldCharType="begin"/>
            </w:r>
            <w:r w:rsidR="00D15990">
              <w:rPr>
                <w:noProof/>
                <w:webHidden/>
              </w:rPr>
              <w:instrText xml:space="preserve"> PAGEREF _Toc417572690 \h </w:instrText>
            </w:r>
            <w:r w:rsidR="00D15990">
              <w:rPr>
                <w:noProof/>
                <w:webHidden/>
              </w:rPr>
            </w:r>
            <w:r w:rsidR="00D15990">
              <w:rPr>
                <w:noProof/>
                <w:webHidden/>
              </w:rPr>
              <w:fldChar w:fldCharType="separate"/>
            </w:r>
            <w:r w:rsidR="00F57C32">
              <w:rPr>
                <w:noProof/>
                <w:webHidden/>
              </w:rPr>
              <w:t>23</w:t>
            </w:r>
            <w:r w:rsidR="00D15990">
              <w:rPr>
                <w:noProof/>
                <w:webHidden/>
              </w:rPr>
              <w:fldChar w:fldCharType="end"/>
            </w:r>
          </w:hyperlink>
        </w:p>
        <w:p w14:paraId="72BE0CA5" w14:textId="77777777" w:rsidR="00D15990" w:rsidRDefault="00CC17D5">
          <w:pPr>
            <w:pStyle w:val="TOC2"/>
            <w:tabs>
              <w:tab w:val="left" w:pos="720"/>
              <w:tab w:val="right" w:leader="dot" w:pos="9017"/>
            </w:tabs>
            <w:rPr>
              <w:noProof/>
            </w:rPr>
          </w:pPr>
          <w:hyperlink w:anchor="_Toc417572691" w:history="1">
            <w:r w:rsidR="00D15990" w:rsidRPr="000E0A4D">
              <w:rPr>
                <w:rStyle w:val="Hyperlink"/>
                <w:rFonts w:ascii="Segoe UI" w:hAnsi="Segoe UI" w:cs="Segoe UI"/>
                <w:noProof/>
              </w:rPr>
              <w:t>3.3</w:t>
            </w:r>
            <w:r w:rsidR="00D15990">
              <w:rPr>
                <w:noProof/>
              </w:rPr>
              <w:tab/>
            </w:r>
            <w:r w:rsidR="00D15990" w:rsidRPr="000E0A4D">
              <w:rPr>
                <w:rStyle w:val="Hyperlink"/>
                <w:rFonts w:ascii="Segoe UI" w:hAnsi="Segoe UI" w:cs="Segoe UI"/>
                <w:noProof/>
              </w:rPr>
              <w:t>International experiences with interchange regulation</w:t>
            </w:r>
            <w:r w:rsidR="00D15990">
              <w:rPr>
                <w:noProof/>
                <w:webHidden/>
              </w:rPr>
              <w:tab/>
            </w:r>
            <w:r w:rsidR="00D15990">
              <w:rPr>
                <w:noProof/>
                <w:webHidden/>
              </w:rPr>
              <w:fldChar w:fldCharType="begin"/>
            </w:r>
            <w:r w:rsidR="00D15990">
              <w:rPr>
                <w:noProof/>
                <w:webHidden/>
              </w:rPr>
              <w:instrText xml:space="preserve"> PAGEREF _Toc417572691 \h </w:instrText>
            </w:r>
            <w:r w:rsidR="00D15990">
              <w:rPr>
                <w:noProof/>
                <w:webHidden/>
              </w:rPr>
            </w:r>
            <w:r w:rsidR="00D15990">
              <w:rPr>
                <w:noProof/>
                <w:webHidden/>
              </w:rPr>
              <w:fldChar w:fldCharType="separate"/>
            </w:r>
            <w:r w:rsidR="00F57C32">
              <w:rPr>
                <w:noProof/>
                <w:webHidden/>
              </w:rPr>
              <w:t>23</w:t>
            </w:r>
            <w:r w:rsidR="00D15990">
              <w:rPr>
                <w:noProof/>
                <w:webHidden/>
              </w:rPr>
              <w:fldChar w:fldCharType="end"/>
            </w:r>
          </w:hyperlink>
        </w:p>
        <w:p w14:paraId="7FF7FA91" w14:textId="77777777" w:rsidR="00D15990" w:rsidRDefault="00CC17D5">
          <w:pPr>
            <w:pStyle w:val="TOC1"/>
            <w:tabs>
              <w:tab w:val="right" w:leader="dot" w:pos="9017"/>
            </w:tabs>
            <w:rPr>
              <w:rFonts w:asciiTheme="minorHAnsi" w:hAnsiTheme="minorHAnsi"/>
              <w:b w:val="0"/>
              <w:noProof/>
              <w:color w:val="auto"/>
              <w:sz w:val="22"/>
              <w:szCs w:val="22"/>
            </w:rPr>
          </w:pPr>
          <w:hyperlink w:anchor="_Toc417572692" w:history="1">
            <w:r w:rsidR="00D15990" w:rsidRPr="000E0A4D">
              <w:rPr>
                <w:rStyle w:val="Hyperlink"/>
                <w:rFonts w:ascii="Segoe UI" w:hAnsi="Segoe UI" w:cs="Segoe UI"/>
                <w:noProof/>
              </w:rPr>
              <w:t>Chapter 4: Surcharging</w:t>
            </w:r>
            <w:r w:rsidR="00D15990">
              <w:rPr>
                <w:noProof/>
                <w:webHidden/>
              </w:rPr>
              <w:tab/>
            </w:r>
            <w:r w:rsidR="00D15990">
              <w:rPr>
                <w:noProof/>
                <w:webHidden/>
              </w:rPr>
              <w:fldChar w:fldCharType="begin"/>
            </w:r>
            <w:r w:rsidR="00D15990">
              <w:rPr>
                <w:noProof/>
                <w:webHidden/>
              </w:rPr>
              <w:instrText xml:space="preserve"> PAGEREF _Toc417572692 \h </w:instrText>
            </w:r>
            <w:r w:rsidR="00D15990">
              <w:rPr>
                <w:noProof/>
                <w:webHidden/>
              </w:rPr>
            </w:r>
            <w:r w:rsidR="00D15990">
              <w:rPr>
                <w:noProof/>
                <w:webHidden/>
              </w:rPr>
              <w:fldChar w:fldCharType="separate"/>
            </w:r>
            <w:r w:rsidR="00F57C32">
              <w:rPr>
                <w:noProof/>
                <w:webHidden/>
              </w:rPr>
              <w:t>25</w:t>
            </w:r>
            <w:r w:rsidR="00D15990">
              <w:rPr>
                <w:noProof/>
                <w:webHidden/>
              </w:rPr>
              <w:fldChar w:fldCharType="end"/>
            </w:r>
          </w:hyperlink>
        </w:p>
        <w:p w14:paraId="67548AC7" w14:textId="77777777" w:rsidR="00D15990" w:rsidRDefault="00CC17D5">
          <w:pPr>
            <w:pStyle w:val="TOC2"/>
            <w:tabs>
              <w:tab w:val="left" w:pos="720"/>
              <w:tab w:val="right" w:leader="dot" w:pos="9017"/>
            </w:tabs>
            <w:rPr>
              <w:noProof/>
            </w:rPr>
          </w:pPr>
          <w:hyperlink w:anchor="_Toc417572693" w:history="1">
            <w:r w:rsidR="00D15990" w:rsidRPr="000E0A4D">
              <w:rPr>
                <w:rStyle w:val="Hyperlink"/>
                <w:rFonts w:ascii="Segoe UI" w:hAnsi="Segoe UI" w:cs="Segoe UI"/>
                <w:noProof/>
              </w:rPr>
              <w:t>4.1</w:t>
            </w:r>
            <w:r w:rsidR="00D15990">
              <w:rPr>
                <w:noProof/>
              </w:rPr>
              <w:tab/>
            </w:r>
            <w:r w:rsidR="00D15990" w:rsidRPr="000E0A4D">
              <w:rPr>
                <w:rStyle w:val="Hyperlink"/>
                <w:rFonts w:ascii="Segoe UI" w:hAnsi="Segoe UI" w:cs="Segoe UI"/>
                <w:noProof/>
              </w:rPr>
              <w:t>Introduction</w:t>
            </w:r>
            <w:r w:rsidR="00D15990">
              <w:rPr>
                <w:noProof/>
                <w:webHidden/>
              </w:rPr>
              <w:tab/>
            </w:r>
            <w:r w:rsidR="00D15990">
              <w:rPr>
                <w:noProof/>
                <w:webHidden/>
              </w:rPr>
              <w:fldChar w:fldCharType="begin"/>
            </w:r>
            <w:r w:rsidR="00D15990">
              <w:rPr>
                <w:noProof/>
                <w:webHidden/>
              </w:rPr>
              <w:instrText xml:space="preserve"> PAGEREF _Toc417572693 \h </w:instrText>
            </w:r>
            <w:r w:rsidR="00D15990">
              <w:rPr>
                <w:noProof/>
                <w:webHidden/>
              </w:rPr>
            </w:r>
            <w:r w:rsidR="00D15990">
              <w:rPr>
                <w:noProof/>
                <w:webHidden/>
              </w:rPr>
              <w:fldChar w:fldCharType="separate"/>
            </w:r>
            <w:r w:rsidR="00F57C32">
              <w:rPr>
                <w:noProof/>
                <w:webHidden/>
              </w:rPr>
              <w:t>25</w:t>
            </w:r>
            <w:r w:rsidR="00D15990">
              <w:rPr>
                <w:noProof/>
                <w:webHidden/>
              </w:rPr>
              <w:fldChar w:fldCharType="end"/>
            </w:r>
          </w:hyperlink>
        </w:p>
        <w:p w14:paraId="315CE91B" w14:textId="77777777" w:rsidR="00D15990" w:rsidRDefault="00CC17D5">
          <w:pPr>
            <w:pStyle w:val="TOC2"/>
            <w:tabs>
              <w:tab w:val="left" w:pos="720"/>
              <w:tab w:val="right" w:leader="dot" w:pos="9017"/>
            </w:tabs>
            <w:rPr>
              <w:noProof/>
            </w:rPr>
          </w:pPr>
          <w:hyperlink w:anchor="_Toc417572694" w:history="1">
            <w:r w:rsidR="00D15990" w:rsidRPr="000E0A4D">
              <w:rPr>
                <w:rStyle w:val="Hyperlink"/>
                <w:rFonts w:ascii="Segoe UI" w:hAnsi="Segoe UI" w:cs="Segoe UI"/>
                <w:noProof/>
              </w:rPr>
              <w:t>4.2</w:t>
            </w:r>
            <w:r w:rsidR="00D15990">
              <w:rPr>
                <w:noProof/>
              </w:rPr>
              <w:tab/>
            </w:r>
            <w:r w:rsidR="00D15990" w:rsidRPr="000E0A4D">
              <w:rPr>
                <w:rStyle w:val="Hyperlink"/>
                <w:rFonts w:ascii="Segoe UI" w:hAnsi="Segoe UI" w:cs="Segoe UI"/>
                <w:noProof/>
              </w:rPr>
              <w:t>Prohibition on surcharging</w:t>
            </w:r>
            <w:r w:rsidR="00D15990">
              <w:rPr>
                <w:noProof/>
                <w:webHidden/>
              </w:rPr>
              <w:tab/>
            </w:r>
            <w:r w:rsidR="00D15990">
              <w:rPr>
                <w:noProof/>
                <w:webHidden/>
              </w:rPr>
              <w:fldChar w:fldCharType="begin"/>
            </w:r>
            <w:r w:rsidR="00D15990">
              <w:rPr>
                <w:noProof/>
                <w:webHidden/>
              </w:rPr>
              <w:instrText xml:space="preserve"> PAGEREF _Toc417572694 \h </w:instrText>
            </w:r>
            <w:r w:rsidR="00D15990">
              <w:rPr>
                <w:noProof/>
                <w:webHidden/>
              </w:rPr>
            </w:r>
            <w:r w:rsidR="00D15990">
              <w:rPr>
                <w:noProof/>
                <w:webHidden/>
              </w:rPr>
              <w:fldChar w:fldCharType="separate"/>
            </w:r>
            <w:r w:rsidR="00F57C32">
              <w:rPr>
                <w:noProof/>
                <w:webHidden/>
              </w:rPr>
              <w:t>25</w:t>
            </w:r>
            <w:r w:rsidR="00D15990">
              <w:rPr>
                <w:noProof/>
                <w:webHidden/>
              </w:rPr>
              <w:fldChar w:fldCharType="end"/>
            </w:r>
          </w:hyperlink>
        </w:p>
        <w:p w14:paraId="54679177" w14:textId="77777777" w:rsidR="00D15990" w:rsidRDefault="00CC17D5">
          <w:pPr>
            <w:pStyle w:val="TOC2"/>
            <w:tabs>
              <w:tab w:val="left" w:pos="720"/>
              <w:tab w:val="right" w:leader="dot" w:pos="9017"/>
            </w:tabs>
            <w:rPr>
              <w:noProof/>
            </w:rPr>
          </w:pPr>
          <w:hyperlink w:anchor="_Toc417572695" w:history="1">
            <w:r w:rsidR="00D15990" w:rsidRPr="000E0A4D">
              <w:rPr>
                <w:rStyle w:val="Hyperlink"/>
                <w:rFonts w:ascii="Segoe UI" w:hAnsi="Segoe UI" w:cs="Segoe UI"/>
                <w:noProof/>
              </w:rPr>
              <w:t>4.3</w:t>
            </w:r>
            <w:r w:rsidR="00D15990">
              <w:rPr>
                <w:noProof/>
              </w:rPr>
              <w:tab/>
            </w:r>
            <w:r w:rsidR="00D15990" w:rsidRPr="000E0A4D">
              <w:rPr>
                <w:rStyle w:val="Hyperlink"/>
                <w:rFonts w:ascii="Segoe UI" w:hAnsi="Segoe UI" w:cs="Segoe UI"/>
                <w:noProof/>
              </w:rPr>
              <w:t>Enhanced limitations on surcharging</w:t>
            </w:r>
            <w:r w:rsidR="00D15990">
              <w:rPr>
                <w:noProof/>
                <w:webHidden/>
              </w:rPr>
              <w:tab/>
            </w:r>
            <w:r w:rsidR="00D15990">
              <w:rPr>
                <w:noProof/>
                <w:webHidden/>
              </w:rPr>
              <w:fldChar w:fldCharType="begin"/>
            </w:r>
            <w:r w:rsidR="00D15990">
              <w:rPr>
                <w:noProof/>
                <w:webHidden/>
              </w:rPr>
              <w:instrText xml:space="preserve"> PAGEREF _Toc417572695 \h </w:instrText>
            </w:r>
            <w:r w:rsidR="00D15990">
              <w:rPr>
                <w:noProof/>
                <w:webHidden/>
              </w:rPr>
            </w:r>
            <w:r w:rsidR="00D15990">
              <w:rPr>
                <w:noProof/>
                <w:webHidden/>
              </w:rPr>
              <w:fldChar w:fldCharType="separate"/>
            </w:r>
            <w:r w:rsidR="00F57C32">
              <w:rPr>
                <w:noProof/>
                <w:webHidden/>
              </w:rPr>
              <w:t>26</w:t>
            </w:r>
            <w:r w:rsidR="00D15990">
              <w:rPr>
                <w:noProof/>
                <w:webHidden/>
              </w:rPr>
              <w:fldChar w:fldCharType="end"/>
            </w:r>
          </w:hyperlink>
        </w:p>
        <w:p w14:paraId="24446836" w14:textId="23F64BA0" w:rsidR="00D15990" w:rsidRDefault="00CC17D5">
          <w:pPr>
            <w:pStyle w:val="TOC2"/>
            <w:tabs>
              <w:tab w:val="left" w:pos="720"/>
              <w:tab w:val="right" w:leader="dot" w:pos="9017"/>
            </w:tabs>
            <w:rPr>
              <w:noProof/>
            </w:rPr>
          </w:pPr>
          <w:hyperlink w:anchor="_Toc417572696" w:history="1">
            <w:r w:rsidR="00D15990" w:rsidRPr="000E0A4D">
              <w:rPr>
                <w:rStyle w:val="Hyperlink"/>
                <w:rFonts w:ascii="Segoe UI" w:hAnsi="Segoe UI" w:cs="Segoe UI"/>
                <w:noProof/>
              </w:rPr>
              <w:t>4.4</w:t>
            </w:r>
            <w:r w:rsidR="00D15990">
              <w:rPr>
                <w:noProof/>
              </w:rPr>
              <w:tab/>
            </w:r>
            <w:r w:rsidR="00D15990" w:rsidRPr="000E0A4D">
              <w:rPr>
                <w:rStyle w:val="Hyperlink"/>
                <w:rFonts w:ascii="Segoe UI" w:hAnsi="Segoe UI" w:cs="Segoe UI"/>
                <w:noProof/>
              </w:rPr>
              <w:t>Enforceability</w:t>
            </w:r>
            <w:r w:rsidR="00D15990">
              <w:rPr>
                <w:noProof/>
                <w:webHidden/>
              </w:rPr>
              <w:tab/>
            </w:r>
            <w:r w:rsidR="00D15990">
              <w:rPr>
                <w:noProof/>
                <w:webHidden/>
              </w:rPr>
              <w:fldChar w:fldCharType="begin"/>
            </w:r>
            <w:r w:rsidR="00D15990">
              <w:rPr>
                <w:noProof/>
                <w:webHidden/>
              </w:rPr>
              <w:instrText xml:space="preserve"> PAGEREF _Toc417572696 \h </w:instrText>
            </w:r>
            <w:r w:rsidR="00D15990">
              <w:rPr>
                <w:noProof/>
                <w:webHidden/>
              </w:rPr>
            </w:r>
            <w:r w:rsidR="00D15990">
              <w:rPr>
                <w:noProof/>
                <w:webHidden/>
              </w:rPr>
              <w:fldChar w:fldCharType="separate"/>
            </w:r>
            <w:r w:rsidR="00F57C32">
              <w:rPr>
                <w:noProof/>
                <w:webHidden/>
              </w:rPr>
              <w:t>29</w:t>
            </w:r>
            <w:r w:rsidR="00D15990">
              <w:rPr>
                <w:noProof/>
                <w:webHidden/>
              </w:rPr>
              <w:fldChar w:fldCharType="end"/>
            </w:r>
          </w:hyperlink>
        </w:p>
        <w:p w14:paraId="6F5E9B42" w14:textId="3AC00A0C" w:rsidR="00D15990" w:rsidRDefault="00CC17D5">
          <w:pPr>
            <w:pStyle w:val="TOC1"/>
            <w:tabs>
              <w:tab w:val="right" w:leader="dot" w:pos="9017"/>
            </w:tabs>
            <w:rPr>
              <w:rFonts w:asciiTheme="minorHAnsi" w:hAnsiTheme="minorHAnsi"/>
              <w:b w:val="0"/>
              <w:noProof/>
              <w:color w:val="auto"/>
              <w:sz w:val="22"/>
              <w:szCs w:val="22"/>
            </w:rPr>
          </w:pPr>
          <w:hyperlink w:anchor="_Toc417572697" w:history="1">
            <w:r w:rsidR="00D15990" w:rsidRPr="000E0A4D">
              <w:rPr>
                <w:rStyle w:val="Hyperlink"/>
                <w:rFonts w:ascii="Segoe UI" w:hAnsi="Segoe UI" w:cs="Segoe UI"/>
                <w:noProof/>
              </w:rPr>
              <w:t>Chapter 5: Merchant related issues</w:t>
            </w:r>
            <w:r w:rsidR="00D15990">
              <w:rPr>
                <w:noProof/>
                <w:webHidden/>
              </w:rPr>
              <w:tab/>
            </w:r>
            <w:r w:rsidR="00D15990">
              <w:rPr>
                <w:noProof/>
                <w:webHidden/>
              </w:rPr>
              <w:fldChar w:fldCharType="begin"/>
            </w:r>
            <w:r w:rsidR="00D15990">
              <w:rPr>
                <w:noProof/>
                <w:webHidden/>
              </w:rPr>
              <w:instrText xml:space="preserve"> PAGEREF _Toc417572697 \h </w:instrText>
            </w:r>
            <w:r w:rsidR="00D15990">
              <w:rPr>
                <w:noProof/>
                <w:webHidden/>
              </w:rPr>
            </w:r>
            <w:r w:rsidR="00D15990">
              <w:rPr>
                <w:noProof/>
                <w:webHidden/>
              </w:rPr>
              <w:fldChar w:fldCharType="separate"/>
            </w:r>
            <w:r w:rsidR="00F57C32">
              <w:rPr>
                <w:noProof/>
                <w:webHidden/>
              </w:rPr>
              <w:t>30</w:t>
            </w:r>
            <w:r w:rsidR="00D15990">
              <w:rPr>
                <w:noProof/>
                <w:webHidden/>
              </w:rPr>
              <w:fldChar w:fldCharType="end"/>
            </w:r>
          </w:hyperlink>
        </w:p>
        <w:p w14:paraId="1B77234C" w14:textId="744E4ECA" w:rsidR="00D15990" w:rsidRDefault="00CC17D5">
          <w:pPr>
            <w:pStyle w:val="TOC2"/>
            <w:tabs>
              <w:tab w:val="left" w:pos="720"/>
              <w:tab w:val="right" w:leader="dot" w:pos="9017"/>
            </w:tabs>
            <w:rPr>
              <w:noProof/>
            </w:rPr>
          </w:pPr>
          <w:hyperlink w:anchor="_Toc417572698" w:history="1">
            <w:r w:rsidR="00D15990" w:rsidRPr="000E0A4D">
              <w:rPr>
                <w:rStyle w:val="Hyperlink"/>
                <w:rFonts w:ascii="Segoe UI" w:hAnsi="Segoe UI" w:cs="Segoe UI"/>
                <w:noProof/>
              </w:rPr>
              <w:t>5.1</w:t>
            </w:r>
            <w:r w:rsidR="00D15990">
              <w:rPr>
                <w:noProof/>
              </w:rPr>
              <w:tab/>
            </w:r>
            <w:r w:rsidR="00D15990" w:rsidRPr="000E0A4D">
              <w:rPr>
                <w:rStyle w:val="Hyperlink"/>
                <w:rFonts w:ascii="Segoe UI" w:hAnsi="Segoe UI" w:cs="Segoe UI"/>
                <w:noProof/>
              </w:rPr>
              <w:t>Introduction</w:t>
            </w:r>
            <w:r w:rsidR="00D15990">
              <w:rPr>
                <w:noProof/>
                <w:webHidden/>
              </w:rPr>
              <w:tab/>
            </w:r>
            <w:r w:rsidR="00D15990">
              <w:rPr>
                <w:noProof/>
                <w:webHidden/>
              </w:rPr>
              <w:fldChar w:fldCharType="begin"/>
            </w:r>
            <w:r w:rsidR="00D15990">
              <w:rPr>
                <w:noProof/>
                <w:webHidden/>
              </w:rPr>
              <w:instrText xml:space="preserve"> PAGEREF _Toc417572698 \h </w:instrText>
            </w:r>
            <w:r w:rsidR="00D15990">
              <w:rPr>
                <w:noProof/>
                <w:webHidden/>
              </w:rPr>
            </w:r>
            <w:r w:rsidR="00D15990">
              <w:rPr>
                <w:noProof/>
                <w:webHidden/>
              </w:rPr>
              <w:fldChar w:fldCharType="separate"/>
            </w:r>
            <w:r w:rsidR="00F57C32">
              <w:rPr>
                <w:noProof/>
                <w:webHidden/>
              </w:rPr>
              <w:t>30</w:t>
            </w:r>
            <w:r w:rsidR="00D15990">
              <w:rPr>
                <w:noProof/>
                <w:webHidden/>
              </w:rPr>
              <w:fldChar w:fldCharType="end"/>
            </w:r>
          </w:hyperlink>
        </w:p>
        <w:p w14:paraId="4491D8E0" w14:textId="7B3192D1" w:rsidR="00D15990" w:rsidRDefault="00CC17D5">
          <w:pPr>
            <w:pStyle w:val="TOC2"/>
            <w:tabs>
              <w:tab w:val="left" w:pos="720"/>
              <w:tab w:val="right" w:leader="dot" w:pos="9017"/>
            </w:tabs>
            <w:rPr>
              <w:noProof/>
            </w:rPr>
          </w:pPr>
          <w:hyperlink w:anchor="_Toc417572699" w:history="1">
            <w:r w:rsidR="00D15990" w:rsidRPr="000E0A4D">
              <w:rPr>
                <w:rStyle w:val="Hyperlink"/>
                <w:rFonts w:ascii="Segoe UI" w:hAnsi="Segoe UI" w:cs="Segoe UI"/>
                <w:noProof/>
              </w:rPr>
              <w:t>5.2</w:t>
            </w:r>
            <w:r w:rsidR="00D15990">
              <w:rPr>
                <w:noProof/>
              </w:rPr>
              <w:tab/>
            </w:r>
            <w:r w:rsidR="00D15990" w:rsidRPr="000E0A4D">
              <w:rPr>
                <w:rStyle w:val="Hyperlink"/>
                <w:rFonts w:ascii="Segoe UI" w:hAnsi="Segoe UI" w:cs="Segoe UI"/>
                <w:noProof/>
              </w:rPr>
              <w:t>Transparency</w:t>
            </w:r>
            <w:r w:rsidR="00D15990">
              <w:rPr>
                <w:noProof/>
                <w:webHidden/>
              </w:rPr>
              <w:tab/>
            </w:r>
            <w:r w:rsidR="00D15990">
              <w:rPr>
                <w:noProof/>
                <w:webHidden/>
              </w:rPr>
              <w:fldChar w:fldCharType="begin"/>
            </w:r>
            <w:r w:rsidR="00D15990">
              <w:rPr>
                <w:noProof/>
                <w:webHidden/>
              </w:rPr>
              <w:instrText xml:space="preserve"> PAGEREF _Toc417572699 \h </w:instrText>
            </w:r>
            <w:r w:rsidR="00D15990">
              <w:rPr>
                <w:noProof/>
                <w:webHidden/>
              </w:rPr>
            </w:r>
            <w:r w:rsidR="00D15990">
              <w:rPr>
                <w:noProof/>
                <w:webHidden/>
              </w:rPr>
              <w:fldChar w:fldCharType="separate"/>
            </w:r>
            <w:r w:rsidR="00F57C32">
              <w:rPr>
                <w:noProof/>
                <w:webHidden/>
              </w:rPr>
              <w:t>31</w:t>
            </w:r>
            <w:r w:rsidR="00D15990">
              <w:rPr>
                <w:noProof/>
                <w:webHidden/>
              </w:rPr>
              <w:fldChar w:fldCharType="end"/>
            </w:r>
          </w:hyperlink>
        </w:p>
        <w:p w14:paraId="2A39E10B" w14:textId="37DA4A72" w:rsidR="00D15990" w:rsidRDefault="00CC17D5">
          <w:pPr>
            <w:pStyle w:val="TOC2"/>
            <w:tabs>
              <w:tab w:val="left" w:pos="720"/>
              <w:tab w:val="right" w:leader="dot" w:pos="9017"/>
            </w:tabs>
            <w:rPr>
              <w:noProof/>
            </w:rPr>
          </w:pPr>
          <w:hyperlink w:anchor="_Toc417572700" w:history="1">
            <w:r w:rsidR="00D15990" w:rsidRPr="000E0A4D">
              <w:rPr>
                <w:rStyle w:val="Hyperlink"/>
                <w:rFonts w:ascii="Segoe UI" w:hAnsi="Segoe UI" w:cs="Segoe UI"/>
                <w:noProof/>
              </w:rPr>
              <w:t>5.3</w:t>
            </w:r>
            <w:r w:rsidR="00D15990">
              <w:rPr>
                <w:noProof/>
              </w:rPr>
              <w:tab/>
            </w:r>
            <w:r w:rsidR="00D15990" w:rsidRPr="000E0A4D">
              <w:rPr>
                <w:rStyle w:val="Hyperlink"/>
                <w:rFonts w:ascii="Segoe UI" w:hAnsi="Segoe UI" w:cs="Segoe UI"/>
                <w:noProof/>
              </w:rPr>
              <w:t>Honour all Cards Rule</w:t>
            </w:r>
            <w:r w:rsidR="00D15990">
              <w:rPr>
                <w:noProof/>
                <w:webHidden/>
              </w:rPr>
              <w:tab/>
            </w:r>
            <w:r w:rsidR="00D15990">
              <w:rPr>
                <w:noProof/>
                <w:webHidden/>
              </w:rPr>
              <w:fldChar w:fldCharType="begin"/>
            </w:r>
            <w:r w:rsidR="00D15990">
              <w:rPr>
                <w:noProof/>
                <w:webHidden/>
              </w:rPr>
              <w:instrText xml:space="preserve"> PAGEREF _Toc417572700 \h </w:instrText>
            </w:r>
            <w:r w:rsidR="00D15990">
              <w:rPr>
                <w:noProof/>
                <w:webHidden/>
              </w:rPr>
            </w:r>
            <w:r w:rsidR="00D15990">
              <w:rPr>
                <w:noProof/>
                <w:webHidden/>
              </w:rPr>
              <w:fldChar w:fldCharType="separate"/>
            </w:r>
            <w:r w:rsidR="00F57C32">
              <w:rPr>
                <w:noProof/>
                <w:webHidden/>
              </w:rPr>
              <w:t>32</w:t>
            </w:r>
            <w:r w:rsidR="00D15990">
              <w:rPr>
                <w:noProof/>
                <w:webHidden/>
              </w:rPr>
              <w:fldChar w:fldCharType="end"/>
            </w:r>
          </w:hyperlink>
        </w:p>
        <w:p w14:paraId="097B2A68" w14:textId="4C66CE41" w:rsidR="00D15990" w:rsidRDefault="00CC17D5">
          <w:pPr>
            <w:pStyle w:val="TOC2"/>
            <w:tabs>
              <w:tab w:val="left" w:pos="720"/>
              <w:tab w:val="right" w:leader="dot" w:pos="9017"/>
            </w:tabs>
            <w:rPr>
              <w:noProof/>
            </w:rPr>
          </w:pPr>
          <w:hyperlink w:anchor="_Toc417572701" w:history="1">
            <w:r w:rsidR="00D15990" w:rsidRPr="000E0A4D">
              <w:rPr>
                <w:rStyle w:val="Hyperlink"/>
                <w:rFonts w:ascii="Segoe UI" w:hAnsi="Segoe UI" w:cs="Segoe UI"/>
                <w:noProof/>
              </w:rPr>
              <w:t>5.4</w:t>
            </w:r>
            <w:r w:rsidR="00D15990">
              <w:rPr>
                <w:noProof/>
              </w:rPr>
              <w:tab/>
            </w:r>
            <w:r w:rsidR="00D15990" w:rsidRPr="000E0A4D">
              <w:rPr>
                <w:rStyle w:val="Hyperlink"/>
                <w:rFonts w:ascii="Segoe UI" w:hAnsi="Segoe UI" w:cs="Segoe UI"/>
                <w:noProof/>
              </w:rPr>
              <w:t>Differential surcharging</w:t>
            </w:r>
            <w:r w:rsidR="00D15990">
              <w:rPr>
                <w:noProof/>
                <w:webHidden/>
              </w:rPr>
              <w:tab/>
            </w:r>
            <w:r w:rsidR="00D15990">
              <w:rPr>
                <w:noProof/>
                <w:webHidden/>
              </w:rPr>
              <w:fldChar w:fldCharType="begin"/>
            </w:r>
            <w:r w:rsidR="00D15990">
              <w:rPr>
                <w:noProof/>
                <w:webHidden/>
              </w:rPr>
              <w:instrText xml:space="preserve"> PAGEREF _Toc417572701 \h </w:instrText>
            </w:r>
            <w:r w:rsidR="00D15990">
              <w:rPr>
                <w:noProof/>
                <w:webHidden/>
              </w:rPr>
            </w:r>
            <w:r w:rsidR="00D15990">
              <w:rPr>
                <w:noProof/>
                <w:webHidden/>
              </w:rPr>
              <w:fldChar w:fldCharType="separate"/>
            </w:r>
            <w:r w:rsidR="00F57C32">
              <w:rPr>
                <w:noProof/>
                <w:webHidden/>
              </w:rPr>
              <w:t>33</w:t>
            </w:r>
            <w:r w:rsidR="00D15990">
              <w:rPr>
                <w:noProof/>
                <w:webHidden/>
              </w:rPr>
              <w:fldChar w:fldCharType="end"/>
            </w:r>
          </w:hyperlink>
        </w:p>
        <w:p w14:paraId="55168F3A" w14:textId="1F038176" w:rsidR="00D15990" w:rsidRDefault="00CC17D5">
          <w:pPr>
            <w:pStyle w:val="TOC2"/>
            <w:tabs>
              <w:tab w:val="left" w:pos="720"/>
              <w:tab w:val="right" w:leader="dot" w:pos="9017"/>
            </w:tabs>
            <w:rPr>
              <w:noProof/>
            </w:rPr>
          </w:pPr>
          <w:hyperlink w:anchor="_Toc417572702" w:history="1">
            <w:r w:rsidR="00D15990" w:rsidRPr="000E0A4D">
              <w:rPr>
                <w:rStyle w:val="Hyperlink"/>
                <w:rFonts w:ascii="Segoe UI" w:hAnsi="Segoe UI" w:cs="Segoe UI"/>
                <w:noProof/>
              </w:rPr>
              <w:t>5.5</w:t>
            </w:r>
            <w:r w:rsidR="00D15990">
              <w:rPr>
                <w:noProof/>
              </w:rPr>
              <w:tab/>
            </w:r>
            <w:r w:rsidR="00D15990" w:rsidRPr="000E0A4D">
              <w:rPr>
                <w:rStyle w:val="Hyperlink"/>
                <w:rFonts w:ascii="Segoe UI" w:hAnsi="Segoe UI" w:cs="Segoe UI"/>
                <w:noProof/>
              </w:rPr>
              <w:t>Consumer choice and the routing of transactions</w:t>
            </w:r>
            <w:r w:rsidR="00D15990">
              <w:rPr>
                <w:noProof/>
                <w:webHidden/>
              </w:rPr>
              <w:tab/>
            </w:r>
            <w:r w:rsidR="00D15990">
              <w:rPr>
                <w:noProof/>
                <w:webHidden/>
              </w:rPr>
              <w:fldChar w:fldCharType="begin"/>
            </w:r>
            <w:r w:rsidR="00D15990">
              <w:rPr>
                <w:noProof/>
                <w:webHidden/>
              </w:rPr>
              <w:instrText xml:space="preserve"> PAGEREF _Toc417572702 \h </w:instrText>
            </w:r>
            <w:r w:rsidR="00D15990">
              <w:rPr>
                <w:noProof/>
                <w:webHidden/>
              </w:rPr>
            </w:r>
            <w:r w:rsidR="00D15990">
              <w:rPr>
                <w:noProof/>
                <w:webHidden/>
              </w:rPr>
              <w:fldChar w:fldCharType="separate"/>
            </w:r>
            <w:r w:rsidR="00F57C32">
              <w:rPr>
                <w:noProof/>
                <w:webHidden/>
              </w:rPr>
              <w:t>33</w:t>
            </w:r>
            <w:r w:rsidR="00D15990">
              <w:rPr>
                <w:noProof/>
                <w:webHidden/>
              </w:rPr>
              <w:fldChar w:fldCharType="end"/>
            </w:r>
          </w:hyperlink>
        </w:p>
        <w:p w14:paraId="5D818DCB" w14:textId="648A4A48" w:rsidR="00D15990" w:rsidRDefault="00CC17D5">
          <w:pPr>
            <w:pStyle w:val="TOC1"/>
            <w:tabs>
              <w:tab w:val="right" w:leader="dot" w:pos="9017"/>
            </w:tabs>
            <w:rPr>
              <w:rFonts w:asciiTheme="minorHAnsi" w:hAnsiTheme="minorHAnsi"/>
              <w:b w:val="0"/>
              <w:noProof/>
              <w:color w:val="auto"/>
              <w:sz w:val="22"/>
              <w:szCs w:val="22"/>
            </w:rPr>
          </w:pPr>
          <w:hyperlink w:anchor="_Toc417572703" w:history="1">
            <w:r w:rsidR="00D15990" w:rsidRPr="000E0A4D">
              <w:rPr>
                <w:rStyle w:val="Hyperlink"/>
                <w:rFonts w:ascii="Segoe UI" w:hAnsi="Segoe UI" w:cs="Segoe UI"/>
                <w:noProof/>
              </w:rPr>
              <w:t>Chapter 6: Dual Network Debit Cards</w:t>
            </w:r>
            <w:r w:rsidR="00D15990">
              <w:rPr>
                <w:noProof/>
                <w:webHidden/>
              </w:rPr>
              <w:tab/>
            </w:r>
            <w:r w:rsidR="00D15990">
              <w:rPr>
                <w:noProof/>
                <w:webHidden/>
              </w:rPr>
              <w:fldChar w:fldCharType="begin"/>
            </w:r>
            <w:r w:rsidR="00D15990">
              <w:rPr>
                <w:noProof/>
                <w:webHidden/>
              </w:rPr>
              <w:instrText xml:space="preserve"> PAGEREF _Toc417572703 \h </w:instrText>
            </w:r>
            <w:r w:rsidR="00D15990">
              <w:rPr>
                <w:noProof/>
                <w:webHidden/>
              </w:rPr>
            </w:r>
            <w:r w:rsidR="00D15990">
              <w:rPr>
                <w:noProof/>
                <w:webHidden/>
              </w:rPr>
              <w:fldChar w:fldCharType="separate"/>
            </w:r>
            <w:r w:rsidR="00F57C32">
              <w:rPr>
                <w:noProof/>
                <w:webHidden/>
              </w:rPr>
              <w:t>36</w:t>
            </w:r>
            <w:r w:rsidR="00D15990">
              <w:rPr>
                <w:noProof/>
                <w:webHidden/>
              </w:rPr>
              <w:fldChar w:fldCharType="end"/>
            </w:r>
          </w:hyperlink>
        </w:p>
        <w:p w14:paraId="4E2989E6" w14:textId="285091C3" w:rsidR="00D15990" w:rsidRDefault="00CC17D5">
          <w:pPr>
            <w:pStyle w:val="TOC2"/>
            <w:tabs>
              <w:tab w:val="left" w:pos="720"/>
              <w:tab w:val="right" w:leader="dot" w:pos="9017"/>
            </w:tabs>
            <w:rPr>
              <w:noProof/>
            </w:rPr>
          </w:pPr>
          <w:hyperlink w:anchor="_Toc417572704" w:history="1">
            <w:r w:rsidR="00D15990" w:rsidRPr="000E0A4D">
              <w:rPr>
                <w:rStyle w:val="Hyperlink"/>
                <w:rFonts w:ascii="Segoe UI" w:hAnsi="Segoe UI" w:cs="Segoe UI"/>
                <w:noProof/>
              </w:rPr>
              <w:t>6.1</w:t>
            </w:r>
            <w:r w:rsidR="00D15990">
              <w:rPr>
                <w:noProof/>
              </w:rPr>
              <w:tab/>
            </w:r>
            <w:r w:rsidR="00D15990" w:rsidRPr="000E0A4D">
              <w:rPr>
                <w:rStyle w:val="Hyperlink"/>
                <w:rFonts w:ascii="Segoe UI" w:hAnsi="Segoe UI" w:cs="Segoe UI"/>
                <w:noProof/>
              </w:rPr>
              <w:t>Introduction</w:t>
            </w:r>
            <w:r w:rsidR="00D15990">
              <w:rPr>
                <w:noProof/>
                <w:webHidden/>
              </w:rPr>
              <w:tab/>
            </w:r>
            <w:r w:rsidR="00D15990">
              <w:rPr>
                <w:noProof/>
                <w:webHidden/>
              </w:rPr>
              <w:fldChar w:fldCharType="begin"/>
            </w:r>
            <w:r w:rsidR="00D15990">
              <w:rPr>
                <w:noProof/>
                <w:webHidden/>
              </w:rPr>
              <w:instrText xml:space="preserve"> PAGEREF _Toc417572704 \h </w:instrText>
            </w:r>
            <w:r w:rsidR="00D15990">
              <w:rPr>
                <w:noProof/>
                <w:webHidden/>
              </w:rPr>
            </w:r>
            <w:r w:rsidR="00D15990">
              <w:rPr>
                <w:noProof/>
                <w:webHidden/>
              </w:rPr>
              <w:fldChar w:fldCharType="separate"/>
            </w:r>
            <w:r w:rsidR="00F57C32">
              <w:rPr>
                <w:noProof/>
                <w:webHidden/>
              </w:rPr>
              <w:t>36</w:t>
            </w:r>
            <w:r w:rsidR="00D15990">
              <w:rPr>
                <w:noProof/>
                <w:webHidden/>
              </w:rPr>
              <w:fldChar w:fldCharType="end"/>
            </w:r>
          </w:hyperlink>
        </w:p>
        <w:p w14:paraId="2A9C1EA3" w14:textId="35F4A501" w:rsidR="00D15990" w:rsidRDefault="00CC17D5">
          <w:pPr>
            <w:pStyle w:val="TOC2"/>
            <w:tabs>
              <w:tab w:val="left" w:pos="720"/>
              <w:tab w:val="right" w:leader="dot" w:pos="9017"/>
            </w:tabs>
            <w:rPr>
              <w:noProof/>
            </w:rPr>
          </w:pPr>
          <w:hyperlink w:anchor="_Toc417572705" w:history="1">
            <w:r w:rsidR="00D15990" w:rsidRPr="000E0A4D">
              <w:rPr>
                <w:rStyle w:val="Hyperlink"/>
                <w:rFonts w:ascii="Segoe UI" w:hAnsi="Segoe UI" w:cs="Segoe UI"/>
                <w:noProof/>
              </w:rPr>
              <w:t>6.2</w:t>
            </w:r>
            <w:r w:rsidR="00D15990">
              <w:rPr>
                <w:noProof/>
              </w:rPr>
              <w:tab/>
            </w:r>
            <w:r w:rsidR="00D15990" w:rsidRPr="000E0A4D">
              <w:rPr>
                <w:rStyle w:val="Hyperlink"/>
                <w:rFonts w:ascii="Segoe UI" w:hAnsi="Segoe UI" w:cs="Segoe UI"/>
                <w:noProof/>
              </w:rPr>
              <w:t>Current Situation</w:t>
            </w:r>
            <w:r w:rsidR="00D15990">
              <w:rPr>
                <w:noProof/>
                <w:webHidden/>
              </w:rPr>
              <w:tab/>
            </w:r>
            <w:r w:rsidR="00D15990">
              <w:rPr>
                <w:noProof/>
                <w:webHidden/>
              </w:rPr>
              <w:fldChar w:fldCharType="begin"/>
            </w:r>
            <w:r w:rsidR="00D15990">
              <w:rPr>
                <w:noProof/>
                <w:webHidden/>
              </w:rPr>
              <w:instrText xml:space="preserve"> PAGEREF _Toc417572705 \h </w:instrText>
            </w:r>
            <w:r w:rsidR="00D15990">
              <w:rPr>
                <w:noProof/>
                <w:webHidden/>
              </w:rPr>
            </w:r>
            <w:r w:rsidR="00D15990">
              <w:rPr>
                <w:noProof/>
                <w:webHidden/>
              </w:rPr>
              <w:fldChar w:fldCharType="separate"/>
            </w:r>
            <w:r w:rsidR="00F57C32">
              <w:rPr>
                <w:noProof/>
                <w:webHidden/>
              </w:rPr>
              <w:t>37</w:t>
            </w:r>
            <w:r w:rsidR="00D15990">
              <w:rPr>
                <w:noProof/>
                <w:webHidden/>
              </w:rPr>
              <w:fldChar w:fldCharType="end"/>
            </w:r>
          </w:hyperlink>
        </w:p>
        <w:p w14:paraId="42502423" w14:textId="056AF5ED" w:rsidR="00D15990" w:rsidRDefault="00CC17D5">
          <w:pPr>
            <w:pStyle w:val="TOC2"/>
            <w:tabs>
              <w:tab w:val="left" w:pos="720"/>
              <w:tab w:val="right" w:leader="dot" w:pos="9017"/>
            </w:tabs>
            <w:rPr>
              <w:noProof/>
            </w:rPr>
          </w:pPr>
          <w:hyperlink w:anchor="_Toc417572706" w:history="1">
            <w:r w:rsidR="00D15990" w:rsidRPr="000E0A4D">
              <w:rPr>
                <w:rStyle w:val="Hyperlink"/>
                <w:rFonts w:ascii="Segoe UI" w:hAnsi="Segoe UI" w:cs="Segoe UI"/>
                <w:noProof/>
              </w:rPr>
              <w:t>6.3</w:t>
            </w:r>
            <w:r w:rsidR="00D15990">
              <w:rPr>
                <w:noProof/>
              </w:rPr>
              <w:tab/>
            </w:r>
            <w:r w:rsidR="00D15990" w:rsidRPr="000E0A4D">
              <w:rPr>
                <w:rStyle w:val="Hyperlink"/>
                <w:rFonts w:ascii="Segoe UI" w:hAnsi="Segoe UI" w:cs="Segoe UI"/>
                <w:noProof/>
              </w:rPr>
              <w:t>The Industry Outlook</w:t>
            </w:r>
            <w:r w:rsidR="00D15990">
              <w:rPr>
                <w:noProof/>
                <w:webHidden/>
              </w:rPr>
              <w:tab/>
            </w:r>
            <w:r w:rsidR="00D15990">
              <w:rPr>
                <w:noProof/>
                <w:webHidden/>
              </w:rPr>
              <w:fldChar w:fldCharType="begin"/>
            </w:r>
            <w:r w:rsidR="00D15990">
              <w:rPr>
                <w:noProof/>
                <w:webHidden/>
              </w:rPr>
              <w:instrText xml:space="preserve"> PAGEREF _Toc417572706 \h </w:instrText>
            </w:r>
            <w:r w:rsidR="00D15990">
              <w:rPr>
                <w:noProof/>
                <w:webHidden/>
              </w:rPr>
            </w:r>
            <w:r w:rsidR="00D15990">
              <w:rPr>
                <w:noProof/>
                <w:webHidden/>
              </w:rPr>
              <w:fldChar w:fldCharType="separate"/>
            </w:r>
            <w:r w:rsidR="00F57C32">
              <w:rPr>
                <w:noProof/>
                <w:webHidden/>
              </w:rPr>
              <w:t>38</w:t>
            </w:r>
            <w:r w:rsidR="00D15990">
              <w:rPr>
                <w:noProof/>
                <w:webHidden/>
              </w:rPr>
              <w:fldChar w:fldCharType="end"/>
            </w:r>
          </w:hyperlink>
        </w:p>
        <w:p w14:paraId="17873326" w14:textId="7369416A" w:rsidR="00D15990" w:rsidRDefault="00CC17D5">
          <w:pPr>
            <w:pStyle w:val="TOC1"/>
            <w:tabs>
              <w:tab w:val="right" w:leader="dot" w:pos="9017"/>
            </w:tabs>
            <w:rPr>
              <w:rFonts w:asciiTheme="minorHAnsi" w:hAnsiTheme="minorHAnsi"/>
              <w:b w:val="0"/>
              <w:noProof/>
              <w:color w:val="auto"/>
              <w:sz w:val="22"/>
              <w:szCs w:val="22"/>
            </w:rPr>
          </w:pPr>
          <w:hyperlink w:anchor="_Toc417572707" w:history="1">
            <w:r w:rsidR="00D15990" w:rsidRPr="000E0A4D">
              <w:rPr>
                <w:rStyle w:val="Hyperlink"/>
                <w:rFonts w:ascii="Segoe UI" w:hAnsi="Segoe UI" w:cs="Segoe UI"/>
                <w:noProof/>
              </w:rPr>
              <w:t>Chapter 7: Prepaid and commercial cards</w:t>
            </w:r>
            <w:r w:rsidR="00D15990">
              <w:rPr>
                <w:noProof/>
                <w:webHidden/>
              </w:rPr>
              <w:tab/>
            </w:r>
            <w:r w:rsidR="00D15990">
              <w:rPr>
                <w:noProof/>
                <w:webHidden/>
              </w:rPr>
              <w:fldChar w:fldCharType="begin"/>
            </w:r>
            <w:r w:rsidR="00D15990">
              <w:rPr>
                <w:noProof/>
                <w:webHidden/>
              </w:rPr>
              <w:instrText xml:space="preserve"> PAGEREF _Toc417572707 \h </w:instrText>
            </w:r>
            <w:r w:rsidR="00D15990">
              <w:rPr>
                <w:noProof/>
                <w:webHidden/>
              </w:rPr>
            </w:r>
            <w:r w:rsidR="00D15990">
              <w:rPr>
                <w:noProof/>
                <w:webHidden/>
              </w:rPr>
              <w:fldChar w:fldCharType="separate"/>
            </w:r>
            <w:r w:rsidR="00F57C32">
              <w:rPr>
                <w:noProof/>
                <w:webHidden/>
              </w:rPr>
              <w:t>39</w:t>
            </w:r>
            <w:r w:rsidR="00D15990">
              <w:rPr>
                <w:noProof/>
                <w:webHidden/>
              </w:rPr>
              <w:fldChar w:fldCharType="end"/>
            </w:r>
          </w:hyperlink>
        </w:p>
        <w:p w14:paraId="38C209E1" w14:textId="27FF61D1" w:rsidR="00D15990" w:rsidRDefault="00CC17D5">
          <w:pPr>
            <w:pStyle w:val="TOC2"/>
            <w:tabs>
              <w:tab w:val="left" w:pos="720"/>
              <w:tab w:val="right" w:leader="dot" w:pos="9017"/>
            </w:tabs>
            <w:rPr>
              <w:noProof/>
            </w:rPr>
          </w:pPr>
          <w:hyperlink w:anchor="_Toc417572708" w:history="1">
            <w:r w:rsidR="00D15990" w:rsidRPr="000E0A4D">
              <w:rPr>
                <w:rStyle w:val="Hyperlink"/>
                <w:rFonts w:ascii="Segoe UI" w:hAnsi="Segoe UI" w:cs="Segoe UI"/>
                <w:noProof/>
              </w:rPr>
              <w:t>7.1</w:t>
            </w:r>
            <w:r w:rsidR="00D15990">
              <w:rPr>
                <w:noProof/>
              </w:rPr>
              <w:tab/>
            </w:r>
            <w:r w:rsidR="00D15990" w:rsidRPr="000E0A4D">
              <w:rPr>
                <w:rStyle w:val="Hyperlink"/>
                <w:rFonts w:ascii="Segoe UI" w:hAnsi="Segoe UI" w:cs="Segoe UI"/>
                <w:noProof/>
              </w:rPr>
              <w:t>Prepaid Cards</w:t>
            </w:r>
            <w:r w:rsidR="00D15990">
              <w:rPr>
                <w:noProof/>
                <w:webHidden/>
              </w:rPr>
              <w:tab/>
            </w:r>
            <w:r w:rsidR="00D15990">
              <w:rPr>
                <w:noProof/>
                <w:webHidden/>
              </w:rPr>
              <w:fldChar w:fldCharType="begin"/>
            </w:r>
            <w:r w:rsidR="00D15990">
              <w:rPr>
                <w:noProof/>
                <w:webHidden/>
              </w:rPr>
              <w:instrText xml:space="preserve"> PAGEREF _Toc417572708 \h </w:instrText>
            </w:r>
            <w:r w:rsidR="00D15990">
              <w:rPr>
                <w:noProof/>
                <w:webHidden/>
              </w:rPr>
            </w:r>
            <w:r w:rsidR="00D15990">
              <w:rPr>
                <w:noProof/>
                <w:webHidden/>
              </w:rPr>
              <w:fldChar w:fldCharType="separate"/>
            </w:r>
            <w:r w:rsidR="00F57C32">
              <w:rPr>
                <w:noProof/>
                <w:webHidden/>
              </w:rPr>
              <w:t>39</w:t>
            </w:r>
            <w:r w:rsidR="00D15990">
              <w:rPr>
                <w:noProof/>
                <w:webHidden/>
              </w:rPr>
              <w:fldChar w:fldCharType="end"/>
            </w:r>
          </w:hyperlink>
        </w:p>
        <w:p w14:paraId="0701C4C0" w14:textId="0B584E65" w:rsidR="00D15990" w:rsidRDefault="00CC17D5">
          <w:pPr>
            <w:pStyle w:val="TOC2"/>
            <w:tabs>
              <w:tab w:val="left" w:pos="720"/>
              <w:tab w:val="right" w:leader="dot" w:pos="9017"/>
            </w:tabs>
            <w:rPr>
              <w:noProof/>
            </w:rPr>
          </w:pPr>
          <w:hyperlink w:anchor="_Toc417572709" w:history="1">
            <w:r w:rsidR="00D15990" w:rsidRPr="000E0A4D">
              <w:rPr>
                <w:rStyle w:val="Hyperlink"/>
                <w:rFonts w:ascii="Segoe UI" w:hAnsi="Segoe UI" w:cs="Segoe UI"/>
                <w:noProof/>
              </w:rPr>
              <w:t>7.2</w:t>
            </w:r>
            <w:r w:rsidR="00D15990">
              <w:rPr>
                <w:noProof/>
              </w:rPr>
              <w:tab/>
            </w:r>
            <w:r w:rsidR="00D15990" w:rsidRPr="000E0A4D">
              <w:rPr>
                <w:rStyle w:val="Hyperlink"/>
                <w:rFonts w:ascii="Segoe UI" w:hAnsi="Segoe UI" w:cs="Segoe UI"/>
                <w:noProof/>
              </w:rPr>
              <w:t>Commercial cards</w:t>
            </w:r>
            <w:r w:rsidR="00D15990">
              <w:rPr>
                <w:noProof/>
                <w:webHidden/>
              </w:rPr>
              <w:tab/>
            </w:r>
            <w:r w:rsidR="00D15990">
              <w:rPr>
                <w:noProof/>
                <w:webHidden/>
              </w:rPr>
              <w:fldChar w:fldCharType="begin"/>
            </w:r>
            <w:r w:rsidR="00D15990">
              <w:rPr>
                <w:noProof/>
                <w:webHidden/>
              </w:rPr>
              <w:instrText xml:space="preserve"> PAGEREF _Toc417572709 \h </w:instrText>
            </w:r>
            <w:r w:rsidR="00D15990">
              <w:rPr>
                <w:noProof/>
                <w:webHidden/>
              </w:rPr>
            </w:r>
            <w:r w:rsidR="00D15990">
              <w:rPr>
                <w:noProof/>
                <w:webHidden/>
              </w:rPr>
              <w:fldChar w:fldCharType="separate"/>
            </w:r>
            <w:r w:rsidR="00F57C32">
              <w:rPr>
                <w:noProof/>
                <w:webHidden/>
              </w:rPr>
              <w:t>40</w:t>
            </w:r>
            <w:r w:rsidR="00D15990">
              <w:rPr>
                <w:noProof/>
                <w:webHidden/>
              </w:rPr>
              <w:fldChar w:fldCharType="end"/>
            </w:r>
          </w:hyperlink>
        </w:p>
        <w:p w14:paraId="69E59C37" w14:textId="55C42666" w:rsidR="00D15990" w:rsidRDefault="00CC17D5">
          <w:pPr>
            <w:pStyle w:val="TOC1"/>
            <w:tabs>
              <w:tab w:val="right" w:leader="dot" w:pos="9017"/>
            </w:tabs>
            <w:rPr>
              <w:rFonts w:asciiTheme="minorHAnsi" w:hAnsiTheme="minorHAnsi"/>
              <w:b w:val="0"/>
              <w:noProof/>
              <w:color w:val="auto"/>
              <w:sz w:val="22"/>
              <w:szCs w:val="22"/>
            </w:rPr>
          </w:pPr>
          <w:hyperlink w:anchor="_Toc417572710" w:history="1">
            <w:r w:rsidR="00D15990" w:rsidRPr="000E0A4D">
              <w:rPr>
                <w:rStyle w:val="Hyperlink"/>
                <w:rFonts w:ascii="Segoe UI" w:hAnsi="Segoe UI" w:cs="Segoe UI"/>
                <w:noProof/>
              </w:rPr>
              <w:t>Chapter 8: Other matters</w:t>
            </w:r>
            <w:r w:rsidR="00D15990">
              <w:rPr>
                <w:noProof/>
                <w:webHidden/>
              </w:rPr>
              <w:tab/>
            </w:r>
            <w:r w:rsidR="00D15990">
              <w:rPr>
                <w:noProof/>
                <w:webHidden/>
              </w:rPr>
              <w:fldChar w:fldCharType="begin"/>
            </w:r>
            <w:r w:rsidR="00D15990">
              <w:rPr>
                <w:noProof/>
                <w:webHidden/>
              </w:rPr>
              <w:instrText xml:space="preserve"> PAGEREF _Toc417572710 \h </w:instrText>
            </w:r>
            <w:r w:rsidR="00D15990">
              <w:rPr>
                <w:noProof/>
                <w:webHidden/>
              </w:rPr>
            </w:r>
            <w:r w:rsidR="00D15990">
              <w:rPr>
                <w:noProof/>
                <w:webHidden/>
              </w:rPr>
              <w:fldChar w:fldCharType="separate"/>
            </w:r>
            <w:r w:rsidR="00F57C32">
              <w:rPr>
                <w:noProof/>
                <w:webHidden/>
              </w:rPr>
              <w:t>44</w:t>
            </w:r>
            <w:r w:rsidR="00D15990">
              <w:rPr>
                <w:noProof/>
                <w:webHidden/>
              </w:rPr>
              <w:fldChar w:fldCharType="end"/>
            </w:r>
          </w:hyperlink>
        </w:p>
        <w:p w14:paraId="28A6D91A" w14:textId="6101E940" w:rsidR="00D15990" w:rsidRDefault="00CC17D5">
          <w:pPr>
            <w:pStyle w:val="TOC2"/>
            <w:tabs>
              <w:tab w:val="left" w:pos="720"/>
              <w:tab w:val="right" w:leader="dot" w:pos="9017"/>
            </w:tabs>
            <w:rPr>
              <w:noProof/>
            </w:rPr>
          </w:pPr>
          <w:hyperlink w:anchor="_Toc417572711" w:history="1">
            <w:r w:rsidR="00D15990" w:rsidRPr="000E0A4D">
              <w:rPr>
                <w:rStyle w:val="Hyperlink"/>
                <w:rFonts w:ascii="Segoe UI" w:hAnsi="Segoe UI" w:cs="Segoe UI"/>
                <w:noProof/>
              </w:rPr>
              <w:t>8.1</w:t>
            </w:r>
            <w:r w:rsidR="00D15990">
              <w:rPr>
                <w:noProof/>
              </w:rPr>
              <w:tab/>
            </w:r>
            <w:r w:rsidR="00D15990" w:rsidRPr="000E0A4D">
              <w:rPr>
                <w:rStyle w:val="Hyperlink"/>
                <w:rFonts w:ascii="Segoe UI" w:hAnsi="Segoe UI" w:cs="Segoe UI"/>
                <w:noProof/>
              </w:rPr>
              <w:t>Introduction</w:t>
            </w:r>
            <w:r w:rsidR="00D15990">
              <w:rPr>
                <w:noProof/>
                <w:webHidden/>
              </w:rPr>
              <w:tab/>
            </w:r>
            <w:r w:rsidR="00D15990">
              <w:rPr>
                <w:noProof/>
                <w:webHidden/>
              </w:rPr>
              <w:fldChar w:fldCharType="begin"/>
            </w:r>
            <w:r w:rsidR="00D15990">
              <w:rPr>
                <w:noProof/>
                <w:webHidden/>
              </w:rPr>
              <w:instrText xml:space="preserve"> PAGEREF _Toc417572711 \h </w:instrText>
            </w:r>
            <w:r w:rsidR="00D15990">
              <w:rPr>
                <w:noProof/>
                <w:webHidden/>
              </w:rPr>
            </w:r>
            <w:r w:rsidR="00D15990">
              <w:rPr>
                <w:noProof/>
                <w:webHidden/>
              </w:rPr>
              <w:fldChar w:fldCharType="separate"/>
            </w:r>
            <w:r w:rsidR="00F57C32">
              <w:rPr>
                <w:noProof/>
                <w:webHidden/>
              </w:rPr>
              <w:t>44</w:t>
            </w:r>
            <w:r w:rsidR="00D15990">
              <w:rPr>
                <w:noProof/>
                <w:webHidden/>
              </w:rPr>
              <w:fldChar w:fldCharType="end"/>
            </w:r>
          </w:hyperlink>
        </w:p>
        <w:p w14:paraId="23E37C3C" w14:textId="215E200F" w:rsidR="00D15990" w:rsidRDefault="00CC17D5">
          <w:pPr>
            <w:pStyle w:val="TOC2"/>
            <w:tabs>
              <w:tab w:val="left" w:pos="720"/>
              <w:tab w:val="right" w:leader="dot" w:pos="9017"/>
            </w:tabs>
            <w:rPr>
              <w:noProof/>
            </w:rPr>
          </w:pPr>
          <w:hyperlink w:anchor="_Toc417572712" w:history="1">
            <w:r w:rsidR="00D15990" w:rsidRPr="000E0A4D">
              <w:rPr>
                <w:rStyle w:val="Hyperlink"/>
                <w:rFonts w:ascii="Segoe UI" w:hAnsi="Segoe UI" w:cs="Segoe UI"/>
                <w:noProof/>
              </w:rPr>
              <w:t>8.2</w:t>
            </w:r>
            <w:r w:rsidR="00D15990">
              <w:rPr>
                <w:noProof/>
              </w:rPr>
              <w:tab/>
            </w:r>
            <w:r w:rsidR="00D15990" w:rsidRPr="000E0A4D">
              <w:rPr>
                <w:rStyle w:val="Hyperlink"/>
                <w:rFonts w:ascii="Segoe UI" w:hAnsi="Segoe UI" w:cs="Segoe UI"/>
                <w:noProof/>
              </w:rPr>
              <w:t>Entity separation</w:t>
            </w:r>
            <w:r w:rsidR="00D15990">
              <w:rPr>
                <w:noProof/>
                <w:webHidden/>
              </w:rPr>
              <w:tab/>
            </w:r>
            <w:r w:rsidR="00D15990">
              <w:rPr>
                <w:noProof/>
                <w:webHidden/>
              </w:rPr>
              <w:fldChar w:fldCharType="begin"/>
            </w:r>
            <w:r w:rsidR="00D15990">
              <w:rPr>
                <w:noProof/>
                <w:webHidden/>
              </w:rPr>
              <w:instrText xml:space="preserve"> PAGEREF _Toc417572712 \h </w:instrText>
            </w:r>
            <w:r w:rsidR="00D15990">
              <w:rPr>
                <w:noProof/>
                <w:webHidden/>
              </w:rPr>
            </w:r>
            <w:r w:rsidR="00D15990">
              <w:rPr>
                <w:noProof/>
                <w:webHidden/>
              </w:rPr>
              <w:fldChar w:fldCharType="separate"/>
            </w:r>
            <w:r w:rsidR="00F57C32">
              <w:rPr>
                <w:noProof/>
                <w:webHidden/>
              </w:rPr>
              <w:t>44</w:t>
            </w:r>
            <w:r w:rsidR="00D15990">
              <w:rPr>
                <w:noProof/>
                <w:webHidden/>
              </w:rPr>
              <w:fldChar w:fldCharType="end"/>
            </w:r>
          </w:hyperlink>
        </w:p>
        <w:p w14:paraId="6921CFB4" w14:textId="330090D4" w:rsidR="00D15990" w:rsidRDefault="00CC17D5">
          <w:pPr>
            <w:pStyle w:val="TOC2"/>
            <w:tabs>
              <w:tab w:val="left" w:pos="720"/>
              <w:tab w:val="right" w:leader="dot" w:pos="9017"/>
            </w:tabs>
            <w:rPr>
              <w:noProof/>
            </w:rPr>
          </w:pPr>
          <w:hyperlink w:anchor="_Toc417572713" w:history="1">
            <w:r w:rsidR="00D15990" w:rsidRPr="000E0A4D">
              <w:rPr>
                <w:rStyle w:val="Hyperlink"/>
                <w:rFonts w:ascii="Segoe UI" w:hAnsi="Segoe UI" w:cs="Segoe UI"/>
                <w:noProof/>
              </w:rPr>
              <w:t>8.3</w:t>
            </w:r>
            <w:r w:rsidR="00D15990">
              <w:rPr>
                <w:noProof/>
              </w:rPr>
              <w:tab/>
            </w:r>
            <w:r w:rsidR="00D15990" w:rsidRPr="000E0A4D">
              <w:rPr>
                <w:rStyle w:val="Hyperlink"/>
                <w:rFonts w:ascii="Segoe UI" w:hAnsi="Segoe UI" w:cs="Segoe UI"/>
                <w:noProof/>
              </w:rPr>
              <w:t>Implementation timeframe</w:t>
            </w:r>
            <w:r w:rsidR="00D15990">
              <w:rPr>
                <w:noProof/>
                <w:webHidden/>
              </w:rPr>
              <w:tab/>
            </w:r>
            <w:r w:rsidR="00D15990">
              <w:rPr>
                <w:noProof/>
                <w:webHidden/>
              </w:rPr>
              <w:fldChar w:fldCharType="begin"/>
            </w:r>
            <w:r w:rsidR="00D15990">
              <w:rPr>
                <w:noProof/>
                <w:webHidden/>
              </w:rPr>
              <w:instrText xml:space="preserve"> PAGEREF _Toc417572713 \h </w:instrText>
            </w:r>
            <w:r w:rsidR="00D15990">
              <w:rPr>
                <w:noProof/>
                <w:webHidden/>
              </w:rPr>
            </w:r>
            <w:r w:rsidR="00D15990">
              <w:rPr>
                <w:noProof/>
                <w:webHidden/>
              </w:rPr>
              <w:fldChar w:fldCharType="separate"/>
            </w:r>
            <w:r w:rsidR="00F57C32">
              <w:rPr>
                <w:noProof/>
                <w:webHidden/>
              </w:rPr>
              <w:t>45</w:t>
            </w:r>
            <w:r w:rsidR="00D15990">
              <w:rPr>
                <w:noProof/>
                <w:webHidden/>
              </w:rPr>
              <w:fldChar w:fldCharType="end"/>
            </w:r>
          </w:hyperlink>
        </w:p>
        <w:p w14:paraId="512A1849" w14:textId="77777777" w:rsidR="00224432" w:rsidRDefault="00224432">
          <w:r w:rsidRPr="00B21569">
            <w:rPr>
              <w:rFonts w:ascii="Segoe UI" w:hAnsi="Segoe UI" w:cs="Segoe UI"/>
              <w:b/>
              <w:bCs/>
              <w:noProof/>
              <w:sz w:val="22"/>
              <w:szCs w:val="22"/>
            </w:rPr>
            <w:fldChar w:fldCharType="end"/>
          </w:r>
        </w:p>
      </w:sdtContent>
    </w:sdt>
    <w:p w14:paraId="56F297F0" w14:textId="77777777" w:rsidR="004F139D" w:rsidRPr="004F139D" w:rsidRDefault="004F139D" w:rsidP="004F139D">
      <w:pPr>
        <w:sectPr w:rsidR="004F139D" w:rsidRPr="004F139D" w:rsidSect="00B21569">
          <w:footerReference w:type="default" r:id="rId12"/>
          <w:type w:val="continuous"/>
          <w:pgSz w:w="11907" w:h="16839" w:code="9"/>
          <w:pgMar w:top="1440" w:right="1440" w:bottom="1440" w:left="1440" w:header="720" w:footer="720" w:gutter="0"/>
          <w:cols w:space="720"/>
          <w:docGrid w:linePitch="360"/>
        </w:sectPr>
      </w:pPr>
    </w:p>
    <w:p w14:paraId="33BBAFD9" w14:textId="77777777" w:rsidR="00DF224C" w:rsidRPr="0089281F" w:rsidRDefault="00DF224C" w:rsidP="00DF224C">
      <w:pPr>
        <w:pStyle w:val="Heading1"/>
        <w:spacing w:before="0"/>
        <w:rPr>
          <w:rFonts w:ascii="Segoe UI" w:hAnsi="Segoe UI" w:cs="Segoe UI"/>
          <w:color w:val="002060"/>
        </w:rPr>
      </w:pPr>
      <w:bookmarkStart w:id="2" w:name="_Toc417572676"/>
      <w:r w:rsidRPr="0089281F">
        <w:rPr>
          <w:rFonts w:ascii="Segoe UI" w:hAnsi="Segoe UI" w:cs="Segoe UI"/>
          <w:color w:val="002060"/>
        </w:rPr>
        <w:lastRenderedPageBreak/>
        <w:t>Summary of Visa Inc.’s position</w:t>
      </w:r>
      <w:bookmarkEnd w:id="2"/>
      <w:bookmarkEnd w:id="1"/>
    </w:p>
    <w:p w14:paraId="4255F39F" w14:textId="77777777" w:rsidR="00DF224C" w:rsidRPr="00426E9B" w:rsidRDefault="00DF224C" w:rsidP="00DF224C">
      <w:pPr>
        <w:rPr>
          <w:rFonts w:ascii="Segoe UI" w:hAnsi="Segoe UI" w:cs="Segoe UI"/>
        </w:rPr>
      </w:pPr>
    </w:p>
    <w:p w14:paraId="766FE1CA" w14:textId="77777777" w:rsidR="00DF224C" w:rsidRPr="00EC4B6B" w:rsidRDefault="00DF224C" w:rsidP="00DF224C">
      <w:pPr>
        <w:spacing w:line="276" w:lineRule="auto"/>
        <w:jc w:val="both"/>
        <w:rPr>
          <w:rFonts w:ascii="Segoe UI" w:hAnsi="Segoe UI" w:cs="Segoe UI"/>
          <w:sz w:val="22"/>
          <w:szCs w:val="22"/>
        </w:rPr>
      </w:pPr>
      <w:r w:rsidRPr="00EC4B6B">
        <w:rPr>
          <w:rFonts w:ascii="Segoe UI" w:hAnsi="Segoe UI" w:cs="Segoe UI"/>
          <w:sz w:val="22"/>
          <w:szCs w:val="22"/>
        </w:rPr>
        <w:t xml:space="preserve">A financially safe, efficient, competitive and stable payments system is essential to the </w:t>
      </w:r>
      <w:r>
        <w:rPr>
          <w:rFonts w:ascii="Segoe UI" w:hAnsi="Segoe UI" w:cs="Segoe UI"/>
          <w:sz w:val="22"/>
          <w:szCs w:val="22"/>
        </w:rPr>
        <w:t xml:space="preserve">Australian </w:t>
      </w:r>
      <w:r w:rsidRPr="00EC4B6B">
        <w:rPr>
          <w:rFonts w:ascii="Segoe UI" w:hAnsi="Segoe UI" w:cs="Segoe UI"/>
          <w:sz w:val="22"/>
          <w:szCs w:val="22"/>
        </w:rPr>
        <w:t xml:space="preserve">economy. </w:t>
      </w:r>
      <w:r>
        <w:rPr>
          <w:rFonts w:ascii="Segoe UI" w:hAnsi="Segoe UI" w:cs="Segoe UI"/>
          <w:sz w:val="22"/>
          <w:szCs w:val="22"/>
        </w:rPr>
        <w:t xml:space="preserve">It will contribute to economic growth, development and ultimately financial inclusion in the interests of all Australians. </w:t>
      </w:r>
      <w:r w:rsidR="00DE7F36">
        <w:rPr>
          <w:rFonts w:ascii="Segoe UI" w:hAnsi="Segoe UI" w:cs="Segoe UI"/>
          <w:sz w:val="22"/>
          <w:szCs w:val="22"/>
        </w:rPr>
        <w:t xml:space="preserve">It is therefore important </w:t>
      </w:r>
      <w:r>
        <w:rPr>
          <w:rFonts w:ascii="Segoe UI" w:hAnsi="Segoe UI" w:cs="Segoe UI"/>
          <w:sz w:val="22"/>
          <w:szCs w:val="22"/>
        </w:rPr>
        <w:t>that any regulation of the payment system stay</w:t>
      </w:r>
      <w:r w:rsidR="00DE7F36">
        <w:rPr>
          <w:rFonts w:ascii="Segoe UI" w:hAnsi="Segoe UI" w:cs="Segoe UI"/>
          <w:sz w:val="22"/>
          <w:szCs w:val="22"/>
        </w:rPr>
        <w:t>s</w:t>
      </w:r>
      <w:r>
        <w:rPr>
          <w:rFonts w:ascii="Segoe UI" w:hAnsi="Segoe UI" w:cs="Segoe UI"/>
          <w:sz w:val="22"/>
          <w:szCs w:val="22"/>
        </w:rPr>
        <w:t xml:space="preserve"> up to date and relevant to the state of the payments industry. </w:t>
      </w:r>
      <w:r w:rsidRPr="00EC4B6B">
        <w:rPr>
          <w:rFonts w:ascii="Segoe UI" w:hAnsi="Segoe UI" w:cs="Segoe UI"/>
          <w:sz w:val="22"/>
          <w:szCs w:val="22"/>
        </w:rPr>
        <w:t>The Payment</w:t>
      </w:r>
      <w:r w:rsidR="00D72A1E">
        <w:rPr>
          <w:rFonts w:ascii="Segoe UI" w:hAnsi="Segoe UI" w:cs="Segoe UI"/>
          <w:sz w:val="22"/>
          <w:szCs w:val="22"/>
        </w:rPr>
        <w:t>s</w:t>
      </w:r>
      <w:r w:rsidRPr="00EC4B6B">
        <w:rPr>
          <w:rFonts w:ascii="Segoe UI" w:hAnsi="Segoe UI" w:cs="Segoe UI"/>
          <w:sz w:val="22"/>
          <w:szCs w:val="22"/>
        </w:rPr>
        <w:t xml:space="preserve"> System Board (PSB) </w:t>
      </w:r>
      <w:r>
        <w:rPr>
          <w:rFonts w:ascii="Segoe UI" w:hAnsi="Segoe UI" w:cs="Segoe UI"/>
          <w:sz w:val="22"/>
          <w:szCs w:val="22"/>
        </w:rPr>
        <w:t xml:space="preserve">of the Reserve Bank of Australia (RBA) </w:t>
      </w:r>
      <w:r w:rsidRPr="00EC4B6B">
        <w:rPr>
          <w:rFonts w:ascii="Segoe UI" w:hAnsi="Segoe UI" w:cs="Segoe UI"/>
          <w:sz w:val="22"/>
          <w:szCs w:val="22"/>
        </w:rPr>
        <w:t xml:space="preserve">conducted a review </w:t>
      </w:r>
      <w:r>
        <w:rPr>
          <w:rFonts w:ascii="Segoe UI" w:hAnsi="Segoe UI" w:cs="Segoe UI"/>
          <w:sz w:val="22"/>
          <w:szCs w:val="22"/>
        </w:rPr>
        <w:t xml:space="preserve">of its payment system regulations </w:t>
      </w:r>
      <w:r w:rsidRPr="00EC4B6B">
        <w:rPr>
          <w:rFonts w:ascii="Segoe UI" w:hAnsi="Segoe UI" w:cs="Segoe UI"/>
          <w:sz w:val="22"/>
          <w:szCs w:val="22"/>
        </w:rPr>
        <w:t>in 2007-08</w:t>
      </w:r>
      <w:r w:rsidR="00DE7F36">
        <w:rPr>
          <w:rFonts w:ascii="Segoe UI" w:hAnsi="Segoe UI" w:cs="Segoe UI"/>
          <w:sz w:val="22"/>
          <w:szCs w:val="22"/>
        </w:rPr>
        <w:t>. However,</w:t>
      </w:r>
      <w:r w:rsidRPr="00EC4B6B">
        <w:rPr>
          <w:rFonts w:ascii="Segoe UI" w:hAnsi="Segoe UI" w:cs="Segoe UI"/>
          <w:sz w:val="22"/>
          <w:szCs w:val="22"/>
        </w:rPr>
        <w:t xml:space="preserve"> much has changed since then, presenting </w:t>
      </w:r>
      <w:r>
        <w:rPr>
          <w:rFonts w:ascii="Segoe UI" w:hAnsi="Segoe UI" w:cs="Segoe UI"/>
          <w:sz w:val="22"/>
          <w:szCs w:val="22"/>
        </w:rPr>
        <w:t xml:space="preserve">new </w:t>
      </w:r>
      <w:r w:rsidRPr="00EC4B6B">
        <w:rPr>
          <w:rFonts w:ascii="Segoe UI" w:hAnsi="Segoe UI" w:cs="Segoe UI"/>
          <w:sz w:val="22"/>
          <w:szCs w:val="22"/>
        </w:rPr>
        <w:t xml:space="preserve">opportunities and challenges for the payment system. The PSB considers it is timely to review the regulatory arrangements applying to card payment systems given the growth and role of cards </w:t>
      </w:r>
      <w:r>
        <w:rPr>
          <w:rFonts w:ascii="Segoe UI" w:hAnsi="Segoe UI" w:cs="Segoe UI"/>
          <w:sz w:val="22"/>
          <w:szCs w:val="22"/>
        </w:rPr>
        <w:t>and electronic payments</w:t>
      </w:r>
      <w:r w:rsidRPr="00EC4B6B">
        <w:rPr>
          <w:rFonts w:ascii="Segoe UI" w:hAnsi="Segoe UI" w:cs="Segoe UI"/>
          <w:sz w:val="22"/>
          <w:szCs w:val="22"/>
        </w:rPr>
        <w:t xml:space="preserve"> in the system.</w:t>
      </w:r>
      <w:r>
        <w:rPr>
          <w:rFonts w:ascii="Segoe UI" w:hAnsi="Segoe UI" w:cs="Segoe UI"/>
          <w:sz w:val="22"/>
          <w:szCs w:val="22"/>
        </w:rPr>
        <w:t xml:space="preserve"> </w:t>
      </w:r>
    </w:p>
    <w:p w14:paraId="3D360A14" w14:textId="77777777" w:rsidR="00DF224C" w:rsidRPr="00EC4B6B" w:rsidRDefault="00DF224C" w:rsidP="00DF224C">
      <w:pPr>
        <w:spacing w:line="276" w:lineRule="auto"/>
        <w:rPr>
          <w:rFonts w:ascii="Segoe UI" w:hAnsi="Segoe UI" w:cs="Segoe UI"/>
          <w:sz w:val="22"/>
          <w:szCs w:val="22"/>
        </w:rPr>
      </w:pPr>
    </w:p>
    <w:p w14:paraId="5D2D794E" w14:textId="77777777" w:rsidR="00DF224C" w:rsidRPr="00EC4B6B" w:rsidRDefault="00DF224C" w:rsidP="00DF224C">
      <w:pPr>
        <w:spacing w:line="276" w:lineRule="auto"/>
        <w:jc w:val="both"/>
        <w:rPr>
          <w:rFonts w:ascii="Segoe UI" w:hAnsi="Segoe UI" w:cs="Segoe UI"/>
          <w:bCs/>
          <w:sz w:val="22"/>
          <w:szCs w:val="22"/>
        </w:rPr>
      </w:pPr>
      <w:r w:rsidRPr="00EC4B6B">
        <w:rPr>
          <w:rFonts w:ascii="Segoe UI" w:hAnsi="Segoe UI" w:cs="Segoe UI"/>
          <w:sz w:val="22"/>
          <w:szCs w:val="22"/>
        </w:rPr>
        <w:t>Visa has a significant in</w:t>
      </w:r>
      <w:r w:rsidR="00224432">
        <w:rPr>
          <w:rFonts w:ascii="Segoe UI" w:hAnsi="Segoe UI" w:cs="Segoe UI"/>
          <w:sz w:val="22"/>
          <w:szCs w:val="22"/>
        </w:rPr>
        <w:t>terest in contributing to this R</w:t>
      </w:r>
      <w:r w:rsidRPr="00EC4B6B">
        <w:rPr>
          <w:rFonts w:ascii="Segoe UI" w:hAnsi="Segoe UI" w:cs="Segoe UI"/>
          <w:sz w:val="22"/>
          <w:szCs w:val="22"/>
        </w:rPr>
        <w:t xml:space="preserve">eview given the role that payments play in the economy. Visa is </w:t>
      </w:r>
      <w:r w:rsidRPr="00EC4B6B">
        <w:rPr>
          <w:rFonts w:ascii="Segoe UI" w:hAnsi="Segoe UI" w:cs="Segoe UI"/>
          <w:bCs/>
          <w:sz w:val="22"/>
          <w:szCs w:val="22"/>
        </w:rPr>
        <w:t xml:space="preserve">a global payments technology company that connects consumers, businesses, financial institutions and governments in more than 200 countries and territories worldwide. Visa is proud to adhere to </w:t>
      </w:r>
      <w:r>
        <w:rPr>
          <w:rFonts w:ascii="Segoe UI" w:hAnsi="Segoe UI" w:cs="Segoe UI"/>
          <w:bCs/>
          <w:sz w:val="22"/>
          <w:szCs w:val="22"/>
        </w:rPr>
        <w:t>its</w:t>
      </w:r>
      <w:r w:rsidRPr="00EC4B6B">
        <w:rPr>
          <w:rFonts w:ascii="Segoe UI" w:hAnsi="Segoe UI" w:cs="Segoe UI"/>
          <w:bCs/>
          <w:sz w:val="22"/>
          <w:szCs w:val="22"/>
        </w:rPr>
        <w:t xml:space="preserve"> corporate </w:t>
      </w:r>
      <w:r>
        <w:rPr>
          <w:rFonts w:ascii="Segoe UI" w:hAnsi="Segoe UI" w:cs="Segoe UI"/>
          <w:bCs/>
          <w:sz w:val="22"/>
          <w:szCs w:val="22"/>
        </w:rPr>
        <w:t>vision</w:t>
      </w:r>
      <w:r w:rsidRPr="00EC4B6B">
        <w:rPr>
          <w:rFonts w:ascii="Segoe UI" w:hAnsi="Segoe UI" w:cs="Segoe UI"/>
          <w:bCs/>
          <w:sz w:val="22"/>
          <w:szCs w:val="22"/>
        </w:rPr>
        <w:t xml:space="preserve"> of being the best way to pay and be paid, for everyone, everywhere. That is, we aspire to be “everywhere you want to be” and we deliver on this through the world’s largest retail electronic payments network.</w:t>
      </w:r>
    </w:p>
    <w:p w14:paraId="34938F96" w14:textId="77777777" w:rsidR="00DF224C" w:rsidRPr="00EC4B6B" w:rsidRDefault="00DF224C" w:rsidP="00DF224C">
      <w:pPr>
        <w:spacing w:line="276" w:lineRule="auto"/>
        <w:rPr>
          <w:rFonts w:ascii="Segoe UI" w:hAnsi="Segoe UI" w:cs="Segoe UI"/>
          <w:sz w:val="22"/>
          <w:szCs w:val="22"/>
        </w:rPr>
      </w:pPr>
    </w:p>
    <w:p w14:paraId="1BF836B3" w14:textId="77777777" w:rsidR="00DF224C" w:rsidRPr="00EC4B6B" w:rsidRDefault="00DF224C" w:rsidP="00DF224C">
      <w:pPr>
        <w:tabs>
          <w:tab w:val="left" w:pos="3360"/>
        </w:tabs>
        <w:spacing w:line="276" w:lineRule="auto"/>
        <w:jc w:val="both"/>
        <w:rPr>
          <w:rFonts w:ascii="Segoe UI" w:hAnsi="Segoe UI" w:cs="Segoe UI"/>
          <w:bCs/>
          <w:sz w:val="22"/>
          <w:szCs w:val="22"/>
        </w:rPr>
      </w:pPr>
      <w:r w:rsidRPr="00EC4B6B">
        <w:rPr>
          <w:rFonts w:ascii="Segoe UI" w:hAnsi="Segoe UI" w:cs="Segoe UI"/>
          <w:bCs/>
          <w:sz w:val="22"/>
          <w:szCs w:val="22"/>
        </w:rPr>
        <w:t>Visa’s global network encompasses 2.3 billion cards making around 98 billion transactions through 14,300 financial institutions.</w:t>
      </w:r>
      <w:r w:rsidR="00DE7F36">
        <w:rPr>
          <w:rStyle w:val="FootnoteReference"/>
          <w:rFonts w:ascii="Segoe UI" w:hAnsi="Segoe UI" w:cs="Segoe UI"/>
          <w:bCs/>
          <w:sz w:val="22"/>
          <w:szCs w:val="22"/>
        </w:rPr>
        <w:footnoteReference w:id="1"/>
      </w:r>
      <w:r w:rsidRPr="00EC4B6B">
        <w:rPr>
          <w:rFonts w:ascii="Segoe UI" w:hAnsi="Segoe UI" w:cs="Segoe UI"/>
          <w:bCs/>
          <w:sz w:val="22"/>
          <w:szCs w:val="22"/>
        </w:rPr>
        <w:t xml:space="preserve"> These participants transacted US$7.4 trillion in total volume of which US$4.8 trillion was payment volume. Around 2.3 million ATMs were also connected to our system. </w:t>
      </w:r>
    </w:p>
    <w:p w14:paraId="1C573643" w14:textId="77777777" w:rsidR="00DF224C" w:rsidRDefault="00DF224C" w:rsidP="00DF224C">
      <w:pPr>
        <w:tabs>
          <w:tab w:val="left" w:pos="3360"/>
        </w:tabs>
        <w:spacing w:line="276" w:lineRule="auto"/>
        <w:jc w:val="both"/>
        <w:rPr>
          <w:rFonts w:ascii="Segoe UI" w:hAnsi="Segoe UI" w:cs="Segoe UI"/>
          <w:bCs/>
          <w:sz w:val="22"/>
          <w:szCs w:val="22"/>
        </w:rPr>
      </w:pPr>
    </w:p>
    <w:p w14:paraId="58C97BE2" w14:textId="77777777" w:rsidR="00DF224C" w:rsidRPr="00EC4B6B" w:rsidRDefault="00DF224C" w:rsidP="00DF224C">
      <w:pPr>
        <w:tabs>
          <w:tab w:val="left" w:pos="3360"/>
        </w:tabs>
        <w:spacing w:line="276" w:lineRule="auto"/>
        <w:jc w:val="both"/>
        <w:rPr>
          <w:rFonts w:ascii="Segoe UI" w:hAnsi="Segoe UI" w:cs="Segoe UI"/>
          <w:bCs/>
          <w:sz w:val="22"/>
          <w:szCs w:val="22"/>
        </w:rPr>
      </w:pPr>
      <w:r w:rsidRPr="00EC4B6B">
        <w:rPr>
          <w:rFonts w:ascii="Segoe UI" w:hAnsi="Segoe UI" w:cs="Segoe UI"/>
          <w:bCs/>
          <w:sz w:val="22"/>
          <w:szCs w:val="22"/>
        </w:rPr>
        <w:t xml:space="preserve">This activity is in turn powered by one of the world's most advanced processing networks, VisaNet, which is capable of handling more than 47,000 transactions per second reliably, conveniently and securely. </w:t>
      </w:r>
    </w:p>
    <w:p w14:paraId="44A27B3F" w14:textId="77777777" w:rsidR="00DF224C" w:rsidRPr="00EC4B6B" w:rsidRDefault="00DF224C" w:rsidP="00DF224C">
      <w:pPr>
        <w:tabs>
          <w:tab w:val="left" w:pos="3360"/>
        </w:tabs>
        <w:spacing w:line="276" w:lineRule="auto"/>
        <w:jc w:val="both"/>
        <w:rPr>
          <w:rFonts w:ascii="Segoe UI" w:hAnsi="Segoe UI" w:cs="Segoe UI"/>
          <w:sz w:val="22"/>
          <w:szCs w:val="22"/>
        </w:rPr>
      </w:pPr>
    </w:p>
    <w:p w14:paraId="285EFA2D" w14:textId="77777777" w:rsidR="00DF224C" w:rsidRPr="00EC4B6B" w:rsidRDefault="00DF224C" w:rsidP="00DF224C">
      <w:pPr>
        <w:spacing w:line="276" w:lineRule="auto"/>
        <w:jc w:val="both"/>
        <w:rPr>
          <w:rFonts w:ascii="Segoe UI" w:hAnsi="Segoe UI" w:cs="Segoe UI"/>
          <w:sz w:val="22"/>
          <w:szCs w:val="22"/>
        </w:rPr>
      </w:pPr>
      <w:r w:rsidRPr="00EC4B6B">
        <w:rPr>
          <w:rFonts w:ascii="Segoe UI" w:hAnsi="Segoe UI" w:cs="Segoe UI"/>
          <w:sz w:val="22"/>
          <w:szCs w:val="22"/>
        </w:rPr>
        <w:t xml:space="preserve">Visa has actively participated in reviews conducted by the </w:t>
      </w:r>
      <w:r w:rsidR="00D72A1E">
        <w:rPr>
          <w:rFonts w:ascii="Segoe UI" w:hAnsi="Segoe UI" w:cs="Segoe UI"/>
          <w:sz w:val="22"/>
          <w:szCs w:val="22"/>
        </w:rPr>
        <w:t>RBA</w:t>
      </w:r>
      <w:r w:rsidRPr="00EC4B6B">
        <w:rPr>
          <w:rFonts w:ascii="Segoe UI" w:hAnsi="Segoe UI" w:cs="Segoe UI"/>
          <w:sz w:val="22"/>
          <w:szCs w:val="22"/>
        </w:rPr>
        <w:t xml:space="preserve"> over the </w:t>
      </w:r>
      <w:r w:rsidR="00DE7F36">
        <w:rPr>
          <w:rFonts w:ascii="Segoe UI" w:hAnsi="Segoe UI" w:cs="Segoe UI"/>
          <w:sz w:val="22"/>
          <w:szCs w:val="22"/>
        </w:rPr>
        <w:t>past</w:t>
      </w:r>
      <w:r w:rsidRPr="00EC4B6B">
        <w:rPr>
          <w:rFonts w:ascii="Segoe UI" w:hAnsi="Segoe UI" w:cs="Segoe UI"/>
          <w:sz w:val="22"/>
          <w:szCs w:val="22"/>
        </w:rPr>
        <w:t xml:space="preserve"> decade.</w:t>
      </w:r>
      <w:r w:rsidRPr="00EC4B6B">
        <w:rPr>
          <w:rStyle w:val="FootnoteReference"/>
          <w:rFonts w:ascii="Segoe UI" w:hAnsi="Segoe UI" w:cs="Segoe UI"/>
          <w:sz w:val="22"/>
          <w:szCs w:val="22"/>
        </w:rPr>
        <w:footnoteReference w:id="2"/>
      </w:r>
      <w:r w:rsidRPr="00EC4B6B">
        <w:rPr>
          <w:rFonts w:ascii="Segoe UI" w:hAnsi="Segoe UI" w:cs="Segoe UI"/>
          <w:sz w:val="22"/>
          <w:szCs w:val="22"/>
        </w:rPr>
        <w:t xml:space="preserve"> More recently, we have participated in the Federal Government’s 2013-14 Financial System Inquiry (FSI).</w:t>
      </w:r>
      <w:r w:rsidRPr="00EC4B6B">
        <w:rPr>
          <w:rStyle w:val="FootnoteReference"/>
          <w:rFonts w:ascii="Segoe UI" w:hAnsi="Segoe UI" w:cs="Segoe UI"/>
          <w:sz w:val="22"/>
          <w:szCs w:val="22"/>
        </w:rPr>
        <w:footnoteReference w:id="3"/>
      </w:r>
      <w:r w:rsidRPr="00EC4B6B">
        <w:rPr>
          <w:rFonts w:ascii="Segoe UI" w:hAnsi="Segoe UI" w:cs="Segoe UI"/>
          <w:sz w:val="22"/>
          <w:szCs w:val="22"/>
        </w:rPr>
        <w:t xml:space="preserve"> In each of our submissions to these reviews Visa has stressed the need for balanced, equally applied and innovation enabling approaches to regulation of electronic payments. </w:t>
      </w:r>
    </w:p>
    <w:p w14:paraId="5EB06577" w14:textId="77777777" w:rsidR="00DF224C" w:rsidRDefault="00DF224C" w:rsidP="00DF224C">
      <w:pPr>
        <w:jc w:val="both"/>
        <w:rPr>
          <w:rFonts w:ascii="Segoe UI" w:hAnsi="Segoe UI" w:cs="Segoe UI"/>
        </w:rPr>
      </w:pPr>
    </w:p>
    <w:p w14:paraId="30316D42" w14:textId="77777777" w:rsidR="00DF224C" w:rsidRDefault="00DF224C" w:rsidP="00DF224C">
      <w:pPr>
        <w:jc w:val="both"/>
        <w:rPr>
          <w:rFonts w:ascii="Segoe UI" w:hAnsi="Segoe UI" w:cs="Segoe UI"/>
          <w:b/>
          <w:bCs/>
          <w:i/>
          <w:iCs/>
          <w:color w:val="4F81BD" w:themeColor="accent1"/>
        </w:rPr>
      </w:pPr>
    </w:p>
    <w:p w14:paraId="73394D72" w14:textId="77777777" w:rsidR="00DF224C" w:rsidRPr="008E0A43" w:rsidRDefault="00DF224C" w:rsidP="00DF224C">
      <w:pPr>
        <w:keepNext/>
        <w:jc w:val="both"/>
        <w:rPr>
          <w:rFonts w:ascii="Segoe UI" w:hAnsi="Segoe UI" w:cs="Segoe UI"/>
          <w:b/>
          <w:bCs/>
          <w:i/>
          <w:iCs/>
          <w:color w:val="4F81BD" w:themeColor="accent1"/>
        </w:rPr>
      </w:pPr>
      <w:r w:rsidRPr="008E0A43">
        <w:rPr>
          <w:rFonts w:ascii="Segoe UI" w:hAnsi="Segoe UI" w:cs="Segoe UI"/>
          <w:b/>
          <w:bCs/>
          <w:i/>
          <w:iCs/>
          <w:color w:val="4F81BD" w:themeColor="accent1"/>
        </w:rPr>
        <w:lastRenderedPageBreak/>
        <w:t>The future of digital payments</w:t>
      </w:r>
    </w:p>
    <w:p w14:paraId="785D11C3" w14:textId="77777777" w:rsidR="00DF224C" w:rsidRDefault="00DF224C" w:rsidP="00DF224C">
      <w:pPr>
        <w:keepNext/>
        <w:jc w:val="both"/>
        <w:rPr>
          <w:rFonts w:ascii="Segoe UI" w:hAnsi="Segoe UI" w:cs="Segoe UI"/>
        </w:rPr>
      </w:pPr>
    </w:p>
    <w:p w14:paraId="257F4FB7" w14:textId="77777777" w:rsidR="00DF224C" w:rsidRPr="00EC4B6B" w:rsidRDefault="00DF224C" w:rsidP="00DF224C">
      <w:pPr>
        <w:keepNext/>
        <w:spacing w:line="276" w:lineRule="auto"/>
        <w:jc w:val="both"/>
        <w:rPr>
          <w:rFonts w:ascii="Segoe UI" w:hAnsi="Segoe UI" w:cs="Segoe UI"/>
          <w:sz w:val="22"/>
          <w:szCs w:val="22"/>
        </w:rPr>
      </w:pPr>
      <w:r w:rsidRPr="00EC4B6B">
        <w:rPr>
          <w:rFonts w:ascii="Segoe UI" w:hAnsi="Segoe UI" w:cs="Segoe UI"/>
          <w:sz w:val="22"/>
          <w:szCs w:val="22"/>
        </w:rPr>
        <w:t xml:space="preserve">Technology is fundamentally changing the relationship between consumers and the businesses that serve them. Looking forward to the next five, or </w:t>
      </w:r>
      <w:r>
        <w:rPr>
          <w:rFonts w:ascii="Segoe UI" w:hAnsi="Segoe UI" w:cs="Segoe UI"/>
          <w:sz w:val="22"/>
          <w:szCs w:val="22"/>
        </w:rPr>
        <w:t>ten</w:t>
      </w:r>
      <w:r w:rsidRPr="00EC4B6B">
        <w:rPr>
          <w:rFonts w:ascii="Segoe UI" w:hAnsi="Segoe UI" w:cs="Segoe UI"/>
          <w:sz w:val="22"/>
          <w:szCs w:val="22"/>
        </w:rPr>
        <w:t xml:space="preserve"> years, we are likely to see </w:t>
      </w:r>
      <w:r w:rsidR="00DE7F36">
        <w:rPr>
          <w:rFonts w:ascii="Segoe UI" w:hAnsi="Segoe UI" w:cs="Segoe UI"/>
          <w:sz w:val="22"/>
          <w:szCs w:val="22"/>
        </w:rPr>
        <w:t>the pace of technological change is only going to accelerate going forward</w:t>
      </w:r>
      <w:r w:rsidRPr="00EC4B6B">
        <w:rPr>
          <w:rFonts w:ascii="Segoe UI" w:hAnsi="Segoe UI" w:cs="Segoe UI"/>
          <w:sz w:val="22"/>
          <w:szCs w:val="22"/>
        </w:rPr>
        <w:t>.</w:t>
      </w:r>
      <w:r>
        <w:rPr>
          <w:rFonts w:ascii="Segoe UI" w:hAnsi="Segoe UI" w:cs="Segoe UI"/>
          <w:sz w:val="22"/>
          <w:szCs w:val="22"/>
        </w:rPr>
        <w:t xml:space="preserve"> </w:t>
      </w:r>
      <w:r w:rsidRPr="00EC4B6B">
        <w:rPr>
          <w:rFonts w:ascii="Segoe UI" w:hAnsi="Segoe UI" w:cs="Segoe UI"/>
          <w:sz w:val="22"/>
          <w:szCs w:val="22"/>
        </w:rPr>
        <w:t xml:space="preserve">The </w:t>
      </w:r>
      <w:r>
        <w:rPr>
          <w:rFonts w:ascii="Segoe UI" w:hAnsi="Segoe UI" w:cs="Segoe UI"/>
          <w:sz w:val="22"/>
          <w:szCs w:val="22"/>
        </w:rPr>
        <w:t xml:space="preserve">internet based </w:t>
      </w:r>
      <w:r w:rsidRPr="00EC4B6B">
        <w:rPr>
          <w:rFonts w:ascii="Segoe UI" w:hAnsi="Segoe UI" w:cs="Segoe UI"/>
          <w:sz w:val="22"/>
          <w:szCs w:val="22"/>
        </w:rPr>
        <w:t>digital revolution has created an almost unlimited ability for companies – from start-ups to the world’s largest</w:t>
      </w:r>
      <w:r>
        <w:rPr>
          <w:rFonts w:ascii="Segoe UI" w:hAnsi="Segoe UI" w:cs="Segoe UI"/>
          <w:sz w:val="22"/>
          <w:szCs w:val="22"/>
        </w:rPr>
        <w:t xml:space="preserve"> players</w:t>
      </w:r>
      <w:r w:rsidRPr="00EC4B6B">
        <w:rPr>
          <w:rFonts w:ascii="Segoe UI" w:hAnsi="Segoe UI" w:cs="Segoe UI"/>
          <w:sz w:val="22"/>
          <w:szCs w:val="22"/>
        </w:rPr>
        <w:t xml:space="preserve"> – to participate in commerce by creating new experiences through mobile, tablets, PCs and future connected devices.</w:t>
      </w:r>
    </w:p>
    <w:p w14:paraId="2021EC49" w14:textId="77777777" w:rsidR="00DF224C" w:rsidRPr="00EC4B6B" w:rsidRDefault="00DF224C" w:rsidP="00DF224C">
      <w:pPr>
        <w:tabs>
          <w:tab w:val="left" w:pos="3360"/>
        </w:tabs>
        <w:jc w:val="both"/>
        <w:rPr>
          <w:rFonts w:ascii="Segoe UI" w:hAnsi="Segoe UI" w:cs="Segoe UI"/>
          <w:bCs/>
          <w:sz w:val="22"/>
          <w:szCs w:val="22"/>
        </w:rPr>
      </w:pPr>
    </w:p>
    <w:p w14:paraId="507266F7" w14:textId="77777777" w:rsidR="00DF224C" w:rsidRPr="00EC4B6B" w:rsidRDefault="00DF224C" w:rsidP="00DF224C">
      <w:pPr>
        <w:tabs>
          <w:tab w:val="left" w:pos="3360"/>
        </w:tabs>
        <w:spacing w:line="276" w:lineRule="auto"/>
        <w:jc w:val="both"/>
        <w:rPr>
          <w:rFonts w:ascii="Segoe UI" w:hAnsi="Segoe UI" w:cs="Segoe UI"/>
          <w:bCs/>
          <w:sz w:val="22"/>
          <w:szCs w:val="22"/>
        </w:rPr>
      </w:pPr>
      <w:r w:rsidRPr="00EC4B6B">
        <w:rPr>
          <w:rFonts w:ascii="Segoe UI" w:hAnsi="Segoe UI" w:cs="Segoe UI"/>
          <w:bCs/>
          <w:sz w:val="22"/>
          <w:szCs w:val="22"/>
        </w:rPr>
        <w:t>This speed of innovation means it’s critical for government and regulators to recommend changes that give the payment system room to adapt to future developments</w:t>
      </w:r>
      <w:r>
        <w:rPr>
          <w:rFonts w:ascii="Segoe UI" w:hAnsi="Segoe UI" w:cs="Segoe UI"/>
          <w:bCs/>
          <w:sz w:val="22"/>
          <w:szCs w:val="22"/>
        </w:rPr>
        <w:t xml:space="preserve"> in the fast evolving financial and digital landscape.</w:t>
      </w:r>
      <w:r w:rsidRPr="00EC4B6B">
        <w:rPr>
          <w:rFonts w:ascii="Segoe UI" w:hAnsi="Segoe UI" w:cs="Segoe UI"/>
          <w:bCs/>
          <w:sz w:val="22"/>
          <w:szCs w:val="22"/>
        </w:rPr>
        <w:t xml:space="preserve"> </w:t>
      </w:r>
    </w:p>
    <w:p w14:paraId="4FE4DF48" w14:textId="77777777" w:rsidR="00DF224C" w:rsidRPr="00EC4B6B" w:rsidRDefault="00DF224C" w:rsidP="00DF224C">
      <w:pPr>
        <w:tabs>
          <w:tab w:val="left" w:pos="3360"/>
        </w:tabs>
        <w:spacing w:line="276" w:lineRule="auto"/>
        <w:jc w:val="both"/>
        <w:rPr>
          <w:rFonts w:ascii="Segoe UI" w:hAnsi="Segoe UI" w:cs="Segoe UI"/>
          <w:bCs/>
          <w:sz w:val="22"/>
          <w:szCs w:val="22"/>
        </w:rPr>
      </w:pPr>
    </w:p>
    <w:p w14:paraId="1A56A6EC" w14:textId="77777777" w:rsidR="00DF224C" w:rsidRPr="00EC4B6B" w:rsidRDefault="00DF224C" w:rsidP="00DF224C">
      <w:pPr>
        <w:tabs>
          <w:tab w:val="left" w:pos="3360"/>
        </w:tabs>
        <w:spacing w:line="276" w:lineRule="auto"/>
        <w:jc w:val="both"/>
        <w:rPr>
          <w:rFonts w:ascii="Segoe UI" w:hAnsi="Segoe UI" w:cs="Segoe UI"/>
          <w:bCs/>
          <w:sz w:val="22"/>
          <w:szCs w:val="22"/>
        </w:rPr>
      </w:pPr>
      <w:r w:rsidRPr="00EC4B6B">
        <w:rPr>
          <w:rFonts w:ascii="Segoe UI" w:hAnsi="Segoe UI" w:cs="Segoe UI"/>
          <w:bCs/>
          <w:sz w:val="22"/>
          <w:szCs w:val="22"/>
        </w:rPr>
        <w:t xml:space="preserve">We </w:t>
      </w:r>
      <w:r>
        <w:rPr>
          <w:rFonts w:ascii="Segoe UI" w:hAnsi="Segoe UI" w:cs="Segoe UI"/>
          <w:bCs/>
          <w:sz w:val="22"/>
          <w:szCs w:val="22"/>
        </w:rPr>
        <w:t xml:space="preserve">support </w:t>
      </w:r>
      <w:r w:rsidRPr="00EC4B6B">
        <w:rPr>
          <w:rFonts w:ascii="Segoe UI" w:hAnsi="Segoe UI" w:cs="Segoe UI"/>
          <w:bCs/>
          <w:sz w:val="22"/>
          <w:szCs w:val="22"/>
        </w:rPr>
        <w:t xml:space="preserve">the </w:t>
      </w:r>
      <w:r>
        <w:rPr>
          <w:rFonts w:ascii="Segoe UI" w:hAnsi="Segoe UI" w:cs="Segoe UI"/>
          <w:bCs/>
          <w:sz w:val="22"/>
          <w:szCs w:val="22"/>
        </w:rPr>
        <w:t>FSI’s intent</w:t>
      </w:r>
      <w:r w:rsidR="00DE7F36">
        <w:rPr>
          <w:rFonts w:ascii="Segoe UI" w:hAnsi="Segoe UI" w:cs="Segoe UI"/>
          <w:bCs/>
          <w:sz w:val="22"/>
          <w:szCs w:val="22"/>
        </w:rPr>
        <w:t>ion</w:t>
      </w:r>
      <w:r>
        <w:rPr>
          <w:rFonts w:ascii="Segoe UI" w:hAnsi="Segoe UI" w:cs="Segoe UI"/>
          <w:bCs/>
          <w:sz w:val="22"/>
          <w:szCs w:val="22"/>
        </w:rPr>
        <w:t xml:space="preserve"> that </w:t>
      </w:r>
      <w:r w:rsidR="00DE7F36">
        <w:rPr>
          <w:rFonts w:ascii="Segoe UI" w:hAnsi="Segoe UI" w:cs="Segoe UI"/>
          <w:bCs/>
          <w:sz w:val="22"/>
          <w:szCs w:val="22"/>
        </w:rPr>
        <w:t xml:space="preserve">future </w:t>
      </w:r>
      <w:r>
        <w:rPr>
          <w:rFonts w:ascii="Segoe UI" w:hAnsi="Segoe UI" w:cs="Segoe UI"/>
          <w:bCs/>
          <w:sz w:val="22"/>
          <w:szCs w:val="22"/>
        </w:rPr>
        <w:t xml:space="preserve">regulations should be agnostic to </w:t>
      </w:r>
      <w:r w:rsidRPr="00EC4B6B">
        <w:rPr>
          <w:rFonts w:ascii="Segoe UI" w:hAnsi="Segoe UI" w:cs="Segoe UI"/>
          <w:bCs/>
          <w:sz w:val="22"/>
          <w:szCs w:val="22"/>
        </w:rPr>
        <w:t xml:space="preserve">any mode of technology </w:t>
      </w:r>
      <w:r>
        <w:rPr>
          <w:rFonts w:ascii="Segoe UI" w:hAnsi="Segoe UI" w:cs="Segoe UI"/>
          <w:bCs/>
          <w:sz w:val="22"/>
          <w:szCs w:val="22"/>
        </w:rPr>
        <w:t>so as to support</w:t>
      </w:r>
      <w:r w:rsidRPr="00EC4B6B">
        <w:rPr>
          <w:rFonts w:ascii="Segoe UI" w:hAnsi="Segoe UI" w:cs="Segoe UI"/>
          <w:bCs/>
          <w:sz w:val="22"/>
          <w:szCs w:val="22"/>
        </w:rPr>
        <w:t xml:space="preserve"> innovation, access and use. Visa supports </w:t>
      </w:r>
      <w:r w:rsidR="00DE7F36">
        <w:rPr>
          <w:rFonts w:ascii="Segoe UI" w:hAnsi="Segoe UI" w:cs="Segoe UI"/>
          <w:bCs/>
          <w:sz w:val="22"/>
          <w:szCs w:val="22"/>
        </w:rPr>
        <w:t>the Government to establish a new</w:t>
      </w:r>
      <w:r>
        <w:rPr>
          <w:rFonts w:ascii="Segoe UI" w:hAnsi="Segoe UI" w:cs="Segoe UI"/>
          <w:bCs/>
          <w:sz w:val="22"/>
          <w:szCs w:val="22"/>
        </w:rPr>
        <w:t xml:space="preserve"> </w:t>
      </w:r>
      <w:r w:rsidRPr="00EC4B6B">
        <w:rPr>
          <w:rFonts w:ascii="Segoe UI" w:hAnsi="Segoe UI" w:cs="Segoe UI"/>
          <w:bCs/>
          <w:sz w:val="22"/>
          <w:szCs w:val="22"/>
        </w:rPr>
        <w:t>industry working group on these matters</w:t>
      </w:r>
      <w:r>
        <w:rPr>
          <w:rFonts w:ascii="Segoe UI" w:hAnsi="Segoe UI" w:cs="Segoe UI"/>
          <w:bCs/>
          <w:sz w:val="22"/>
          <w:szCs w:val="22"/>
        </w:rPr>
        <w:t xml:space="preserve">. We would welcome the RBA </w:t>
      </w:r>
      <w:r w:rsidRPr="00EC4B6B">
        <w:rPr>
          <w:rFonts w:ascii="Segoe UI" w:hAnsi="Segoe UI" w:cs="Segoe UI"/>
          <w:bCs/>
          <w:sz w:val="22"/>
          <w:szCs w:val="22"/>
        </w:rPr>
        <w:t>play</w:t>
      </w:r>
      <w:r>
        <w:rPr>
          <w:rFonts w:ascii="Segoe UI" w:hAnsi="Segoe UI" w:cs="Segoe UI"/>
          <w:bCs/>
          <w:sz w:val="22"/>
          <w:szCs w:val="22"/>
        </w:rPr>
        <w:t>ing</w:t>
      </w:r>
      <w:r w:rsidRPr="00EC4B6B">
        <w:rPr>
          <w:rFonts w:ascii="Segoe UI" w:hAnsi="Segoe UI" w:cs="Segoe UI"/>
          <w:bCs/>
          <w:sz w:val="22"/>
          <w:szCs w:val="22"/>
        </w:rPr>
        <w:t xml:space="preserve"> an active role in this group</w:t>
      </w:r>
      <w:r>
        <w:rPr>
          <w:rFonts w:ascii="Segoe UI" w:hAnsi="Segoe UI" w:cs="Segoe UI"/>
          <w:bCs/>
          <w:sz w:val="22"/>
          <w:szCs w:val="22"/>
        </w:rPr>
        <w:t>.</w:t>
      </w:r>
    </w:p>
    <w:p w14:paraId="094E7671" w14:textId="77777777" w:rsidR="00DF224C" w:rsidRPr="00EC4B6B" w:rsidRDefault="00DF224C" w:rsidP="00DF224C">
      <w:pPr>
        <w:tabs>
          <w:tab w:val="left" w:pos="3360"/>
        </w:tabs>
        <w:jc w:val="both"/>
        <w:rPr>
          <w:rFonts w:ascii="Segoe UI" w:hAnsi="Segoe UI" w:cs="Segoe UI"/>
          <w:bCs/>
          <w:sz w:val="22"/>
          <w:szCs w:val="22"/>
        </w:rPr>
      </w:pPr>
    </w:p>
    <w:p w14:paraId="22228433" w14:textId="77777777" w:rsidR="00DF224C" w:rsidRPr="008E0A43" w:rsidRDefault="00DF224C" w:rsidP="00DF224C">
      <w:pPr>
        <w:jc w:val="both"/>
        <w:rPr>
          <w:rFonts w:ascii="Segoe UI" w:hAnsi="Segoe UI" w:cs="Segoe UI"/>
          <w:b/>
          <w:bCs/>
          <w:i/>
          <w:iCs/>
          <w:color w:val="4F81BD" w:themeColor="accent1"/>
        </w:rPr>
      </w:pPr>
      <w:r>
        <w:rPr>
          <w:rFonts w:ascii="Segoe UI" w:hAnsi="Segoe UI" w:cs="Segoe UI"/>
          <w:b/>
          <w:bCs/>
          <w:i/>
          <w:iCs/>
          <w:color w:val="4F81BD" w:themeColor="accent1"/>
        </w:rPr>
        <w:t xml:space="preserve">Competitive neutrality </w:t>
      </w:r>
    </w:p>
    <w:p w14:paraId="21366661" w14:textId="77777777" w:rsidR="00DF224C" w:rsidRDefault="00DF224C" w:rsidP="00DF224C">
      <w:pPr>
        <w:spacing w:line="276" w:lineRule="auto"/>
        <w:rPr>
          <w:rFonts w:ascii="Segoe UI" w:hAnsi="Segoe UI" w:cs="Segoe UI"/>
          <w:bCs/>
        </w:rPr>
      </w:pPr>
    </w:p>
    <w:p w14:paraId="3F026683" w14:textId="77777777" w:rsidR="00DF224C" w:rsidRDefault="00DF224C" w:rsidP="00DF224C">
      <w:pPr>
        <w:spacing w:line="276" w:lineRule="auto"/>
        <w:jc w:val="both"/>
        <w:rPr>
          <w:rFonts w:ascii="Segoe UI" w:hAnsi="Segoe UI" w:cs="Segoe UI"/>
          <w:sz w:val="22"/>
          <w:szCs w:val="22"/>
        </w:rPr>
      </w:pPr>
      <w:r>
        <w:rPr>
          <w:rFonts w:ascii="Segoe UI" w:hAnsi="Segoe UI" w:cs="Segoe UI"/>
          <w:bCs/>
          <w:sz w:val="22"/>
          <w:szCs w:val="22"/>
        </w:rPr>
        <w:t xml:space="preserve">As the FSI process has highlighted, there is currently </w:t>
      </w:r>
      <w:r w:rsidRPr="00EC4B6B">
        <w:rPr>
          <w:rFonts w:ascii="Segoe UI" w:hAnsi="Segoe UI" w:cs="Segoe UI"/>
          <w:sz w:val="22"/>
          <w:szCs w:val="22"/>
        </w:rPr>
        <w:t xml:space="preserve">a lack of competitive neutrality in the regulation of payments in Australia, particularly in relation to interchange </w:t>
      </w:r>
      <w:r w:rsidR="00D72A1E">
        <w:rPr>
          <w:rFonts w:ascii="Segoe UI" w:hAnsi="Segoe UI" w:cs="Segoe UI"/>
          <w:sz w:val="22"/>
          <w:szCs w:val="22"/>
        </w:rPr>
        <w:t>and</w:t>
      </w:r>
      <w:r w:rsidRPr="00EC4B6B">
        <w:rPr>
          <w:rFonts w:ascii="Segoe UI" w:hAnsi="Segoe UI" w:cs="Segoe UI"/>
          <w:sz w:val="22"/>
          <w:szCs w:val="22"/>
        </w:rPr>
        <w:t xml:space="preserve"> also more broadly</w:t>
      </w:r>
      <w:r>
        <w:rPr>
          <w:rFonts w:ascii="Segoe UI" w:hAnsi="Segoe UI" w:cs="Segoe UI"/>
          <w:sz w:val="22"/>
          <w:szCs w:val="22"/>
        </w:rPr>
        <w:t xml:space="preserve"> (see following box)</w:t>
      </w:r>
      <w:r w:rsidRPr="00EC4B6B">
        <w:rPr>
          <w:rFonts w:ascii="Segoe UI" w:hAnsi="Segoe UI" w:cs="Segoe UI"/>
          <w:sz w:val="22"/>
          <w:szCs w:val="22"/>
        </w:rPr>
        <w:t>.</w:t>
      </w:r>
    </w:p>
    <w:p w14:paraId="5A23902C" w14:textId="77777777" w:rsidR="00DF224C" w:rsidRDefault="00DF224C" w:rsidP="00DF224C">
      <w:pPr>
        <w:spacing w:line="276" w:lineRule="auto"/>
        <w:rPr>
          <w:rFonts w:ascii="Segoe UI" w:hAnsi="Segoe UI" w:cs="Segoe UI"/>
          <w:sz w:val="22"/>
          <w:szCs w:val="22"/>
        </w:rPr>
      </w:pPr>
    </w:p>
    <w:tbl>
      <w:tblPr>
        <w:tblStyle w:val="TableGrid"/>
        <w:tblW w:w="0" w:type="auto"/>
        <w:tblBorders>
          <w:insideH w:val="none" w:sz="0" w:space="0" w:color="auto"/>
          <w:insideV w:val="none" w:sz="0" w:space="0" w:color="auto"/>
        </w:tblBorders>
        <w:shd w:val="clear" w:color="auto" w:fill="D9D9D9"/>
        <w:tblLook w:val="04A0" w:firstRow="1" w:lastRow="0" w:firstColumn="1" w:lastColumn="0" w:noHBand="0" w:noVBand="1"/>
      </w:tblPr>
      <w:tblGrid>
        <w:gridCol w:w="9243"/>
      </w:tblGrid>
      <w:tr w:rsidR="00DF224C" w14:paraId="33E67D7F" w14:textId="77777777" w:rsidTr="00653966">
        <w:tc>
          <w:tcPr>
            <w:tcW w:w="9280" w:type="dxa"/>
            <w:shd w:val="clear" w:color="auto" w:fill="D9D9D9"/>
          </w:tcPr>
          <w:p w14:paraId="215EC6FF" w14:textId="77777777" w:rsidR="00DF224C" w:rsidRPr="00F540C1" w:rsidRDefault="00DF224C" w:rsidP="00653966">
            <w:pPr>
              <w:spacing w:line="276" w:lineRule="auto"/>
              <w:rPr>
                <w:rFonts w:ascii="Segoe UI" w:hAnsi="Segoe UI" w:cs="Segoe UI"/>
                <w:b/>
                <w:color w:val="4F81BD" w:themeColor="accent1"/>
                <w:sz w:val="22"/>
                <w:szCs w:val="22"/>
              </w:rPr>
            </w:pPr>
            <w:r>
              <w:rPr>
                <w:rFonts w:ascii="Segoe UI" w:hAnsi="Segoe UI" w:cs="Segoe UI"/>
                <w:b/>
                <w:color w:val="4F81BD" w:themeColor="accent1"/>
                <w:sz w:val="22"/>
                <w:szCs w:val="22"/>
              </w:rPr>
              <w:t xml:space="preserve">Current regulations are not applied equally to all players </w:t>
            </w:r>
          </w:p>
          <w:p w14:paraId="4C04E466" w14:textId="77777777" w:rsidR="00DF224C" w:rsidRDefault="00DF224C" w:rsidP="00653966">
            <w:pPr>
              <w:spacing w:line="276" w:lineRule="auto"/>
              <w:rPr>
                <w:rFonts w:ascii="Segoe UI" w:hAnsi="Segoe UI" w:cs="Segoe UI"/>
                <w:sz w:val="22"/>
                <w:szCs w:val="22"/>
              </w:rPr>
            </w:pPr>
          </w:p>
          <w:p w14:paraId="72BB0CFF" w14:textId="0B152FA8" w:rsidR="00DF224C" w:rsidRPr="00F540C1" w:rsidRDefault="00DF224C" w:rsidP="0089281F">
            <w:pPr>
              <w:spacing w:line="276" w:lineRule="auto"/>
              <w:ind w:left="144" w:right="144"/>
              <w:jc w:val="both"/>
              <w:rPr>
                <w:rFonts w:ascii="Segoe UI" w:hAnsi="Segoe UI" w:cs="Segoe UI"/>
                <w:sz w:val="22"/>
                <w:szCs w:val="22"/>
              </w:rPr>
            </w:pPr>
            <w:r w:rsidRPr="00F540C1">
              <w:rPr>
                <w:rFonts w:ascii="Segoe UI" w:hAnsi="Segoe UI" w:cs="Segoe UI"/>
                <w:sz w:val="22"/>
                <w:szCs w:val="22"/>
              </w:rPr>
              <w:t xml:space="preserve">The RBA has regulated traditional four-party model schemes, being Visa and MasterCard, </w:t>
            </w:r>
            <w:r>
              <w:rPr>
                <w:rFonts w:ascii="Segoe UI" w:hAnsi="Segoe UI" w:cs="Segoe UI"/>
                <w:sz w:val="22"/>
                <w:szCs w:val="22"/>
              </w:rPr>
              <w:t xml:space="preserve">which </w:t>
            </w:r>
            <w:r w:rsidRPr="00F540C1">
              <w:rPr>
                <w:rFonts w:ascii="Segoe UI" w:hAnsi="Segoe UI" w:cs="Segoe UI"/>
                <w:sz w:val="22"/>
                <w:szCs w:val="22"/>
              </w:rPr>
              <w:t xml:space="preserve">were in operation at the commencement of the </w:t>
            </w:r>
            <w:r w:rsidRPr="00BA0FCE">
              <w:rPr>
                <w:rFonts w:ascii="Segoe UI" w:hAnsi="Segoe UI" w:cs="Segoe UI"/>
                <w:i/>
                <w:sz w:val="22"/>
                <w:szCs w:val="22"/>
              </w:rPr>
              <w:t>Payment Systems (Regulation) Act 1998</w:t>
            </w:r>
            <w:r w:rsidRPr="00F540C1">
              <w:rPr>
                <w:rFonts w:ascii="Segoe UI" w:hAnsi="Segoe UI" w:cs="Segoe UI"/>
                <w:sz w:val="22"/>
                <w:szCs w:val="22"/>
              </w:rPr>
              <w:t>, but has not regulated traditional three-party model schemes, namely American Express and Diners Card, even as those schemes opened their traditional ‘closed loop’ model to become</w:t>
            </w:r>
            <w:r w:rsidR="00D45F7B">
              <w:rPr>
                <w:rFonts w:ascii="Segoe UI" w:hAnsi="Segoe UI" w:cs="Segoe UI"/>
                <w:sz w:val="22"/>
                <w:szCs w:val="22"/>
              </w:rPr>
              <w:t xml:space="preserve"> “hybrid”</w:t>
            </w:r>
            <w:r w:rsidRPr="00F540C1">
              <w:rPr>
                <w:rFonts w:ascii="Segoe UI" w:hAnsi="Segoe UI" w:cs="Segoe UI"/>
                <w:sz w:val="22"/>
                <w:szCs w:val="22"/>
              </w:rPr>
              <w:t xml:space="preserve"> four</w:t>
            </w:r>
            <w:r w:rsidR="00D45F7B">
              <w:rPr>
                <w:rFonts w:ascii="Segoe UI" w:hAnsi="Segoe UI" w:cs="Segoe UI"/>
                <w:sz w:val="22"/>
                <w:szCs w:val="22"/>
              </w:rPr>
              <w:t>-</w:t>
            </w:r>
            <w:r w:rsidRPr="00F540C1">
              <w:rPr>
                <w:rFonts w:ascii="Segoe UI" w:hAnsi="Segoe UI" w:cs="Segoe UI"/>
                <w:sz w:val="22"/>
                <w:szCs w:val="22"/>
              </w:rPr>
              <w:t xml:space="preserve">party </w:t>
            </w:r>
            <w:r w:rsidR="00D45F7B">
              <w:rPr>
                <w:rFonts w:ascii="Segoe UI" w:hAnsi="Segoe UI" w:cs="Segoe UI"/>
                <w:sz w:val="22"/>
                <w:szCs w:val="22"/>
              </w:rPr>
              <w:t xml:space="preserve">schemes </w:t>
            </w:r>
            <w:r w:rsidRPr="00F540C1">
              <w:rPr>
                <w:rFonts w:ascii="Segoe UI" w:hAnsi="Segoe UI" w:cs="Segoe UI"/>
                <w:sz w:val="22"/>
                <w:szCs w:val="22"/>
              </w:rPr>
              <w:t>(</w:t>
            </w:r>
            <w:r w:rsidR="00D45F7B">
              <w:rPr>
                <w:rFonts w:ascii="Segoe UI" w:hAnsi="Segoe UI" w:cs="Segoe UI"/>
                <w:sz w:val="22"/>
                <w:szCs w:val="22"/>
              </w:rPr>
              <w:t>such as American Express</w:t>
            </w:r>
            <w:r w:rsidR="00D45F7B" w:rsidRPr="00F540C1">
              <w:rPr>
                <w:rFonts w:ascii="Segoe UI" w:hAnsi="Segoe UI" w:cs="Segoe UI"/>
                <w:sz w:val="22"/>
                <w:szCs w:val="22"/>
              </w:rPr>
              <w:t xml:space="preserve"> </w:t>
            </w:r>
            <w:r w:rsidRPr="00F540C1">
              <w:rPr>
                <w:rFonts w:ascii="Segoe UI" w:hAnsi="Segoe UI" w:cs="Segoe UI"/>
                <w:sz w:val="22"/>
                <w:szCs w:val="22"/>
              </w:rPr>
              <w:t>Global Network Services</w:t>
            </w:r>
            <w:r w:rsidR="00D45F7B">
              <w:rPr>
                <w:rFonts w:ascii="Segoe UI" w:hAnsi="Segoe UI" w:cs="Segoe UI"/>
                <w:sz w:val="22"/>
                <w:szCs w:val="22"/>
              </w:rPr>
              <w:t xml:space="preserve"> (</w:t>
            </w:r>
            <w:r w:rsidRPr="00F540C1">
              <w:rPr>
                <w:rFonts w:ascii="Segoe UI" w:hAnsi="Segoe UI" w:cs="Segoe UI"/>
                <w:sz w:val="22"/>
                <w:szCs w:val="22"/>
              </w:rPr>
              <w:t>GNS</w:t>
            </w:r>
            <w:r w:rsidR="00D45F7B">
              <w:rPr>
                <w:rFonts w:ascii="Segoe UI" w:hAnsi="Segoe UI" w:cs="Segoe UI"/>
                <w:sz w:val="22"/>
                <w:szCs w:val="22"/>
              </w:rPr>
              <w:t>)</w:t>
            </w:r>
            <w:r w:rsidRPr="00F540C1">
              <w:rPr>
                <w:rFonts w:ascii="Segoe UI" w:hAnsi="Segoe UI" w:cs="Segoe UI"/>
                <w:sz w:val="22"/>
                <w:szCs w:val="22"/>
              </w:rPr>
              <w:t>, and Diners Card companion cards). Further, new entrant</w:t>
            </w:r>
            <w:r w:rsidR="00D55A30">
              <w:rPr>
                <w:rFonts w:ascii="Segoe UI" w:hAnsi="Segoe UI" w:cs="Segoe UI"/>
                <w:sz w:val="22"/>
                <w:szCs w:val="22"/>
              </w:rPr>
              <w:t>s</w:t>
            </w:r>
            <w:r w:rsidR="005F12D3">
              <w:rPr>
                <w:rFonts w:ascii="Segoe UI" w:hAnsi="Segoe UI" w:cs="Segoe UI"/>
                <w:sz w:val="22"/>
                <w:szCs w:val="22"/>
              </w:rPr>
              <w:t>,</w:t>
            </w:r>
            <w:r w:rsidRPr="00F540C1">
              <w:rPr>
                <w:rFonts w:ascii="Segoe UI" w:hAnsi="Segoe UI" w:cs="Segoe UI"/>
                <w:sz w:val="22"/>
                <w:szCs w:val="22"/>
              </w:rPr>
              <w:t xml:space="preserve"> </w:t>
            </w:r>
            <w:r>
              <w:rPr>
                <w:rFonts w:ascii="Segoe UI" w:hAnsi="Segoe UI" w:cs="Segoe UI"/>
                <w:sz w:val="22"/>
                <w:szCs w:val="22"/>
              </w:rPr>
              <w:t xml:space="preserve">such as </w:t>
            </w:r>
            <w:r w:rsidRPr="00F540C1">
              <w:rPr>
                <w:rFonts w:ascii="Segoe UI" w:hAnsi="Segoe UI" w:cs="Segoe UI"/>
                <w:sz w:val="22"/>
                <w:szCs w:val="22"/>
              </w:rPr>
              <w:t>UnionPay</w:t>
            </w:r>
            <w:r>
              <w:rPr>
                <w:rFonts w:ascii="Segoe UI" w:hAnsi="Segoe UI" w:cs="Segoe UI"/>
                <w:sz w:val="22"/>
                <w:szCs w:val="22"/>
              </w:rPr>
              <w:t xml:space="preserve"> and Paypal</w:t>
            </w:r>
            <w:r w:rsidR="005F12D3">
              <w:rPr>
                <w:rFonts w:ascii="Segoe UI" w:hAnsi="Segoe UI" w:cs="Segoe UI"/>
                <w:sz w:val="22"/>
                <w:szCs w:val="22"/>
              </w:rPr>
              <w:t>,</w:t>
            </w:r>
            <w:r>
              <w:rPr>
                <w:rFonts w:ascii="Segoe UI" w:hAnsi="Segoe UI" w:cs="Segoe UI"/>
                <w:sz w:val="22"/>
                <w:szCs w:val="22"/>
              </w:rPr>
              <w:t xml:space="preserve"> are currently </w:t>
            </w:r>
            <w:r w:rsidRPr="00F540C1">
              <w:rPr>
                <w:rFonts w:ascii="Segoe UI" w:hAnsi="Segoe UI" w:cs="Segoe UI"/>
                <w:sz w:val="22"/>
                <w:szCs w:val="22"/>
              </w:rPr>
              <w:t>excluded from designation</w:t>
            </w:r>
            <w:r>
              <w:rPr>
                <w:rFonts w:ascii="Segoe UI" w:hAnsi="Segoe UI" w:cs="Segoe UI"/>
                <w:sz w:val="22"/>
                <w:szCs w:val="22"/>
              </w:rPr>
              <w:t xml:space="preserve"> creating an unlevel playing field</w:t>
            </w:r>
            <w:r w:rsidRPr="00F540C1">
              <w:rPr>
                <w:rFonts w:ascii="Segoe UI" w:hAnsi="Segoe UI" w:cs="Segoe UI"/>
                <w:sz w:val="22"/>
                <w:szCs w:val="22"/>
              </w:rPr>
              <w:t>.</w:t>
            </w:r>
          </w:p>
          <w:p w14:paraId="0CEE7AB7" w14:textId="77777777" w:rsidR="00DF224C" w:rsidRDefault="00DF224C" w:rsidP="00653966">
            <w:pPr>
              <w:spacing w:line="276" w:lineRule="auto"/>
              <w:rPr>
                <w:rFonts w:ascii="Segoe UI" w:hAnsi="Segoe UI" w:cs="Segoe UI"/>
                <w:sz w:val="22"/>
                <w:szCs w:val="22"/>
              </w:rPr>
            </w:pPr>
          </w:p>
        </w:tc>
      </w:tr>
    </w:tbl>
    <w:p w14:paraId="2C6941C3" w14:textId="77777777" w:rsidR="00DF224C" w:rsidRDefault="00DF224C" w:rsidP="00DF224C">
      <w:pPr>
        <w:spacing w:line="276" w:lineRule="auto"/>
        <w:rPr>
          <w:rFonts w:ascii="Segoe UI" w:hAnsi="Segoe UI" w:cs="Segoe UI"/>
          <w:sz w:val="22"/>
          <w:szCs w:val="22"/>
        </w:rPr>
      </w:pPr>
    </w:p>
    <w:p w14:paraId="5D0C9A66" w14:textId="77777777" w:rsidR="00DF224C" w:rsidRDefault="00DF224C" w:rsidP="00DF224C">
      <w:pPr>
        <w:spacing w:line="276" w:lineRule="auto"/>
        <w:jc w:val="both"/>
        <w:rPr>
          <w:rFonts w:ascii="Segoe UI" w:hAnsi="Segoe UI" w:cs="Segoe UI"/>
          <w:sz w:val="22"/>
          <w:szCs w:val="22"/>
        </w:rPr>
      </w:pPr>
      <w:r w:rsidRPr="00EC4B6B">
        <w:rPr>
          <w:rFonts w:ascii="Segoe UI" w:hAnsi="Segoe UI" w:cs="Segoe UI"/>
          <w:sz w:val="22"/>
          <w:szCs w:val="22"/>
        </w:rPr>
        <w:lastRenderedPageBreak/>
        <w:t xml:space="preserve">This </w:t>
      </w:r>
      <w:r>
        <w:rPr>
          <w:rFonts w:ascii="Segoe UI" w:hAnsi="Segoe UI" w:cs="Segoe UI"/>
          <w:sz w:val="22"/>
          <w:szCs w:val="22"/>
        </w:rPr>
        <w:t xml:space="preserve">competitive </w:t>
      </w:r>
      <w:r w:rsidRPr="00EC4B6B">
        <w:rPr>
          <w:rFonts w:ascii="Segoe UI" w:hAnsi="Segoe UI" w:cs="Segoe UI"/>
          <w:sz w:val="22"/>
          <w:szCs w:val="22"/>
        </w:rPr>
        <w:t xml:space="preserve">disparity has </w:t>
      </w:r>
      <w:r>
        <w:rPr>
          <w:rFonts w:ascii="Segoe UI" w:hAnsi="Segoe UI" w:cs="Segoe UI"/>
          <w:sz w:val="22"/>
          <w:szCs w:val="22"/>
        </w:rPr>
        <w:t xml:space="preserve">cost around </w:t>
      </w:r>
      <w:r w:rsidRPr="0089281F">
        <w:rPr>
          <w:rFonts w:ascii="Segoe UI" w:hAnsi="Segoe UI" w:cs="Segoe UI"/>
          <w:sz w:val="22"/>
          <w:szCs w:val="22"/>
        </w:rPr>
        <w:t>A$770 million</w:t>
      </w:r>
      <w:r w:rsidRPr="00C674C7">
        <w:rPr>
          <w:rFonts w:ascii="Segoe UI" w:hAnsi="Segoe UI" w:cs="Segoe UI"/>
          <w:sz w:val="22"/>
          <w:szCs w:val="22"/>
        </w:rPr>
        <w:t xml:space="preserve"> </w:t>
      </w:r>
      <w:r>
        <w:rPr>
          <w:rFonts w:ascii="Segoe UI" w:hAnsi="Segoe UI" w:cs="Segoe UI"/>
          <w:sz w:val="22"/>
          <w:szCs w:val="22"/>
        </w:rPr>
        <w:t xml:space="preserve">(in 2013 dollars) to the </w:t>
      </w:r>
      <w:r w:rsidRPr="00EC4B6B">
        <w:rPr>
          <w:rFonts w:ascii="Segoe UI" w:hAnsi="Segoe UI" w:cs="Segoe UI"/>
          <w:sz w:val="22"/>
          <w:szCs w:val="22"/>
        </w:rPr>
        <w:t>Australian payment system end-users</w:t>
      </w:r>
      <w:r>
        <w:rPr>
          <w:rFonts w:ascii="Segoe UI" w:hAnsi="Segoe UI" w:cs="Segoe UI"/>
          <w:sz w:val="22"/>
          <w:szCs w:val="22"/>
        </w:rPr>
        <w:t xml:space="preserve"> </w:t>
      </w:r>
      <w:r w:rsidRPr="00C674C7">
        <w:rPr>
          <w:rFonts w:ascii="Segoe UI" w:hAnsi="Segoe UI" w:cs="Segoe UI"/>
          <w:sz w:val="22"/>
          <w:szCs w:val="22"/>
        </w:rPr>
        <w:t xml:space="preserve">since the </w:t>
      </w:r>
      <w:r>
        <w:rPr>
          <w:rFonts w:ascii="Segoe UI" w:hAnsi="Segoe UI" w:cs="Segoe UI"/>
          <w:sz w:val="22"/>
          <w:szCs w:val="22"/>
        </w:rPr>
        <w:t xml:space="preserve">regulations were </w:t>
      </w:r>
      <w:r w:rsidRPr="00C674C7">
        <w:rPr>
          <w:rFonts w:ascii="Segoe UI" w:hAnsi="Segoe UI" w:cs="Segoe UI"/>
          <w:sz w:val="22"/>
          <w:szCs w:val="22"/>
        </w:rPr>
        <w:t>first established</w:t>
      </w:r>
      <w:r>
        <w:rPr>
          <w:rFonts w:ascii="Segoe UI" w:hAnsi="Segoe UI" w:cs="Segoe UI"/>
          <w:sz w:val="22"/>
          <w:szCs w:val="22"/>
        </w:rPr>
        <w:t xml:space="preserve"> and after higher cost, unregulated cards entered the market.</w:t>
      </w:r>
      <w:r>
        <w:rPr>
          <w:rStyle w:val="FootnoteReference"/>
          <w:rFonts w:ascii="Segoe UI" w:hAnsi="Segoe UI" w:cs="Segoe UI"/>
          <w:sz w:val="22"/>
          <w:szCs w:val="22"/>
        </w:rPr>
        <w:footnoteReference w:id="4"/>
      </w:r>
      <w:r>
        <w:rPr>
          <w:rFonts w:ascii="Segoe UI" w:hAnsi="Segoe UI" w:cs="Segoe UI"/>
          <w:sz w:val="22"/>
          <w:szCs w:val="22"/>
        </w:rPr>
        <w:t xml:space="preserve"> </w:t>
      </w:r>
    </w:p>
    <w:p w14:paraId="478C1C9C" w14:textId="77777777" w:rsidR="00DF224C" w:rsidRDefault="00DF224C" w:rsidP="00DF224C">
      <w:pPr>
        <w:spacing w:line="276" w:lineRule="auto"/>
        <w:jc w:val="both"/>
        <w:rPr>
          <w:rFonts w:ascii="Segoe UI" w:hAnsi="Segoe UI" w:cs="Segoe UI"/>
          <w:sz w:val="22"/>
          <w:szCs w:val="22"/>
        </w:rPr>
      </w:pPr>
    </w:p>
    <w:p w14:paraId="6532798A" w14:textId="7E01E4B5" w:rsidR="00DF224C" w:rsidRPr="00EC4B6B" w:rsidRDefault="00DF224C" w:rsidP="00DF224C">
      <w:pPr>
        <w:spacing w:line="276" w:lineRule="auto"/>
        <w:jc w:val="both"/>
        <w:rPr>
          <w:rFonts w:ascii="Segoe UI" w:hAnsi="Segoe UI" w:cs="Segoe UI"/>
          <w:sz w:val="22"/>
          <w:szCs w:val="22"/>
        </w:rPr>
      </w:pPr>
      <w:r>
        <w:rPr>
          <w:rFonts w:ascii="Segoe UI" w:hAnsi="Segoe UI" w:cs="Segoe UI"/>
          <w:sz w:val="22"/>
          <w:szCs w:val="22"/>
        </w:rPr>
        <w:t>Visa considers that</w:t>
      </w:r>
      <w:r w:rsidRPr="00EC4B6B">
        <w:rPr>
          <w:rFonts w:ascii="Segoe UI" w:hAnsi="Segoe UI" w:cs="Segoe UI"/>
          <w:sz w:val="22"/>
          <w:szCs w:val="22"/>
        </w:rPr>
        <w:t xml:space="preserve"> the best way to achieve regulatory parity is through legislative reform</w:t>
      </w:r>
      <w:r>
        <w:rPr>
          <w:rFonts w:ascii="Segoe UI" w:hAnsi="Segoe UI" w:cs="Segoe UI"/>
          <w:sz w:val="22"/>
          <w:szCs w:val="22"/>
        </w:rPr>
        <w:t xml:space="preserve">. This </w:t>
      </w:r>
      <w:r w:rsidR="00D45F7B">
        <w:rPr>
          <w:rFonts w:ascii="Segoe UI" w:hAnsi="Segoe UI" w:cs="Segoe UI"/>
          <w:sz w:val="22"/>
          <w:szCs w:val="22"/>
        </w:rPr>
        <w:t xml:space="preserve">RBA </w:t>
      </w:r>
      <w:r>
        <w:rPr>
          <w:rFonts w:ascii="Segoe UI" w:hAnsi="Segoe UI" w:cs="Segoe UI"/>
          <w:sz w:val="22"/>
          <w:szCs w:val="22"/>
        </w:rPr>
        <w:t xml:space="preserve">review, however, </w:t>
      </w:r>
      <w:r w:rsidRPr="00EC4B6B">
        <w:rPr>
          <w:rFonts w:ascii="Segoe UI" w:hAnsi="Segoe UI" w:cs="Segoe UI"/>
          <w:sz w:val="22"/>
          <w:szCs w:val="22"/>
        </w:rPr>
        <w:t xml:space="preserve">should </w:t>
      </w:r>
      <w:r>
        <w:rPr>
          <w:rFonts w:ascii="Segoe UI" w:hAnsi="Segoe UI" w:cs="Segoe UI"/>
          <w:sz w:val="22"/>
          <w:szCs w:val="22"/>
        </w:rPr>
        <w:t xml:space="preserve">at a minimum </w:t>
      </w:r>
      <w:r w:rsidR="00D45F7B">
        <w:rPr>
          <w:rFonts w:ascii="Segoe UI" w:hAnsi="Segoe UI" w:cs="Segoe UI"/>
          <w:sz w:val="22"/>
          <w:szCs w:val="22"/>
        </w:rPr>
        <w:t xml:space="preserve">result in the PSB agreeing to exercise its current powers </w:t>
      </w:r>
      <w:r w:rsidRPr="00EC4B6B">
        <w:rPr>
          <w:rFonts w:ascii="Segoe UI" w:hAnsi="Segoe UI" w:cs="Segoe UI"/>
          <w:sz w:val="22"/>
          <w:szCs w:val="22"/>
        </w:rPr>
        <w:t>to regulate hybrid four-party schemes such as American Express GNS</w:t>
      </w:r>
      <w:r>
        <w:rPr>
          <w:rFonts w:ascii="Segoe UI" w:hAnsi="Segoe UI" w:cs="Segoe UI"/>
          <w:sz w:val="22"/>
          <w:szCs w:val="22"/>
        </w:rPr>
        <w:t xml:space="preserve"> and new entrant four-party schemes such as UnionPay, as well as adopt</w:t>
      </w:r>
      <w:r w:rsidRPr="00EC4B6B">
        <w:rPr>
          <w:rFonts w:ascii="Segoe UI" w:hAnsi="Segoe UI" w:cs="Segoe UI"/>
          <w:sz w:val="22"/>
          <w:szCs w:val="22"/>
        </w:rPr>
        <w:t xml:space="preserve"> equal regulation of all other open and closed loop schemes. </w:t>
      </w:r>
    </w:p>
    <w:p w14:paraId="5C6DA069" w14:textId="77777777" w:rsidR="00DF224C" w:rsidRDefault="00DF224C" w:rsidP="00DF224C">
      <w:pPr>
        <w:jc w:val="both"/>
        <w:rPr>
          <w:rFonts w:ascii="Segoe UI" w:hAnsi="Segoe UI" w:cs="Segoe UI"/>
        </w:rPr>
      </w:pPr>
    </w:p>
    <w:p w14:paraId="74AFD0F4" w14:textId="77777777" w:rsidR="00DF224C" w:rsidRPr="00F540C1" w:rsidRDefault="00DF224C" w:rsidP="00DF224C">
      <w:pPr>
        <w:jc w:val="both"/>
        <w:rPr>
          <w:rFonts w:ascii="Segoe UI" w:hAnsi="Segoe UI" w:cs="Segoe UI"/>
          <w:b/>
          <w:bCs/>
          <w:i/>
          <w:iCs/>
          <w:color w:val="4F81BD" w:themeColor="accent1"/>
        </w:rPr>
      </w:pPr>
      <w:r w:rsidRPr="00F540C1">
        <w:rPr>
          <w:rFonts w:ascii="Segoe UI" w:hAnsi="Segoe UI" w:cs="Segoe UI"/>
          <w:b/>
          <w:bCs/>
          <w:i/>
          <w:iCs/>
          <w:color w:val="4F81BD" w:themeColor="accent1"/>
        </w:rPr>
        <w:t>Interchange fees</w:t>
      </w:r>
    </w:p>
    <w:p w14:paraId="17F027AA" w14:textId="77777777" w:rsidR="00DF224C" w:rsidRDefault="00DF224C" w:rsidP="00DF224C">
      <w:pPr>
        <w:jc w:val="both"/>
        <w:rPr>
          <w:rFonts w:ascii="Segoe UI" w:hAnsi="Segoe UI" w:cs="Segoe UI"/>
        </w:rPr>
      </w:pPr>
    </w:p>
    <w:p w14:paraId="732E6485" w14:textId="77777777" w:rsidR="00DF224C" w:rsidRPr="0026610D" w:rsidRDefault="00DF224C" w:rsidP="00DF224C">
      <w:pPr>
        <w:jc w:val="both"/>
        <w:rPr>
          <w:rFonts w:ascii="Segoe UI" w:hAnsi="Segoe UI" w:cs="Segoe UI"/>
          <w:sz w:val="22"/>
          <w:szCs w:val="22"/>
        </w:rPr>
      </w:pPr>
      <w:r>
        <w:rPr>
          <w:rFonts w:ascii="Segoe UI" w:hAnsi="Segoe UI" w:cs="Segoe UI"/>
          <w:sz w:val="22"/>
          <w:szCs w:val="22"/>
        </w:rPr>
        <w:t>We note that the PSB</w:t>
      </w:r>
      <w:r w:rsidRPr="0026610D">
        <w:rPr>
          <w:rFonts w:ascii="Segoe UI" w:hAnsi="Segoe UI" w:cs="Segoe UI"/>
          <w:sz w:val="22"/>
          <w:szCs w:val="22"/>
        </w:rPr>
        <w:t xml:space="preserve"> </w:t>
      </w:r>
      <w:r>
        <w:rPr>
          <w:rFonts w:ascii="Segoe UI" w:hAnsi="Segoe UI" w:cs="Segoe UI"/>
          <w:sz w:val="22"/>
          <w:szCs w:val="22"/>
        </w:rPr>
        <w:t xml:space="preserve">has concerns over the </w:t>
      </w:r>
      <w:r w:rsidRPr="0026610D">
        <w:rPr>
          <w:rFonts w:ascii="Segoe UI" w:hAnsi="Segoe UI" w:cs="Segoe UI"/>
          <w:sz w:val="22"/>
          <w:szCs w:val="22"/>
        </w:rPr>
        <w:t>existing interchange fee caps</w:t>
      </w:r>
      <w:r>
        <w:rPr>
          <w:rFonts w:ascii="Segoe UI" w:hAnsi="Segoe UI" w:cs="Segoe UI"/>
          <w:sz w:val="22"/>
          <w:szCs w:val="22"/>
        </w:rPr>
        <w:t>, and has raised for discussion the possible</w:t>
      </w:r>
      <w:r w:rsidRPr="0026610D">
        <w:rPr>
          <w:rFonts w:ascii="Segoe UI" w:hAnsi="Segoe UI" w:cs="Segoe UI"/>
          <w:sz w:val="22"/>
          <w:szCs w:val="22"/>
        </w:rPr>
        <w:t xml:space="preserve"> movement towards a hard cap </w:t>
      </w:r>
      <w:r>
        <w:rPr>
          <w:rFonts w:ascii="Segoe UI" w:hAnsi="Segoe UI" w:cs="Segoe UI"/>
          <w:sz w:val="22"/>
          <w:szCs w:val="22"/>
        </w:rPr>
        <w:t>as a means to</w:t>
      </w:r>
      <w:r w:rsidRPr="0026610D">
        <w:rPr>
          <w:rFonts w:ascii="Segoe UI" w:hAnsi="Segoe UI" w:cs="Segoe UI"/>
          <w:sz w:val="22"/>
          <w:szCs w:val="22"/>
        </w:rPr>
        <w:t xml:space="preserve"> benefit consumers</w:t>
      </w:r>
      <w:r w:rsidR="00224432">
        <w:rPr>
          <w:rFonts w:ascii="Segoe UI" w:hAnsi="Segoe UI" w:cs="Segoe UI"/>
          <w:sz w:val="22"/>
          <w:szCs w:val="22"/>
        </w:rPr>
        <w:t xml:space="preserve"> and merchants</w:t>
      </w:r>
      <w:r w:rsidRPr="0026610D">
        <w:rPr>
          <w:rFonts w:ascii="Segoe UI" w:hAnsi="Segoe UI" w:cs="Segoe UI"/>
          <w:sz w:val="22"/>
          <w:szCs w:val="22"/>
        </w:rPr>
        <w:t xml:space="preserve">. </w:t>
      </w:r>
    </w:p>
    <w:p w14:paraId="55D33242" w14:textId="77777777" w:rsidR="00DF224C" w:rsidRDefault="00DF224C" w:rsidP="00DF224C">
      <w:pPr>
        <w:jc w:val="both"/>
        <w:rPr>
          <w:rFonts w:ascii="Segoe UI" w:hAnsi="Segoe UI" w:cs="Segoe UI"/>
        </w:rPr>
      </w:pPr>
    </w:p>
    <w:p w14:paraId="223BF634" w14:textId="77777777" w:rsidR="00DF224C" w:rsidRDefault="00DF224C" w:rsidP="00DF224C">
      <w:pPr>
        <w:spacing w:line="276" w:lineRule="auto"/>
        <w:jc w:val="both"/>
        <w:rPr>
          <w:rFonts w:ascii="Segoe UI" w:hAnsi="Segoe UI" w:cs="Segoe UI"/>
          <w:sz w:val="22"/>
          <w:szCs w:val="22"/>
        </w:rPr>
      </w:pPr>
      <w:r w:rsidRPr="00FA7D84">
        <w:rPr>
          <w:rFonts w:ascii="Segoe UI" w:hAnsi="Segoe UI" w:cs="Segoe UI"/>
          <w:sz w:val="22"/>
          <w:szCs w:val="22"/>
        </w:rPr>
        <w:t xml:space="preserve">Visa continues to advocate for the strong price signal played by interchange fees in balancing a ‘two-sided’ economic market that brings together and balances the needs of both consumers and merchants. </w:t>
      </w:r>
    </w:p>
    <w:p w14:paraId="7160F5C4" w14:textId="77777777" w:rsidR="005F12D3" w:rsidRDefault="005F12D3" w:rsidP="00DF224C">
      <w:pPr>
        <w:spacing w:line="276" w:lineRule="auto"/>
        <w:jc w:val="both"/>
        <w:rPr>
          <w:rFonts w:ascii="Segoe UI" w:hAnsi="Segoe UI" w:cs="Segoe UI"/>
          <w:sz w:val="22"/>
          <w:szCs w:val="22"/>
        </w:rPr>
      </w:pPr>
    </w:p>
    <w:p w14:paraId="2FC147FB" w14:textId="77777777" w:rsidR="005F12D3" w:rsidRPr="00FA7D84" w:rsidRDefault="005F12D3" w:rsidP="00DF224C">
      <w:pPr>
        <w:spacing w:line="276" w:lineRule="auto"/>
        <w:jc w:val="both"/>
        <w:rPr>
          <w:rFonts w:ascii="Segoe UI" w:hAnsi="Segoe UI" w:cs="Segoe UI"/>
          <w:sz w:val="22"/>
          <w:szCs w:val="22"/>
        </w:rPr>
      </w:pPr>
      <w:r w:rsidRPr="005F12D3">
        <w:rPr>
          <w:rFonts w:ascii="Segoe UI" w:hAnsi="Segoe UI" w:cs="Segoe UI"/>
          <w:sz w:val="22"/>
          <w:szCs w:val="22"/>
        </w:rPr>
        <w:t xml:space="preserve">Visa recommends an amendment to the PSRA to end the regulation of interchange in Australia through the revocation of the limits on interchange fees.  This would bring Australia back into line with the practice in which interchange is formally unregulated but is exposed to open and competitive market forces. </w:t>
      </w:r>
    </w:p>
    <w:p w14:paraId="24F331B1" w14:textId="77777777" w:rsidR="00DF224C" w:rsidRDefault="00DF224C" w:rsidP="00DF224C">
      <w:pPr>
        <w:jc w:val="both"/>
        <w:rPr>
          <w:rFonts w:ascii="Segoe UI" w:hAnsi="Segoe UI" w:cs="Segoe UI"/>
          <w:sz w:val="22"/>
          <w:szCs w:val="22"/>
        </w:rPr>
      </w:pPr>
    </w:p>
    <w:p w14:paraId="20C60E0C" w14:textId="29AFF229" w:rsidR="00DF224C" w:rsidRDefault="00DF224C" w:rsidP="00DF224C">
      <w:pPr>
        <w:spacing w:line="276" w:lineRule="auto"/>
        <w:jc w:val="both"/>
        <w:rPr>
          <w:rFonts w:ascii="Segoe UI" w:hAnsi="Segoe UI" w:cs="Segoe UI"/>
          <w:sz w:val="22"/>
          <w:szCs w:val="22"/>
        </w:rPr>
      </w:pPr>
      <w:r w:rsidRPr="00FA7D84">
        <w:rPr>
          <w:rFonts w:ascii="Segoe UI" w:hAnsi="Segoe UI" w:cs="Segoe UI"/>
          <w:sz w:val="22"/>
          <w:szCs w:val="22"/>
        </w:rPr>
        <w:t xml:space="preserve">Our observation </w:t>
      </w:r>
      <w:r>
        <w:rPr>
          <w:rFonts w:ascii="Segoe UI" w:hAnsi="Segoe UI" w:cs="Segoe UI"/>
          <w:sz w:val="22"/>
          <w:szCs w:val="22"/>
        </w:rPr>
        <w:t>on</w:t>
      </w:r>
      <w:r w:rsidRPr="00FA7D84">
        <w:rPr>
          <w:rFonts w:ascii="Segoe UI" w:hAnsi="Segoe UI" w:cs="Segoe UI"/>
          <w:sz w:val="22"/>
          <w:szCs w:val="22"/>
        </w:rPr>
        <w:t xml:space="preserve"> </w:t>
      </w:r>
      <w:r>
        <w:rPr>
          <w:rFonts w:ascii="Segoe UI" w:hAnsi="Segoe UI" w:cs="Segoe UI"/>
          <w:sz w:val="22"/>
          <w:szCs w:val="22"/>
        </w:rPr>
        <w:t xml:space="preserve">the lowering of </w:t>
      </w:r>
      <w:r w:rsidRPr="00FA7D84">
        <w:rPr>
          <w:rFonts w:ascii="Segoe UI" w:hAnsi="Segoe UI" w:cs="Segoe UI"/>
          <w:sz w:val="22"/>
          <w:szCs w:val="22"/>
        </w:rPr>
        <w:t xml:space="preserve">interchange fees </w:t>
      </w:r>
      <w:r>
        <w:rPr>
          <w:rFonts w:ascii="Segoe UI" w:hAnsi="Segoe UI" w:cs="Segoe UI"/>
          <w:sz w:val="22"/>
          <w:szCs w:val="22"/>
        </w:rPr>
        <w:t xml:space="preserve">– </w:t>
      </w:r>
      <w:r w:rsidRPr="00FA7D84">
        <w:rPr>
          <w:rFonts w:ascii="Segoe UI" w:hAnsi="Segoe UI" w:cs="Segoe UI"/>
          <w:sz w:val="22"/>
          <w:szCs w:val="22"/>
        </w:rPr>
        <w:t xml:space="preserve">both </w:t>
      </w:r>
      <w:r>
        <w:rPr>
          <w:rFonts w:ascii="Segoe UI" w:hAnsi="Segoe UI" w:cs="Segoe UI"/>
          <w:sz w:val="22"/>
          <w:szCs w:val="22"/>
        </w:rPr>
        <w:t xml:space="preserve">in </w:t>
      </w:r>
      <w:r w:rsidRPr="00FA7D84">
        <w:rPr>
          <w:rFonts w:ascii="Segoe UI" w:hAnsi="Segoe UI" w:cs="Segoe UI"/>
          <w:sz w:val="22"/>
          <w:szCs w:val="22"/>
        </w:rPr>
        <w:t xml:space="preserve">Australia and overseas </w:t>
      </w:r>
      <w:r>
        <w:rPr>
          <w:rFonts w:ascii="Segoe UI" w:hAnsi="Segoe UI" w:cs="Segoe UI"/>
          <w:sz w:val="22"/>
          <w:szCs w:val="22"/>
        </w:rPr>
        <w:t xml:space="preserve">– </w:t>
      </w:r>
      <w:r w:rsidRPr="00FA7D84">
        <w:rPr>
          <w:rFonts w:ascii="Segoe UI" w:hAnsi="Segoe UI" w:cs="Segoe UI"/>
          <w:sz w:val="22"/>
          <w:szCs w:val="22"/>
        </w:rPr>
        <w:t xml:space="preserve">is that </w:t>
      </w:r>
      <w:r w:rsidR="00224432">
        <w:rPr>
          <w:rFonts w:ascii="Segoe UI" w:hAnsi="Segoe UI" w:cs="Segoe UI"/>
          <w:sz w:val="22"/>
          <w:szCs w:val="22"/>
        </w:rPr>
        <w:t>it is</w:t>
      </w:r>
      <w:r>
        <w:rPr>
          <w:rFonts w:ascii="Segoe UI" w:hAnsi="Segoe UI" w:cs="Segoe UI"/>
          <w:sz w:val="22"/>
          <w:szCs w:val="22"/>
        </w:rPr>
        <w:t xml:space="preserve"> </w:t>
      </w:r>
      <w:r w:rsidRPr="00FA7D84">
        <w:rPr>
          <w:rFonts w:ascii="Segoe UI" w:hAnsi="Segoe UI" w:cs="Segoe UI"/>
          <w:sz w:val="22"/>
          <w:szCs w:val="22"/>
        </w:rPr>
        <w:t>unlikely to</w:t>
      </w:r>
      <w:r>
        <w:rPr>
          <w:rFonts w:ascii="Segoe UI" w:hAnsi="Segoe UI" w:cs="Segoe UI"/>
          <w:sz w:val="22"/>
          <w:szCs w:val="22"/>
        </w:rPr>
        <w:t xml:space="preserve"> deliver significant benefits to</w:t>
      </w:r>
      <w:r w:rsidRPr="00FA7D84">
        <w:rPr>
          <w:rFonts w:ascii="Segoe UI" w:hAnsi="Segoe UI" w:cs="Segoe UI"/>
          <w:sz w:val="22"/>
          <w:szCs w:val="22"/>
        </w:rPr>
        <w:t xml:space="preserve"> consumers. </w:t>
      </w:r>
      <w:r>
        <w:rPr>
          <w:rFonts w:ascii="Segoe UI" w:hAnsi="Segoe UI" w:cs="Segoe UI"/>
          <w:sz w:val="22"/>
          <w:szCs w:val="22"/>
        </w:rPr>
        <w:t>Lower interchange fees are likely to drive i</w:t>
      </w:r>
      <w:r w:rsidRPr="00FA7D84">
        <w:rPr>
          <w:rFonts w:ascii="Segoe UI" w:hAnsi="Segoe UI" w:cs="Segoe UI"/>
          <w:sz w:val="22"/>
          <w:szCs w:val="22"/>
        </w:rPr>
        <w:t xml:space="preserve">ssuing banks </w:t>
      </w:r>
      <w:r>
        <w:rPr>
          <w:rFonts w:ascii="Segoe UI" w:hAnsi="Segoe UI" w:cs="Segoe UI"/>
          <w:sz w:val="22"/>
          <w:szCs w:val="22"/>
        </w:rPr>
        <w:t>to</w:t>
      </w:r>
      <w:r w:rsidRPr="00FA7D84">
        <w:rPr>
          <w:rFonts w:ascii="Segoe UI" w:hAnsi="Segoe UI" w:cs="Segoe UI"/>
          <w:sz w:val="22"/>
          <w:szCs w:val="22"/>
        </w:rPr>
        <w:t xml:space="preserve"> adjust their business models to ensure cost recovery</w:t>
      </w:r>
      <w:r w:rsidR="000F396B">
        <w:rPr>
          <w:rFonts w:ascii="Segoe UI" w:hAnsi="Segoe UI" w:cs="Segoe UI"/>
          <w:sz w:val="22"/>
          <w:szCs w:val="22"/>
        </w:rPr>
        <w:t xml:space="preserve"> and sufficient revenue</w:t>
      </w:r>
      <w:r w:rsidRPr="00FA7D84">
        <w:rPr>
          <w:rFonts w:ascii="Segoe UI" w:hAnsi="Segoe UI" w:cs="Segoe UI"/>
          <w:sz w:val="22"/>
          <w:szCs w:val="22"/>
        </w:rPr>
        <w:t>, resulting in higher product fees and charges for cardholders, and possibly reduced access to credit particularly for low</w:t>
      </w:r>
      <w:r>
        <w:rPr>
          <w:rFonts w:ascii="Segoe UI" w:hAnsi="Segoe UI" w:cs="Segoe UI"/>
          <w:sz w:val="22"/>
          <w:szCs w:val="22"/>
        </w:rPr>
        <w:t>er</w:t>
      </w:r>
      <w:r w:rsidRPr="00FA7D84">
        <w:rPr>
          <w:rFonts w:ascii="Segoe UI" w:hAnsi="Segoe UI" w:cs="Segoe UI"/>
          <w:sz w:val="22"/>
          <w:szCs w:val="22"/>
        </w:rPr>
        <w:t xml:space="preserve">-income </w:t>
      </w:r>
      <w:r>
        <w:rPr>
          <w:rFonts w:ascii="Segoe UI" w:hAnsi="Segoe UI" w:cs="Segoe UI"/>
          <w:sz w:val="22"/>
          <w:szCs w:val="22"/>
        </w:rPr>
        <w:t>consumers</w:t>
      </w:r>
      <w:r w:rsidRPr="00FA7D84">
        <w:rPr>
          <w:rFonts w:ascii="Segoe UI" w:hAnsi="Segoe UI" w:cs="Segoe UI"/>
          <w:sz w:val="22"/>
          <w:szCs w:val="22"/>
        </w:rPr>
        <w:t xml:space="preserve">. </w:t>
      </w:r>
    </w:p>
    <w:p w14:paraId="6915A56B" w14:textId="77777777" w:rsidR="00DF224C" w:rsidRDefault="00DF224C" w:rsidP="00DF224C">
      <w:pPr>
        <w:spacing w:line="276" w:lineRule="auto"/>
        <w:jc w:val="both"/>
        <w:rPr>
          <w:rFonts w:ascii="Segoe UI" w:hAnsi="Segoe UI" w:cs="Segoe UI"/>
          <w:sz w:val="22"/>
          <w:szCs w:val="22"/>
        </w:rPr>
      </w:pPr>
    </w:p>
    <w:p w14:paraId="7E77E983" w14:textId="77777777" w:rsidR="00DF224C" w:rsidRPr="0043101D" w:rsidRDefault="00DF224C" w:rsidP="00DF224C">
      <w:pPr>
        <w:spacing w:line="276" w:lineRule="auto"/>
        <w:jc w:val="both"/>
        <w:rPr>
          <w:rFonts w:ascii="Segoe UI" w:hAnsi="Segoe UI" w:cs="Segoe UI"/>
          <w:sz w:val="22"/>
          <w:szCs w:val="22"/>
        </w:rPr>
      </w:pPr>
      <w:r w:rsidRPr="0043101D">
        <w:rPr>
          <w:rFonts w:ascii="Segoe UI" w:hAnsi="Segoe UI" w:cs="Segoe UI"/>
          <w:sz w:val="22"/>
          <w:szCs w:val="22"/>
        </w:rPr>
        <w:t xml:space="preserve">The knock-on effect to the economy </w:t>
      </w:r>
      <w:r>
        <w:rPr>
          <w:rFonts w:ascii="Segoe UI" w:hAnsi="Segoe UI" w:cs="Segoe UI"/>
          <w:sz w:val="22"/>
          <w:szCs w:val="22"/>
        </w:rPr>
        <w:t xml:space="preserve">from these changes </w:t>
      </w:r>
      <w:r w:rsidRPr="0043101D">
        <w:rPr>
          <w:rFonts w:ascii="Segoe UI" w:hAnsi="Segoe UI" w:cs="Segoe UI"/>
          <w:sz w:val="22"/>
          <w:szCs w:val="22"/>
        </w:rPr>
        <w:t xml:space="preserve">would be detrimental, particularly when the Australian economy is in a low credit growth environment, household consumption is slightly below trend growth and where consumer sentiment (as a forward looking indicator) is at average levels despite </w:t>
      </w:r>
      <w:r>
        <w:rPr>
          <w:rFonts w:ascii="Segoe UI" w:hAnsi="Segoe UI" w:cs="Segoe UI"/>
          <w:sz w:val="22"/>
          <w:szCs w:val="22"/>
        </w:rPr>
        <w:t>low interest rates</w:t>
      </w:r>
      <w:r w:rsidRPr="0043101D">
        <w:rPr>
          <w:rFonts w:ascii="Segoe UI" w:hAnsi="Segoe UI" w:cs="Segoe UI"/>
          <w:sz w:val="22"/>
          <w:szCs w:val="22"/>
        </w:rPr>
        <w:t xml:space="preserve">. </w:t>
      </w:r>
    </w:p>
    <w:p w14:paraId="59463927" w14:textId="77777777" w:rsidR="00DF224C" w:rsidRDefault="00DF224C" w:rsidP="00DF224C">
      <w:pPr>
        <w:spacing w:line="276" w:lineRule="auto"/>
        <w:jc w:val="both"/>
        <w:rPr>
          <w:rFonts w:ascii="Segoe UI" w:hAnsi="Segoe UI" w:cs="Segoe UI"/>
          <w:sz w:val="22"/>
          <w:szCs w:val="22"/>
        </w:rPr>
      </w:pPr>
    </w:p>
    <w:p w14:paraId="760B8307" w14:textId="77777777" w:rsidR="00DF224C" w:rsidRDefault="00DF224C" w:rsidP="00DF224C">
      <w:pPr>
        <w:spacing w:line="276" w:lineRule="auto"/>
        <w:jc w:val="both"/>
        <w:rPr>
          <w:rFonts w:ascii="Segoe UI" w:hAnsi="Segoe UI" w:cs="Segoe UI"/>
          <w:sz w:val="22"/>
          <w:szCs w:val="22"/>
        </w:rPr>
      </w:pPr>
      <w:r w:rsidRPr="0043101D">
        <w:rPr>
          <w:rFonts w:ascii="Segoe UI" w:hAnsi="Segoe UI" w:cs="Segoe UI"/>
          <w:sz w:val="22"/>
          <w:szCs w:val="22"/>
        </w:rPr>
        <w:t>Visa considers that the policy decision to reduce interchange fees should be reconsidered and balanced by a proper economic and market impact assessment.</w:t>
      </w:r>
    </w:p>
    <w:p w14:paraId="6F319A8D" w14:textId="5DE9D2DA" w:rsidR="00DF224C" w:rsidRDefault="00DF224C" w:rsidP="00DF224C">
      <w:pPr>
        <w:spacing w:line="276" w:lineRule="auto"/>
        <w:jc w:val="both"/>
        <w:rPr>
          <w:rFonts w:ascii="Segoe UI" w:hAnsi="Segoe UI" w:cs="Segoe UI"/>
          <w:sz w:val="22"/>
          <w:szCs w:val="22"/>
        </w:rPr>
      </w:pPr>
      <w:r>
        <w:rPr>
          <w:rFonts w:ascii="Segoe UI" w:hAnsi="Segoe UI" w:cs="Segoe UI"/>
          <w:sz w:val="22"/>
          <w:szCs w:val="22"/>
        </w:rPr>
        <w:lastRenderedPageBreak/>
        <w:t>Moreover, Visa firmly believes that m</w:t>
      </w:r>
      <w:r w:rsidRPr="00FA7D84">
        <w:rPr>
          <w:rFonts w:ascii="Segoe UI" w:hAnsi="Segoe UI" w:cs="Segoe UI"/>
          <w:sz w:val="22"/>
          <w:szCs w:val="22"/>
        </w:rPr>
        <w:t>aintaining a weighted-</w:t>
      </w:r>
      <w:r>
        <w:rPr>
          <w:rFonts w:ascii="Segoe UI" w:hAnsi="Segoe UI" w:cs="Segoe UI"/>
          <w:sz w:val="22"/>
          <w:szCs w:val="22"/>
        </w:rPr>
        <w:t>average</w:t>
      </w:r>
      <w:r w:rsidRPr="00FA7D84">
        <w:rPr>
          <w:rFonts w:ascii="Segoe UI" w:hAnsi="Segoe UI" w:cs="Segoe UI"/>
          <w:sz w:val="22"/>
          <w:szCs w:val="22"/>
        </w:rPr>
        <w:t xml:space="preserve"> interchange fee is essential for allowing the market to function efficiently</w:t>
      </w:r>
      <w:r>
        <w:rPr>
          <w:rFonts w:ascii="Segoe UI" w:hAnsi="Segoe UI" w:cs="Segoe UI"/>
          <w:sz w:val="22"/>
          <w:szCs w:val="22"/>
        </w:rPr>
        <w:t>. R</w:t>
      </w:r>
      <w:r w:rsidRPr="00FA7D84">
        <w:rPr>
          <w:rFonts w:ascii="Segoe UI" w:hAnsi="Segoe UI" w:cs="Segoe UI"/>
          <w:sz w:val="22"/>
          <w:szCs w:val="22"/>
        </w:rPr>
        <w:t xml:space="preserve">eplacing </w:t>
      </w:r>
      <w:r>
        <w:rPr>
          <w:rFonts w:ascii="Segoe UI" w:hAnsi="Segoe UI" w:cs="Segoe UI"/>
          <w:sz w:val="22"/>
          <w:szCs w:val="22"/>
        </w:rPr>
        <w:t xml:space="preserve">the current system </w:t>
      </w:r>
      <w:r w:rsidRPr="00FA7D84">
        <w:rPr>
          <w:rFonts w:ascii="Segoe UI" w:hAnsi="Segoe UI" w:cs="Segoe UI"/>
          <w:sz w:val="22"/>
          <w:szCs w:val="22"/>
        </w:rPr>
        <w:t xml:space="preserve">with a hard cap arrangement </w:t>
      </w:r>
      <w:r>
        <w:rPr>
          <w:rFonts w:ascii="Segoe UI" w:hAnsi="Segoe UI" w:cs="Segoe UI"/>
          <w:sz w:val="22"/>
          <w:szCs w:val="22"/>
        </w:rPr>
        <w:t>will likely see</w:t>
      </w:r>
      <w:r w:rsidRPr="00FA7D84">
        <w:rPr>
          <w:rFonts w:ascii="Segoe UI" w:hAnsi="Segoe UI" w:cs="Segoe UI"/>
          <w:sz w:val="22"/>
          <w:szCs w:val="22"/>
        </w:rPr>
        <w:t xml:space="preserve"> all rates </w:t>
      </w:r>
      <w:r>
        <w:rPr>
          <w:rFonts w:ascii="Segoe UI" w:hAnsi="Segoe UI" w:cs="Segoe UI"/>
          <w:sz w:val="22"/>
          <w:szCs w:val="22"/>
        </w:rPr>
        <w:t xml:space="preserve">migrate toward </w:t>
      </w:r>
      <w:r w:rsidRPr="00FA7D84">
        <w:rPr>
          <w:rFonts w:ascii="Segoe UI" w:hAnsi="Segoe UI" w:cs="Segoe UI"/>
          <w:sz w:val="22"/>
          <w:szCs w:val="22"/>
        </w:rPr>
        <w:t>the maximum cap</w:t>
      </w:r>
      <w:r>
        <w:rPr>
          <w:rFonts w:ascii="Segoe UI" w:hAnsi="Segoe UI" w:cs="Segoe UI"/>
          <w:sz w:val="22"/>
          <w:szCs w:val="22"/>
        </w:rPr>
        <w:t>,</w:t>
      </w:r>
      <w:r w:rsidRPr="00FA7D84">
        <w:rPr>
          <w:rFonts w:ascii="Segoe UI" w:hAnsi="Segoe UI" w:cs="Segoe UI"/>
          <w:sz w:val="22"/>
          <w:szCs w:val="22"/>
        </w:rPr>
        <w:t xml:space="preserve"> distorting market dynamics </w:t>
      </w:r>
      <w:r w:rsidR="000F396B">
        <w:rPr>
          <w:rFonts w:ascii="Segoe UI" w:hAnsi="Segoe UI" w:cs="Segoe UI"/>
          <w:sz w:val="22"/>
          <w:szCs w:val="22"/>
        </w:rPr>
        <w:t>with respect to</w:t>
      </w:r>
      <w:r w:rsidR="000F396B" w:rsidRPr="00FA7D84">
        <w:rPr>
          <w:rFonts w:ascii="Segoe UI" w:hAnsi="Segoe UI" w:cs="Segoe UI"/>
          <w:sz w:val="22"/>
          <w:szCs w:val="22"/>
        </w:rPr>
        <w:t xml:space="preserve"> </w:t>
      </w:r>
      <w:r w:rsidRPr="00FA7D84">
        <w:rPr>
          <w:rFonts w:ascii="Segoe UI" w:hAnsi="Segoe UI" w:cs="Segoe UI"/>
          <w:sz w:val="22"/>
          <w:szCs w:val="22"/>
        </w:rPr>
        <w:t xml:space="preserve">larger and smaller merchants and </w:t>
      </w:r>
      <w:r>
        <w:rPr>
          <w:rFonts w:ascii="Segoe UI" w:hAnsi="Segoe UI" w:cs="Segoe UI"/>
          <w:sz w:val="22"/>
          <w:szCs w:val="22"/>
        </w:rPr>
        <w:t>significantly</w:t>
      </w:r>
      <w:r w:rsidRPr="00FA7D84">
        <w:rPr>
          <w:rFonts w:ascii="Segoe UI" w:hAnsi="Segoe UI" w:cs="Segoe UI"/>
          <w:sz w:val="22"/>
          <w:szCs w:val="22"/>
        </w:rPr>
        <w:t xml:space="preserve"> </w:t>
      </w:r>
      <w:r w:rsidR="001F01BB">
        <w:rPr>
          <w:rFonts w:ascii="Segoe UI" w:hAnsi="Segoe UI" w:cs="Segoe UI"/>
          <w:sz w:val="22"/>
          <w:szCs w:val="22"/>
        </w:rPr>
        <w:t>reducing the incentive for</w:t>
      </w:r>
      <w:r>
        <w:rPr>
          <w:rFonts w:ascii="Segoe UI" w:hAnsi="Segoe UI" w:cs="Segoe UI"/>
          <w:sz w:val="22"/>
          <w:szCs w:val="22"/>
        </w:rPr>
        <w:t xml:space="preserve"> industry </w:t>
      </w:r>
      <w:r w:rsidRPr="00FA7D84">
        <w:rPr>
          <w:rFonts w:ascii="Segoe UI" w:hAnsi="Segoe UI" w:cs="Segoe UI"/>
          <w:sz w:val="22"/>
          <w:szCs w:val="22"/>
        </w:rPr>
        <w:t>innovation</w:t>
      </w:r>
      <w:r w:rsidR="00653966">
        <w:rPr>
          <w:rFonts w:ascii="Segoe UI" w:hAnsi="Segoe UI" w:cs="Segoe UI"/>
          <w:sz w:val="22"/>
          <w:szCs w:val="22"/>
        </w:rPr>
        <w:t xml:space="preserve"> which a weighted-average </w:t>
      </w:r>
      <w:r>
        <w:rPr>
          <w:rFonts w:ascii="Segoe UI" w:hAnsi="Segoe UI" w:cs="Segoe UI"/>
          <w:sz w:val="22"/>
          <w:szCs w:val="22"/>
        </w:rPr>
        <w:t>interchange allows for</w:t>
      </w:r>
      <w:r w:rsidRPr="00FA7D84">
        <w:rPr>
          <w:rFonts w:ascii="Segoe UI" w:hAnsi="Segoe UI" w:cs="Segoe UI"/>
          <w:sz w:val="22"/>
          <w:szCs w:val="22"/>
        </w:rPr>
        <w:t xml:space="preserve">. </w:t>
      </w:r>
    </w:p>
    <w:p w14:paraId="5D02FA79" w14:textId="77777777" w:rsidR="00DF224C" w:rsidRPr="00FA7D84" w:rsidRDefault="00DF224C" w:rsidP="00DF224C">
      <w:pPr>
        <w:spacing w:line="276" w:lineRule="auto"/>
        <w:jc w:val="both"/>
        <w:rPr>
          <w:rFonts w:ascii="Segoe UI" w:hAnsi="Segoe UI" w:cs="Segoe UI"/>
          <w:sz w:val="22"/>
          <w:szCs w:val="22"/>
        </w:rPr>
      </w:pPr>
    </w:p>
    <w:p w14:paraId="564FD97C" w14:textId="77777777" w:rsidR="00DF224C" w:rsidRDefault="00DF224C" w:rsidP="00DF224C">
      <w:pPr>
        <w:spacing w:line="276" w:lineRule="auto"/>
        <w:jc w:val="both"/>
        <w:rPr>
          <w:rFonts w:ascii="Segoe UI" w:hAnsi="Segoe UI" w:cs="Segoe UI"/>
          <w:sz w:val="22"/>
          <w:szCs w:val="22"/>
        </w:rPr>
      </w:pPr>
      <w:r>
        <w:rPr>
          <w:rFonts w:ascii="Segoe UI" w:hAnsi="Segoe UI" w:cs="Segoe UI"/>
          <w:sz w:val="22"/>
          <w:szCs w:val="22"/>
        </w:rPr>
        <w:t>Visa would be open to discussions with the PSB regarding the most effective way of operating interchange. One key option for discussion could be a</w:t>
      </w:r>
      <w:r w:rsidRPr="00FA7D84">
        <w:rPr>
          <w:rFonts w:ascii="Segoe UI" w:hAnsi="Segoe UI" w:cs="Segoe UI"/>
          <w:sz w:val="22"/>
          <w:szCs w:val="22"/>
        </w:rPr>
        <w:t xml:space="preserve"> more frequent</w:t>
      </w:r>
      <w:r>
        <w:rPr>
          <w:rFonts w:ascii="Segoe UI" w:hAnsi="Segoe UI" w:cs="Segoe UI"/>
          <w:sz w:val="22"/>
          <w:szCs w:val="22"/>
        </w:rPr>
        <w:t xml:space="preserve"> (for example, annual</w:t>
      </w:r>
      <w:r w:rsidRPr="00FA7D84">
        <w:rPr>
          <w:rFonts w:ascii="Segoe UI" w:hAnsi="Segoe UI" w:cs="Segoe UI"/>
          <w:sz w:val="22"/>
          <w:szCs w:val="22"/>
        </w:rPr>
        <w:t xml:space="preserve"> re-weighting of the interchange basket</w:t>
      </w:r>
      <w:r w:rsidR="00224432">
        <w:rPr>
          <w:rFonts w:ascii="Segoe UI" w:hAnsi="Segoe UI" w:cs="Segoe UI"/>
          <w:sz w:val="22"/>
          <w:szCs w:val="22"/>
        </w:rPr>
        <w:t>)</w:t>
      </w:r>
      <w:r w:rsidRPr="00FA7D84">
        <w:rPr>
          <w:rFonts w:ascii="Segoe UI" w:hAnsi="Segoe UI" w:cs="Segoe UI"/>
          <w:sz w:val="22"/>
          <w:szCs w:val="22"/>
        </w:rPr>
        <w:t xml:space="preserve"> </w:t>
      </w:r>
      <w:r w:rsidR="006745B9">
        <w:rPr>
          <w:rFonts w:ascii="Segoe UI" w:hAnsi="Segoe UI" w:cs="Segoe UI"/>
          <w:sz w:val="22"/>
          <w:szCs w:val="22"/>
        </w:rPr>
        <w:t>so as to minimis</w:t>
      </w:r>
      <w:r>
        <w:rPr>
          <w:rFonts w:ascii="Segoe UI" w:hAnsi="Segoe UI" w:cs="Segoe UI"/>
          <w:sz w:val="22"/>
          <w:szCs w:val="22"/>
        </w:rPr>
        <w:t>e disruption to various business models while at the same time meeting the objectives of the PSB.</w:t>
      </w:r>
    </w:p>
    <w:p w14:paraId="5057489B" w14:textId="77777777" w:rsidR="00DF224C" w:rsidRDefault="00DF224C" w:rsidP="00DF224C">
      <w:pPr>
        <w:spacing w:line="276" w:lineRule="auto"/>
        <w:rPr>
          <w:rFonts w:ascii="Segoe UI" w:hAnsi="Segoe UI" w:cs="Segoe UI"/>
          <w:sz w:val="22"/>
          <w:szCs w:val="22"/>
        </w:rPr>
      </w:pPr>
    </w:p>
    <w:p w14:paraId="3F8944FD" w14:textId="77777777" w:rsidR="00DF224C" w:rsidRPr="00FA7D84" w:rsidRDefault="00DF224C" w:rsidP="00DF224C">
      <w:pPr>
        <w:spacing w:line="276" w:lineRule="auto"/>
        <w:rPr>
          <w:rFonts w:ascii="Segoe UI" w:hAnsi="Segoe UI" w:cs="Segoe UI"/>
          <w:b/>
          <w:bCs/>
          <w:i/>
          <w:iCs/>
          <w:color w:val="4F81BD" w:themeColor="accent1"/>
          <w:sz w:val="22"/>
          <w:szCs w:val="22"/>
        </w:rPr>
      </w:pPr>
      <w:r w:rsidRPr="00FA7D84">
        <w:rPr>
          <w:rFonts w:ascii="Segoe UI" w:hAnsi="Segoe UI" w:cs="Segoe UI"/>
          <w:b/>
          <w:bCs/>
          <w:i/>
          <w:iCs/>
          <w:color w:val="4F81BD" w:themeColor="accent1"/>
          <w:sz w:val="22"/>
          <w:szCs w:val="22"/>
        </w:rPr>
        <w:t>Surcharging</w:t>
      </w:r>
    </w:p>
    <w:p w14:paraId="10288038" w14:textId="77777777" w:rsidR="00DF224C" w:rsidRDefault="00DF224C" w:rsidP="00DF224C">
      <w:pPr>
        <w:spacing w:before="120" w:after="240" w:line="276" w:lineRule="auto"/>
        <w:jc w:val="both"/>
        <w:rPr>
          <w:rFonts w:ascii="Segoe UI" w:hAnsi="Segoe UI" w:cs="Segoe UI"/>
          <w:sz w:val="22"/>
          <w:szCs w:val="22"/>
        </w:rPr>
      </w:pPr>
      <w:r>
        <w:rPr>
          <w:rFonts w:ascii="Segoe UI" w:hAnsi="Segoe UI" w:cs="Segoe UI"/>
          <w:sz w:val="22"/>
          <w:szCs w:val="22"/>
        </w:rPr>
        <w:t xml:space="preserve">The PSB discusses the </w:t>
      </w:r>
      <w:r w:rsidRPr="00DC0D12">
        <w:rPr>
          <w:rFonts w:ascii="Segoe UI" w:hAnsi="Segoe UI" w:cs="Segoe UI"/>
          <w:sz w:val="22"/>
          <w:szCs w:val="22"/>
        </w:rPr>
        <w:t>“three-tiered” approach to addressing excessive surcharging as originally recommended in the FSI’s Fi</w:t>
      </w:r>
      <w:r>
        <w:rPr>
          <w:rFonts w:ascii="Segoe UI" w:hAnsi="Segoe UI" w:cs="Segoe UI"/>
          <w:sz w:val="22"/>
          <w:szCs w:val="22"/>
        </w:rPr>
        <w:t xml:space="preserve">nal Report. The PSB is considering a faster timeline for any changes to surcharging. </w:t>
      </w:r>
    </w:p>
    <w:p w14:paraId="7CCBA3CE" w14:textId="77777777" w:rsidR="00DF224C" w:rsidRPr="00FA7D84" w:rsidRDefault="00DF224C" w:rsidP="00DF224C">
      <w:pPr>
        <w:spacing w:before="120" w:after="240" w:line="276" w:lineRule="auto"/>
        <w:jc w:val="both"/>
        <w:rPr>
          <w:rFonts w:ascii="Segoe UI" w:hAnsi="Segoe UI" w:cs="Segoe UI"/>
          <w:sz w:val="22"/>
          <w:szCs w:val="22"/>
        </w:rPr>
      </w:pPr>
      <w:r w:rsidRPr="00FA7D84">
        <w:rPr>
          <w:rFonts w:ascii="Segoe UI" w:hAnsi="Segoe UI" w:cs="Segoe UI"/>
          <w:sz w:val="22"/>
          <w:szCs w:val="22"/>
        </w:rPr>
        <w:t>Visa continues to oppose the</w:t>
      </w:r>
      <w:r>
        <w:rPr>
          <w:rFonts w:ascii="Segoe UI" w:hAnsi="Segoe UI" w:cs="Segoe UI"/>
          <w:sz w:val="22"/>
          <w:szCs w:val="22"/>
        </w:rPr>
        <w:t xml:space="preserve"> notion that</w:t>
      </w:r>
      <w:r w:rsidRPr="00FA7D84">
        <w:rPr>
          <w:rFonts w:ascii="Segoe UI" w:hAnsi="Segoe UI" w:cs="Segoe UI"/>
          <w:sz w:val="22"/>
          <w:szCs w:val="22"/>
        </w:rPr>
        <w:t xml:space="preserve"> merchants</w:t>
      </w:r>
      <w:r>
        <w:rPr>
          <w:rFonts w:ascii="Segoe UI" w:hAnsi="Segoe UI" w:cs="Segoe UI"/>
          <w:sz w:val="22"/>
          <w:szCs w:val="22"/>
        </w:rPr>
        <w:t xml:space="preserve"> should be allowed</w:t>
      </w:r>
      <w:r w:rsidRPr="00FA7D84">
        <w:rPr>
          <w:rFonts w:ascii="Segoe UI" w:hAnsi="Segoe UI" w:cs="Segoe UI"/>
          <w:sz w:val="22"/>
          <w:szCs w:val="22"/>
        </w:rPr>
        <w:t xml:space="preserve"> to surcharge customers for using secure, transparent and reliable electronic payment systems such as Visa. </w:t>
      </w:r>
    </w:p>
    <w:p w14:paraId="2B581045" w14:textId="77777777" w:rsidR="00DF224C" w:rsidRPr="00FA7D84" w:rsidRDefault="00DF224C" w:rsidP="00DF224C">
      <w:pPr>
        <w:spacing w:before="120" w:after="240" w:line="276" w:lineRule="auto"/>
        <w:jc w:val="both"/>
        <w:rPr>
          <w:rFonts w:ascii="Segoe UI" w:hAnsi="Segoe UI" w:cs="Segoe UI"/>
          <w:sz w:val="22"/>
          <w:szCs w:val="22"/>
        </w:rPr>
      </w:pPr>
      <w:r w:rsidRPr="00FA7D84">
        <w:rPr>
          <w:rFonts w:ascii="Segoe UI" w:hAnsi="Segoe UI" w:cs="Segoe UI"/>
          <w:sz w:val="22"/>
          <w:szCs w:val="22"/>
        </w:rPr>
        <w:t xml:space="preserve">If surcharging is not to be prohibited in the Australian market, Visa supports the imposition of a limit on the level of surcharging </w:t>
      </w:r>
      <w:r>
        <w:rPr>
          <w:rFonts w:ascii="Segoe UI" w:hAnsi="Segoe UI" w:cs="Segoe UI"/>
          <w:sz w:val="22"/>
          <w:szCs w:val="22"/>
        </w:rPr>
        <w:t>for</w:t>
      </w:r>
      <w:r w:rsidRPr="00FA7D84">
        <w:rPr>
          <w:rFonts w:ascii="Segoe UI" w:hAnsi="Segoe UI" w:cs="Segoe UI"/>
          <w:sz w:val="22"/>
          <w:szCs w:val="22"/>
        </w:rPr>
        <w:t xml:space="preserve"> transactions</w:t>
      </w:r>
      <w:r>
        <w:rPr>
          <w:rFonts w:ascii="Segoe UI" w:hAnsi="Segoe UI" w:cs="Segoe UI"/>
          <w:sz w:val="22"/>
          <w:szCs w:val="22"/>
        </w:rPr>
        <w:t xml:space="preserve"> based on cost and not limited to card</w:t>
      </w:r>
      <w:r w:rsidRPr="00FA7D84">
        <w:rPr>
          <w:rFonts w:ascii="Segoe UI" w:hAnsi="Segoe UI" w:cs="Segoe UI"/>
          <w:sz w:val="22"/>
          <w:szCs w:val="22"/>
        </w:rPr>
        <w:t xml:space="preserve">. </w:t>
      </w:r>
    </w:p>
    <w:p w14:paraId="6C74F969" w14:textId="77777777" w:rsidR="00DF224C" w:rsidRPr="00AB7CFB" w:rsidRDefault="00DF224C" w:rsidP="00DF224C">
      <w:pPr>
        <w:pStyle w:val="ListParagraph"/>
        <w:numPr>
          <w:ilvl w:val="0"/>
          <w:numId w:val="1"/>
        </w:numPr>
        <w:spacing w:before="120" w:after="240" w:line="276" w:lineRule="auto"/>
        <w:ind w:left="714" w:hanging="357"/>
        <w:contextualSpacing w:val="0"/>
        <w:jc w:val="both"/>
        <w:rPr>
          <w:rFonts w:ascii="Segoe UI" w:hAnsi="Segoe UI" w:cs="Segoe UI"/>
          <w:sz w:val="22"/>
          <w:szCs w:val="22"/>
        </w:rPr>
      </w:pPr>
      <w:r>
        <w:rPr>
          <w:rFonts w:ascii="Segoe UI" w:hAnsi="Segoe UI" w:cs="Segoe UI"/>
          <w:sz w:val="22"/>
          <w:szCs w:val="22"/>
        </w:rPr>
        <w:t xml:space="preserve">In relation to Tier One surcharging, Visa fully supports banning of </w:t>
      </w:r>
      <w:r w:rsidRPr="00AB7CFB">
        <w:rPr>
          <w:rFonts w:ascii="Segoe UI" w:hAnsi="Segoe UI" w:cs="Segoe UI"/>
          <w:sz w:val="22"/>
          <w:szCs w:val="22"/>
        </w:rPr>
        <w:t xml:space="preserve">surcharging </w:t>
      </w:r>
      <w:r>
        <w:rPr>
          <w:rFonts w:ascii="Segoe UI" w:hAnsi="Segoe UI" w:cs="Segoe UI"/>
          <w:sz w:val="22"/>
          <w:szCs w:val="22"/>
        </w:rPr>
        <w:t xml:space="preserve">low cost products such as </w:t>
      </w:r>
      <w:r w:rsidRPr="00AB7CFB">
        <w:rPr>
          <w:rFonts w:ascii="Segoe UI" w:hAnsi="Segoe UI" w:cs="Segoe UI"/>
          <w:sz w:val="22"/>
          <w:szCs w:val="22"/>
        </w:rPr>
        <w:t xml:space="preserve">Visa Debit, MasterCard Debit and </w:t>
      </w:r>
      <w:r w:rsidR="00D72A1E">
        <w:rPr>
          <w:rFonts w:ascii="Segoe UI" w:hAnsi="Segoe UI" w:cs="Segoe UI"/>
          <w:sz w:val="22"/>
          <w:szCs w:val="22"/>
        </w:rPr>
        <w:t>e</w:t>
      </w:r>
      <w:r w:rsidRPr="00AB7CFB">
        <w:rPr>
          <w:rFonts w:ascii="Segoe UI" w:hAnsi="Segoe UI" w:cs="Segoe UI"/>
          <w:sz w:val="22"/>
          <w:szCs w:val="22"/>
        </w:rPr>
        <w:t>ftpos transactions</w:t>
      </w:r>
      <w:r>
        <w:rPr>
          <w:rFonts w:ascii="Segoe UI" w:hAnsi="Segoe UI" w:cs="Segoe UI"/>
          <w:sz w:val="22"/>
          <w:szCs w:val="22"/>
        </w:rPr>
        <w:t>)</w:t>
      </w:r>
      <w:r w:rsidRPr="00AB7CFB">
        <w:rPr>
          <w:rFonts w:ascii="Segoe UI" w:hAnsi="Segoe UI" w:cs="Segoe UI"/>
          <w:sz w:val="22"/>
          <w:szCs w:val="22"/>
        </w:rPr>
        <w:t>.</w:t>
      </w:r>
    </w:p>
    <w:p w14:paraId="5E9122E2" w14:textId="77777777" w:rsidR="00DF224C" w:rsidRDefault="00DF224C" w:rsidP="00DF224C">
      <w:pPr>
        <w:pStyle w:val="ListParagraph"/>
        <w:numPr>
          <w:ilvl w:val="0"/>
          <w:numId w:val="1"/>
        </w:numPr>
        <w:spacing w:before="120" w:after="240" w:line="276" w:lineRule="auto"/>
        <w:ind w:left="714" w:hanging="357"/>
        <w:contextualSpacing w:val="0"/>
        <w:jc w:val="both"/>
        <w:rPr>
          <w:rFonts w:ascii="Segoe UI" w:hAnsi="Segoe UI" w:cs="Segoe UI"/>
          <w:sz w:val="22"/>
          <w:szCs w:val="22"/>
        </w:rPr>
      </w:pPr>
      <w:r w:rsidRPr="00AB7CFB">
        <w:rPr>
          <w:rFonts w:ascii="Segoe UI" w:hAnsi="Segoe UI" w:cs="Segoe UI"/>
          <w:sz w:val="22"/>
          <w:szCs w:val="22"/>
        </w:rPr>
        <w:t>In relation to Tier</w:t>
      </w:r>
      <w:r w:rsidR="00506FE8">
        <w:rPr>
          <w:rFonts w:ascii="Segoe UI" w:hAnsi="Segoe UI" w:cs="Segoe UI"/>
          <w:sz w:val="22"/>
          <w:szCs w:val="22"/>
        </w:rPr>
        <w:t xml:space="preserve"> Two (surcharging on regulated C</w:t>
      </w:r>
      <w:r w:rsidRPr="00AB7CFB">
        <w:rPr>
          <w:rFonts w:ascii="Segoe UI" w:hAnsi="Segoe UI" w:cs="Segoe UI"/>
          <w:sz w:val="22"/>
          <w:szCs w:val="22"/>
        </w:rPr>
        <w:t>redit products</w:t>
      </w:r>
      <w:r>
        <w:rPr>
          <w:rFonts w:ascii="Segoe UI" w:hAnsi="Segoe UI" w:cs="Segoe UI"/>
          <w:sz w:val="22"/>
          <w:szCs w:val="22"/>
        </w:rPr>
        <w:t xml:space="preserve"> proposed to be </w:t>
      </w:r>
      <w:r w:rsidRPr="00AB7CFB">
        <w:rPr>
          <w:rFonts w:ascii="Segoe UI" w:hAnsi="Segoe UI" w:cs="Segoe UI"/>
          <w:sz w:val="22"/>
          <w:szCs w:val="22"/>
        </w:rPr>
        <w:t xml:space="preserve">Visa Credit and MasterCard </w:t>
      </w:r>
      <w:r>
        <w:rPr>
          <w:rFonts w:ascii="Segoe UI" w:hAnsi="Segoe UI" w:cs="Segoe UI"/>
          <w:sz w:val="22"/>
          <w:szCs w:val="22"/>
        </w:rPr>
        <w:t>C</w:t>
      </w:r>
      <w:r w:rsidRPr="00AB7CFB">
        <w:rPr>
          <w:rFonts w:ascii="Segoe UI" w:hAnsi="Segoe UI" w:cs="Segoe UI"/>
          <w:sz w:val="22"/>
          <w:szCs w:val="22"/>
        </w:rPr>
        <w:t>redit along with new entrant four party schemes, such as American Express GNS</w:t>
      </w:r>
      <w:r>
        <w:rPr>
          <w:rFonts w:ascii="Segoe UI" w:hAnsi="Segoe UI" w:cs="Segoe UI"/>
          <w:sz w:val="22"/>
          <w:szCs w:val="22"/>
        </w:rPr>
        <w:t>, Diners</w:t>
      </w:r>
      <w:r w:rsidRPr="00AB7CFB">
        <w:rPr>
          <w:rFonts w:ascii="Segoe UI" w:hAnsi="Segoe UI" w:cs="Segoe UI"/>
          <w:sz w:val="22"/>
          <w:szCs w:val="22"/>
        </w:rPr>
        <w:t xml:space="preserve"> and UnionPay)</w:t>
      </w:r>
      <w:r>
        <w:rPr>
          <w:rFonts w:ascii="Segoe UI" w:hAnsi="Segoe UI" w:cs="Segoe UI"/>
          <w:sz w:val="22"/>
          <w:szCs w:val="22"/>
        </w:rPr>
        <w:t xml:space="preserve"> </w:t>
      </w:r>
      <w:r w:rsidRPr="002A50E8">
        <w:rPr>
          <w:rFonts w:ascii="Segoe UI" w:hAnsi="Segoe UI" w:cs="Segoe UI"/>
          <w:sz w:val="22"/>
          <w:szCs w:val="22"/>
        </w:rPr>
        <w:t>this could amount to a significant improvem</w:t>
      </w:r>
      <w:r w:rsidR="00506FE8">
        <w:rPr>
          <w:rFonts w:ascii="Segoe UI" w:hAnsi="Segoe UI" w:cs="Segoe UI"/>
          <w:sz w:val="22"/>
          <w:szCs w:val="22"/>
        </w:rPr>
        <w:t>ent for this class of C</w:t>
      </w:r>
      <w:r w:rsidRPr="002A50E8">
        <w:rPr>
          <w:rFonts w:ascii="Segoe UI" w:hAnsi="Segoe UI" w:cs="Segoe UI"/>
          <w:sz w:val="22"/>
          <w:szCs w:val="22"/>
        </w:rPr>
        <w:t xml:space="preserve">redit transactions when compared to the problems associated with the “reasonable cost of card acceptance” approach. </w:t>
      </w:r>
    </w:p>
    <w:p w14:paraId="00F42E1E" w14:textId="77777777" w:rsidR="00DF224C" w:rsidRDefault="00DF224C" w:rsidP="00DF224C">
      <w:pPr>
        <w:pStyle w:val="ListParagraph"/>
        <w:numPr>
          <w:ilvl w:val="0"/>
          <w:numId w:val="1"/>
        </w:numPr>
        <w:spacing w:before="120" w:after="240" w:line="276" w:lineRule="auto"/>
        <w:ind w:left="714" w:hanging="357"/>
        <w:contextualSpacing w:val="0"/>
        <w:jc w:val="both"/>
        <w:rPr>
          <w:rFonts w:ascii="Segoe UI" w:hAnsi="Segoe UI" w:cs="Segoe UI"/>
          <w:sz w:val="22"/>
          <w:szCs w:val="22"/>
        </w:rPr>
      </w:pPr>
      <w:r>
        <w:rPr>
          <w:rFonts w:ascii="Segoe UI" w:hAnsi="Segoe UI" w:cs="Segoe UI"/>
          <w:sz w:val="22"/>
          <w:szCs w:val="22"/>
        </w:rPr>
        <w:t>In relation to Tier Three (</w:t>
      </w:r>
      <w:r w:rsidR="00506FE8">
        <w:rPr>
          <w:rFonts w:ascii="Segoe UI" w:hAnsi="Segoe UI" w:cs="Segoe UI"/>
          <w:sz w:val="22"/>
          <w:szCs w:val="22"/>
        </w:rPr>
        <w:t>non-regulated C</w:t>
      </w:r>
      <w:r w:rsidRPr="00AB7CFB">
        <w:rPr>
          <w:rFonts w:ascii="Segoe UI" w:hAnsi="Segoe UI" w:cs="Segoe UI"/>
          <w:sz w:val="22"/>
          <w:szCs w:val="22"/>
        </w:rPr>
        <w:t>redit schemes, such as American Express’s and Diner’s proprietary cards</w:t>
      </w:r>
      <w:r>
        <w:rPr>
          <w:rFonts w:ascii="Segoe UI" w:hAnsi="Segoe UI" w:cs="Segoe UI"/>
          <w:sz w:val="22"/>
          <w:szCs w:val="22"/>
        </w:rPr>
        <w:t xml:space="preserve">) </w:t>
      </w:r>
      <w:r w:rsidRPr="00AB7CFB">
        <w:rPr>
          <w:rFonts w:ascii="Segoe UI" w:hAnsi="Segoe UI" w:cs="Segoe UI"/>
          <w:sz w:val="22"/>
          <w:szCs w:val="22"/>
        </w:rPr>
        <w:t xml:space="preserve">we firmly </w:t>
      </w:r>
      <w:r>
        <w:rPr>
          <w:rFonts w:ascii="Segoe UI" w:hAnsi="Segoe UI" w:cs="Segoe UI"/>
          <w:sz w:val="22"/>
          <w:szCs w:val="22"/>
        </w:rPr>
        <w:t xml:space="preserve">believe that the RBA should regulate. However, </w:t>
      </w:r>
      <w:r w:rsidRPr="00AB7CFB">
        <w:rPr>
          <w:rFonts w:ascii="Segoe UI" w:hAnsi="Segoe UI" w:cs="Segoe UI"/>
          <w:sz w:val="22"/>
          <w:szCs w:val="22"/>
        </w:rPr>
        <w:t>should the RBA decide not take measures to formally regulate the closed</w:t>
      </w:r>
      <w:r>
        <w:rPr>
          <w:rFonts w:ascii="Segoe UI" w:hAnsi="Segoe UI" w:cs="Segoe UI"/>
          <w:sz w:val="22"/>
          <w:szCs w:val="22"/>
        </w:rPr>
        <w:t xml:space="preserve"> loop proprietary card schemes</w:t>
      </w:r>
      <w:r w:rsidRPr="00AB7CFB">
        <w:rPr>
          <w:rFonts w:ascii="Segoe UI" w:hAnsi="Segoe UI" w:cs="Segoe UI"/>
          <w:sz w:val="22"/>
          <w:szCs w:val="22"/>
        </w:rPr>
        <w:t>, then it is essential there either be</w:t>
      </w:r>
      <w:r>
        <w:rPr>
          <w:rFonts w:ascii="Segoe UI" w:hAnsi="Segoe UI" w:cs="Segoe UI"/>
          <w:sz w:val="22"/>
          <w:szCs w:val="22"/>
        </w:rPr>
        <w:t>:</w:t>
      </w:r>
    </w:p>
    <w:p w14:paraId="3299EB99" w14:textId="77777777" w:rsidR="00DF224C" w:rsidRDefault="00DF224C" w:rsidP="00DF224C">
      <w:pPr>
        <w:pStyle w:val="ListParagraph"/>
        <w:numPr>
          <w:ilvl w:val="1"/>
          <w:numId w:val="1"/>
        </w:numPr>
        <w:spacing w:before="120" w:after="240" w:line="276" w:lineRule="auto"/>
        <w:contextualSpacing w:val="0"/>
        <w:jc w:val="both"/>
        <w:rPr>
          <w:rFonts w:ascii="Segoe UI" w:hAnsi="Segoe UI" w:cs="Segoe UI"/>
          <w:sz w:val="22"/>
          <w:szCs w:val="22"/>
        </w:rPr>
      </w:pPr>
      <w:r w:rsidRPr="00AB7CFB">
        <w:rPr>
          <w:rFonts w:ascii="Segoe UI" w:hAnsi="Segoe UI" w:cs="Segoe UI"/>
          <w:sz w:val="22"/>
          <w:szCs w:val="22"/>
        </w:rPr>
        <w:t>no cap on the surcharges applied to such transactions</w:t>
      </w:r>
      <w:r>
        <w:rPr>
          <w:rFonts w:ascii="Segoe UI" w:hAnsi="Segoe UI" w:cs="Segoe UI"/>
          <w:sz w:val="22"/>
          <w:szCs w:val="22"/>
        </w:rPr>
        <w:t>;</w:t>
      </w:r>
      <w:r w:rsidRPr="00AB7CFB">
        <w:rPr>
          <w:rFonts w:ascii="Segoe UI" w:hAnsi="Segoe UI" w:cs="Segoe UI"/>
          <w:sz w:val="22"/>
          <w:szCs w:val="22"/>
        </w:rPr>
        <w:t xml:space="preserve"> or </w:t>
      </w:r>
    </w:p>
    <w:p w14:paraId="55F016FC" w14:textId="77777777" w:rsidR="00DF224C" w:rsidRPr="0026610D" w:rsidRDefault="00DF224C" w:rsidP="00DF224C">
      <w:pPr>
        <w:pStyle w:val="ListParagraph"/>
        <w:numPr>
          <w:ilvl w:val="1"/>
          <w:numId w:val="1"/>
        </w:numPr>
        <w:spacing w:before="120" w:after="240" w:line="276" w:lineRule="auto"/>
        <w:contextualSpacing w:val="0"/>
        <w:jc w:val="both"/>
        <w:rPr>
          <w:rFonts w:ascii="Segoe UI" w:hAnsi="Segoe UI" w:cs="Segoe UI"/>
          <w:sz w:val="22"/>
          <w:szCs w:val="22"/>
        </w:rPr>
      </w:pPr>
      <w:r w:rsidRPr="00AB7CFB">
        <w:rPr>
          <w:rFonts w:ascii="Segoe UI" w:hAnsi="Segoe UI" w:cs="Segoe UI"/>
          <w:sz w:val="22"/>
          <w:szCs w:val="22"/>
        </w:rPr>
        <w:t xml:space="preserve">a </w:t>
      </w:r>
      <w:r>
        <w:rPr>
          <w:rFonts w:ascii="Segoe UI" w:hAnsi="Segoe UI" w:cs="Segoe UI"/>
          <w:sz w:val="22"/>
          <w:szCs w:val="22"/>
        </w:rPr>
        <w:t xml:space="preserve">minimum </w:t>
      </w:r>
      <w:r w:rsidRPr="00AB7CFB">
        <w:rPr>
          <w:rFonts w:ascii="Segoe UI" w:hAnsi="Segoe UI" w:cs="Segoe UI"/>
          <w:sz w:val="22"/>
          <w:szCs w:val="22"/>
        </w:rPr>
        <w:t>cap mechanism that reflect</w:t>
      </w:r>
      <w:r>
        <w:rPr>
          <w:rFonts w:ascii="Segoe UI" w:hAnsi="Segoe UI" w:cs="Segoe UI"/>
          <w:sz w:val="22"/>
          <w:szCs w:val="22"/>
        </w:rPr>
        <w:t>s</w:t>
      </w:r>
      <w:r w:rsidRPr="00AB7CFB">
        <w:rPr>
          <w:rFonts w:ascii="Segoe UI" w:hAnsi="Segoe UI" w:cs="Segoe UI"/>
          <w:sz w:val="22"/>
          <w:szCs w:val="22"/>
        </w:rPr>
        <w:t xml:space="preserve"> the non-regulated status and commensurately much higher costs to merchants. </w:t>
      </w:r>
      <w:r>
        <w:rPr>
          <w:rFonts w:ascii="Segoe UI" w:hAnsi="Segoe UI" w:cs="Segoe UI"/>
          <w:sz w:val="22"/>
          <w:szCs w:val="22"/>
        </w:rPr>
        <w:t xml:space="preserve">To date, merchants have not all responded to high cost payment instruments by surcharging. This environment may lead to an unlevel playing field continuing. </w:t>
      </w:r>
    </w:p>
    <w:p w14:paraId="76AEB50C" w14:textId="77777777" w:rsidR="00DF224C" w:rsidRPr="00FA7D84" w:rsidRDefault="00DF224C" w:rsidP="00DF224C">
      <w:pPr>
        <w:spacing w:line="276" w:lineRule="auto"/>
        <w:jc w:val="both"/>
        <w:rPr>
          <w:rFonts w:ascii="Segoe UI" w:hAnsi="Segoe UI" w:cs="Segoe UI"/>
          <w:sz w:val="22"/>
          <w:szCs w:val="22"/>
        </w:rPr>
      </w:pPr>
      <w:r w:rsidRPr="00CD1E53">
        <w:rPr>
          <w:rFonts w:ascii="Segoe UI" w:hAnsi="Segoe UI" w:cs="Segoe UI"/>
          <w:sz w:val="22"/>
          <w:szCs w:val="22"/>
        </w:rPr>
        <w:lastRenderedPageBreak/>
        <w:t xml:space="preserve">Regardless of whether an overall surcharge ban is endorsed, or an enhanced limitation approach is enacted, it is critical that the </w:t>
      </w:r>
      <w:r w:rsidR="00A23067">
        <w:rPr>
          <w:rFonts w:ascii="Segoe UI" w:hAnsi="Segoe UI" w:cs="Segoe UI"/>
          <w:sz w:val="22"/>
          <w:szCs w:val="22"/>
        </w:rPr>
        <w:t>approach</w:t>
      </w:r>
      <w:r w:rsidRPr="00CD1E53">
        <w:rPr>
          <w:rFonts w:ascii="Segoe UI" w:hAnsi="Segoe UI" w:cs="Segoe UI"/>
          <w:sz w:val="22"/>
          <w:szCs w:val="22"/>
        </w:rPr>
        <w:t xml:space="preserve"> </w:t>
      </w:r>
      <w:r w:rsidR="00A23067">
        <w:rPr>
          <w:rFonts w:ascii="Segoe UI" w:hAnsi="Segoe UI" w:cs="Segoe UI"/>
          <w:sz w:val="22"/>
          <w:szCs w:val="22"/>
        </w:rPr>
        <w:t>is</w:t>
      </w:r>
      <w:r w:rsidRPr="00CD1E53">
        <w:rPr>
          <w:rFonts w:ascii="Segoe UI" w:hAnsi="Segoe UI" w:cs="Segoe UI"/>
          <w:sz w:val="22"/>
          <w:szCs w:val="22"/>
        </w:rPr>
        <w:t xml:space="preserve"> enforce</w:t>
      </w:r>
      <w:r w:rsidR="00A23067">
        <w:rPr>
          <w:rFonts w:ascii="Segoe UI" w:hAnsi="Segoe UI" w:cs="Segoe UI"/>
          <w:sz w:val="22"/>
          <w:szCs w:val="22"/>
        </w:rPr>
        <w:t>d</w:t>
      </w:r>
      <w:r w:rsidRPr="00CD1E53">
        <w:rPr>
          <w:rFonts w:ascii="Segoe UI" w:hAnsi="Segoe UI" w:cs="Segoe UI"/>
          <w:sz w:val="22"/>
          <w:szCs w:val="22"/>
        </w:rPr>
        <w:t xml:space="preserve"> via a statutory body </w:t>
      </w:r>
      <w:r w:rsidR="00224432">
        <w:rPr>
          <w:rFonts w:ascii="Segoe UI" w:hAnsi="Segoe UI" w:cs="Segoe UI"/>
          <w:sz w:val="22"/>
          <w:szCs w:val="22"/>
        </w:rPr>
        <w:t>that</w:t>
      </w:r>
      <w:r w:rsidR="00A23067">
        <w:rPr>
          <w:rFonts w:ascii="Segoe UI" w:hAnsi="Segoe UI" w:cs="Segoe UI"/>
          <w:sz w:val="22"/>
          <w:szCs w:val="22"/>
        </w:rPr>
        <w:t xml:space="preserve"> can </w:t>
      </w:r>
      <w:r w:rsidRPr="00CD1E53">
        <w:rPr>
          <w:rFonts w:ascii="Segoe UI" w:hAnsi="Segoe UI" w:cs="Segoe UI"/>
          <w:sz w:val="22"/>
          <w:szCs w:val="22"/>
        </w:rPr>
        <w:t>monitor and enforce surcharging rules in Australia.</w:t>
      </w:r>
    </w:p>
    <w:p w14:paraId="27647A4F" w14:textId="77777777" w:rsidR="00DF224C" w:rsidRDefault="00DF224C" w:rsidP="00DF224C">
      <w:pPr>
        <w:spacing w:line="276" w:lineRule="auto"/>
        <w:rPr>
          <w:rFonts w:ascii="Segoe UI" w:hAnsi="Segoe UI" w:cs="Segoe UI"/>
        </w:rPr>
      </w:pPr>
    </w:p>
    <w:p w14:paraId="54B4E05F" w14:textId="77777777" w:rsidR="00DF224C" w:rsidRPr="00AB7CFB" w:rsidRDefault="00DF224C" w:rsidP="00D15990">
      <w:pPr>
        <w:keepNext/>
        <w:spacing w:line="276" w:lineRule="auto"/>
        <w:rPr>
          <w:rFonts w:ascii="Segoe UI" w:hAnsi="Segoe UI" w:cs="Segoe UI"/>
          <w:b/>
          <w:bCs/>
          <w:i/>
          <w:iCs/>
          <w:color w:val="4F81BD" w:themeColor="accent1"/>
        </w:rPr>
      </w:pPr>
      <w:r w:rsidRPr="00AB7CFB">
        <w:rPr>
          <w:rFonts w:ascii="Segoe UI" w:hAnsi="Segoe UI" w:cs="Segoe UI"/>
          <w:b/>
          <w:bCs/>
          <w:i/>
          <w:iCs/>
          <w:color w:val="4F81BD" w:themeColor="accent1"/>
        </w:rPr>
        <w:t>Merchant related issues</w:t>
      </w:r>
    </w:p>
    <w:p w14:paraId="3A1074C7" w14:textId="77777777" w:rsidR="00DF224C" w:rsidRPr="00AB7CFB" w:rsidRDefault="00DF224C" w:rsidP="00D15990">
      <w:pPr>
        <w:keepNext/>
        <w:spacing w:before="120" w:after="240" w:line="276" w:lineRule="auto"/>
        <w:jc w:val="both"/>
        <w:rPr>
          <w:rFonts w:ascii="Segoe UI" w:hAnsi="Segoe UI" w:cs="Segoe UI"/>
          <w:sz w:val="22"/>
          <w:szCs w:val="22"/>
        </w:rPr>
      </w:pPr>
      <w:r w:rsidRPr="00AB7CFB">
        <w:rPr>
          <w:rFonts w:ascii="Segoe UI" w:hAnsi="Segoe UI" w:cs="Segoe UI"/>
          <w:sz w:val="22"/>
          <w:szCs w:val="22"/>
        </w:rPr>
        <w:t xml:space="preserve">Over the past decade regulatory reform of the electronic payments sector has empowered merchants in a number of new ways with little or no </w:t>
      </w:r>
      <w:r>
        <w:rPr>
          <w:rFonts w:ascii="Segoe UI" w:hAnsi="Segoe UI" w:cs="Segoe UI"/>
          <w:sz w:val="22"/>
          <w:szCs w:val="22"/>
        </w:rPr>
        <w:t xml:space="preserve">benefit </w:t>
      </w:r>
      <w:r w:rsidRPr="00AB7CFB">
        <w:rPr>
          <w:rFonts w:ascii="Segoe UI" w:hAnsi="Segoe UI" w:cs="Segoe UI"/>
          <w:sz w:val="22"/>
          <w:szCs w:val="22"/>
        </w:rPr>
        <w:t>to consumers</w:t>
      </w:r>
      <w:r>
        <w:rPr>
          <w:rFonts w:ascii="Segoe UI" w:hAnsi="Segoe UI" w:cs="Segoe UI"/>
          <w:sz w:val="22"/>
          <w:szCs w:val="22"/>
        </w:rPr>
        <w:t xml:space="preserve"> and in some instances higher prices through surcharge</w:t>
      </w:r>
      <w:r w:rsidRPr="00AB7CFB">
        <w:rPr>
          <w:rFonts w:ascii="Segoe UI" w:hAnsi="Segoe UI" w:cs="Segoe UI"/>
          <w:sz w:val="22"/>
          <w:szCs w:val="22"/>
        </w:rPr>
        <w:t xml:space="preserve">. </w:t>
      </w:r>
    </w:p>
    <w:p w14:paraId="245CCF16" w14:textId="77777777" w:rsidR="00DF224C" w:rsidRPr="00AB7CFB" w:rsidRDefault="00DF224C" w:rsidP="00D15990">
      <w:pPr>
        <w:keepNext/>
        <w:spacing w:before="120" w:after="240" w:line="276" w:lineRule="auto"/>
        <w:jc w:val="both"/>
        <w:rPr>
          <w:rFonts w:ascii="Segoe UI" w:hAnsi="Segoe UI" w:cs="Segoe UI"/>
          <w:sz w:val="22"/>
          <w:szCs w:val="22"/>
        </w:rPr>
      </w:pPr>
      <w:r w:rsidRPr="00AB7CFB">
        <w:rPr>
          <w:rFonts w:ascii="Segoe UI" w:hAnsi="Segoe UI" w:cs="Segoe UI"/>
          <w:sz w:val="22"/>
          <w:szCs w:val="22"/>
        </w:rPr>
        <w:t xml:space="preserve">We are therefore not currently persuaded of the need to introduce </w:t>
      </w:r>
      <w:r>
        <w:rPr>
          <w:rFonts w:ascii="Segoe UI" w:hAnsi="Segoe UI" w:cs="Segoe UI"/>
          <w:sz w:val="22"/>
          <w:szCs w:val="22"/>
        </w:rPr>
        <w:t>new</w:t>
      </w:r>
      <w:r w:rsidRPr="00AB7CFB">
        <w:rPr>
          <w:rFonts w:ascii="Segoe UI" w:hAnsi="Segoe UI" w:cs="Segoe UI"/>
          <w:sz w:val="22"/>
          <w:szCs w:val="22"/>
        </w:rPr>
        <w:t xml:space="preserve"> measures to promote merchant transparency</w:t>
      </w:r>
      <w:r w:rsidR="00DE7F36">
        <w:rPr>
          <w:rFonts w:ascii="Segoe UI" w:hAnsi="Segoe UI" w:cs="Segoe UI"/>
          <w:sz w:val="22"/>
          <w:szCs w:val="22"/>
        </w:rPr>
        <w:t>,</w:t>
      </w:r>
      <w:r w:rsidRPr="00AB7CFB">
        <w:rPr>
          <w:rFonts w:ascii="Segoe UI" w:hAnsi="Segoe UI" w:cs="Segoe UI"/>
          <w:sz w:val="22"/>
          <w:szCs w:val="22"/>
        </w:rPr>
        <w:t xml:space="preserve"> whether that be via amendments to existing Standards or through a new standalone merchant-related Standard.</w:t>
      </w:r>
    </w:p>
    <w:p w14:paraId="17813BD6" w14:textId="77777777" w:rsidR="00DF224C" w:rsidRPr="00AB7CFB" w:rsidRDefault="00DF224C" w:rsidP="00D15990">
      <w:pPr>
        <w:keepNext/>
        <w:spacing w:before="120" w:after="240" w:line="276" w:lineRule="auto"/>
        <w:jc w:val="both"/>
        <w:rPr>
          <w:rFonts w:ascii="Segoe UI" w:hAnsi="Segoe UI" w:cs="Segoe UI"/>
          <w:sz w:val="22"/>
          <w:szCs w:val="22"/>
        </w:rPr>
      </w:pPr>
      <w:r w:rsidRPr="00AB7CFB">
        <w:rPr>
          <w:rFonts w:ascii="Segoe UI" w:hAnsi="Segoe UI" w:cs="Segoe UI"/>
          <w:sz w:val="22"/>
          <w:szCs w:val="22"/>
        </w:rPr>
        <w:t xml:space="preserve">Visa strongly opposes any measure that would infringe or require the ‘easing’ of </w:t>
      </w:r>
      <w:r>
        <w:rPr>
          <w:rFonts w:ascii="Segoe UI" w:hAnsi="Segoe UI" w:cs="Segoe UI"/>
          <w:sz w:val="22"/>
          <w:szCs w:val="22"/>
        </w:rPr>
        <w:t>its</w:t>
      </w:r>
      <w:r w:rsidRPr="00AB7CFB">
        <w:rPr>
          <w:rFonts w:ascii="Segoe UI" w:hAnsi="Segoe UI" w:cs="Segoe UI"/>
          <w:sz w:val="22"/>
          <w:szCs w:val="22"/>
        </w:rPr>
        <w:t xml:space="preserve"> global Honour All Cards </w:t>
      </w:r>
      <w:r>
        <w:rPr>
          <w:rFonts w:ascii="Segoe UI" w:hAnsi="Segoe UI" w:cs="Segoe UI"/>
          <w:sz w:val="22"/>
          <w:szCs w:val="22"/>
        </w:rPr>
        <w:t xml:space="preserve">rule </w:t>
      </w:r>
      <w:r w:rsidRPr="00AB7CFB">
        <w:rPr>
          <w:rFonts w:ascii="Segoe UI" w:hAnsi="Segoe UI" w:cs="Segoe UI"/>
          <w:sz w:val="22"/>
          <w:szCs w:val="22"/>
        </w:rPr>
        <w:t>(HAC</w:t>
      </w:r>
      <w:r>
        <w:rPr>
          <w:rFonts w:ascii="Segoe UI" w:hAnsi="Segoe UI" w:cs="Segoe UI"/>
          <w:sz w:val="22"/>
          <w:szCs w:val="22"/>
        </w:rPr>
        <w:t>R</w:t>
      </w:r>
      <w:r w:rsidRPr="00AB7CFB">
        <w:rPr>
          <w:rFonts w:ascii="Segoe UI" w:hAnsi="Segoe UI" w:cs="Segoe UI"/>
          <w:sz w:val="22"/>
          <w:szCs w:val="22"/>
        </w:rPr>
        <w:t xml:space="preserve">) to allow merchants the right not to accept certain cards. </w:t>
      </w:r>
      <w:r>
        <w:rPr>
          <w:rFonts w:ascii="Segoe UI" w:hAnsi="Segoe UI" w:cs="Segoe UI"/>
          <w:sz w:val="22"/>
          <w:szCs w:val="22"/>
        </w:rPr>
        <w:t>Consumers</w:t>
      </w:r>
      <w:r w:rsidRPr="00AB7CFB">
        <w:rPr>
          <w:rFonts w:ascii="Segoe UI" w:hAnsi="Segoe UI" w:cs="Segoe UI"/>
          <w:sz w:val="22"/>
          <w:szCs w:val="22"/>
        </w:rPr>
        <w:t xml:space="preserve"> would have to incur significant inconvenience in determining if a merchant accepted his or her particular card</w:t>
      </w:r>
      <w:r>
        <w:rPr>
          <w:rFonts w:ascii="Segoe UI" w:hAnsi="Segoe UI" w:cs="Segoe UI"/>
          <w:sz w:val="22"/>
          <w:szCs w:val="22"/>
        </w:rPr>
        <w:t xml:space="preserve"> with </w:t>
      </w:r>
      <w:r w:rsidRPr="00AB7CFB">
        <w:rPr>
          <w:rFonts w:ascii="Segoe UI" w:hAnsi="Segoe UI" w:cs="Segoe UI"/>
          <w:sz w:val="22"/>
          <w:szCs w:val="22"/>
        </w:rPr>
        <w:t>negative consequences for the overall usage rates of electronic payments.</w:t>
      </w:r>
      <w:r>
        <w:rPr>
          <w:rFonts w:ascii="Segoe UI" w:hAnsi="Segoe UI" w:cs="Segoe UI"/>
          <w:sz w:val="22"/>
          <w:szCs w:val="22"/>
        </w:rPr>
        <w:t xml:space="preserve"> </w:t>
      </w:r>
    </w:p>
    <w:p w14:paraId="53E14719" w14:textId="77777777" w:rsidR="00DF224C" w:rsidRPr="0026610D" w:rsidRDefault="00DF224C" w:rsidP="00DF224C">
      <w:pPr>
        <w:rPr>
          <w:rFonts w:ascii="Segoe UI" w:hAnsi="Segoe UI" w:cs="Segoe UI"/>
          <w:b/>
          <w:i/>
          <w:color w:val="4F81BD" w:themeColor="accent1"/>
        </w:rPr>
      </w:pPr>
      <w:r w:rsidRPr="0026610D">
        <w:rPr>
          <w:rFonts w:ascii="Segoe UI" w:hAnsi="Segoe UI" w:cs="Segoe UI"/>
          <w:b/>
          <w:i/>
          <w:color w:val="4F81BD" w:themeColor="accent1"/>
        </w:rPr>
        <w:t>Dual Network Debit Cards</w:t>
      </w:r>
    </w:p>
    <w:p w14:paraId="0471796E" w14:textId="77777777" w:rsidR="00DF224C" w:rsidRDefault="00DF224C" w:rsidP="00DF224C">
      <w:pPr>
        <w:rPr>
          <w:rFonts w:ascii="Segoe UI" w:hAnsi="Segoe UI" w:cs="Segoe UI"/>
        </w:rPr>
      </w:pPr>
    </w:p>
    <w:p w14:paraId="104C214B" w14:textId="77777777" w:rsidR="00DF224C" w:rsidRPr="0026610D" w:rsidRDefault="00DF224C" w:rsidP="00DF224C">
      <w:pPr>
        <w:spacing w:line="276" w:lineRule="auto"/>
        <w:jc w:val="both"/>
        <w:rPr>
          <w:rFonts w:ascii="Segoe UI" w:hAnsi="Segoe UI" w:cs="Segoe UI"/>
          <w:sz w:val="22"/>
          <w:szCs w:val="22"/>
        </w:rPr>
      </w:pPr>
      <w:r w:rsidRPr="0026610D">
        <w:rPr>
          <w:rFonts w:ascii="Segoe UI" w:hAnsi="Segoe UI" w:cs="Segoe UI"/>
          <w:sz w:val="22"/>
          <w:szCs w:val="22"/>
        </w:rPr>
        <w:t>The PSB is also considering how competing payment options on a single device have recently aris</w:t>
      </w:r>
      <w:r w:rsidR="00506FE8">
        <w:rPr>
          <w:rFonts w:ascii="Segoe UI" w:hAnsi="Segoe UI" w:cs="Segoe UI"/>
          <w:sz w:val="22"/>
          <w:szCs w:val="22"/>
        </w:rPr>
        <w:t>en in the case of Dual-Network Debit C</w:t>
      </w:r>
      <w:r w:rsidRPr="0026610D">
        <w:rPr>
          <w:rFonts w:ascii="Segoe UI" w:hAnsi="Segoe UI" w:cs="Segoe UI"/>
          <w:sz w:val="22"/>
          <w:szCs w:val="22"/>
        </w:rPr>
        <w:t xml:space="preserve">ards. These are cards issued by banks and other financial institutions with point-of-sale </w:t>
      </w:r>
      <w:r>
        <w:rPr>
          <w:rFonts w:ascii="Segoe UI" w:hAnsi="Segoe UI" w:cs="Segoe UI"/>
          <w:sz w:val="22"/>
          <w:szCs w:val="22"/>
        </w:rPr>
        <w:t xml:space="preserve">(POS) </w:t>
      </w:r>
      <w:r w:rsidRPr="0026610D">
        <w:rPr>
          <w:rFonts w:ascii="Segoe UI" w:hAnsi="Segoe UI" w:cs="Segoe UI"/>
          <w:sz w:val="22"/>
          <w:szCs w:val="22"/>
        </w:rPr>
        <w:t>debit functionality from two payment networks.</w:t>
      </w:r>
      <w:r>
        <w:rPr>
          <w:rFonts w:ascii="Segoe UI" w:hAnsi="Segoe UI" w:cs="Segoe UI"/>
          <w:sz w:val="22"/>
          <w:szCs w:val="22"/>
        </w:rPr>
        <w:t xml:space="preserve"> Visa’s view is that the current industry agreement on these matters is working well and there is no demonstrable need for additional regulation. In relation to new technologies and platforms in which dual or multiple card options may arise, we also see no market failures and a high risk of unintended consequences should regulation be imposed.</w:t>
      </w:r>
    </w:p>
    <w:p w14:paraId="53A5F3CA" w14:textId="77777777" w:rsidR="00DF224C" w:rsidRDefault="00DF224C" w:rsidP="00DF224C">
      <w:pPr>
        <w:spacing w:line="276" w:lineRule="auto"/>
        <w:rPr>
          <w:rFonts w:ascii="Segoe UI" w:hAnsi="Segoe UI" w:cs="Segoe UI"/>
        </w:rPr>
      </w:pPr>
    </w:p>
    <w:p w14:paraId="20867968" w14:textId="77777777" w:rsidR="00DF224C" w:rsidRPr="0026610D" w:rsidRDefault="00DF224C" w:rsidP="00DF224C">
      <w:pPr>
        <w:spacing w:line="276" w:lineRule="auto"/>
        <w:rPr>
          <w:rFonts w:ascii="Segoe UI" w:hAnsi="Segoe UI" w:cs="Segoe UI"/>
          <w:b/>
          <w:bCs/>
          <w:i/>
          <w:iCs/>
          <w:color w:val="4F81BD" w:themeColor="accent1"/>
        </w:rPr>
      </w:pPr>
      <w:r w:rsidRPr="0026610D">
        <w:rPr>
          <w:rFonts w:ascii="Segoe UI" w:hAnsi="Segoe UI" w:cs="Segoe UI"/>
          <w:b/>
          <w:bCs/>
          <w:i/>
          <w:iCs/>
          <w:color w:val="4F81BD" w:themeColor="accent1"/>
        </w:rPr>
        <w:t>Prepaid cards</w:t>
      </w:r>
    </w:p>
    <w:p w14:paraId="61EC4945" w14:textId="77777777" w:rsidR="00DF224C" w:rsidRDefault="00DF224C" w:rsidP="00DF224C">
      <w:pPr>
        <w:spacing w:line="276" w:lineRule="auto"/>
        <w:rPr>
          <w:rFonts w:ascii="Segoe UI" w:hAnsi="Segoe UI" w:cs="Segoe UI"/>
          <w:b/>
          <w:i/>
        </w:rPr>
      </w:pPr>
    </w:p>
    <w:p w14:paraId="40C3C8A3" w14:textId="77777777" w:rsidR="00DF224C" w:rsidRPr="008B327C" w:rsidRDefault="00DF224C" w:rsidP="00DF224C">
      <w:pPr>
        <w:spacing w:line="276" w:lineRule="auto"/>
        <w:jc w:val="both"/>
        <w:rPr>
          <w:rFonts w:ascii="Segoe UI" w:hAnsi="Segoe UI" w:cs="Segoe UI"/>
          <w:sz w:val="22"/>
          <w:szCs w:val="22"/>
        </w:rPr>
      </w:pPr>
      <w:r w:rsidRPr="00BA0FCE">
        <w:rPr>
          <w:rFonts w:ascii="Segoe UI" w:hAnsi="Segoe UI" w:cs="Segoe UI"/>
          <w:sz w:val="22"/>
          <w:szCs w:val="22"/>
        </w:rPr>
        <w:t>The PSB sought</w:t>
      </w:r>
      <w:r w:rsidR="00506FE8">
        <w:rPr>
          <w:rFonts w:ascii="Segoe UI" w:hAnsi="Segoe UI" w:cs="Segoe UI"/>
          <w:sz w:val="22"/>
          <w:szCs w:val="22"/>
        </w:rPr>
        <w:t xml:space="preserve"> feedback on the regulation of P</w:t>
      </w:r>
      <w:r w:rsidRPr="00BA0FCE">
        <w:rPr>
          <w:rFonts w:ascii="Segoe UI" w:hAnsi="Segoe UI" w:cs="Segoe UI"/>
          <w:sz w:val="22"/>
          <w:szCs w:val="22"/>
        </w:rPr>
        <w:t xml:space="preserve">repaid cards. Visa considers that </w:t>
      </w:r>
      <w:r w:rsidR="00506FE8">
        <w:rPr>
          <w:rFonts w:ascii="Segoe UI" w:hAnsi="Segoe UI" w:cs="Segoe UI"/>
          <w:sz w:val="22"/>
          <w:szCs w:val="22"/>
        </w:rPr>
        <w:t>P</w:t>
      </w:r>
      <w:r w:rsidRPr="008B327C">
        <w:rPr>
          <w:rFonts w:ascii="Segoe UI" w:hAnsi="Segoe UI" w:cs="Segoe UI"/>
          <w:sz w:val="22"/>
          <w:szCs w:val="22"/>
        </w:rPr>
        <w:t xml:space="preserve">repaid cards should continue to be </w:t>
      </w:r>
      <w:r>
        <w:rPr>
          <w:rFonts w:ascii="Segoe UI" w:hAnsi="Segoe UI" w:cs="Segoe UI"/>
          <w:sz w:val="22"/>
          <w:szCs w:val="22"/>
        </w:rPr>
        <w:t xml:space="preserve">formally </w:t>
      </w:r>
      <w:r w:rsidRPr="008B327C">
        <w:rPr>
          <w:rFonts w:ascii="Segoe UI" w:hAnsi="Segoe UI" w:cs="Segoe UI"/>
          <w:sz w:val="22"/>
          <w:szCs w:val="22"/>
        </w:rPr>
        <w:t xml:space="preserve">excluded from the regulatory framework as </w:t>
      </w:r>
      <w:r>
        <w:rPr>
          <w:rFonts w:ascii="Segoe UI" w:hAnsi="Segoe UI" w:cs="Segoe UI"/>
          <w:sz w:val="22"/>
          <w:szCs w:val="22"/>
        </w:rPr>
        <w:t>they</w:t>
      </w:r>
      <w:r w:rsidRPr="008B327C">
        <w:rPr>
          <w:rFonts w:ascii="Segoe UI" w:hAnsi="Segoe UI" w:cs="Segoe UI"/>
          <w:sz w:val="22"/>
          <w:szCs w:val="22"/>
        </w:rPr>
        <w:t xml:space="preserve"> comprise a small proportion of the market. To regulate </w:t>
      </w:r>
      <w:r w:rsidR="00506FE8">
        <w:rPr>
          <w:rFonts w:ascii="Segoe UI" w:hAnsi="Segoe UI" w:cs="Segoe UI"/>
          <w:sz w:val="22"/>
          <w:szCs w:val="22"/>
        </w:rPr>
        <w:t>P</w:t>
      </w:r>
      <w:r>
        <w:rPr>
          <w:rFonts w:ascii="Segoe UI" w:hAnsi="Segoe UI" w:cs="Segoe UI"/>
          <w:sz w:val="22"/>
          <w:szCs w:val="22"/>
        </w:rPr>
        <w:t xml:space="preserve">repaid cards could </w:t>
      </w:r>
      <w:r w:rsidRPr="008B327C">
        <w:rPr>
          <w:rFonts w:ascii="Segoe UI" w:hAnsi="Segoe UI" w:cs="Segoe UI"/>
          <w:sz w:val="22"/>
          <w:szCs w:val="22"/>
        </w:rPr>
        <w:t xml:space="preserve">stifle innovation and </w:t>
      </w:r>
      <w:r w:rsidR="00DE7F36">
        <w:rPr>
          <w:rFonts w:ascii="Segoe UI" w:hAnsi="Segoe UI" w:cs="Segoe UI"/>
          <w:sz w:val="22"/>
          <w:szCs w:val="22"/>
        </w:rPr>
        <w:t>detract from</w:t>
      </w:r>
      <w:r w:rsidRPr="008B327C">
        <w:rPr>
          <w:rFonts w:ascii="Segoe UI" w:hAnsi="Segoe UI" w:cs="Segoe UI"/>
          <w:sz w:val="22"/>
          <w:szCs w:val="22"/>
        </w:rPr>
        <w:t xml:space="preserve"> competition in payments and financial services more generally.</w:t>
      </w:r>
    </w:p>
    <w:p w14:paraId="31F4F69F" w14:textId="77777777" w:rsidR="00DF224C" w:rsidRDefault="00DF224C" w:rsidP="00DF224C">
      <w:pPr>
        <w:spacing w:line="276" w:lineRule="auto"/>
        <w:rPr>
          <w:rFonts w:ascii="Segoe UI" w:hAnsi="Segoe UI" w:cs="Segoe UI"/>
          <w:sz w:val="22"/>
          <w:szCs w:val="22"/>
        </w:rPr>
      </w:pPr>
    </w:p>
    <w:p w14:paraId="1DA610B3" w14:textId="77777777" w:rsidR="00DF224C" w:rsidRPr="0026610D" w:rsidRDefault="00DF224C" w:rsidP="00DF224C">
      <w:pPr>
        <w:spacing w:line="276" w:lineRule="auto"/>
        <w:rPr>
          <w:rFonts w:ascii="Segoe UI" w:hAnsi="Segoe UI" w:cs="Segoe UI"/>
          <w:b/>
          <w:i/>
          <w:color w:val="4F81BD" w:themeColor="accent1"/>
        </w:rPr>
      </w:pPr>
      <w:r w:rsidRPr="0026610D">
        <w:rPr>
          <w:rFonts w:ascii="Segoe UI" w:hAnsi="Segoe UI" w:cs="Segoe UI"/>
          <w:b/>
          <w:i/>
          <w:color w:val="4F81BD" w:themeColor="accent1"/>
        </w:rPr>
        <w:t>Commercial cards</w:t>
      </w:r>
    </w:p>
    <w:p w14:paraId="06DB5BD4" w14:textId="77777777" w:rsidR="00DF224C" w:rsidRDefault="00DF224C" w:rsidP="00DF224C">
      <w:pPr>
        <w:spacing w:before="120" w:after="240" w:line="276" w:lineRule="auto"/>
        <w:jc w:val="both"/>
        <w:rPr>
          <w:rFonts w:ascii="Segoe UI" w:hAnsi="Segoe UI" w:cs="Segoe UI"/>
          <w:sz w:val="22"/>
          <w:szCs w:val="22"/>
        </w:rPr>
      </w:pPr>
      <w:r>
        <w:rPr>
          <w:rFonts w:ascii="Segoe UI" w:hAnsi="Segoe UI" w:cs="Segoe UI"/>
          <w:sz w:val="22"/>
          <w:szCs w:val="22"/>
        </w:rPr>
        <w:t xml:space="preserve">The PSB sought advice on any other issues concerning card payments. </w:t>
      </w:r>
    </w:p>
    <w:p w14:paraId="285E7B5B" w14:textId="77777777" w:rsidR="00DF224C" w:rsidRPr="0026610D" w:rsidRDefault="00DF224C" w:rsidP="00DF224C">
      <w:pPr>
        <w:spacing w:before="120" w:after="240" w:line="276" w:lineRule="auto"/>
        <w:jc w:val="both"/>
        <w:rPr>
          <w:rFonts w:ascii="Segoe UI" w:hAnsi="Segoe UI" w:cs="Segoe UI"/>
          <w:sz w:val="22"/>
          <w:szCs w:val="22"/>
        </w:rPr>
      </w:pPr>
      <w:r w:rsidRPr="0026610D">
        <w:rPr>
          <w:rFonts w:ascii="Segoe UI" w:hAnsi="Segoe UI" w:cs="Segoe UI"/>
          <w:sz w:val="22"/>
          <w:szCs w:val="22"/>
        </w:rPr>
        <w:t xml:space="preserve">Visa strongly recommends that commercial cards should be removed from the interchange fee setting standard. Commercial cards are an efficient, low cost payment mechanism utilised </w:t>
      </w:r>
      <w:r w:rsidRPr="0026610D">
        <w:rPr>
          <w:rFonts w:ascii="Segoe UI" w:hAnsi="Segoe UI" w:cs="Segoe UI"/>
          <w:sz w:val="22"/>
          <w:szCs w:val="22"/>
        </w:rPr>
        <w:lastRenderedPageBreak/>
        <w:t xml:space="preserve">in </w:t>
      </w:r>
      <w:r>
        <w:rPr>
          <w:rFonts w:ascii="Segoe UI" w:hAnsi="Segoe UI" w:cs="Segoe UI"/>
          <w:sz w:val="22"/>
          <w:szCs w:val="22"/>
        </w:rPr>
        <w:t>business-to-business</w:t>
      </w:r>
      <w:r w:rsidRPr="0026610D">
        <w:rPr>
          <w:rFonts w:ascii="Segoe UI" w:hAnsi="Segoe UI" w:cs="Segoe UI"/>
          <w:sz w:val="22"/>
          <w:szCs w:val="22"/>
        </w:rPr>
        <w:t xml:space="preserve"> and </w:t>
      </w:r>
      <w:r>
        <w:rPr>
          <w:rFonts w:ascii="Segoe UI" w:hAnsi="Segoe UI" w:cs="Segoe UI"/>
          <w:sz w:val="22"/>
          <w:szCs w:val="22"/>
        </w:rPr>
        <w:t>government-to-business</w:t>
      </w:r>
      <w:r w:rsidRPr="0026610D">
        <w:rPr>
          <w:rFonts w:ascii="Segoe UI" w:hAnsi="Segoe UI" w:cs="Segoe UI"/>
          <w:sz w:val="22"/>
          <w:szCs w:val="22"/>
        </w:rPr>
        <w:t xml:space="preserve"> transactions, where market mechanisms and pricing differ significantly from consumer cards, </w:t>
      </w:r>
      <w:r>
        <w:rPr>
          <w:rFonts w:ascii="Segoe UI" w:hAnsi="Segoe UI" w:cs="Segoe UI"/>
          <w:sz w:val="22"/>
          <w:szCs w:val="22"/>
        </w:rPr>
        <w:t xml:space="preserve">are more likely to reflect the outcome of commercial agreements and ‘terms of trade’ between buyers and sellers making </w:t>
      </w:r>
      <w:r w:rsidRPr="0026610D">
        <w:rPr>
          <w:rFonts w:ascii="Segoe UI" w:hAnsi="Segoe UI" w:cs="Segoe UI"/>
          <w:sz w:val="22"/>
          <w:szCs w:val="22"/>
        </w:rPr>
        <w:t xml:space="preserve">pricing regulation less relevant and </w:t>
      </w:r>
      <w:r>
        <w:rPr>
          <w:rFonts w:ascii="Segoe UI" w:hAnsi="Segoe UI" w:cs="Segoe UI"/>
          <w:sz w:val="22"/>
          <w:szCs w:val="22"/>
        </w:rPr>
        <w:t xml:space="preserve">likely to </w:t>
      </w:r>
      <w:r w:rsidRPr="0026610D">
        <w:rPr>
          <w:rFonts w:ascii="Segoe UI" w:hAnsi="Segoe UI" w:cs="Segoe UI"/>
          <w:sz w:val="22"/>
          <w:szCs w:val="22"/>
        </w:rPr>
        <w:t>encroach on the commercial arrangements and payment terms agreed to by the parties to a transaction.</w:t>
      </w:r>
      <w:r>
        <w:rPr>
          <w:rFonts w:ascii="Segoe UI" w:hAnsi="Segoe UI" w:cs="Segoe UI"/>
          <w:sz w:val="22"/>
          <w:szCs w:val="22"/>
        </w:rPr>
        <w:t xml:space="preserve"> If this does not occur, it is essential that pricing within the American Express proprietary business equally regulated, given their market share in the commercial space, and the fact that the business model outcomes for Visa/ American Express, MasterCard etc. are all very similar in the Commercial Card space.</w:t>
      </w:r>
    </w:p>
    <w:p w14:paraId="4BAF1365" w14:textId="77777777" w:rsidR="00DF224C" w:rsidRDefault="00DF224C" w:rsidP="00DF224C">
      <w:pPr>
        <w:spacing w:before="120" w:after="240" w:line="276" w:lineRule="auto"/>
        <w:rPr>
          <w:rFonts w:ascii="Segoe UI" w:hAnsi="Segoe UI" w:cs="Segoe UI"/>
          <w:b/>
          <w:bCs/>
          <w:i/>
          <w:iCs/>
          <w:color w:val="4F81BD" w:themeColor="accent1"/>
          <w:sz w:val="22"/>
          <w:szCs w:val="22"/>
        </w:rPr>
      </w:pPr>
      <w:r>
        <w:rPr>
          <w:rFonts w:ascii="Segoe UI" w:hAnsi="Segoe UI" w:cs="Segoe UI"/>
          <w:b/>
          <w:bCs/>
          <w:i/>
          <w:iCs/>
          <w:color w:val="4F81BD" w:themeColor="accent1"/>
          <w:sz w:val="22"/>
          <w:szCs w:val="22"/>
        </w:rPr>
        <w:t>Implementation timeframe</w:t>
      </w:r>
    </w:p>
    <w:p w14:paraId="1687F285" w14:textId="77777777" w:rsidR="00DF224C" w:rsidRPr="0026610D" w:rsidRDefault="00DF224C" w:rsidP="00DF224C">
      <w:pPr>
        <w:spacing w:before="120" w:after="240" w:line="276" w:lineRule="auto"/>
        <w:jc w:val="both"/>
        <w:rPr>
          <w:rFonts w:ascii="Segoe UI" w:hAnsi="Segoe UI" w:cs="Segoe UI"/>
          <w:sz w:val="22"/>
          <w:szCs w:val="22"/>
        </w:rPr>
      </w:pPr>
      <w:r>
        <w:rPr>
          <w:rFonts w:ascii="Segoe UI" w:hAnsi="Segoe UI" w:cs="Segoe UI"/>
          <w:sz w:val="22"/>
          <w:szCs w:val="22"/>
        </w:rPr>
        <w:t>Finally, w</w:t>
      </w:r>
      <w:r w:rsidRPr="0026610D">
        <w:rPr>
          <w:rFonts w:ascii="Segoe UI" w:hAnsi="Segoe UI" w:cs="Segoe UI"/>
          <w:sz w:val="22"/>
          <w:szCs w:val="22"/>
        </w:rPr>
        <w:t xml:space="preserve">e welcome the commitments made by the PSB to recognise the significant changes that may need to take place to business models in the payments industry should any number of the reforms </w:t>
      </w:r>
      <w:r>
        <w:rPr>
          <w:rFonts w:ascii="Segoe UI" w:hAnsi="Segoe UI" w:cs="Segoe UI"/>
          <w:sz w:val="22"/>
          <w:szCs w:val="22"/>
        </w:rPr>
        <w:t>under review</w:t>
      </w:r>
      <w:r w:rsidRPr="0026610D">
        <w:rPr>
          <w:rFonts w:ascii="Segoe UI" w:hAnsi="Segoe UI" w:cs="Segoe UI"/>
          <w:sz w:val="22"/>
          <w:szCs w:val="22"/>
        </w:rPr>
        <w:t xml:space="preserve"> actually be implemented and your assurance there will </w:t>
      </w:r>
      <w:r>
        <w:rPr>
          <w:rFonts w:ascii="Segoe UI" w:hAnsi="Segoe UI" w:cs="Segoe UI"/>
          <w:sz w:val="22"/>
          <w:szCs w:val="22"/>
        </w:rPr>
        <w:t xml:space="preserve">be </w:t>
      </w:r>
      <w:r w:rsidRPr="0026610D">
        <w:rPr>
          <w:rFonts w:ascii="Segoe UI" w:hAnsi="Segoe UI" w:cs="Segoe UI"/>
          <w:sz w:val="22"/>
          <w:szCs w:val="22"/>
        </w:rPr>
        <w:t xml:space="preserve">appropriate consultation periods and timeframes for implementation. </w:t>
      </w:r>
    </w:p>
    <w:p w14:paraId="786F9036" w14:textId="77777777" w:rsidR="00DF224C" w:rsidRPr="0026610D" w:rsidRDefault="00DF224C" w:rsidP="00DF224C">
      <w:pPr>
        <w:spacing w:before="120" w:after="240" w:line="276" w:lineRule="auto"/>
        <w:jc w:val="both"/>
        <w:rPr>
          <w:rFonts w:ascii="Segoe UI" w:hAnsi="Segoe UI" w:cs="Segoe UI"/>
          <w:sz w:val="22"/>
          <w:szCs w:val="22"/>
        </w:rPr>
      </w:pPr>
      <w:r w:rsidRPr="0026610D">
        <w:rPr>
          <w:rFonts w:ascii="Segoe UI" w:hAnsi="Segoe UI" w:cs="Segoe UI"/>
          <w:sz w:val="22"/>
          <w:szCs w:val="22"/>
        </w:rPr>
        <w:t xml:space="preserve">Visa considers that any reforms (such as surcharging) implemented independently of other options being considered by the PSB could undermine the overall intent of the PSB’s review given the interconnections and dependencies between various aspects of the reforms. </w:t>
      </w:r>
    </w:p>
    <w:p w14:paraId="6AFC54C9" w14:textId="77777777" w:rsidR="00DF224C" w:rsidRPr="0026610D" w:rsidRDefault="00DF224C" w:rsidP="00DF224C">
      <w:pPr>
        <w:spacing w:before="120" w:after="240" w:line="276" w:lineRule="auto"/>
        <w:jc w:val="both"/>
        <w:rPr>
          <w:rFonts w:ascii="Segoe UI" w:hAnsi="Segoe UI" w:cs="Segoe UI"/>
          <w:sz w:val="22"/>
          <w:szCs w:val="22"/>
        </w:rPr>
      </w:pPr>
      <w:r w:rsidRPr="0026610D">
        <w:rPr>
          <w:rFonts w:ascii="Segoe UI" w:hAnsi="Segoe UI" w:cs="Segoe UI"/>
          <w:sz w:val="22"/>
          <w:szCs w:val="22"/>
        </w:rPr>
        <w:t>Further, to account for system freeze periods and development lead times required to coordinate both Visa and Australian banks</w:t>
      </w:r>
      <w:r>
        <w:rPr>
          <w:rFonts w:ascii="Segoe UI" w:hAnsi="Segoe UI" w:cs="Segoe UI"/>
          <w:sz w:val="22"/>
          <w:szCs w:val="22"/>
        </w:rPr>
        <w:t xml:space="preserve"> and merchant</w:t>
      </w:r>
      <w:r w:rsidRPr="0026610D">
        <w:rPr>
          <w:rFonts w:ascii="Segoe UI" w:hAnsi="Segoe UI" w:cs="Segoe UI"/>
          <w:sz w:val="22"/>
          <w:szCs w:val="22"/>
        </w:rPr>
        <w:t xml:space="preserve"> development efforts, structural interchange changes in the Visa system can take up to nine months to occur. Sufficient time will be needed </w:t>
      </w:r>
      <w:r>
        <w:rPr>
          <w:rFonts w:ascii="Segoe UI" w:hAnsi="Segoe UI" w:cs="Segoe UI"/>
          <w:sz w:val="22"/>
          <w:szCs w:val="22"/>
        </w:rPr>
        <w:t xml:space="preserve">so that all stakeholders can </w:t>
      </w:r>
      <w:r w:rsidRPr="0026610D">
        <w:rPr>
          <w:rFonts w:ascii="Segoe UI" w:hAnsi="Segoe UI" w:cs="Segoe UI"/>
          <w:sz w:val="22"/>
          <w:szCs w:val="22"/>
        </w:rPr>
        <w:t xml:space="preserve">make the necessary changes. </w:t>
      </w:r>
    </w:p>
    <w:p w14:paraId="6D4D95E2" w14:textId="77777777" w:rsidR="00DF224C" w:rsidRDefault="00DF224C" w:rsidP="00DF224C"/>
    <w:p w14:paraId="547BEA79" w14:textId="77777777" w:rsidR="00DF224C" w:rsidRDefault="00DF224C">
      <w:pPr>
        <w:spacing w:after="200" w:line="276" w:lineRule="auto"/>
      </w:pPr>
      <w:r>
        <w:br w:type="page"/>
      </w:r>
    </w:p>
    <w:p w14:paraId="30DF0909" w14:textId="77777777" w:rsidR="00DF224C" w:rsidRPr="0089281F" w:rsidRDefault="00DF224C" w:rsidP="00DF224C">
      <w:pPr>
        <w:pStyle w:val="Heading1"/>
        <w:rPr>
          <w:rFonts w:ascii="Segoe UI" w:hAnsi="Segoe UI" w:cs="Segoe UI"/>
          <w:color w:val="002060"/>
        </w:rPr>
      </w:pPr>
      <w:bookmarkStart w:id="3" w:name="_Toc417303920"/>
      <w:bookmarkStart w:id="4" w:name="_Toc417572677"/>
      <w:bookmarkStart w:id="5" w:name="_Toc289107957"/>
      <w:r w:rsidRPr="0089281F">
        <w:rPr>
          <w:rFonts w:ascii="Segoe UI" w:hAnsi="Segoe UI" w:cs="Segoe UI"/>
          <w:color w:val="002060"/>
        </w:rPr>
        <w:lastRenderedPageBreak/>
        <w:t>Chapter 1: The future of digital payments</w:t>
      </w:r>
      <w:bookmarkEnd w:id="3"/>
      <w:bookmarkEnd w:id="4"/>
    </w:p>
    <w:p w14:paraId="776A7961" w14:textId="77777777" w:rsidR="00DF224C" w:rsidRDefault="00DF224C" w:rsidP="00DF224C"/>
    <w:tbl>
      <w:tblPr>
        <w:tblStyle w:val="TableGrid"/>
        <w:tblW w:w="0" w:type="auto"/>
        <w:shd w:val="clear" w:color="auto" w:fill="D9D9D9" w:themeFill="background1" w:themeFillShade="D9"/>
        <w:tblLook w:val="04A0" w:firstRow="1" w:lastRow="0" w:firstColumn="1" w:lastColumn="0" w:noHBand="0" w:noVBand="1"/>
      </w:tblPr>
      <w:tblGrid>
        <w:gridCol w:w="9243"/>
      </w:tblGrid>
      <w:tr w:rsidR="00DF224C" w14:paraId="4F2D6A4D" w14:textId="77777777" w:rsidTr="00653966">
        <w:tc>
          <w:tcPr>
            <w:tcW w:w="9280" w:type="dxa"/>
            <w:shd w:val="clear" w:color="auto" w:fill="D9D9D9" w:themeFill="background1" w:themeFillShade="D9"/>
          </w:tcPr>
          <w:p w14:paraId="4ABF79A5" w14:textId="77777777" w:rsidR="00DF224C" w:rsidRPr="00426E9B" w:rsidRDefault="00DF224C" w:rsidP="00653966">
            <w:pPr>
              <w:pStyle w:val="Heading4"/>
              <w:outlineLvl w:val="3"/>
              <w:rPr>
                <w:rFonts w:ascii="Segoe UI" w:hAnsi="Segoe UI" w:cs="Segoe UI"/>
              </w:rPr>
            </w:pPr>
            <w:r w:rsidRPr="00426E9B">
              <w:rPr>
                <w:rFonts w:ascii="Segoe UI" w:hAnsi="Segoe UI" w:cs="Segoe UI"/>
              </w:rPr>
              <w:t>Key points</w:t>
            </w:r>
          </w:p>
          <w:p w14:paraId="2EAA8F13" w14:textId="77777777" w:rsidR="00DF224C" w:rsidRPr="00B63324" w:rsidRDefault="00DF224C" w:rsidP="0089281F">
            <w:pPr>
              <w:pStyle w:val="ListParagraph"/>
              <w:numPr>
                <w:ilvl w:val="0"/>
                <w:numId w:val="2"/>
              </w:numPr>
              <w:spacing w:before="120" w:after="240" w:line="240" w:lineRule="exact"/>
              <w:ind w:right="288"/>
              <w:contextualSpacing w:val="0"/>
              <w:jc w:val="both"/>
              <w:rPr>
                <w:rFonts w:ascii="Segoe UI" w:hAnsi="Segoe UI" w:cs="Segoe UI"/>
                <w:sz w:val="22"/>
                <w:szCs w:val="22"/>
              </w:rPr>
            </w:pPr>
            <w:r w:rsidRPr="00B63324">
              <w:rPr>
                <w:rFonts w:ascii="Segoe UI" w:hAnsi="Segoe UI" w:cs="Segoe UI"/>
                <w:sz w:val="22"/>
                <w:szCs w:val="22"/>
              </w:rPr>
              <w:t xml:space="preserve">Technology is fundamentally changing the relationship between consumers and the businesses that serve them. Looking forward to the next five, or </w:t>
            </w:r>
            <w:r>
              <w:rPr>
                <w:rFonts w:ascii="Segoe UI" w:hAnsi="Segoe UI" w:cs="Segoe UI"/>
                <w:sz w:val="22"/>
                <w:szCs w:val="22"/>
              </w:rPr>
              <w:t>10</w:t>
            </w:r>
            <w:r w:rsidRPr="00B63324">
              <w:rPr>
                <w:rFonts w:ascii="Segoe UI" w:hAnsi="Segoe UI" w:cs="Segoe UI"/>
                <w:sz w:val="22"/>
                <w:szCs w:val="22"/>
              </w:rPr>
              <w:t xml:space="preserve"> years, we are likely to see emerging technologies change everything again.</w:t>
            </w:r>
          </w:p>
          <w:p w14:paraId="603FA777" w14:textId="77777777" w:rsidR="00DF224C" w:rsidRDefault="00DF224C" w:rsidP="0089281F">
            <w:pPr>
              <w:pStyle w:val="ListParagraph"/>
              <w:numPr>
                <w:ilvl w:val="0"/>
                <w:numId w:val="2"/>
              </w:numPr>
              <w:spacing w:before="120" w:after="240" w:line="240" w:lineRule="exact"/>
              <w:ind w:right="288"/>
              <w:contextualSpacing w:val="0"/>
              <w:jc w:val="both"/>
              <w:rPr>
                <w:rFonts w:ascii="Segoe UI" w:hAnsi="Segoe UI" w:cs="Segoe UI"/>
                <w:sz w:val="22"/>
                <w:szCs w:val="22"/>
              </w:rPr>
            </w:pPr>
            <w:r w:rsidRPr="00B63324">
              <w:rPr>
                <w:rFonts w:ascii="Segoe UI" w:hAnsi="Segoe UI" w:cs="Segoe UI"/>
                <w:sz w:val="22"/>
                <w:szCs w:val="22"/>
              </w:rPr>
              <w:t>The digital revolution has created an almost unlimited ability for companies – from start-ups to the world’s largest</w:t>
            </w:r>
            <w:r w:rsidR="00DE7F36">
              <w:rPr>
                <w:rFonts w:ascii="Segoe UI" w:hAnsi="Segoe UI" w:cs="Segoe UI"/>
                <w:sz w:val="22"/>
                <w:szCs w:val="22"/>
              </w:rPr>
              <w:t xml:space="preserve"> players</w:t>
            </w:r>
            <w:r w:rsidRPr="00B63324">
              <w:rPr>
                <w:rFonts w:ascii="Segoe UI" w:hAnsi="Segoe UI" w:cs="Segoe UI"/>
                <w:sz w:val="22"/>
                <w:szCs w:val="22"/>
              </w:rPr>
              <w:t xml:space="preserve"> – to participate in commerce by creating new experiences through mobile, tablets, PCs and future connected devices.</w:t>
            </w:r>
          </w:p>
          <w:p w14:paraId="050858BA" w14:textId="77777777" w:rsidR="00DF224C" w:rsidRPr="00D30139" w:rsidRDefault="00DF224C" w:rsidP="0089281F">
            <w:pPr>
              <w:pStyle w:val="ListParagraph"/>
              <w:numPr>
                <w:ilvl w:val="0"/>
                <w:numId w:val="2"/>
              </w:numPr>
              <w:spacing w:before="120" w:after="240" w:line="240" w:lineRule="exact"/>
              <w:ind w:right="288"/>
              <w:contextualSpacing w:val="0"/>
              <w:jc w:val="both"/>
            </w:pPr>
            <w:r w:rsidRPr="00B63324">
              <w:rPr>
                <w:rFonts w:ascii="Segoe UI" w:hAnsi="Segoe UI" w:cs="Segoe UI"/>
                <w:sz w:val="22"/>
                <w:szCs w:val="22"/>
              </w:rPr>
              <w:t>Th</w:t>
            </w:r>
            <w:r>
              <w:rPr>
                <w:rFonts w:ascii="Segoe UI" w:hAnsi="Segoe UI" w:cs="Segoe UI"/>
                <w:sz w:val="22"/>
                <w:szCs w:val="22"/>
              </w:rPr>
              <w:t xml:space="preserve">is </w:t>
            </w:r>
            <w:r w:rsidRPr="00B63324">
              <w:rPr>
                <w:rFonts w:ascii="Segoe UI" w:hAnsi="Segoe UI" w:cs="Segoe UI"/>
                <w:sz w:val="22"/>
                <w:szCs w:val="22"/>
              </w:rPr>
              <w:t>speed of innovation means it’s critical for the government and regulators to recommend changes that give the payment system ample room to adapt to future developments, both predicted and unforeseen.</w:t>
            </w:r>
          </w:p>
          <w:p w14:paraId="2C40788A" w14:textId="77777777" w:rsidR="00DF224C" w:rsidRPr="006E1CF6" w:rsidRDefault="00DF224C" w:rsidP="0089281F">
            <w:pPr>
              <w:pStyle w:val="ListParagraph"/>
              <w:numPr>
                <w:ilvl w:val="0"/>
                <w:numId w:val="2"/>
              </w:numPr>
              <w:spacing w:before="120" w:after="240" w:line="240" w:lineRule="exact"/>
              <w:ind w:right="288"/>
              <w:contextualSpacing w:val="0"/>
              <w:jc w:val="both"/>
            </w:pPr>
            <w:r w:rsidRPr="006E1CF6">
              <w:rPr>
                <w:rFonts w:ascii="Segoe UI" w:hAnsi="Segoe UI" w:cs="Segoe UI"/>
                <w:sz w:val="22"/>
                <w:szCs w:val="22"/>
              </w:rPr>
              <w:t>We note that in the Federal Government’s FSI process, a clear intent was outlined to ensure that technology is neutral to ensure that any mode of technology is agnostic to the regulations supporting its innovation, access and use.</w:t>
            </w:r>
            <w:r>
              <w:rPr>
                <w:rFonts w:ascii="Segoe UI" w:hAnsi="Segoe UI" w:cs="Segoe UI"/>
                <w:sz w:val="22"/>
                <w:szCs w:val="22"/>
              </w:rPr>
              <w:t xml:space="preserve"> Visa</w:t>
            </w:r>
            <w:r w:rsidRPr="0095144C">
              <w:rPr>
                <w:rFonts w:ascii="Segoe UI" w:hAnsi="Segoe UI" w:cs="Segoe UI"/>
                <w:sz w:val="22"/>
                <w:szCs w:val="22"/>
              </w:rPr>
              <w:t xml:space="preserve"> support</w:t>
            </w:r>
            <w:r>
              <w:rPr>
                <w:rFonts w:ascii="Segoe UI" w:hAnsi="Segoe UI" w:cs="Segoe UI"/>
                <w:sz w:val="22"/>
                <w:szCs w:val="22"/>
              </w:rPr>
              <w:t>s</w:t>
            </w:r>
            <w:r w:rsidRPr="0095144C">
              <w:rPr>
                <w:rFonts w:ascii="Segoe UI" w:hAnsi="Segoe UI" w:cs="Segoe UI"/>
                <w:sz w:val="22"/>
                <w:szCs w:val="22"/>
              </w:rPr>
              <w:t xml:space="preserve"> an industry working group on these matters </w:t>
            </w:r>
            <w:r>
              <w:rPr>
                <w:rFonts w:ascii="Segoe UI" w:hAnsi="Segoe UI" w:cs="Segoe UI"/>
                <w:sz w:val="22"/>
                <w:szCs w:val="22"/>
              </w:rPr>
              <w:t xml:space="preserve">and we feel the </w:t>
            </w:r>
            <w:r w:rsidR="00D72A1E">
              <w:rPr>
                <w:rFonts w:ascii="Segoe UI" w:hAnsi="Segoe UI" w:cs="Segoe UI"/>
                <w:sz w:val="22"/>
                <w:szCs w:val="22"/>
              </w:rPr>
              <w:t>RBA</w:t>
            </w:r>
            <w:r>
              <w:rPr>
                <w:rFonts w:ascii="Segoe UI" w:hAnsi="Segoe UI" w:cs="Segoe UI"/>
                <w:sz w:val="22"/>
                <w:szCs w:val="22"/>
              </w:rPr>
              <w:t xml:space="preserve"> should play an active role in this group given its role as the payments regulator.</w:t>
            </w:r>
          </w:p>
          <w:p w14:paraId="405D1CFA" w14:textId="77777777" w:rsidR="00DF224C" w:rsidRDefault="00DF224C" w:rsidP="00653966"/>
        </w:tc>
      </w:tr>
    </w:tbl>
    <w:p w14:paraId="1C53F0C1" w14:textId="77777777" w:rsidR="00DF224C" w:rsidRDefault="00DF224C" w:rsidP="00DF224C">
      <w:pPr>
        <w:rPr>
          <w:rFonts w:ascii="Segoe UI" w:hAnsi="Segoe UI" w:cs="Segoe UI"/>
        </w:rPr>
      </w:pPr>
    </w:p>
    <w:p w14:paraId="5B47DB5A" w14:textId="77777777" w:rsidR="00DF224C" w:rsidRDefault="00DF224C" w:rsidP="00DF224C">
      <w:pPr>
        <w:pStyle w:val="Heading2"/>
        <w:numPr>
          <w:ilvl w:val="1"/>
          <w:numId w:val="3"/>
        </w:numPr>
        <w:rPr>
          <w:rFonts w:ascii="Segoe UI" w:hAnsi="Segoe UI" w:cs="Segoe UI"/>
          <w:sz w:val="22"/>
          <w:szCs w:val="22"/>
        </w:rPr>
      </w:pPr>
      <w:bookmarkStart w:id="6" w:name="_Toc417303921"/>
      <w:bookmarkStart w:id="7" w:name="_Toc417572678"/>
      <w:r>
        <w:rPr>
          <w:rFonts w:ascii="Segoe UI" w:hAnsi="Segoe UI" w:cs="Segoe UI"/>
          <w:sz w:val="22"/>
          <w:szCs w:val="22"/>
        </w:rPr>
        <w:t>Introduction</w:t>
      </w:r>
      <w:bookmarkEnd w:id="6"/>
      <w:bookmarkEnd w:id="7"/>
    </w:p>
    <w:p w14:paraId="6EB6F138" w14:textId="77777777" w:rsidR="00DF224C" w:rsidRPr="003F3204" w:rsidRDefault="00DF224C" w:rsidP="00DF224C"/>
    <w:p w14:paraId="7B50F643" w14:textId="77777777" w:rsidR="00DF224C" w:rsidRPr="0095144C" w:rsidRDefault="00DF224C" w:rsidP="00DF224C">
      <w:pPr>
        <w:spacing w:line="276" w:lineRule="auto"/>
        <w:jc w:val="both"/>
        <w:rPr>
          <w:rFonts w:ascii="Segoe UI" w:hAnsi="Segoe UI" w:cs="Segoe UI"/>
          <w:sz w:val="22"/>
          <w:szCs w:val="22"/>
        </w:rPr>
      </w:pPr>
      <w:r w:rsidRPr="0095144C">
        <w:rPr>
          <w:rFonts w:ascii="Segoe UI" w:hAnsi="Segoe UI" w:cs="Segoe UI"/>
          <w:sz w:val="22"/>
          <w:szCs w:val="22"/>
        </w:rPr>
        <w:t>Technology is fundamentally changing the relationship between consumers and the businesses that serve them. It has led to significant market and industry disruption and the pay</w:t>
      </w:r>
      <w:r>
        <w:rPr>
          <w:rFonts w:ascii="Segoe UI" w:hAnsi="Segoe UI" w:cs="Segoe UI"/>
          <w:sz w:val="22"/>
          <w:szCs w:val="22"/>
        </w:rPr>
        <w:t xml:space="preserve">ments industry is no exception. </w:t>
      </w:r>
      <w:r w:rsidRPr="0095144C">
        <w:rPr>
          <w:rFonts w:ascii="Segoe UI" w:hAnsi="Segoe UI" w:cs="Segoe UI"/>
          <w:sz w:val="22"/>
          <w:szCs w:val="22"/>
        </w:rPr>
        <w:t xml:space="preserve">Looking forward to the next five, or ten years, we are likely to see emerging technologies change everything again. </w:t>
      </w:r>
    </w:p>
    <w:p w14:paraId="6C047188" w14:textId="77777777" w:rsidR="00DF224C" w:rsidRPr="0095144C" w:rsidRDefault="00DF224C" w:rsidP="00DF224C">
      <w:pPr>
        <w:spacing w:line="276" w:lineRule="auto"/>
        <w:jc w:val="both"/>
        <w:rPr>
          <w:rFonts w:ascii="Segoe UI" w:hAnsi="Segoe UI" w:cs="Segoe UI"/>
          <w:sz w:val="22"/>
          <w:szCs w:val="22"/>
        </w:rPr>
      </w:pPr>
    </w:p>
    <w:p w14:paraId="01845EBA" w14:textId="77777777" w:rsidR="00DF224C" w:rsidRPr="0095144C" w:rsidRDefault="00DF224C" w:rsidP="00DF224C">
      <w:pPr>
        <w:spacing w:line="276" w:lineRule="auto"/>
        <w:jc w:val="both"/>
        <w:rPr>
          <w:rFonts w:ascii="Segoe UI" w:hAnsi="Segoe UI" w:cs="Segoe UI"/>
          <w:sz w:val="22"/>
          <w:szCs w:val="22"/>
        </w:rPr>
      </w:pPr>
      <w:r w:rsidRPr="0095144C">
        <w:rPr>
          <w:rFonts w:ascii="Segoe UI" w:hAnsi="Segoe UI" w:cs="Segoe UI"/>
          <w:sz w:val="22"/>
          <w:szCs w:val="22"/>
        </w:rPr>
        <w:t>It is impossible to predict exactly what the financial landscape will look like in the future, especially in the rapidly evolving world of payments. Payments innovation is being driven in large part by consumer choice</w:t>
      </w:r>
      <w:r>
        <w:rPr>
          <w:rFonts w:ascii="Segoe UI" w:hAnsi="Segoe UI" w:cs="Segoe UI"/>
          <w:sz w:val="22"/>
          <w:szCs w:val="22"/>
        </w:rPr>
        <w:t xml:space="preserve"> – because consumers want ease and convenience, but also security</w:t>
      </w:r>
      <w:r w:rsidRPr="0095144C">
        <w:rPr>
          <w:rFonts w:ascii="Segoe UI" w:hAnsi="Segoe UI" w:cs="Segoe UI"/>
          <w:sz w:val="22"/>
          <w:szCs w:val="22"/>
        </w:rPr>
        <w:t>. In particular</w:t>
      </w:r>
      <w:r>
        <w:rPr>
          <w:rFonts w:ascii="Segoe UI" w:hAnsi="Segoe UI" w:cs="Segoe UI"/>
          <w:sz w:val="22"/>
          <w:szCs w:val="22"/>
        </w:rPr>
        <w:t>,</w:t>
      </w:r>
      <w:r w:rsidRPr="0095144C">
        <w:rPr>
          <w:rFonts w:ascii="Segoe UI" w:hAnsi="Segoe UI" w:cs="Segoe UI"/>
          <w:sz w:val="22"/>
          <w:szCs w:val="22"/>
        </w:rPr>
        <w:t xml:space="preserve"> it is the rise of digital payments including mobile and online that presents the most opportunity and challenge for the payments industry today, but in the future we expect to see payments enabled across a range of connected devices. </w:t>
      </w:r>
    </w:p>
    <w:p w14:paraId="4E32C3D6" w14:textId="77777777" w:rsidR="00DF224C" w:rsidRPr="0095144C" w:rsidRDefault="00DF224C" w:rsidP="00DF224C">
      <w:pPr>
        <w:spacing w:line="276" w:lineRule="auto"/>
        <w:jc w:val="both"/>
        <w:rPr>
          <w:rFonts w:ascii="Segoe UI" w:hAnsi="Segoe UI" w:cs="Segoe UI"/>
          <w:sz w:val="22"/>
          <w:szCs w:val="22"/>
        </w:rPr>
      </w:pPr>
    </w:p>
    <w:p w14:paraId="0C8FC06A" w14:textId="77777777" w:rsidR="00DF224C" w:rsidRPr="0095144C" w:rsidRDefault="00DF224C" w:rsidP="00DF224C">
      <w:pPr>
        <w:spacing w:line="276" w:lineRule="auto"/>
        <w:jc w:val="both"/>
        <w:rPr>
          <w:rFonts w:ascii="Segoe UI" w:hAnsi="Segoe UI" w:cs="Segoe UI"/>
          <w:sz w:val="22"/>
          <w:szCs w:val="22"/>
        </w:rPr>
      </w:pPr>
      <w:r w:rsidRPr="0095144C">
        <w:rPr>
          <w:rFonts w:ascii="Segoe UI" w:hAnsi="Segoe UI" w:cs="Segoe UI"/>
          <w:sz w:val="22"/>
          <w:szCs w:val="22"/>
        </w:rPr>
        <w:t xml:space="preserve">Our personal </w:t>
      </w:r>
      <w:r>
        <w:rPr>
          <w:rFonts w:ascii="Segoe UI" w:hAnsi="Segoe UI" w:cs="Segoe UI"/>
          <w:sz w:val="22"/>
          <w:szCs w:val="22"/>
        </w:rPr>
        <w:t>access to</w:t>
      </w:r>
      <w:r w:rsidRPr="0095144C">
        <w:rPr>
          <w:rFonts w:ascii="Segoe UI" w:hAnsi="Segoe UI" w:cs="Segoe UI"/>
          <w:sz w:val="22"/>
          <w:szCs w:val="22"/>
        </w:rPr>
        <w:t xml:space="preserve"> networked devices is set to grow beyond mobiles, tablets and laptops to incorporate many of the objects used in day-to-day life. From wearable technology to car dashboards, these devices will be linked to each other and to the </w:t>
      </w:r>
      <w:r>
        <w:rPr>
          <w:rFonts w:ascii="Segoe UI" w:hAnsi="Segoe UI" w:cs="Segoe UI"/>
          <w:sz w:val="22"/>
          <w:szCs w:val="22"/>
        </w:rPr>
        <w:t>C</w:t>
      </w:r>
      <w:r w:rsidRPr="0095144C">
        <w:rPr>
          <w:rFonts w:ascii="Segoe UI" w:hAnsi="Segoe UI" w:cs="Segoe UI"/>
          <w:sz w:val="22"/>
          <w:szCs w:val="22"/>
        </w:rPr>
        <w:t>loud. In a world where everyday devices add greater automation and convenience to consumers’ lives</w:t>
      </w:r>
      <w:r>
        <w:rPr>
          <w:rFonts w:ascii="Segoe UI" w:hAnsi="Segoe UI" w:cs="Segoe UI"/>
          <w:sz w:val="22"/>
          <w:szCs w:val="22"/>
        </w:rPr>
        <w:t xml:space="preserve"> (“The Internet of Things”)</w:t>
      </w:r>
      <w:r w:rsidRPr="0095144C">
        <w:rPr>
          <w:rFonts w:ascii="Segoe UI" w:hAnsi="Segoe UI" w:cs="Segoe UI"/>
          <w:sz w:val="22"/>
          <w:szCs w:val="22"/>
        </w:rPr>
        <w:t>, it</w:t>
      </w:r>
      <w:r>
        <w:rPr>
          <w:rFonts w:ascii="Segoe UI" w:hAnsi="Segoe UI" w:cs="Segoe UI"/>
          <w:sz w:val="22"/>
          <w:szCs w:val="22"/>
        </w:rPr>
        <w:t xml:space="preserve"> i</w:t>
      </w:r>
      <w:r w:rsidRPr="0095144C">
        <w:rPr>
          <w:rFonts w:ascii="Segoe UI" w:hAnsi="Segoe UI" w:cs="Segoe UI"/>
          <w:sz w:val="22"/>
          <w:szCs w:val="22"/>
        </w:rPr>
        <w:t>s a reasonable expectation that people will want to use these connected devices to pay for goods and services, anywhere and at any time.</w:t>
      </w:r>
      <w:r>
        <w:rPr>
          <w:rFonts w:ascii="Segoe UI" w:hAnsi="Segoe UI" w:cs="Segoe UI"/>
          <w:sz w:val="22"/>
          <w:szCs w:val="22"/>
        </w:rPr>
        <w:t xml:space="preserve"> </w:t>
      </w:r>
      <w:r w:rsidRPr="00EA2327">
        <w:rPr>
          <w:rFonts w:ascii="Segoe UI" w:hAnsi="Segoe UI" w:cs="Segoe UI"/>
          <w:sz w:val="22"/>
          <w:szCs w:val="22"/>
        </w:rPr>
        <w:t>Wearable computing technology is set to</w:t>
      </w:r>
      <w:r>
        <w:rPr>
          <w:rFonts w:ascii="Segoe UI" w:hAnsi="Segoe UI" w:cs="Segoe UI"/>
          <w:sz w:val="22"/>
          <w:szCs w:val="22"/>
        </w:rPr>
        <w:t xml:space="preserve"> </w:t>
      </w:r>
      <w:r w:rsidRPr="00EA2327">
        <w:rPr>
          <w:rFonts w:ascii="Segoe UI" w:hAnsi="Segoe UI" w:cs="Segoe UI"/>
          <w:sz w:val="22"/>
          <w:szCs w:val="22"/>
        </w:rPr>
        <w:t>explode in growth. US Research analyst BI</w:t>
      </w:r>
      <w:r>
        <w:rPr>
          <w:rFonts w:ascii="Segoe UI" w:hAnsi="Segoe UI" w:cs="Segoe UI"/>
          <w:sz w:val="22"/>
          <w:szCs w:val="22"/>
        </w:rPr>
        <w:t xml:space="preserve"> </w:t>
      </w:r>
      <w:r w:rsidRPr="00EA2327">
        <w:rPr>
          <w:rFonts w:ascii="Segoe UI" w:hAnsi="Segoe UI" w:cs="Segoe UI"/>
          <w:sz w:val="22"/>
          <w:szCs w:val="22"/>
        </w:rPr>
        <w:t xml:space="preserve">Intelligence projects that by </w:t>
      </w:r>
      <w:r w:rsidRPr="00EA2327">
        <w:rPr>
          <w:rFonts w:ascii="Segoe UI" w:hAnsi="Segoe UI" w:cs="Segoe UI"/>
          <w:sz w:val="22"/>
          <w:szCs w:val="22"/>
        </w:rPr>
        <w:lastRenderedPageBreak/>
        <w:t>2019 more</w:t>
      </w:r>
      <w:r>
        <w:rPr>
          <w:rFonts w:ascii="Segoe UI" w:hAnsi="Segoe UI" w:cs="Segoe UI"/>
          <w:sz w:val="22"/>
          <w:szCs w:val="22"/>
        </w:rPr>
        <w:t xml:space="preserve"> </w:t>
      </w:r>
      <w:r w:rsidRPr="00EA2327">
        <w:rPr>
          <w:rFonts w:ascii="Segoe UI" w:hAnsi="Segoe UI" w:cs="Segoe UI"/>
          <w:sz w:val="22"/>
          <w:szCs w:val="22"/>
        </w:rPr>
        <w:t>than 148 million wearables alone will be</w:t>
      </w:r>
      <w:r>
        <w:rPr>
          <w:rFonts w:ascii="Segoe UI" w:hAnsi="Segoe UI" w:cs="Segoe UI"/>
          <w:sz w:val="22"/>
          <w:szCs w:val="22"/>
        </w:rPr>
        <w:t xml:space="preserve"> </w:t>
      </w:r>
      <w:r w:rsidRPr="00EA2327">
        <w:rPr>
          <w:rFonts w:ascii="Segoe UI" w:hAnsi="Segoe UI" w:cs="Segoe UI"/>
          <w:sz w:val="22"/>
          <w:szCs w:val="22"/>
        </w:rPr>
        <w:t>shipped globally annually, up from 33</w:t>
      </w:r>
      <w:r>
        <w:rPr>
          <w:rFonts w:ascii="Segoe UI" w:hAnsi="Segoe UI" w:cs="Segoe UI"/>
          <w:sz w:val="22"/>
          <w:szCs w:val="22"/>
        </w:rPr>
        <w:t xml:space="preserve"> million units in 2014.</w:t>
      </w:r>
      <w:r>
        <w:rPr>
          <w:rStyle w:val="FootnoteReference"/>
          <w:rFonts w:ascii="Segoe UI" w:hAnsi="Segoe UI" w:cs="Segoe UI"/>
          <w:sz w:val="22"/>
          <w:szCs w:val="22"/>
        </w:rPr>
        <w:footnoteReference w:id="5"/>
      </w:r>
    </w:p>
    <w:p w14:paraId="6F45223E" w14:textId="77777777" w:rsidR="00DF224C" w:rsidRPr="0095144C" w:rsidRDefault="00DF224C" w:rsidP="00DF224C">
      <w:pPr>
        <w:pStyle w:val="Heading2"/>
        <w:numPr>
          <w:ilvl w:val="1"/>
          <w:numId w:val="3"/>
        </w:numPr>
        <w:rPr>
          <w:rFonts w:ascii="Segoe UI" w:hAnsi="Segoe UI" w:cs="Segoe UI"/>
          <w:sz w:val="22"/>
          <w:szCs w:val="22"/>
        </w:rPr>
      </w:pPr>
      <w:bookmarkStart w:id="8" w:name="_Toc417303922"/>
      <w:bookmarkStart w:id="9" w:name="_Toc417572679"/>
      <w:r>
        <w:rPr>
          <w:rFonts w:ascii="Segoe UI" w:hAnsi="Segoe UI" w:cs="Segoe UI"/>
          <w:sz w:val="22"/>
          <w:szCs w:val="22"/>
        </w:rPr>
        <w:t>Australia’s experience in electronic payments</w:t>
      </w:r>
      <w:bookmarkEnd w:id="8"/>
      <w:bookmarkEnd w:id="9"/>
    </w:p>
    <w:p w14:paraId="4A3FA3E7" w14:textId="77777777" w:rsidR="00DF224C" w:rsidRDefault="00DF224C" w:rsidP="00DF224C">
      <w:pPr>
        <w:jc w:val="both"/>
        <w:rPr>
          <w:rFonts w:ascii="Segoe UI" w:hAnsi="Segoe UI" w:cs="Segoe UI"/>
          <w:sz w:val="22"/>
          <w:szCs w:val="22"/>
        </w:rPr>
      </w:pPr>
    </w:p>
    <w:p w14:paraId="067FBDBF" w14:textId="77777777" w:rsidR="00DF224C" w:rsidRPr="0095144C" w:rsidRDefault="00DF224C" w:rsidP="00DF224C">
      <w:pPr>
        <w:spacing w:line="276" w:lineRule="auto"/>
        <w:jc w:val="both"/>
        <w:rPr>
          <w:rFonts w:ascii="Segoe UI" w:hAnsi="Segoe UI" w:cs="Segoe UI"/>
          <w:sz w:val="22"/>
          <w:szCs w:val="22"/>
        </w:rPr>
      </w:pPr>
      <w:r w:rsidRPr="0095144C">
        <w:rPr>
          <w:rFonts w:ascii="Segoe UI" w:hAnsi="Segoe UI" w:cs="Segoe UI"/>
          <w:sz w:val="22"/>
          <w:szCs w:val="22"/>
        </w:rPr>
        <w:t>Although payment innovation is happening across the world, Australia is in a position to rapidly adopt new methods of digital payments.</w:t>
      </w:r>
    </w:p>
    <w:p w14:paraId="6D9F0048" w14:textId="77777777" w:rsidR="00DF224C" w:rsidRPr="0095144C" w:rsidRDefault="00DF224C" w:rsidP="00DF224C">
      <w:pPr>
        <w:spacing w:line="276" w:lineRule="auto"/>
        <w:jc w:val="both"/>
        <w:rPr>
          <w:rFonts w:ascii="Segoe UI" w:hAnsi="Segoe UI" w:cs="Segoe UI"/>
          <w:sz w:val="22"/>
          <w:szCs w:val="22"/>
        </w:rPr>
      </w:pPr>
    </w:p>
    <w:p w14:paraId="07DAB755" w14:textId="77777777" w:rsidR="00DF224C" w:rsidRPr="0095144C" w:rsidRDefault="00DF224C" w:rsidP="00DF224C">
      <w:pPr>
        <w:widowControl w:val="0"/>
        <w:spacing w:line="276" w:lineRule="auto"/>
        <w:jc w:val="both"/>
        <w:rPr>
          <w:rFonts w:ascii="Segoe UI" w:hAnsi="Segoe UI" w:cs="Segoe UI"/>
          <w:sz w:val="22"/>
          <w:szCs w:val="22"/>
        </w:rPr>
      </w:pPr>
      <w:r w:rsidRPr="0095144C">
        <w:rPr>
          <w:rFonts w:ascii="Segoe UI" w:hAnsi="Segoe UI" w:cs="Segoe UI"/>
          <w:sz w:val="22"/>
          <w:szCs w:val="22"/>
        </w:rPr>
        <w:t>Australians have one of the highest rates of smartphone ownership and they are using their devices to transact online at higher numbers, with double the amount of smartphone shoppers than in the UK or USA.</w:t>
      </w:r>
      <w:r w:rsidRPr="0095144C">
        <w:rPr>
          <w:rStyle w:val="FootnoteReference"/>
          <w:rFonts w:ascii="Segoe UI" w:hAnsi="Segoe UI" w:cs="Segoe UI"/>
          <w:sz w:val="22"/>
          <w:szCs w:val="22"/>
        </w:rPr>
        <w:footnoteReference w:id="6"/>
      </w:r>
      <w:r>
        <w:rPr>
          <w:rFonts w:ascii="Segoe UI" w:hAnsi="Segoe UI" w:cs="Segoe UI"/>
          <w:sz w:val="22"/>
          <w:szCs w:val="22"/>
        </w:rPr>
        <w:t xml:space="preserve"> </w:t>
      </w:r>
      <w:r w:rsidRPr="0095144C">
        <w:rPr>
          <w:rFonts w:ascii="Segoe UI" w:hAnsi="Segoe UI" w:cs="Segoe UI"/>
          <w:sz w:val="22"/>
          <w:szCs w:val="22"/>
        </w:rPr>
        <w:t>Australia is leading the world in contactless payments, with Visa payWave now representing over 60 pe</w:t>
      </w:r>
      <w:r>
        <w:rPr>
          <w:rFonts w:ascii="Segoe UI" w:hAnsi="Segoe UI" w:cs="Segoe UI"/>
          <w:sz w:val="22"/>
          <w:szCs w:val="22"/>
        </w:rPr>
        <w:t>r</w:t>
      </w:r>
      <w:r w:rsidRPr="0095144C">
        <w:rPr>
          <w:rFonts w:ascii="Segoe UI" w:hAnsi="Segoe UI" w:cs="Segoe UI"/>
          <w:sz w:val="22"/>
          <w:szCs w:val="22"/>
        </w:rPr>
        <w:t>cent of all face to face Visa transactions in Australia today.</w:t>
      </w:r>
      <w:r w:rsidRPr="0095144C">
        <w:rPr>
          <w:rStyle w:val="FootnoteReference"/>
          <w:rFonts w:ascii="Segoe UI" w:hAnsi="Segoe UI" w:cs="Segoe UI"/>
          <w:sz w:val="22"/>
          <w:szCs w:val="22"/>
        </w:rPr>
        <w:footnoteReference w:id="7"/>
      </w:r>
      <w:r w:rsidRPr="0095144C">
        <w:rPr>
          <w:rFonts w:ascii="Segoe UI" w:hAnsi="Segoe UI" w:cs="Segoe UI"/>
          <w:sz w:val="22"/>
          <w:szCs w:val="22"/>
        </w:rPr>
        <w:t xml:space="preserve"> Internet penetration in Australia exceeds that of Canada, USA, UK and Singapore and Australians are shopping online at rates higher than </w:t>
      </w:r>
      <w:r>
        <w:rPr>
          <w:rFonts w:ascii="Segoe UI" w:hAnsi="Segoe UI" w:cs="Segoe UI"/>
          <w:sz w:val="22"/>
          <w:szCs w:val="22"/>
        </w:rPr>
        <w:t>these countries</w:t>
      </w:r>
      <w:r w:rsidRPr="0095144C">
        <w:rPr>
          <w:rFonts w:ascii="Segoe UI" w:hAnsi="Segoe UI" w:cs="Segoe UI"/>
          <w:sz w:val="22"/>
          <w:szCs w:val="22"/>
        </w:rPr>
        <w:t xml:space="preserve">.  </w:t>
      </w:r>
    </w:p>
    <w:p w14:paraId="6CB7DE04" w14:textId="77777777" w:rsidR="00DF224C" w:rsidRPr="0095144C" w:rsidRDefault="00DF224C" w:rsidP="00DF224C">
      <w:pPr>
        <w:spacing w:line="276" w:lineRule="auto"/>
        <w:jc w:val="both"/>
        <w:rPr>
          <w:rFonts w:ascii="Segoe UI" w:hAnsi="Segoe UI" w:cs="Segoe UI"/>
          <w:sz w:val="22"/>
          <w:szCs w:val="22"/>
        </w:rPr>
      </w:pPr>
    </w:p>
    <w:p w14:paraId="64CD2AC0" w14:textId="77777777" w:rsidR="00DF224C" w:rsidRPr="0095144C" w:rsidRDefault="00DF224C" w:rsidP="00DF224C">
      <w:pPr>
        <w:spacing w:line="276" w:lineRule="auto"/>
        <w:jc w:val="both"/>
        <w:rPr>
          <w:rFonts w:ascii="Segoe UI" w:hAnsi="Segoe UI" w:cs="Segoe UI"/>
          <w:sz w:val="22"/>
          <w:szCs w:val="22"/>
        </w:rPr>
      </w:pPr>
      <w:r w:rsidRPr="0095144C">
        <w:rPr>
          <w:rFonts w:ascii="Segoe UI" w:hAnsi="Segoe UI" w:cs="Segoe UI"/>
          <w:sz w:val="22"/>
          <w:szCs w:val="22"/>
        </w:rPr>
        <w:t xml:space="preserve">Further, the EMV chip technology standard has been successfully adopted by Australian financial institutions and </w:t>
      </w:r>
      <w:r>
        <w:rPr>
          <w:rFonts w:ascii="Segoe UI" w:hAnsi="Segoe UI" w:cs="Segoe UI"/>
          <w:sz w:val="22"/>
          <w:szCs w:val="22"/>
        </w:rPr>
        <w:t>accepted by</w:t>
      </w:r>
      <w:r w:rsidRPr="0095144C">
        <w:rPr>
          <w:rFonts w:ascii="Segoe UI" w:hAnsi="Segoe UI" w:cs="Segoe UI"/>
          <w:sz w:val="22"/>
          <w:szCs w:val="22"/>
        </w:rPr>
        <w:t xml:space="preserve"> cardholders and merchants. </w:t>
      </w:r>
      <w:r>
        <w:rPr>
          <w:rFonts w:ascii="Segoe UI" w:hAnsi="Segoe UI" w:cs="Segoe UI"/>
          <w:sz w:val="22"/>
          <w:szCs w:val="22"/>
        </w:rPr>
        <w:t>The</w:t>
      </w:r>
      <w:r w:rsidRPr="0095144C">
        <w:rPr>
          <w:rFonts w:ascii="Segoe UI" w:hAnsi="Segoe UI" w:cs="Segoe UI"/>
          <w:sz w:val="22"/>
          <w:szCs w:val="22"/>
        </w:rPr>
        <w:t xml:space="preserve"> United States</w:t>
      </w:r>
      <w:r>
        <w:rPr>
          <w:rFonts w:ascii="Segoe UI" w:hAnsi="Segoe UI" w:cs="Segoe UI"/>
          <w:sz w:val="22"/>
          <w:szCs w:val="22"/>
        </w:rPr>
        <w:t xml:space="preserve"> is now also adopting EMV technology with </w:t>
      </w:r>
      <w:r w:rsidRPr="0095144C">
        <w:rPr>
          <w:rFonts w:ascii="Segoe UI" w:hAnsi="Segoe UI" w:cs="Segoe UI"/>
          <w:sz w:val="22"/>
          <w:szCs w:val="22"/>
        </w:rPr>
        <w:t xml:space="preserve">over 575 million cards </w:t>
      </w:r>
      <w:r>
        <w:rPr>
          <w:rFonts w:ascii="Segoe UI" w:hAnsi="Segoe UI" w:cs="Segoe UI"/>
          <w:sz w:val="22"/>
          <w:szCs w:val="22"/>
        </w:rPr>
        <w:t>and 45% of acceptance terminals projected to be EMV capable by the end of 2015. This will</w:t>
      </w:r>
      <w:r w:rsidRPr="0095144C">
        <w:rPr>
          <w:rFonts w:ascii="Segoe UI" w:hAnsi="Segoe UI" w:cs="Segoe UI"/>
          <w:sz w:val="22"/>
          <w:szCs w:val="22"/>
        </w:rPr>
        <w:t xml:space="preserve"> lower the risk of fraud and speed up the adoption of contactless and mobile payments.</w:t>
      </w:r>
      <w:r w:rsidRPr="0095144C">
        <w:rPr>
          <w:rStyle w:val="FootnoteReference"/>
          <w:rFonts w:ascii="Segoe UI" w:hAnsi="Segoe UI" w:cs="Segoe UI"/>
          <w:sz w:val="22"/>
          <w:szCs w:val="22"/>
        </w:rPr>
        <w:footnoteReference w:id="8"/>
      </w:r>
      <w:r w:rsidRPr="0095144C">
        <w:rPr>
          <w:rFonts w:ascii="Segoe UI" w:hAnsi="Segoe UI" w:cs="Segoe UI"/>
          <w:sz w:val="22"/>
          <w:szCs w:val="22"/>
        </w:rPr>
        <w:t xml:space="preserve"> </w:t>
      </w:r>
    </w:p>
    <w:p w14:paraId="2DEDE5C9" w14:textId="77777777" w:rsidR="00DF224C" w:rsidRPr="0095144C" w:rsidRDefault="00DF224C" w:rsidP="00DF224C">
      <w:pPr>
        <w:spacing w:line="276" w:lineRule="auto"/>
        <w:jc w:val="both"/>
        <w:rPr>
          <w:rFonts w:ascii="Segoe UI" w:hAnsi="Segoe UI" w:cs="Segoe UI"/>
          <w:sz w:val="22"/>
          <w:szCs w:val="22"/>
        </w:rPr>
      </w:pPr>
    </w:p>
    <w:p w14:paraId="1A95284A" w14:textId="77777777" w:rsidR="00DF224C" w:rsidRPr="0095144C" w:rsidRDefault="00DF224C" w:rsidP="00DF224C">
      <w:pPr>
        <w:spacing w:line="276" w:lineRule="auto"/>
        <w:jc w:val="both"/>
        <w:rPr>
          <w:rFonts w:ascii="Segoe UI" w:hAnsi="Segoe UI" w:cs="Segoe UI"/>
          <w:sz w:val="22"/>
          <w:szCs w:val="22"/>
        </w:rPr>
      </w:pPr>
      <w:r w:rsidRPr="0095144C">
        <w:rPr>
          <w:rFonts w:ascii="Segoe UI" w:hAnsi="Segoe UI" w:cs="Segoe UI"/>
          <w:sz w:val="22"/>
          <w:szCs w:val="22"/>
        </w:rPr>
        <w:t>The digital revolution has created an almost unlimited ability for companies – from start-ups to the world’s largest</w:t>
      </w:r>
      <w:r w:rsidR="00DE7F36">
        <w:rPr>
          <w:rFonts w:ascii="Segoe UI" w:hAnsi="Segoe UI" w:cs="Segoe UI"/>
          <w:sz w:val="22"/>
          <w:szCs w:val="22"/>
        </w:rPr>
        <w:t xml:space="preserve"> players</w:t>
      </w:r>
      <w:r w:rsidRPr="0095144C">
        <w:rPr>
          <w:rFonts w:ascii="Segoe UI" w:hAnsi="Segoe UI" w:cs="Segoe UI"/>
          <w:sz w:val="22"/>
          <w:szCs w:val="22"/>
        </w:rPr>
        <w:t xml:space="preserve"> – to participate in commerce by creating new experiences through mobile, tablets, PCs and future connected devices. As of 2014, there were over 1</w:t>
      </w:r>
      <w:r>
        <w:rPr>
          <w:rFonts w:ascii="Segoe UI" w:hAnsi="Segoe UI" w:cs="Segoe UI"/>
          <w:sz w:val="22"/>
          <w:szCs w:val="22"/>
        </w:rPr>
        <w:t>,</w:t>
      </w:r>
      <w:r w:rsidRPr="0095144C">
        <w:rPr>
          <w:rFonts w:ascii="Segoe UI" w:hAnsi="Segoe UI" w:cs="Segoe UI"/>
          <w:sz w:val="22"/>
          <w:szCs w:val="22"/>
        </w:rPr>
        <w:t>500 active payment startups.</w:t>
      </w:r>
      <w:r w:rsidRPr="0095144C">
        <w:rPr>
          <w:rStyle w:val="FootnoteReference"/>
          <w:rFonts w:ascii="Segoe UI" w:hAnsi="Segoe UI" w:cs="Segoe UI"/>
          <w:sz w:val="22"/>
          <w:szCs w:val="22"/>
        </w:rPr>
        <w:footnoteReference w:id="9"/>
      </w:r>
    </w:p>
    <w:p w14:paraId="6737514F" w14:textId="77777777" w:rsidR="00DF224C" w:rsidRPr="0095144C" w:rsidRDefault="00DF224C" w:rsidP="00DF224C">
      <w:pPr>
        <w:spacing w:line="276" w:lineRule="auto"/>
        <w:jc w:val="both"/>
        <w:rPr>
          <w:rFonts w:ascii="Segoe UI" w:hAnsi="Segoe UI" w:cs="Segoe UI"/>
          <w:sz w:val="22"/>
          <w:szCs w:val="22"/>
        </w:rPr>
      </w:pPr>
    </w:p>
    <w:p w14:paraId="503726E7" w14:textId="77777777" w:rsidR="00DF224C" w:rsidRDefault="00DF224C" w:rsidP="00DF224C">
      <w:pPr>
        <w:pStyle w:val="CommentText"/>
        <w:spacing w:line="276" w:lineRule="auto"/>
        <w:jc w:val="both"/>
        <w:rPr>
          <w:rFonts w:ascii="Segoe UI" w:hAnsi="Segoe UI" w:cs="Segoe UI"/>
          <w:sz w:val="22"/>
          <w:szCs w:val="22"/>
        </w:rPr>
      </w:pPr>
      <w:r w:rsidRPr="0095144C">
        <w:rPr>
          <w:rFonts w:ascii="Segoe UI" w:hAnsi="Segoe UI" w:cs="Segoe UI"/>
          <w:sz w:val="22"/>
          <w:szCs w:val="22"/>
        </w:rPr>
        <w:t>New players are adopti</w:t>
      </w:r>
      <w:r w:rsidR="00BC722E">
        <w:rPr>
          <w:rFonts w:ascii="Segoe UI" w:hAnsi="Segoe UI" w:cs="Segoe UI"/>
          <w:sz w:val="22"/>
          <w:szCs w:val="22"/>
        </w:rPr>
        <w:t>ng new payment technologies (for example,</w:t>
      </w:r>
      <w:r w:rsidRPr="0095144C">
        <w:rPr>
          <w:rFonts w:ascii="Segoe UI" w:hAnsi="Segoe UI" w:cs="Segoe UI"/>
          <w:sz w:val="22"/>
          <w:szCs w:val="22"/>
        </w:rPr>
        <w:t xml:space="preserve"> QR, Bluetooth Low Energy) and are leveraging card on file capabilities to create new, interesting and compelling purchase experiences before, during and after the transaction. Many are more interested in the data then the transaction itself. Most are focused on mobile. A very significant proportion of consumers are quickly adopting these methods and merchants are using them to create frictionless purchase experiences.</w:t>
      </w:r>
    </w:p>
    <w:p w14:paraId="6EDC58A3" w14:textId="77777777" w:rsidR="001F01BB" w:rsidRDefault="001F01BB" w:rsidP="00DF224C">
      <w:pPr>
        <w:pStyle w:val="CommentText"/>
        <w:spacing w:line="276" w:lineRule="auto"/>
        <w:jc w:val="both"/>
        <w:rPr>
          <w:rFonts w:ascii="Segoe UI" w:hAnsi="Segoe UI" w:cs="Segoe UI"/>
          <w:sz w:val="22"/>
          <w:szCs w:val="22"/>
        </w:rPr>
      </w:pPr>
    </w:p>
    <w:p w14:paraId="36E92F53" w14:textId="14F98368" w:rsidR="00D45F7B" w:rsidRDefault="00DF224C" w:rsidP="00DF224C">
      <w:pPr>
        <w:rPr>
          <w:rFonts w:ascii="Segoe UI" w:hAnsi="Segoe UI" w:cs="Segoe UI"/>
          <w:bCs/>
          <w:sz w:val="22"/>
          <w:szCs w:val="22"/>
        </w:rPr>
      </w:pPr>
      <w:r w:rsidRPr="007C4E00">
        <w:rPr>
          <w:rFonts w:ascii="Segoe UI" w:hAnsi="Segoe UI" w:cs="Segoe UI"/>
          <w:bCs/>
          <w:sz w:val="22"/>
          <w:szCs w:val="22"/>
        </w:rPr>
        <w:t>Visa is driving the future of payments with a number of big innovations, for example:</w:t>
      </w:r>
    </w:p>
    <w:p w14:paraId="4332DB63" w14:textId="77777777" w:rsidR="0089281F" w:rsidRPr="007C4E00" w:rsidRDefault="0089281F" w:rsidP="00DF224C">
      <w:pPr>
        <w:rPr>
          <w:rFonts w:ascii="Segoe UI" w:hAnsi="Segoe UI" w:cs="Segoe UI"/>
          <w:bCs/>
          <w:sz w:val="22"/>
          <w:szCs w:val="22"/>
        </w:rPr>
      </w:pPr>
    </w:p>
    <w:p w14:paraId="6355C8CA" w14:textId="77777777" w:rsidR="00DF224C" w:rsidRPr="007C4E00" w:rsidRDefault="00DF224C" w:rsidP="00DF224C">
      <w:pPr>
        <w:pStyle w:val="ListParagraph"/>
        <w:numPr>
          <w:ilvl w:val="1"/>
          <w:numId w:val="4"/>
        </w:numPr>
        <w:spacing w:after="160" w:line="252" w:lineRule="auto"/>
        <w:ind w:left="720" w:hanging="720"/>
        <w:rPr>
          <w:rFonts w:ascii="Segoe UI" w:hAnsi="Segoe UI" w:cs="Segoe UI"/>
          <w:sz w:val="22"/>
          <w:szCs w:val="22"/>
        </w:rPr>
      </w:pPr>
      <w:r w:rsidRPr="007C4E00">
        <w:rPr>
          <w:rFonts w:ascii="Segoe UI" w:hAnsi="Segoe UI" w:cs="Segoe UI"/>
          <w:sz w:val="22"/>
          <w:szCs w:val="22"/>
        </w:rPr>
        <w:t>Proximity (face to face) payments through Visa payWave</w:t>
      </w:r>
      <w:r>
        <w:rPr>
          <w:rFonts w:ascii="Segoe UI" w:hAnsi="Segoe UI" w:cs="Segoe UI"/>
          <w:sz w:val="22"/>
          <w:szCs w:val="22"/>
        </w:rPr>
        <w:t>;</w:t>
      </w:r>
    </w:p>
    <w:p w14:paraId="6D04DB3A" w14:textId="77777777" w:rsidR="00DF224C" w:rsidRPr="007C4E00" w:rsidRDefault="00DF224C" w:rsidP="00DF224C">
      <w:pPr>
        <w:pStyle w:val="ListParagraph"/>
        <w:numPr>
          <w:ilvl w:val="1"/>
          <w:numId w:val="4"/>
        </w:numPr>
        <w:spacing w:after="160" w:line="252" w:lineRule="auto"/>
        <w:ind w:left="720" w:hanging="720"/>
        <w:rPr>
          <w:rFonts w:ascii="Segoe UI" w:hAnsi="Segoe UI" w:cs="Segoe UI"/>
          <w:sz w:val="22"/>
          <w:szCs w:val="22"/>
        </w:rPr>
      </w:pPr>
      <w:r w:rsidRPr="007C4E00">
        <w:rPr>
          <w:rFonts w:ascii="Segoe UI" w:hAnsi="Segoe UI" w:cs="Segoe UI"/>
          <w:sz w:val="22"/>
          <w:szCs w:val="22"/>
        </w:rPr>
        <w:lastRenderedPageBreak/>
        <w:t>Remote (online) payments through Visa Checkout</w:t>
      </w:r>
      <w:r>
        <w:rPr>
          <w:rFonts w:ascii="Segoe UI" w:hAnsi="Segoe UI" w:cs="Segoe UI"/>
          <w:sz w:val="22"/>
          <w:szCs w:val="22"/>
        </w:rPr>
        <w:t>;</w:t>
      </w:r>
    </w:p>
    <w:p w14:paraId="6E5B24D9" w14:textId="77777777" w:rsidR="00DF224C" w:rsidRPr="007C4E00" w:rsidRDefault="00DF224C" w:rsidP="00DF224C">
      <w:pPr>
        <w:pStyle w:val="ListParagraph"/>
        <w:numPr>
          <w:ilvl w:val="1"/>
          <w:numId w:val="4"/>
        </w:numPr>
        <w:spacing w:after="160" w:line="252" w:lineRule="auto"/>
        <w:ind w:left="720" w:hanging="720"/>
        <w:rPr>
          <w:rFonts w:ascii="Segoe UI" w:hAnsi="Segoe UI" w:cs="Segoe UI"/>
          <w:sz w:val="22"/>
          <w:szCs w:val="22"/>
        </w:rPr>
      </w:pPr>
      <w:r w:rsidRPr="007C4E00">
        <w:rPr>
          <w:rFonts w:ascii="Segoe UI" w:hAnsi="Segoe UI" w:cs="Segoe UI"/>
          <w:sz w:val="22"/>
          <w:szCs w:val="22"/>
        </w:rPr>
        <w:t>Peer-to-peer payments through Visa Direct</w:t>
      </w:r>
      <w:r w:rsidRPr="0086344C">
        <w:rPr>
          <w:rFonts w:ascii="Segoe UI" w:hAnsi="Segoe UI" w:cs="Segoe UI"/>
          <w:sz w:val="22"/>
          <w:szCs w:val="22"/>
        </w:rPr>
        <w:t>;</w:t>
      </w:r>
    </w:p>
    <w:p w14:paraId="39A17E83" w14:textId="77777777" w:rsidR="00DF224C" w:rsidRPr="007C4E00" w:rsidRDefault="00DF224C" w:rsidP="00DF224C">
      <w:pPr>
        <w:pStyle w:val="ListParagraph"/>
        <w:numPr>
          <w:ilvl w:val="1"/>
          <w:numId w:val="4"/>
        </w:numPr>
        <w:spacing w:after="160" w:line="252" w:lineRule="auto"/>
        <w:ind w:left="720" w:hanging="720"/>
        <w:rPr>
          <w:rFonts w:ascii="Segoe UI" w:hAnsi="Segoe UI" w:cs="Segoe UI"/>
          <w:sz w:val="22"/>
          <w:szCs w:val="22"/>
        </w:rPr>
      </w:pPr>
      <w:r w:rsidRPr="007C4E00">
        <w:rPr>
          <w:rFonts w:ascii="Segoe UI" w:hAnsi="Segoe UI" w:cs="Segoe UI"/>
          <w:sz w:val="22"/>
          <w:szCs w:val="22"/>
        </w:rPr>
        <w:t>Enabling digital payments through Visa Token Service</w:t>
      </w:r>
      <w:r>
        <w:rPr>
          <w:rFonts w:ascii="Segoe UI" w:hAnsi="Segoe UI" w:cs="Segoe UI"/>
          <w:sz w:val="22"/>
          <w:szCs w:val="22"/>
        </w:rPr>
        <w:t>;</w:t>
      </w:r>
    </w:p>
    <w:p w14:paraId="037F2DCD" w14:textId="77777777" w:rsidR="00DF224C" w:rsidRDefault="00DF224C" w:rsidP="00DF224C">
      <w:pPr>
        <w:jc w:val="both"/>
        <w:rPr>
          <w:rFonts w:ascii="Segoe UI" w:hAnsi="Segoe UI" w:cs="Segoe UI"/>
          <w:sz w:val="22"/>
          <w:szCs w:val="22"/>
          <w:shd w:val="clear" w:color="auto" w:fill="FFFFFF"/>
        </w:rPr>
      </w:pPr>
      <w:r w:rsidRPr="007C4E00">
        <w:rPr>
          <w:rFonts w:ascii="Segoe UI" w:hAnsi="Segoe UI" w:cs="Segoe UI"/>
          <w:sz w:val="22"/>
          <w:szCs w:val="22"/>
        </w:rPr>
        <w:t>Already we are seeking Visa payWave move to the mobile. Australian c</w:t>
      </w:r>
      <w:r w:rsidRPr="007C4E00">
        <w:rPr>
          <w:rFonts w:ascii="Segoe UI" w:hAnsi="Segoe UI" w:cs="Segoe UI"/>
          <w:sz w:val="22"/>
          <w:szCs w:val="22"/>
          <w:shd w:val="clear" w:color="auto" w:fill="FFFFFF"/>
        </w:rPr>
        <w:t xml:space="preserve">onsumers are choosing the convenience of contactless and the extension from cards to smartphones is a natural progression </w:t>
      </w:r>
      <w:r w:rsidRPr="007C4E00">
        <w:rPr>
          <w:rFonts w:ascii="Segoe UI" w:hAnsi="Segoe UI" w:cs="Segoe UI"/>
          <w:sz w:val="22"/>
          <w:szCs w:val="22"/>
        </w:rPr>
        <w:t xml:space="preserve">– particularly given the right infrastructure is already in place, with </w:t>
      </w:r>
      <w:r w:rsidRPr="007C4E00">
        <w:rPr>
          <w:rFonts w:ascii="Segoe UI" w:hAnsi="Segoe UI" w:cs="Segoe UI"/>
          <w:sz w:val="22"/>
          <w:szCs w:val="22"/>
          <w:shd w:val="clear" w:color="auto" w:fill="FFFFFF"/>
        </w:rPr>
        <w:t>mobile proximity payments using the same technology as contactless cards.</w:t>
      </w:r>
    </w:p>
    <w:p w14:paraId="410CCC84" w14:textId="77777777" w:rsidR="00DF224C" w:rsidRDefault="00DF224C" w:rsidP="00DF224C">
      <w:pPr>
        <w:spacing w:line="276" w:lineRule="auto"/>
        <w:jc w:val="both"/>
        <w:rPr>
          <w:rFonts w:ascii="Segoe UI" w:hAnsi="Segoe UI" w:cs="Segoe UI"/>
          <w:sz w:val="22"/>
          <w:szCs w:val="22"/>
        </w:rPr>
      </w:pPr>
    </w:p>
    <w:p w14:paraId="230EC2E4" w14:textId="77777777" w:rsidR="00DF224C" w:rsidRPr="0095144C" w:rsidRDefault="00DF224C" w:rsidP="00DF224C">
      <w:pPr>
        <w:spacing w:line="276" w:lineRule="auto"/>
        <w:jc w:val="both"/>
        <w:rPr>
          <w:rFonts w:ascii="Segoe UI" w:hAnsi="Segoe UI" w:cs="Segoe UI"/>
          <w:sz w:val="22"/>
          <w:szCs w:val="22"/>
        </w:rPr>
      </w:pPr>
      <w:r w:rsidRPr="0095144C">
        <w:rPr>
          <w:rFonts w:ascii="Segoe UI" w:hAnsi="Segoe UI" w:cs="Segoe UI"/>
          <w:sz w:val="22"/>
          <w:szCs w:val="22"/>
        </w:rPr>
        <w:t>Based on new research, currently 70 percent of Australians own a smartphone, providing a large potential user base for mobile payments.</w:t>
      </w:r>
      <w:r w:rsidRPr="0095144C">
        <w:rPr>
          <w:rStyle w:val="FootnoteReference"/>
          <w:rFonts w:ascii="Segoe UI" w:hAnsi="Segoe UI" w:cs="Segoe UI"/>
          <w:sz w:val="22"/>
          <w:szCs w:val="22"/>
        </w:rPr>
        <w:footnoteReference w:id="10"/>
      </w:r>
      <w:r>
        <w:rPr>
          <w:rFonts w:ascii="Segoe UI" w:hAnsi="Segoe UI" w:cs="Segoe UI"/>
          <w:sz w:val="22"/>
          <w:szCs w:val="22"/>
        </w:rPr>
        <w:t xml:space="preserve"> </w:t>
      </w:r>
      <w:r w:rsidRPr="0095144C">
        <w:rPr>
          <w:rFonts w:ascii="Segoe UI" w:hAnsi="Segoe UI" w:cs="Segoe UI"/>
          <w:sz w:val="22"/>
          <w:szCs w:val="22"/>
        </w:rPr>
        <w:t>This user base is ready to pay using their mobile device, with UMR Strategic Research for Vis</w:t>
      </w:r>
      <w:r>
        <w:rPr>
          <w:rFonts w:ascii="Segoe UI" w:hAnsi="Segoe UI" w:cs="Segoe UI"/>
          <w:sz w:val="22"/>
          <w:szCs w:val="22"/>
        </w:rPr>
        <w:t>a finding that 53 per</w:t>
      </w:r>
      <w:r w:rsidRPr="0095144C">
        <w:rPr>
          <w:rFonts w:ascii="Segoe UI" w:hAnsi="Segoe UI" w:cs="Segoe UI"/>
          <w:sz w:val="22"/>
          <w:szCs w:val="22"/>
        </w:rPr>
        <w:t>cent of Australians are interested in being able to use their smartphone to pay in store.</w:t>
      </w:r>
      <w:r w:rsidRPr="0095144C">
        <w:rPr>
          <w:rStyle w:val="FootnoteReference"/>
          <w:rFonts w:ascii="Segoe UI" w:hAnsi="Segoe UI" w:cs="Segoe UI"/>
          <w:sz w:val="22"/>
          <w:szCs w:val="22"/>
        </w:rPr>
        <w:footnoteReference w:id="11"/>
      </w:r>
      <w:r w:rsidRPr="004268A1">
        <w:rPr>
          <w:rFonts w:ascii="Segoe UI" w:hAnsi="Segoe UI" w:cs="Segoe UI"/>
          <w:sz w:val="22"/>
          <w:szCs w:val="22"/>
        </w:rPr>
        <w:t xml:space="preserve"> </w:t>
      </w:r>
      <w:r w:rsidRPr="0095144C">
        <w:rPr>
          <w:rFonts w:ascii="Segoe UI" w:hAnsi="Segoe UI" w:cs="Segoe UI"/>
          <w:sz w:val="22"/>
          <w:szCs w:val="22"/>
        </w:rPr>
        <w:t xml:space="preserve">It is these influences that give rise to the need for regulation that future proof the payments industry. </w:t>
      </w:r>
    </w:p>
    <w:p w14:paraId="08575DA1" w14:textId="77777777" w:rsidR="00DF224C" w:rsidRDefault="00DF224C" w:rsidP="00DF224C">
      <w:pPr>
        <w:jc w:val="both"/>
        <w:rPr>
          <w:rFonts w:ascii="Segoe UI" w:hAnsi="Segoe UI" w:cs="Segoe UI"/>
          <w:sz w:val="22"/>
          <w:szCs w:val="22"/>
        </w:rPr>
      </w:pPr>
    </w:p>
    <w:p w14:paraId="1AAF90D4" w14:textId="77777777" w:rsidR="00DF224C" w:rsidRPr="00ED03FF" w:rsidRDefault="00DF224C" w:rsidP="00DF224C">
      <w:pPr>
        <w:jc w:val="center"/>
        <w:rPr>
          <w:rFonts w:ascii="Segoe UI" w:hAnsi="Segoe UI" w:cs="Segoe UI"/>
          <w:b/>
          <w:sz w:val="22"/>
          <w:szCs w:val="22"/>
        </w:rPr>
      </w:pPr>
      <w:r w:rsidRPr="00ED03FF">
        <w:rPr>
          <w:rFonts w:ascii="Segoe UI" w:hAnsi="Segoe UI" w:cs="Segoe UI"/>
          <w:b/>
          <w:sz w:val="22"/>
          <w:szCs w:val="22"/>
        </w:rPr>
        <w:t xml:space="preserve">Chart 1: </w:t>
      </w:r>
      <w:r>
        <w:rPr>
          <w:rFonts w:ascii="Segoe UI" w:hAnsi="Segoe UI" w:cs="Segoe UI"/>
          <w:b/>
          <w:sz w:val="22"/>
          <w:szCs w:val="22"/>
        </w:rPr>
        <w:t xml:space="preserve">Australia’s mobile commerce </w:t>
      </w:r>
      <w:r w:rsidRPr="00ED03FF">
        <w:rPr>
          <w:rFonts w:ascii="Segoe UI" w:hAnsi="Segoe UI" w:cs="Segoe UI"/>
          <w:b/>
          <w:sz w:val="22"/>
          <w:szCs w:val="22"/>
        </w:rPr>
        <w:t>2014</w:t>
      </w:r>
    </w:p>
    <w:p w14:paraId="5C53D65A" w14:textId="77777777" w:rsidR="00DF224C" w:rsidRDefault="00DF224C" w:rsidP="00DF224C">
      <w:pPr>
        <w:jc w:val="both"/>
        <w:rPr>
          <w:rFonts w:ascii="Segoe UI" w:hAnsi="Segoe UI" w:cs="Segoe UI"/>
          <w:sz w:val="22"/>
          <w:szCs w:val="22"/>
        </w:rPr>
      </w:pPr>
    </w:p>
    <w:p w14:paraId="17532386" w14:textId="77777777" w:rsidR="00DF224C" w:rsidRPr="0095144C" w:rsidRDefault="00DF224C" w:rsidP="00DF224C">
      <w:pPr>
        <w:jc w:val="center"/>
        <w:rPr>
          <w:rFonts w:ascii="Segoe UI" w:hAnsi="Segoe UI" w:cs="Segoe UI"/>
          <w:sz w:val="22"/>
          <w:szCs w:val="22"/>
        </w:rPr>
      </w:pPr>
      <w:r w:rsidRPr="00DC0758">
        <w:rPr>
          <w:rFonts w:ascii="Segoe UI" w:hAnsi="Segoe UI" w:cs="Segoe UI"/>
          <w:noProof/>
          <w:sz w:val="22"/>
          <w:szCs w:val="22"/>
          <w:lang w:val="en-AU" w:eastAsia="en-AU"/>
        </w:rPr>
        <w:drawing>
          <wp:inline distT="0" distB="0" distL="0" distR="0" wp14:anchorId="37A3C125" wp14:editId="203589E3">
            <wp:extent cx="2891999" cy="1390650"/>
            <wp:effectExtent l="0" t="0" r="3810" b="0"/>
            <wp:docPr id="3" name="Picture 3" descr="X:\Corp Rels\2015 FoDP Project\Images\Test\tokenisation-15a-24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X:\Corp Rels\2015 FoDP Project\Images\Test\tokenisation-15a-24b.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91999" cy="1390650"/>
                    </a:xfrm>
                    <a:prstGeom prst="rect">
                      <a:avLst/>
                    </a:prstGeom>
                    <a:noFill/>
                    <a:ln>
                      <a:noFill/>
                    </a:ln>
                  </pic:spPr>
                </pic:pic>
              </a:graphicData>
            </a:graphic>
          </wp:inline>
        </w:drawing>
      </w:r>
      <w:r w:rsidRPr="00DC0758">
        <w:rPr>
          <w:rFonts w:ascii="Segoe UI" w:hAnsi="Segoe UI" w:cs="Segoe UI"/>
          <w:noProof/>
          <w:sz w:val="22"/>
          <w:szCs w:val="22"/>
          <w:lang w:val="en-AU" w:eastAsia="en-AU"/>
        </w:rPr>
        <w:drawing>
          <wp:inline distT="0" distB="0" distL="0" distR="0" wp14:anchorId="40F798BD" wp14:editId="75AB6B3D">
            <wp:extent cx="1719072" cy="1719072"/>
            <wp:effectExtent l="0" t="0" r="0" b="0"/>
            <wp:docPr id="4" name="Picture 4" descr="X:\Corp Rels\2015 FoDP Project\Images\Test\tokenisation-15a-2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X:\Corp Rels\2015 FoDP Project\Images\Test\tokenisation-15a-24a.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18282" cy="1718282"/>
                    </a:xfrm>
                    <a:prstGeom prst="rect">
                      <a:avLst/>
                    </a:prstGeom>
                    <a:noFill/>
                    <a:ln>
                      <a:noFill/>
                    </a:ln>
                  </pic:spPr>
                </pic:pic>
              </a:graphicData>
            </a:graphic>
          </wp:inline>
        </w:drawing>
      </w:r>
    </w:p>
    <w:p w14:paraId="6B868393" w14:textId="77777777" w:rsidR="00DF224C" w:rsidRPr="0095144C" w:rsidRDefault="00DF224C" w:rsidP="00DF224C">
      <w:pPr>
        <w:jc w:val="both"/>
        <w:rPr>
          <w:rFonts w:ascii="Segoe UI" w:hAnsi="Segoe UI" w:cs="Segoe UI"/>
          <w:sz w:val="22"/>
          <w:szCs w:val="22"/>
        </w:rPr>
      </w:pPr>
    </w:p>
    <w:p w14:paraId="22728B93" w14:textId="77777777" w:rsidR="00DF224C" w:rsidRDefault="00DF224C" w:rsidP="00DF224C">
      <w:pPr>
        <w:rPr>
          <w:rFonts w:ascii="Segoe UI" w:hAnsi="Segoe UI" w:cs="Segoe UI"/>
          <w:sz w:val="22"/>
          <w:szCs w:val="22"/>
        </w:rPr>
      </w:pPr>
      <w:r>
        <w:rPr>
          <w:rFonts w:ascii="Segoe UI" w:hAnsi="Segoe UI" w:cs="Segoe UI"/>
          <w:sz w:val="22"/>
          <w:szCs w:val="22"/>
        </w:rPr>
        <w:t>The box below highlights a further example of the innovations that Visa is bringing to the market for future ways to pay.</w:t>
      </w:r>
    </w:p>
    <w:p w14:paraId="1F6152E8" w14:textId="77777777" w:rsidR="00C40454" w:rsidRDefault="00C40454" w:rsidP="00DF224C">
      <w:pPr>
        <w:rPr>
          <w:rFonts w:ascii="Segoe UI" w:hAnsi="Segoe UI" w:cs="Segoe UI"/>
          <w:sz w:val="22"/>
          <w:szCs w:val="22"/>
        </w:rPr>
      </w:pPr>
    </w:p>
    <w:p w14:paraId="73B65336" w14:textId="77777777" w:rsidR="00C40454" w:rsidRDefault="00C40454" w:rsidP="00DF224C">
      <w:pPr>
        <w:rPr>
          <w:rFonts w:ascii="Segoe UI" w:hAnsi="Segoe UI" w:cs="Segoe UI"/>
          <w:sz w:val="22"/>
          <w:szCs w:val="22"/>
        </w:rPr>
      </w:pPr>
    </w:p>
    <w:p w14:paraId="34A34304" w14:textId="77777777" w:rsidR="00C40454" w:rsidRDefault="00C40454" w:rsidP="00DF224C">
      <w:pPr>
        <w:rPr>
          <w:rFonts w:ascii="Segoe UI" w:hAnsi="Segoe UI" w:cs="Segoe UI"/>
          <w:sz w:val="22"/>
          <w:szCs w:val="22"/>
        </w:rPr>
      </w:pPr>
    </w:p>
    <w:p w14:paraId="764EC8CA" w14:textId="77777777" w:rsidR="00C40454" w:rsidRDefault="00C40454" w:rsidP="00DF224C">
      <w:pPr>
        <w:rPr>
          <w:rFonts w:ascii="Segoe UI" w:hAnsi="Segoe UI" w:cs="Segoe UI"/>
          <w:sz w:val="22"/>
          <w:szCs w:val="22"/>
        </w:rPr>
      </w:pPr>
    </w:p>
    <w:p w14:paraId="4779F381" w14:textId="77777777" w:rsidR="00C40454" w:rsidRDefault="00C40454" w:rsidP="00DF224C">
      <w:pPr>
        <w:rPr>
          <w:rFonts w:ascii="Segoe UI" w:hAnsi="Segoe UI" w:cs="Segoe UI"/>
          <w:sz w:val="22"/>
          <w:szCs w:val="22"/>
        </w:rPr>
      </w:pPr>
    </w:p>
    <w:p w14:paraId="2C7F7B19" w14:textId="77777777" w:rsidR="00C40454" w:rsidRDefault="00C40454" w:rsidP="00DF224C">
      <w:pPr>
        <w:rPr>
          <w:rFonts w:ascii="Segoe UI" w:hAnsi="Segoe UI" w:cs="Segoe UI"/>
          <w:sz w:val="22"/>
          <w:szCs w:val="22"/>
        </w:rPr>
      </w:pPr>
    </w:p>
    <w:p w14:paraId="31A242C1" w14:textId="77777777" w:rsidR="00C40454" w:rsidRDefault="00C40454" w:rsidP="00DF224C">
      <w:pPr>
        <w:rPr>
          <w:rFonts w:ascii="Segoe UI" w:hAnsi="Segoe UI" w:cs="Segoe UI"/>
          <w:sz w:val="22"/>
          <w:szCs w:val="22"/>
        </w:rPr>
      </w:pPr>
    </w:p>
    <w:p w14:paraId="38E7A355" w14:textId="77777777" w:rsidR="00C40454" w:rsidRDefault="00C40454" w:rsidP="00DF224C">
      <w:pPr>
        <w:rPr>
          <w:rFonts w:ascii="Segoe UI" w:hAnsi="Segoe UI" w:cs="Segoe UI"/>
          <w:sz w:val="22"/>
          <w:szCs w:val="22"/>
        </w:rPr>
      </w:pPr>
    </w:p>
    <w:p w14:paraId="2971B6B7" w14:textId="77777777" w:rsidR="00C40454" w:rsidRDefault="00C40454" w:rsidP="00DF224C">
      <w:pPr>
        <w:rPr>
          <w:rFonts w:ascii="Segoe UI" w:hAnsi="Segoe UI" w:cs="Segoe UI"/>
          <w:sz w:val="22"/>
          <w:szCs w:val="22"/>
        </w:rPr>
      </w:pPr>
    </w:p>
    <w:p w14:paraId="0A7B6539" w14:textId="77777777" w:rsidR="00C40454" w:rsidRDefault="00C40454" w:rsidP="00DF224C">
      <w:pPr>
        <w:rPr>
          <w:rFonts w:ascii="Segoe UI" w:hAnsi="Segoe UI" w:cs="Segoe UI"/>
          <w:sz w:val="22"/>
          <w:szCs w:val="22"/>
        </w:rPr>
      </w:pPr>
    </w:p>
    <w:p w14:paraId="3AE6EDE9" w14:textId="77777777" w:rsidR="00C40454" w:rsidRDefault="00C40454" w:rsidP="00DF224C">
      <w:pPr>
        <w:rPr>
          <w:rFonts w:ascii="Segoe UI" w:hAnsi="Segoe UI" w:cs="Segoe UI"/>
          <w:sz w:val="22"/>
          <w:szCs w:val="22"/>
        </w:rPr>
      </w:pPr>
    </w:p>
    <w:p w14:paraId="4841D1F2" w14:textId="77777777" w:rsidR="00DF224C" w:rsidRDefault="00DF224C" w:rsidP="00DF224C">
      <w:pPr>
        <w:rPr>
          <w:rFonts w:ascii="Segoe UI" w:hAnsi="Segoe UI" w:cs="Segoe UI"/>
          <w:sz w:val="22"/>
          <w:szCs w:val="22"/>
        </w:rPr>
      </w:pPr>
    </w:p>
    <w:tbl>
      <w:tblPr>
        <w:tblStyle w:val="TableGrid"/>
        <w:tblW w:w="0" w:type="auto"/>
        <w:tblBorders>
          <w:insideH w:val="none" w:sz="0" w:space="0" w:color="auto"/>
          <w:insideV w:val="none" w:sz="0" w:space="0" w:color="auto"/>
        </w:tblBorders>
        <w:shd w:val="clear" w:color="auto" w:fill="D9D9D9"/>
        <w:tblLook w:val="04A0" w:firstRow="1" w:lastRow="0" w:firstColumn="1" w:lastColumn="0" w:noHBand="0" w:noVBand="1"/>
      </w:tblPr>
      <w:tblGrid>
        <w:gridCol w:w="9243"/>
      </w:tblGrid>
      <w:tr w:rsidR="00DF224C" w14:paraId="4E91728B" w14:textId="77777777" w:rsidTr="001F01BB">
        <w:tc>
          <w:tcPr>
            <w:tcW w:w="9280" w:type="dxa"/>
            <w:shd w:val="clear" w:color="auto" w:fill="D9D9D9"/>
          </w:tcPr>
          <w:p w14:paraId="202003A3" w14:textId="78E7D52A" w:rsidR="00DF224C" w:rsidRPr="0089281F" w:rsidRDefault="0089281F" w:rsidP="00653966">
            <w:pPr>
              <w:rPr>
                <w:rFonts w:ascii="Segoe UI" w:hAnsi="Segoe UI" w:cs="Segoe UI"/>
                <w:b/>
                <w:color w:val="4F81BD" w:themeColor="accent1"/>
                <w:sz w:val="22"/>
                <w:szCs w:val="22"/>
              </w:rPr>
            </w:pPr>
            <w:r>
              <w:rPr>
                <w:rFonts w:ascii="Segoe UI" w:hAnsi="Segoe UI" w:cs="Segoe UI"/>
                <w:b/>
                <w:color w:val="4F81BD" w:themeColor="accent1"/>
                <w:sz w:val="22"/>
                <w:szCs w:val="22"/>
              </w:rPr>
              <w:lastRenderedPageBreak/>
              <w:t>TOKENISATION</w:t>
            </w:r>
          </w:p>
          <w:p w14:paraId="07384C13" w14:textId="77777777" w:rsidR="00DF224C" w:rsidRDefault="00DF224C" w:rsidP="00653966">
            <w:pPr>
              <w:rPr>
                <w:rFonts w:ascii="Segoe UI" w:hAnsi="Segoe UI" w:cs="Segoe UI"/>
                <w:b/>
                <w:sz w:val="22"/>
                <w:szCs w:val="22"/>
              </w:rPr>
            </w:pPr>
          </w:p>
          <w:p w14:paraId="15CB2FCD" w14:textId="77777777" w:rsidR="00DF224C" w:rsidRDefault="00DF224C" w:rsidP="0089281F">
            <w:pPr>
              <w:ind w:left="144" w:right="144"/>
              <w:jc w:val="both"/>
              <w:rPr>
                <w:rFonts w:ascii="Segoe UI" w:hAnsi="Segoe UI" w:cs="Segoe UI"/>
                <w:sz w:val="22"/>
                <w:szCs w:val="22"/>
              </w:rPr>
            </w:pPr>
            <w:r w:rsidRPr="007C4E00">
              <w:rPr>
                <w:rFonts w:ascii="Segoe UI" w:hAnsi="Segoe UI" w:cs="Segoe UI"/>
                <w:sz w:val="22"/>
                <w:szCs w:val="22"/>
              </w:rPr>
              <w:t>Tokenisation replaces cardholder information such as account numbers and expiration dates with a unique series of numbers (a “token”) that can be used for payment without exposing a cardholder’s more sensitive account information.</w:t>
            </w:r>
            <w:r>
              <w:rPr>
                <w:rFonts w:ascii="Segoe UI" w:hAnsi="Segoe UI" w:cs="Segoe UI"/>
                <w:sz w:val="22"/>
                <w:szCs w:val="22"/>
              </w:rPr>
              <w:t xml:space="preserve"> </w:t>
            </w:r>
            <w:r w:rsidRPr="007C4E00">
              <w:rPr>
                <w:rFonts w:ascii="Segoe UI" w:hAnsi="Segoe UI" w:cs="Segoe UI"/>
                <w:sz w:val="22"/>
                <w:szCs w:val="22"/>
              </w:rPr>
              <w:t xml:space="preserve">This is important, because people will transact in digital environments more and more, across multiple devices and applications. </w:t>
            </w:r>
          </w:p>
          <w:p w14:paraId="2EF5761C" w14:textId="77777777" w:rsidR="00DF224C" w:rsidRDefault="00DF224C" w:rsidP="0089281F">
            <w:pPr>
              <w:ind w:left="144" w:right="144"/>
              <w:jc w:val="both"/>
              <w:rPr>
                <w:rFonts w:ascii="Segoe UI" w:hAnsi="Segoe UI" w:cs="Segoe UI"/>
                <w:sz w:val="22"/>
                <w:szCs w:val="22"/>
              </w:rPr>
            </w:pPr>
          </w:p>
          <w:p w14:paraId="19C0D136" w14:textId="77777777" w:rsidR="00DF224C" w:rsidRDefault="00DF224C" w:rsidP="0089281F">
            <w:pPr>
              <w:ind w:left="144" w:right="144"/>
              <w:jc w:val="both"/>
              <w:rPr>
                <w:rFonts w:ascii="Segoe UI" w:hAnsi="Segoe UI" w:cs="Segoe UI"/>
                <w:sz w:val="22"/>
                <w:szCs w:val="22"/>
              </w:rPr>
            </w:pPr>
            <w:r w:rsidRPr="007C4E00">
              <w:rPr>
                <w:rFonts w:ascii="Segoe UI" w:hAnsi="Segoe UI" w:cs="Segoe UI"/>
                <w:sz w:val="22"/>
                <w:szCs w:val="22"/>
              </w:rPr>
              <w:t>Tokenisation hides the consumers’ confidential account information during digital transactions, making digital payments more secure.</w:t>
            </w:r>
            <w:r>
              <w:rPr>
                <w:rFonts w:ascii="Segoe UI" w:hAnsi="Segoe UI" w:cs="Segoe UI"/>
                <w:sz w:val="22"/>
                <w:szCs w:val="22"/>
              </w:rPr>
              <w:t xml:space="preserve"> </w:t>
            </w:r>
            <w:r w:rsidRPr="007C4E00">
              <w:rPr>
                <w:rFonts w:ascii="Segoe UI" w:hAnsi="Segoe UI" w:cs="Segoe UI"/>
                <w:sz w:val="22"/>
                <w:szCs w:val="22"/>
              </w:rPr>
              <w:t xml:space="preserve">Tokenisation will bring an added layer of security to mobile and digital payments without adding friction to the shopping experience. </w:t>
            </w:r>
          </w:p>
          <w:p w14:paraId="2AC94697" w14:textId="77777777" w:rsidR="00D45F7B" w:rsidRPr="007C4E00" w:rsidRDefault="00D45F7B" w:rsidP="0089281F">
            <w:pPr>
              <w:ind w:left="144" w:right="144"/>
              <w:jc w:val="both"/>
              <w:rPr>
                <w:rFonts w:ascii="Segoe UI" w:hAnsi="Segoe UI" w:cs="Segoe UI"/>
                <w:sz w:val="22"/>
                <w:szCs w:val="22"/>
              </w:rPr>
            </w:pPr>
          </w:p>
          <w:p w14:paraId="1526D192" w14:textId="77777777" w:rsidR="00DF224C" w:rsidRDefault="00DF224C" w:rsidP="0089281F">
            <w:pPr>
              <w:ind w:left="144" w:right="144"/>
              <w:jc w:val="both"/>
              <w:rPr>
                <w:rFonts w:ascii="Segoe UI" w:hAnsi="Segoe UI" w:cs="Segoe UI"/>
                <w:sz w:val="22"/>
                <w:szCs w:val="22"/>
              </w:rPr>
            </w:pPr>
            <w:r w:rsidRPr="007C4E00">
              <w:rPr>
                <w:rFonts w:ascii="Segoe UI" w:hAnsi="Segoe UI" w:cs="Segoe UI"/>
                <w:sz w:val="22"/>
                <w:szCs w:val="22"/>
              </w:rPr>
              <w:t>As new payment experiences evolve, so must the security measures that protect consumers’ confidential account information. This is core to Visa – to ensure ubiquity of secure service for everyone, everywhere.</w:t>
            </w:r>
          </w:p>
          <w:p w14:paraId="0D42966C" w14:textId="77777777" w:rsidR="00DF224C" w:rsidRDefault="00DF224C" w:rsidP="00653966">
            <w:pPr>
              <w:rPr>
                <w:rFonts w:ascii="Segoe UI" w:hAnsi="Segoe UI" w:cs="Segoe UI"/>
                <w:sz w:val="22"/>
                <w:szCs w:val="22"/>
              </w:rPr>
            </w:pPr>
          </w:p>
        </w:tc>
      </w:tr>
    </w:tbl>
    <w:p w14:paraId="15A04BC1" w14:textId="77777777" w:rsidR="00DF224C" w:rsidRPr="0095144C" w:rsidRDefault="00DF224C" w:rsidP="00DF224C">
      <w:pPr>
        <w:jc w:val="both"/>
        <w:rPr>
          <w:rFonts w:ascii="Segoe UI" w:hAnsi="Segoe UI" w:cs="Segoe UI"/>
          <w:sz w:val="22"/>
          <w:szCs w:val="22"/>
        </w:rPr>
      </w:pPr>
    </w:p>
    <w:p w14:paraId="4186DF6A" w14:textId="77777777" w:rsidR="00DF224C" w:rsidRDefault="00DF224C" w:rsidP="00DF224C">
      <w:pPr>
        <w:pStyle w:val="Heading2"/>
        <w:numPr>
          <w:ilvl w:val="1"/>
          <w:numId w:val="3"/>
        </w:numPr>
        <w:rPr>
          <w:rFonts w:ascii="Segoe UI" w:hAnsi="Segoe UI" w:cs="Segoe UI"/>
          <w:sz w:val="22"/>
          <w:szCs w:val="22"/>
        </w:rPr>
      </w:pPr>
      <w:bookmarkStart w:id="10" w:name="_Toc417303923"/>
      <w:bookmarkStart w:id="11" w:name="_Toc417572680"/>
      <w:r>
        <w:rPr>
          <w:rFonts w:ascii="Segoe UI" w:hAnsi="Segoe UI" w:cs="Segoe UI"/>
          <w:sz w:val="22"/>
          <w:szCs w:val="22"/>
        </w:rPr>
        <w:t>The role of government in technology regulation</w:t>
      </w:r>
      <w:bookmarkEnd w:id="10"/>
      <w:bookmarkEnd w:id="11"/>
    </w:p>
    <w:p w14:paraId="6E35B71A" w14:textId="77777777" w:rsidR="00DF224C" w:rsidRPr="003F3204" w:rsidRDefault="00DF224C" w:rsidP="00DF224C"/>
    <w:p w14:paraId="1DBE593B" w14:textId="77777777" w:rsidR="00DF224C" w:rsidRDefault="00DF224C" w:rsidP="00DF224C">
      <w:pPr>
        <w:spacing w:line="276" w:lineRule="auto"/>
        <w:jc w:val="both"/>
        <w:rPr>
          <w:rFonts w:ascii="Segoe UI" w:hAnsi="Segoe UI" w:cs="Segoe UI"/>
          <w:sz w:val="22"/>
          <w:szCs w:val="22"/>
        </w:rPr>
      </w:pPr>
      <w:r w:rsidRPr="0095144C">
        <w:rPr>
          <w:rFonts w:ascii="Segoe UI" w:hAnsi="Segoe UI" w:cs="Segoe UI"/>
          <w:sz w:val="22"/>
          <w:szCs w:val="22"/>
        </w:rPr>
        <w:t>Th</w:t>
      </w:r>
      <w:r>
        <w:rPr>
          <w:rFonts w:ascii="Segoe UI" w:hAnsi="Segoe UI" w:cs="Segoe UI"/>
          <w:sz w:val="22"/>
          <w:szCs w:val="22"/>
        </w:rPr>
        <w:t>is</w:t>
      </w:r>
      <w:r w:rsidRPr="0095144C">
        <w:rPr>
          <w:rFonts w:ascii="Segoe UI" w:hAnsi="Segoe UI" w:cs="Segoe UI"/>
          <w:sz w:val="22"/>
          <w:szCs w:val="22"/>
        </w:rPr>
        <w:t xml:space="preserve"> speed of innovation means it</w:t>
      </w:r>
      <w:r>
        <w:rPr>
          <w:rFonts w:ascii="Segoe UI" w:hAnsi="Segoe UI" w:cs="Segoe UI"/>
          <w:sz w:val="22"/>
          <w:szCs w:val="22"/>
        </w:rPr>
        <w:t xml:space="preserve"> i</w:t>
      </w:r>
      <w:r w:rsidRPr="0095144C">
        <w:rPr>
          <w:rFonts w:ascii="Segoe UI" w:hAnsi="Segoe UI" w:cs="Segoe UI"/>
          <w:sz w:val="22"/>
          <w:szCs w:val="22"/>
        </w:rPr>
        <w:t xml:space="preserve">s critical for </w:t>
      </w:r>
      <w:r>
        <w:rPr>
          <w:rFonts w:ascii="Segoe UI" w:hAnsi="Segoe UI" w:cs="Segoe UI"/>
          <w:sz w:val="22"/>
          <w:szCs w:val="22"/>
        </w:rPr>
        <w:t>regulatory settings and any regulatory reforms to ensure that</w:t>
      </w:r>
      <w:r w:rsidRPr="0095144C">
        <w:rPr>
          <w:rFonts w:ascii="Segoe UI" w:hAnsi="Segoe UI" w:cs="Segoe UI"/>
          <w:sz w:val="22"/>
          <w:szCs w:val="22"/>
        </w:rPr>
        <w:t xml:space="preserve"> the payment system </w:t>
      </w:r>
      <w:r>
        <w:rPr>
          <w:rFonts w:ascii="Segoe UI" w:hAnsi="Segoe UI" w:cs="Segoe UI"/>
          <w:sz w:val="22"/>
          <w:szCs w:val="22"/>
        </w:rPr>
        <w:t xml:space="preserve">has </w:t>
      </w:r>
      <w:r w:rsidRPr="0095144C">
        <w:rPr>
          <w:rFonts w:ascii="Segoe UI" w:hAnsi="Segoe UI" w:cs="Segoe UI"/>
          <w:sz w:val="22"/>
          <w:szCs w:val="22"/>
        </w:rPr>
        <w:t xml:space="preserve">room to adapt to future developments, both predicted and unforeseen. </w:t>
      </w:r>
      <w:r>
        <w:rPr>
          <w:rFonts w:ascii="Segoe UI" w:hAnsi="Segoe UI" w:cs="Segoe UI"/>
          <w:sz w:val="22"/>
          <w:szCs w:val="22"/>
        </w:rPr>
        <w:t>We note that in the Federal Government’s FSI process, a clear</w:t>
      </w:r>
      <w:r w:rsidRPr="0095144C">
        <w:rPr>
          <w:rFonts w:ascii="Segoe UI" w:hAnsi="Segoe UI" w:cs="Segoe UI"/>
          <w:sz w:val="22"/>
          <w:szCs w:val="22"/>
        </w:rPr>
        <w:t xml:space="preserve"> intent </w:t>
      </w:r>
      <w:r>
        <w:rPr>
          <w:rFonts w:ascii="Segoe UI" w:hAnsi="Segoe UI" w:cs="Segoe UI"/>
          <w:sz w:val="22"/>
          <w:szCs w:val="22"/>
        </w:rPr>
        <w:t xml:space="preserve">was outlined </w:t>
      </w:r>
      <w:r w:rsidRPr="0095144C">
        <w:rPr>
          <w:rFonts w:ascii="Segoe UI" w:hAnsi="Segoe UI" w:cs="Segoe UI"/>
          <w:sz w:val="22"/>
          <w:szCs w:val="22"/>
        </w:rPr>
        <w:t xml:space="preserve">to ensure that </w:t>
      </w:r>
      <w:r>
        <w:rPr>
          <w:rFonts w:ascii="Segoe UI" w:hAnsi="Segoe UI" w:cs="Segoe UI"/>
          <w:sz w:val="22"/>
          <w:szCs w:val="22"/>
        </w:rPr>
        <w:t>regulation</w:t>
      </w:r>
      <w:r w:rsidRPr="0095144C">
        <w:rPr>
          <w:rFonts w:ascii="Segoe UI" w:hAnsi="Segoe UI" w:cs="Segoe UI"/>
          <w:sz w:val="22"/>
          <w:szCs w:val="22"/>
        </w:rPr>
        <w:t xml:space="preserve"> is neutral to </w:t>
      </w:r>
      <w:r>
        <w:rPr>
          <w:rFonts w:ascii="Segoe UI" w:hAnsi="Segoe UI" w:cs="Segoe UI"/>
          <w:sz w:val="22"/>
          <w:szCs w:val="22"/>
        </w:rPr>
        <w:t>the</w:t>
      </w:r>
      <w:r w:rsidRPr="0095144C">
        <w:rPr>
          <w:rFonts w:ascii="Segoe UI" w:hAnsi="Segoe UI" w:cs="Segoe UI"/>
          <w:sz w:val="22"/>
          <w:szCs w:val="22"/>
        </w:rPr>
        <w:t xml:space="preserve"> mode of technology </w:t>
      </w:r>
      <w:r>
        <w:rPr>
          <w:rFonts w:ascii="Segoe UI" w:hAnsi="Segoe UI" w:cs="Segoe UI"/>
          <w:sz w:val="22"/>
          <w:szCs w:val="22"/>
        </w:rPr>
        <w:t xml:space="preserve">so as to </w:t>
      </w:r>
      <w:r w:rsidRPr="0095144C">
        <w:rPr>
          <w:rFonts w:ascii="Segoe UI" w:hAnsi="Segoe UI" w:cs="Segoe UI"/>
          <w:sz w:val="22"/>
          <w:szCs w:val="22"/>
        </w:rPr>
        <w:t xml:space="preserve">support innovation, access and use. </w:t>
      </w:r>
    </w:p>
    <w:p w14:paraId="2A71FEC8" w14:textId="77777777" w:rsidR="00DF224C" w:rsidRDefault="00DF224C" w:rsidP="00DF224C">
      <w:pPr>
        <w:spacing w:line="276" w:lineRule="auto"/>
        <w:jc w:val="both"/>
        <w:rPr>
          <w:rFonts w:ascii="Segoe UI" w:hAnsi="Segoe UI" w:cs="Segoe UI"/>
          <w:sz w:val="22"/>
          <w:szCs w:val="22"/>
        </w:rPr>
      </w:pPr>
    </w:p>
    <w:p w14:paraId="72480A08" w14:textId="77777777" w:rsidR="00DF224C" w:rsidRDefault="00DF224C" w:rsidP="00DF224C">
      <w:pPr>
        <w:spacing w:line="276" w:lineRule="auto"/>
        <w:jc w:val="both"/>
        <w:rPr>
          <w:rFonts w:ascii="Segoe UI" w:hAnsi="Segoe UI" w:cs="Segoe UI"/>
          <w:sz w:val="22"/>
          <w:szCs w:val="22"/>
        </w:rPr>
      </w:pPr>
      <w:r>
        <w:rPr>
          <w:rFonts w:ascii="Segoe UI" w:hAnsi="Segoe UI" w:cs="Segoe UI"/>
          <w:sz w:val="22"/>
          <w:szCs w:val="22"/>
        </w:rPr>
        <w:t>Industry and regulators cannot afford to be retrospective and should aim to foster an environment that best aligns with the future market which is driven by consumer needs and will drive the industry forward. By enabling open access and competition, the industry can evolve with consumer trends and not be disintermediated by them.</w:t>
      </w:r>
    </w:p>
    <w:p w14:paraId="50B5CAC5" w14:textId="77777777" w:rsidR="00DF224C" w:rsidRDefault="00DF224C" w:rsidP="00DF224C">
      <w:pPr>
        <w:spacing w:line="276" w:lineRule="auto"/>
        <w:jc w:val="both"/>
        <w:rPr>
          <w:rFonts w:ascii="Segoe UI" w:hAnsi="Segoe UI" w:cs="Segoe UI"/>
          <w:sz w:val="22"/>
          <w:szCs w:val="22"/>
        </w:rPr>
      </w:pPr>
    </w:p>
    <w:p w14:paraId="6930B6C3" w14:textId="77777777" w:rsidR="00DF224C" w:rsidRDefault="00DF224C" w:rsidP="00DF224C">
      <w:pPr>
        <w:spacing w:line="276" w:lineRule="auto"/>
        <w:jc w:val="both"/>
        <w:rPr>
          <w:rFonts w:ascii="Segoe UI" w:hAnsi="Segoe UI" w:cs="Segoe UI"/>
          <w:sz w:val="22"/>
          <w:szCs w:val="22"/>
        </w:rPr>
      </w:pPr>
      <w:r>
        <w:rPr>
          <w:rFonts w:ascii="Segoe UI" w:hAnsi="Segoe UI" w:cs="Segoe UI"/>
          <w:sz w:val="22"/>
          <w:szCs w:val="22"/>
        </w:rPr>
        <w:t xml:space="preserve">More recently, the Harper Review into Australia’s Competition Policy (released on 31 March 2015), noted that innovative solutions pose challenges for regulators. </w:t>
      </w:r>
    </w:p>
    <w:p w14:paraId="0CE056D2" w14:textId="77777777" w:rsidR="00DF224C" w:rsidRDefault="00DF224C" w:rsidP="00DF224C">
      <w:pPr>
        <w:jc w:val="both"/>
        <w:rPr>
          <w:rFonts w:ascii="Segoe UI" w:hAnsi="Segoe UI" w:cs="Segoe UI"/>
          <w:sz w:val="22"/>
          <w:szCs w:val="22"/>
        </w:rPr>
      </w:pPr>
    </w:p>
    <w:p w14:paraId="6F9DC5D6" w14:textId="4D95D31E" w:rsidR="00DF224C" w:rsidRDefault="00DF224C" w:rsidP="0089281F">
      <w:pPr>
        <w:autoSpaceDE w:val="0"/>
        <w:autoSpaceDN w:val="0"/>
        <w:adjustRightInd w:val="0"/>
        <w:ind w:left="720" w:right="576"/>
        <w:jc w:val="both"/>
        <w:rPr>
          <w:rFonts w:ascii="Segoe UI" w:hAnsi="Segoe UI" w:cs="Segoe UI"/>
          <w:sz w:val="22"/>
          <w:szCs w:val="22"/>
        </w:rPr>
      </w:pPr>
      <w:r>
        <w:rPr>
          <w:rFonts w:ascii="Segoe UI" w:hAnsi="Segoe UI" w:cs="Segoe UI"/>
          <w:sz w:val="22"/>
          <w:szCs w:val="22"/>
        </w:rPr>
        <w:t>“</w:t>
      </w:r>
      <w:r w:rsidRPr="003F3204">
        <w:rPr>
          <w:rFonts w:ascii="Segoe UI" w:hAnsi="Segoe UI" w:cs="Segoe UI"/>
          <w:sz w:val="22"/>
          <w:szCs w:val="22"/>
        </w:rPr>
        <w:t>Where regulation is inflexible, it may prevent markets from responding to innovative</w:t>
      </w:r>
      <w:r w:rsidR="0089281F">
        <w:rPr>
          <w:rFonts w:ascii="Segoe UI" w:hAnsi="Segoe UI" w:cs="Segoe UI"/>
          <w:sz w:val="22"/>
          <w:szCs w:val="22"/>
        </w:rPr>
        <w:t xml:space="preserve"> </w:t>
      </w:r>
      <w:r w:rsidRPr="003F3204">
        <w:rPr>
          <w:rFonts w:ascii="Segoe UI" w:hAnsi="Segoe UI" w:cs="Segoe UI"/>
          <w:sz w:val="22"/>
          <w:szCs w:val="22"/>
        </w:rPr>
        <w:t>service offers that do not fit neatly within existing regulated categories. Regulation must be</w:t>
      </w:r>
      <w:r>
        <w:rPr>
          <w:rFonts w:ascii="Segoe UI" w:hAnsi="Segoe UI" w:cs="Segoe UI"/>
          <w:sz w:val="22"/>
          <w:szCs w:val="22"/>
        </w:rPr>
        <w:t xml:space="preserve"> </w:t>
      </w:r>
      <w:r w:rsidRPr="003F3204">
        <w:rPr>
          <w:rFonts w:ascii="Segoe UI" w:hAnsi="Segoe UI" w:cs="Segoe UI"/>
          <w:sz w:val="22"/>
          <w:szCs w:val="22"/>
        </w:rPr>
        <w:t>reviewed regularly to ensure that it is still required and not inhibiting the emergence of new</w:t>
      </w:r>
      <w:r>
        <w:rPr>
          <w:rFonts w:ascii="Segoe UI" w:hAnsi="Segoe UI" w:cs="Segoe UI"/>
          <w:sz w:val="22"/>
          <w:szCs w:val="22"/>
        </w:rPr>
        <w:t xml:space="preserve"> </w:t>
      </w:r>
      <w:r w:rsidRPr="003F3204">
        <w:rPr>
          <w:rFonts w:ascii="Segoe UI" w:hAnsi="Segoe UI" w:cs="Segoe UI"/>
          <w:sz w:val="22"/>
          <w:szCs w:val="22"/>
        </w:rPr>
        <w:t>service offerings.</w:t>
      </w:r>
      <w:r>
        <w:rPr>
          <w:rFonts w:ascii="Segoe UI" w:hAnsi="Segoe UI" w:cs="Segoe UI"/>
          <w:sz w:val="22"/>
          <w:szCs w:val="22"/>
        </w:rPr>
        <w:t xml:space="preserve"> (Harper Review, p. 26).</w:t>
      </w:r>
      <w:r>
        <w:rPr>
          <w:rStyle w:val="FootnoteReference"/>
          <w:rFonts w:ascii="Segoe UI" w:hAnsi="Segoe UI" w:cs="Segoe UI"/>
          <w:sz w:val="22"/>
          <w:szCs w:val="22"/>
        </w:rPr>
        <w:footnoteReference w:id="12"/>
      </w:r>
    </w:p>
    <w:p w14:paraId="12BB9636" w14:textId="77777777" w:rsidR="00DF224C" w:rsidRPr="003F3204" w:rsidRDefault="00DF224C" w:rsidP="00DF224C">
      <w:pPr>
        <w:autoSpaceDE w:val="0"/>
        <w:autoSpaceDN w:val="0"/>
        <w:adjustRightInd w:val="0"/>
        <w:ind w:left="720"/>
        <w:jc w:val="both"/>
        <w:rPr>
          <w:rFonts w:ascii="Segoe UI" w:hAnsi="Segoe UI" w:cs="Segoe UI"/>
          <w:sz w:val="22"/>
          <w:szCs w:val="22"/>
        </w:rPr>
      </w:pPr>
    </w:p>
    <w:p w14:paraId="417E45A5" w14:textId="77777777" w:rsidR="00DF224C" w:rsidRDefault="00DF224C" w:rsidP="00DF224C">
      <w:pPr>
        <w:spacing w:line="276" w:lineRule="auto"/>
        <w:jc w:val="both"/>
        <w:rPr>
          <w:rFonts w:ascii="Segoe UI" w:hAnsi="Segoe UI" w:cs="Segoe UI"/>
          <w:sz w:val="22"/>
          <w:szCs w:val="22"/>
        </w:rPr>
      </w:pPr>
      <w:r>
        <w:rPr>
          <w:rFonts w:ascii="Segoe UI" w:hAnsi="Segoe UI" w:cs="Segoe UI"/>
          <w:sz w:val="22"/>
          <w:szCs w:val="22"/>
        </w:rPr>
        <w:t>As we recently outlined in our submission the Federal Treasury’s follow-on review into the FSI recommendations, Visa</w:t>
      </w:r>
      <w:r w:rsidRPr="0095144C">
        <w:rPr>
          <w:rFonts w:ascii="Segoe UI" w:hAnsi="Segoe UI" w:cs="Segoe UI"/>
          <w:sz w:val="22"/>
          <w:szCs w:val="22"/>
        </w:rPr>
        <w:t xml:space="preserve"> support</w:t>
      </w:r>
      <w:r>
        <w:rPr>
          <w:rFonts w:ascii="Segoe UI" w:hAnsi="Segoe UI" w:cs="Segoe UI"/>
          <w:sz w:val="22"/>
          <w:szCs w:val="22"/>
        </w:rPr>
        <w:t xml:space="preserve">s an industry </w:t>
      </w:r>
      <w:r w:rsidRPr="0095144C">
        <w:rPr>
          <w:rFonts w:ascii="Segoe UI" w:hAnsi="Segoe UI" w:cs="Segoe UI"/>
          <w:sz w:val="22"/>
          <w:szCs w:val="22"/>
        </w:rPr>
        <w:t xml:space="preserve">working group on these matters to identify </w:t>
      </w:r>
      <w:r w:rsidRPr="0095144C">
        <w:rPr>
          <w:rFonts w:ascii="Segoe UI" w:hAnsi="Segoe UI" w:cs="Segoe UI"/>
          <w:sz w:val="22"/>
          <w:szCs w:val="22"/>
        </w:rPr>
        <w:lastRenderedPageBreak/>
        <w:t>areas of priority in the regulation of technology</w:t>
      </w:r>
      <w:r>
        <w:rPr>
          <w:rFonts w:ascii="Segoe UI" w:hAnsi="Segoe UI" w:cs="Segoe UI"/>
          <w:sz w:val="22"/>
          <w:szCs w:val="22"/>
        </w:rPr>
        <w:t>, including payments technology and new payment platforms</w:t>
      </w:r>
      <w:r w:rsidRPr="0095144C">
        <w:rPr>
          <w:rFonts w:ascii="Segoe UI" w:hAnsi="Segoe UI" w:cs="Segoe UI"/>
          <w:sz w:val="22"/>
          <w:szCs w:val="22"/>
        </w:rPr>
        <w:t>.</w:t>
      </w:r>
      <w:r>
        <w:rPr>
          <w:rStyle w:val="FootnoteReference"/>
          <w:rFonts w:ascii="Segoe UI" w:hAnsi="Segoe UI" w:cs="Segoe UI"/>
          <w:sz w:val="22"/>
          <w:szCs w:val="22"/>
        </w:rPr>
        <w:footnoteReference w:id="13"/>
      </w:r>
      <w:r w:rsidRPr="0095144C">
        <w:rPr>
          <w:rFonts w:ascii="Segoe UI" w:hAnsi="Segoe UI" w:cs="Segoe UI"/>
          <w:sz w:val="22"/>
          <w:szCs w:val="22"/>
        </w:rPr>
        <w:t xml:space="preserve"> We would also support inviting the non-financial system sector, such as telecommunication players given the increasing reliance on </w:t>
      </w:r>
      <w:r>
        <w:rPr>
          <w:rFonts w:ascii="Segoe UI" w:hAnsi="Segoe UI" w:cs="Segoe UI"/>
          <w:sz w:val="22"/>
          <w:szCs w:val="22"/>
        </w:rPr>
        <w:t xml:space="preserve">mobile </w:t>
      </w:r>
      <w:r w:rsidRPr="0095144C">
        <w:rPr>
          <w:rFonts w:ascii="Segoe UI" w:hAnsi="Segoe UI" w:cs="Segoe UI"/>
          <w:sz w:val="22"/>
          <w:szCs w:val="22"/>
        </w:rPr>
        <w:t xml:space="preserve">handsets for payments. </w:t>
      </w:r>
      <w:r>
        <w:rPr>
          <w:rFonts w:ascii="Segoe UI" w:hAnsi="Segoe UI" w:cs="Segoe UI"/>
          <w:sz w:val="22"/>
          <w:szCs w:val="22"/>
        </w:rPr>
        <w:t>We feel the RBA in its role as the payments regulator, should play an active role in any such group. We firmly recommend that g</w:t>
      </w:r>
      <w:r w:rsidRPr="0095144C">
        <w:rPr>
          <w:rFonts w:ascii="Segoe UI" w:hAnsi="Segoe UI" w:cs="Segoe UI"/>
          <w:sz w:val="22"/>
          <w:szCs w:val="22"/>
        </w:rPr>
        <w:t>overnment</w:t>
      </w:r>
      <w:r>
        <w:rPr>
          <w:rFonts w:ascii="Segoe UI" w:hAnsi="Segoe UI" w:cs="Segoe UI"/>
          <w:sz w:val="22"/>
          <w:szCs w:val="22"/>
        </w:rPr>
        <w:t xml:space="preserve"> and regulator</w:t>
      </w:r>
      <w:r w:rsidRPr="0095144C">
        <w:rPr>
          <w:rFonts w:ascii="Segoe UI" w:hAnsi="Segoe UI" w:cs="Segoe UI"/>
          <w:sz w:val="22"/>
          <w:szCs w:val="22"/>
        </w:rPr>
        <w:t xml:space="preserve"> policy guidelines should also explicitly incorporate technology neutrality as </w:t>
      </w:r>
      <w:r>
        <w:rPr>
          <w:rFonts w:ascii="Segoe UI" w:hAnsi="Segoe UI" w:cs="Segoe UI"/>
          <w:sz w:val="22"/>
          <w:szCs w:val="22"/>
        </w:rPr>
        <w:t xml:space="preserve">an </w:t>
      </w:r>
      <w:r w:rsidRPr="0095144C">
        <w:rPr>
          <w:rFonts w:ascii="Segoe UI" w:hAnsi="Segoe UI" w:cs="Segoe UI"/>
          <w:sz w:val="22"/>
          <w:szCs w:val="22"/>
        </w:rPr>
        <w:t>additional</w:t>
      </w:r>
      <w:r w:rsidRPr="009F0F60">
        <w:rPr>
          <w:rFonts w:ascii="Segoe UI" w:hAnsi="Segoe UI" w:cs="Segoe UI"/>
          <w:sz w:val="22"/>
          <w:szCs w:val="22"/>
        </w:rPr>
        <w:t xml:space="preserve"> </w:t>
      </w:r>
      <w:r w:rsidRPr="0095144C">
        <w:rPr>
          <w:rFonts w:ascii="Segoe UI" w:hAnsi="Segoe UI" w:cs="Segoe UI"/>
          <w:sz w:val="22"/>
          <w:szCs w:val="22"/>
        </w:rPr>
        <w:t>criterion for assessing the impact of regulations to the financial services</w:t>
      </w:r>
      <w:r>
        <w:rPr>
          <w:rFonts w:ascii="Segoe UI" w:hAnsi="Segoe UI" w:cs="Segoe UI"/>
          <w:sz w:val="22"/>
          <w:szCs w:val="22"/>
        </w:rPr>
        <w:t xml:space="preserve"> (including payments)</w:t>
      </w:r>
      <w:r w:rsidRPr="0095144C">
        <w:rPr>
          <w:rFonts w:ascii="Segoe UI" w:hAnsi="Segoe UI" w:cs="Segoe UI"/>
          <w:sz w:val="22"/>
          <w:szCs w:val="22"/>
        </w:rPr>
        <w:t xml:space="preserve"> sector. </w:t>
      </w:r>
    </w:p>
    <w:p w14:paraId="2442B557" w14:textId="77777777" w:rsidR="00DF224C" w:rsidRPr="0095144C" w:rsidRDefault="00DF224C" w:rsidP="00DF224C">
      <w:pPr>
        <w:rPr>
          <w:rFonts w:ascii="Segoe UI" w:eastAsiaTheme="majorEastAsia" w:hAnsi="Segoe UI" w:cs="Segoe UI"/>
          <w:b/>
          <w:bCs/>
          <w:color w:val="345A8A" w:themeColor="accent1" w:themeShade="B5"/>
          <w:sz w:val="22"/>
          <w:szCs w:val="22"/>
        </w:rPr>
      </w:pPr>
    </w:p>
    <w:p w14:paraId="2E33A1C0" w14:textId="77777777" w:rsidR="00DF224C" w:rsidRPr="00A23067" w:rsidRDefault="00DF224C" w:rsidP="00DF224C">
      <w:pPr>
        <w:rPr>
          <w:rFonts w:ascii="Segoe UI" w:eastAsiaTheme="majorEastAsia" w:hAnsi="Segoe UI" w:cs="Segoe UI"/>
          <w:b/>
          <w:bCs/>
          <w:color w:val="345A8A" w:themeColor="accent1" w:themeShade="B5"/>
          <w:sz w:val="32"/>
          <w:szCs w:val="32"/>
        </w:rPr>
      </w:pPr>
      <w:r>
        <w:rPr>
          <w:rFonts w:ascii="Segoe UI" w:hAnsi="Segoe UI" w:cs="Segoe UI"/>
        </w:rPr>
        <w:br w:type="page"/>
      </w:r>
      <w:bookmarkEnd w:id="5"/>
    </w:p>
    <w:p w14:paraId="0DD0FFBF" w14:textId="77777777" w:rsidR="00DF224C" w:rsidRPr="0089281F" w:rsidRDefault="00DF224C" w:rsidP="00DF224C">
      <w:pPr>
        <w:pStyle w:val="Heading1"/>
        <w:rPr>
          <w:rFonts w:ascii="Segoe UI" w:hAnsi="Segoe UI" w:cs="Segoe UI"/>
          <w:color w:val="002060"/>
        </w:rPr>
      </w:pPr>
      <w:bookmarkStart w:id="12" w:name="_Toc417303924"/>
      <w:bookmarkStart w:id="13" w:name="_Toc417572681"/>
      <w:r w:rsidRPr="0089281F">
        <w:rPr>
          <w:rFonts w:ascii="Segoe UI" w:hAnsi="Segoe UI" w:cs="Segoe UI"/>
          <w:color w:val="002060"/>
        </w:rPr>
        <w:lastRenderedPageBreak/>
        <w:t>Chapter 2: Competitive neutrality</w:t>
      </w:r>
      <w:bookmarkEnd w:id="12"/>
      <w:bookmarkEnd w:id="13"/>
    </w:p>
    <w:p w14:paraId="25EFF052" w14:textId="77777777" w:rsidR="00DF224C" w:rsidRPr="00426E9B" w:rsidRDefault="00DF224C" w:rsidP="00DF224C">
      <w:pPr>
        <w:rPr>
          <w:rFonts w:ascii="Segoe UI" w:hAnsi="Segoe UI" w:cs="Segoe UI"/>
        </w:rPr>
      </w:pPr>
    </w:p>
    <w:tbl>
      <w:tblPr>
        <w:tblStyle w:val="TableGrid"/>
        <w:tblW w:w="0" w:type="auto"/>
        <w:shd w:val="clear" w:color="auto" w:fill="E0E0E0"/>
        <w:tblLook w:val="04A0" w:firstRow="1" w:lastRow="0" w:firstColumn="1" w:lastColumn="0" w:noHBand="0" w:noVBand="1"/>
      </w:tblPr>
      <w:tblGrid>
        <w:gridCol w:w="9243"/>
      </w:tblGrid>
      <w:tr w:rsidR="00DF224C" w:rsidRPr="00426E9B" w14:paraId="0270C3AE" w14:textId="77777777" w:rsidTr="00653966">
        <w:tc>
          <w:tcPr>
            <w:tcW w:w="9280" w:type="dxa"/>
            <w:shd w:val="clear" w:color="auto" w:fill="E0E0E0"/>
          </w:tcPr>
          <w:p w14:paraId="00E33A88" w14:textId="77777777" w:rsidR="00DF224C" w:rsidRPr="00426E9B" w:rsidRDefault="00DF224C" w:rsidP="00653966">
            <w:pPr>
              <w:pStyle w:val="Heading4"/>
              <w:outlineLvl w:val="3"/>
              <w:rPr>
                <w:rFonts w:ascii="Segoe UI" w:hAnsi="Segoe UI" w:cs="Segoe UI"/>
              </w:rPr>
            </w:pPr>
            <w:r w:rsidRPr="00426E9B">
              <w:rPr>
                <w:rFonts w:ascii="Segoe UI" w:hAnsi="Segoe UI" w:cs="Segoe UI"/>
              </w:rPr>
              <w:t>Key points</w:t>
            </w:r>
          </w:p>
          <w:p w14:paraId="2849247C" w14:textId="3FCE12AA" w:rsidR="00DF224C" w:rsidRPr="007D6352" w:rsidRDefault="00DF224C" w:rsidP="008B578E">
            <w:pPr>
              <w:pStyle w:val="ListParagraph"/>
              <w:numPr>
                <w:ilvl w:val="0"/>
                <w:numId w:val="2"/>
              </w:numPr>
              <w:spacing w:before="120" w:after="240" w:line="240" w:lineRule="exact"/>
              <w:ind w:right="417"/>
              <w:contextualSpacing w:val="0"/>
              <w:jc w:val="both"/>
              <w:rPr>
                <w:rFonts w:ascii="Segoe UI" w:hAnsi="Segoe UI" w:cs="Segoe UI"/>
              </w:rPr>
            </w:pPr>
            <w:r>
              <w:rPr>
                <w:rFonts w:ascii="Segoe UI" w:hAnsi="Segoe UI" w:cs="Segoe UI"/>
                <w:sz w:val="22"/>
                <w:szCs w:val="22"/>
              </w:rPr>
              <w:t xml:space="preserve">There is a lack of competitive neutrality in the regulation of payments in Australia, particularly in relation to interchange but also more broadly. This disparity has real and costly impacts, estimated at A$770 million, for Australian </w:t>
            </w:r>
            <w:r w:rsidR="00170243">
              <w:rPr>
                <w:rFonts w:ascii="Segoe UI" w:hAnsi="Segoe UI" w:cs="Segoe UI"/>
                <w:sz w:val="22"/>
                <w:szCs w:val="22"/>
              </w:rPr>
              <w:t>merchants</w:t>
            </w:r>
            <w:r>
              <w:rPr>
                <w:rFonts w:ascii="Segoe UI" w:hAnsi="Segoe UI" w:cs="Segoe UI"/>
                <w:sz w:val="22"/>
                <w:szCs w:val="22"/>
              </w:rPr>
              <w:t>.</w:t>
            </w:r>
          </w:p>
          <w:p w14:paraId="190981EA" w14:textId="77777777" w:rsidR="00DF224C" w:rsidRPr="00DE1E32" w:rsidRDefault="00DF224C" w:rsidP="008B578E">
            <w:pPr>
              <w:pStyle w:val="ListParagraph"/>
              <w:numPr>
                <w:ilvl w:val="0"/>
                <w:numId w:val="2"/>
              </w:numPr>
              <w:spacing w:before="120" w:after="240" w:line="240" w:lineRule="exact"/>
              <w:ind w:right="417"/>
              <w:contextualSpacing w:val="0"/>
              <w:jc w:val="both"/>
              <w:rPr>
                <w:rFonts w:ascii="Segoe UI" w:hAnsi="Segoe UI" w:cs="Segoe UI"/>
              </w:rPr>
            </w:pPr>
            <w:r w:rsidRPr="00DE1E32">
              <w:rPr>
                <w:rFonts w:ascii="Segoe UI" w:hAnsi="Segoe UI" w:cs="Segoe UI"/>
                <w:sz w:val="22"/>
                <w:szCs w:val="22"/>
              </w:rPr>
              <w:t>Whilst we continue to submit that the best way to achieve regulatory parity is through legislative reform in the longer-term, the immediate review should act to equally regulate hybrid four-party schemes such as American Express GNS</w:t>
            </w:r>
            <w:r>
              <w:rPr>
                <w:rFonts w:ascii="Segoe UI" w:hAnsi="Segoe UI" w:cs="Segoe UI"/>
                <w:sz w:val="22"/>
                <w:szCs w:val="22"/>
              </w:rPr>
              <w:t xml:space="preserve"> and new entrant four-party schemes such as UnionPay, at a minimum, but should also result in the equal regulation of all other open and closed loop schemes. V</w:t>
            </w:r>
            <w:r w:rsidRPr="00DE1E32">
              <w:rPr>
                <w:rFonts w:ascii="Segoe UI" w:hAnsi="Segoe UI" w:cs="Segoe UI"/>
                <w:sz w:val="22"/>
                <w:szCs w:val="22"/>
              </w:rPr>
              <w:t xml:space="preserve">isa remains open to detailed discussions on how best to achieve this including </w:t>
            </w:r>
            <w:r>
              <w:rPr>
                <w:rFonts w:ascii="Segoe UI" w:hAnsi="Segoe UI" w:cs="Segoe UI"/>
                <w:sz w:val="22"/>
                <w:szCs w:val="22"/>
              </w:rPr>
              <w:t>on the issues of thresholds and the treatment of other value transfers.</w:t>
            </w:r>
          </w:p>
          <w:p w14:paraId="1CC9BD52" w14:textId="77777777" w:rsidR="00DF224C" w:rsidRPr="007D6352" w:rsidRDefault="00DF224C" w:rsidP="008B578E">
            <w:pPr>
              <w:pStyle w:val="ListParagraph"/>
              <w:numPr>
                <w:ilvl w:val="0"/>
                <w:numId w:val="2"/>
              </w:numPr>
              <w:spacing w:before="120" w:after="240" w:line="240" w:lineRule="exact"/>
              <w:ind w:right="417"/>
              <w:contextualSpacing w:val="0"/>
              <w:jc w:val="both"/>
              <w:rPr>
                <w:rFonts w:ascii="Segoe UI" w:hAnsi="Segoe UI" w:cs="Segoe UI"/>
              </w:rPr>
            </w:pPr>
            <w:r>
              <w:rPr>
                <w:rFonts w:ascii="Segoe UI" w:hAnsi="Segoe UI" w:cs="Segoe UI"/>
                <w:sz w:val="22"/>
                <w:szCs w:val="22"/>
              </w:rPr>
              <w:t>Any regulatory solution must aim to include newer models of payment schemes, such as PayPal and Alipay, along with likely future entrants enabled by the RBA’s New Payments Platform (NPP).</w:t>
            </w:r>
          </w:p>
        </w:tc>
      </w:tr>
    </w:tbl>
    <w:p w14:paraId="3B0F8D9D" w14:textId="77777777" w:rsidR="00DF224C" w:rsidRPr="00426E9B" w:rsidRDefault="00DF224C" w:rsidP="00DF224C">
      <w:pPr>
        <w:rPr>
          <w:rFonts w:ascii="Segoe UI" w:hAnsi="Segoe UI" w:cs="Segoe UI"/>
        </w:rPr>
      </w:pPr>
    </w:p>
    <w:p w14:paraId="5EB8A65A" w14:textId="77777777" w:rsidR="00DF224C" w:rsidRPr="00426E9B" w:rsidRDefault="00DF224C" w:rsidP="00DF224C">
      <w:pPr>
        <w:pStyle w:val="Heading2"/>
        <w:numPr>
          <w:ilvl w:val="1"/>
          <w:numId w:val="5"/>
        </w:numPr>
        <w:ind w:left="720" w:hanging="720"/>
        <w:rPr>
          <w:rFonts w:ascii="Segoe UI" w:hAnsi="Segoe UI" w:cs="Segoe UI"/>
        </w:rPr>
      </w:pPr>
      <w:bookmarkStart w:id="14" w:name="_Toc416805064"/>
      <w:bookmarkStart w:id="15" w:name="_Toc417303925"/>
      <w:bookmarkStart w:id="16" w:name="_Toc417572682"/>
      <w:r w:rsidRPr="00426E9B">
        <w:rPr>
          <w:rFonts w:ascii="Segoe UI" w:hAnsi="Segoe UI" w:cs="Segoe UI"/>
        </w:rPr>
        <w:t>Introduction</w:t>
      </w:r>
      <w:bookmarkEnd w:id="14"/>
      <w:bookmarkEnd w:id="15"/>
      <w:bookmarkEnd w:id="16"/>
    </w:p>
    <w:p w14:paraId="6CD2A97A" w14:textId="77777777" w:rsidR="00DF224C" w:rsidRDefault="00DF224C" w:rsidP="00DF224C">
      <w:pPr>
        <w:rPr>
          <w:rFonts w:ascii="Segoe UI" w:hAnsi="Segoe UI" w:cs="Segoe UI"/>
        </w:rPr>
      </w:pPr>
    </w:p>
    <w:p w14:paraId="68BCA4E7" w14:textId="77777777" w:rsidR="00DF224C" w:rsidRDefault="00DF224C" w:rsidP="00DF224C">
      <w:pPr>
        <w:spacing w:line="276" w:lineRule="auto"/>
        <w:jc w:val="both"/>
        <w:rPr>
          <w:rFonts w:ascii="Segoe UI" w:hAnsi="Segoe UI" w:cs="Segoe UI"/>
          <w:sz w:val="22"/>
          <w:szCs w:val="22"/>
        </w:rPr>
      </w:pPr>
      <w:r>
        <w:rPr>
          <w:rFonts w:ascii="Segoe UI" w:hAnsi="Segoe UI" w:cs="Segoe UI"/>
          <w:sz w:val="22"/>
          <w:szCs w:val="22"/>
        </w:rPr>
        <w:t>As outlined in various submissions made both in recent years and the more recent FSI and Post-FSI Treasury Inquiry, Visa feels that the lack of regulatory competitive neutrality in relation to interchange and interchange-like transfers is the major weakness in the Australian payments regulatory space. Our core recommendation is that these competitive neutrality issues be addressed by this Review.</w:t>
      </w:r>
    </w:p>
    <w:p w14:paraId="280F2E3A" w14:textId="77777777" w:rsidR="00DF224C" w:rsidRDefault="00DF224C" w:rsidP="00DF224C">
      <w:pPr>
        <w:spacing w:line="276" w:lineRule="auto"/>
        <w:jc w:val="both"/>
        <w:rPr>
          <w:rFonts w:ascii="Segoe UI" w:hAnsi="Segoe UI" w:cs="Segoe UI"/>
          <w:sz w:val="22"/>
          <w:szCs w:val="22"/>
        </w:rPr>
      </w:pPr>
    </w:p>
    <w:p w14:paraId="696D27A8" w14:textId="703D00F6" w:rsidR="00DF224C" w:rsidRDefault="00DF224C" w:rsidP="00DF224C">
      <w:pPr>
        <w:spacing w:line="276" w:lineRule="auto"/>
        <w:jc w:val="both"/>
        <w:rPr>
          <w:rFonts w:ascii="Segoe UI" w:hAnsi="Segoe UI" w:cs="Segoe UI"/>
          <w:sz w:val="22"/>
          <w:szCs w:val="22"/>
        </w:rPr>
      </w:pPr>
      <w:r>
        <w:rPr>
          <w:rFonts w:ascii="Segoe UI" w:hAnsi="Segoe UI" w:cs="Segoe UI"/>
          <w:sz w:val="22"/>
          <w:szCs w:val="22"/>
        </w:rPr>
        <w:t>Recently the</w:t>
      </w:r>
      <w:r w:rsidRPr="00C674C7">
        <w:rPr>
          <w:rFonts w:ascii="Segoe UI" w:hAnsi="Segoe UI" w:cs="Segoe UI"/>
          <w:sz w:val="22"/>
          <w:szCs w:val="22"/>
        </w:rPr>
        <w:t xml:space="preserve"> </w:t>
      </w:r>
      <w:r>
        <w:rPr>
          <w:rFonts w:ascii="Segoe UI" w:hAnsi="Segoe UI" w:cs="Segoe UI"/>
          <w:sz w:val="22"/>
          <w:szCs w:val="22"/>
        </w:rPr>
        <w:t>FSI</w:t>
      </w:r>
      <w:r w:rsidRPr="00C674C7">
        <w:rPr>
          <w:rFonts w:ascii="Segoe UI" w:hAnsi="Segoe UI" w:cs="Segoe UI"/>
          <w:sz w:val="22"/>
          <w:szCs w:val="22"/>
        </w:rPr>
        <w:t xml:space="preserve"> raised </w:t>
      </w:r>
      <w:r>
        <w:rPr>
          <w:rFonts w:ascii="Segoe UI" w:hAnsi="Segoe UI" w:cs="Segoe UI"/>
          <w:sz w:val="22"/>
          <w:szCs w:val="22"/>
        </w:rPr>
        <w:t xml:space="preserve">similar </w:t>
      </w:r>
      <w:r w:rsidRPr="00C674C7">
        <w:rPr>
          <w:rFonts w:ascii="Segoe UI" w:hAnsi="Segoe UI" w:cs="Segoe UI"/>
          <w:sz w:val="22"/>
          <w:szCs w:val="22"/>
        </w:rPr>
        <w:t xml:space="preserve">concerns with the way interchange is regulated in Australia, and in particular, the lack of competitive neutrality </w:t>
      </w:r>
      <w:r>
        <w:rPr>
          <w:rFonts w:ascii="Segoe UI" w:hAnsi="Segoe UI" w:cs="Segoe UI"/>
          <w:sz w:val="22"/>
          <w:szCs w:val="22"/>
        </w:rPr>
        <w:t>in</w:t>
      </w:r>
      <w:r w:rsidRPr="00C674C7">
        <w:rPr>
          <w:rFonts w:ascii="Segoe UI" w:hAnsi="Segoe UI" w:cs="Segoe UI"/>
          <w:sz w:val="22"/>
          <w:szCs w:val="22"/>
        </w:rPr>
        <w:t xml:space="preserve"> the current framework. We acknowledge </w:t>
      </w:r>
      <w:r w:rsidR="003E7BC5">
        <w:rPr>
          <w:rFonts w:ascii="Segoe UI" w:hAnsi="Segoe UI" w:cs="Segoe UI"/>
          <w:sz w:val="22"/>
          <w:szCs w:val="22"/>
        </w:rPr>
        <w:t>this</w:t>
      </w:r>
      <w:r w:rsidRPr="00C674C7">
        <w:rPr>
          <w:rFonts w:ascii="Segoe UI" w:hAnsi="Segoe UI" w:cs="Segoe UI"/>
          <w:sz w:val="22"/>
          <w:szCs w:val="22"/>
        </w:rPr>
        <w:t xml:space="preserve"> </w:t>
      </w:r>
      <w:r>
        <w:rPr>
          <w:rFonts w:ascii="Segoe UI" w:hAnsi="Segoe UI" w:cs="Segoe UI"/>
          <w:sz w:val="22"/>
          <w:szCs w:val="22"/>
        </w:rPr>
        <w:t xml:space="preserve">as a very clear </w:t>
      </w:r>
      <w:r w:rsidRPr="00C674C7">
        <w:rPr>
          <w:rFonts w:ascii="Segoe UI" w:hAnsi="Segoe UI" w:cs="Segoe UI"/>
          <w:sz w:val="22"/>
          <w:szCs w:val="22"/>
        </w:rPr>
        <w:t xml:space="preserve">statement </w:t>
      </w:r>
      <w:r>
        <w:rPr>
          <w:rFonts w:ascii="Segoe UI" w:hAnsi="Segoe UI" w:cs="Segoe UI"/>
          <w:sz w:val="22"/>
          <w:szCs w:val="22"/>
        </w:rPr>
        <w:t>of concern with the current arrangements.</w:t>
      </w:r>
    </w:p>
    <w:p w14:paraId="1B9747E7" w14:textId="77777777" w:rsidR="00DF224C" w:rsidRDefault="00DF224C" w:rsidP="00DF224C">
      <w:pPr>
        <w:spacing w:line="276" w:lineRule="auto"/>
        <w:jc w:val="both"/>
        <w:rPr>
          <w:rFonts w:ascii="Segoe UI" w:hAnsi="Segoe UI" w:cs="Segoe UI"/>
          <w:sz w:val="22"/>
          <w:szCs w:val="22"/>
        </w:rPr>
      </w:pPr>
    </w:p>
    <w:p w14:paraId="15AE23AA" w14:textId="77777777" w:rsidR="00DF224C" w:rsidRPr="00E41D7D" w:rsidRDefault="00DF224C" w:rsidP="00DF224C">
      <w:pPr>
        <w:spacing w:line="276" w:lineRule="auto"/>
        <w:jc w:val="both"/>
        <w:rPr>
          <w:rFonts w:ascii="Segoe UI" w:hAnsi="Segoe UI" w:cs="Segoe UI"/>
          <w:sz w:val="22"/>
          <w:szCs w:val="22"/>
        </w:rPr>
      </w:pPr>
      <w:r>
        <w:rPr>
          <w:rFonts w:ascii="Segoe UI" w:hAnsi="Segoe UI" w:cs="Segoe UI"/>
          <w:sz w:val="22"/>
          <w:szCs w:val="22"/>
        </w:rPr>
        <w:t>Recommendation 17 of the FSI final report stated: “</w:t>
      </w:r>
      <w:r w:rsidRPr="003E3FD5">
        <w:rPr>
          <w:rFonts w:ascii="Segoe UI" w:hAnsi="Segoe UI" w:cs="Segoe UI"/>
          <w:sz w:val="22"/>
          <w:szCs w:val="22"/>
        </w:rPr>
        <w:t xml:space="preserve">Improve interchange fee regulation by clarifying thresholds for when they apply, broadening the range of fees and payments they </w:t>
      </w:r>
      <w:r w:rsidRPr="00E41D7D">
        <w:rPr>
          <w:rFonts w:ascii="Segoe UI" w:hAnsi="Segoe UI" w:cs="Segoe UI"/>
          <w:sz w:val="22"/>
          <w:szCs w:val="22"/>
        </w:rPr>
        <w:t xml:space="preserve">apply to, and lowering interchange fees.” In the context of the present RBA Review we will address the later suggestion in relation to interchange levels in Chapter 3 below. In relation to the level-playing field issue, the FSI paper went on to detail </w:t>
      </w:r>
      <w:r>
        <w:rPr>
          <w:rFonts w:ascii="Segoe UI" w:hAnsi="Segoe UI" w:cs="Segoe UI"/>
          <w:sz w:val="22"/>
          <w:szCs w:val="22"/>
        </w:rPr>
        <w:t>two relevant sub-concepts,</w:t>
      </w:r>
      <w:r w:rsidRPr="00E41D7D">
        <w:rPr>
          <w:rFonts w:ascii="Segoe UI" w:hAnsi="Segoe UI" w:cs="Segoe UI"/>
          <w:sz w:val="22"/>
          <w:szCs w:val="22"/>
        </w:rPr>
        <w:t xml:space="preserve"> namely:</w:t>
      </w:r>
    </w:p>
    <w:p w14:paraId="549AF3D1" w14:textId="77777777" w:rsidR="00DF224C" w:rsidRPr="00E41D7D" w:rsidRDefault="00DF224C" w:rsidP="00DF224C">
      <w:pPr>
        <w:jc w:val="both"/>
        <w:rPr>
          <w:rFonts w:ascii="Segoe UI" w:hAnsi="Segoe UI" w:cs="Segoe UI"/>
          <w:sz w:val="22"/>
          <w:szCs w:val="22"/>
        </w:rPr>
      </w:pPr>
    </w:p>
    <w:p w14:paraId="57888891" w14:textId="77777777" w:rsidR="00DF224C" w:rsidRPr="00B21569" w:rsidRDefault="00DF224C" w:rsidP="00B21569">
      <w:pPr>
        <w:pStyle w:val="ListParagraph"/>
        <w:numPr>
          <w:ilvl w:val="0"/>
          <w:numId w:val="18"/>
        </w:numPr>
        <w:ind w:right="720"/>
        <w:jc w:val="both"/>
        <w:rPr>
          <w:rFonts w:ascii="Segoe UI" w:hAnsi="Segoe UI" w:cs="Segoe UI"/>
          <w:sz w:val="22"/>
          <w:szCs w:val="22"/>
        </w:rPr>
      </w:pPr>
      <w:r w:rsidRPr="00B21569">
        <w:rPr>
          <w:rFonts w:ascii="Segoe UI" w:eastAsia="Calibri" w:hAnsi="Segoe UI" w:cs="Segoe UI"/>
          <w:kern w:val="24"/>
          <w:sz w:val="22"/>
          <w:szCs w:val="22"/>
        </w:rPr>
        <w:t>Publish thresholds for determining which system providers will be regulated, possibly based on a combination of annual transactions values and market share; and</w:t>
      </w:r>
    </w:p>
    <w:p w14:paraId="2BEC153E" w14:textId="77777777" w:rsidR="00DF224C" w:rsidRPr="00E41D7D" w:rsidRDefault="00DF224C" w:rsidP="00B21569">
      <w:pPr>
        <w:pStyle w:val="ListParagraph"/>
        <w:jc w:val="both"/>
        <w:rPr>
          <w:rFonts w:ascii="Segoe UI" w:hAnsi="Segoe UI" w:cs="Segoe UI"/>
          <w:sz w:val="22"/>
          <w:szCs w:val="22"/>
        </w:rPr>
      </w:pPr>
    </w:p>
    <w:p w14:paraId="1AF7BAF3" w14:textId="77777777" w:rsidR="00DF224C" w:rsidRPr="00B21569" w:rsidRDefault="00DF224C" w:rsidP="00B21569">
      <w:pPr>
        <w:pStyle w:val="ListParagraph"/>
        <w:numPr>
          <w:ilvl w:val="0"/>
          <w:numId w:val="18"/>
        </w:numPr>
        <w:ind w:right="720"/>
        <w:jc w:val="both"/>
        <w:rPr>
          <w:rFonts w:ascii="Segoe UI" w:hAnsi="Segoe UI" w:cs="Segoe UI"/>
          <w:sz w:val="22"/>
          <w:szCs w:val="22"/>
        </w:rPr>
      </w:pPr>
      <w:r w:rsidRPr="00B21569">
        <w:rPr>
          <w:rFonts w:ascii="Segoe UI" w:eastAsia="Calibri" w:hAnsi="Segoe UI" w:cs="Segoe UI"/>
          <w:kern w:val="24"/>
          <w:sz w:val="22"/>
          <w:szCs w:val="22"/>
        </w:rPr>
        <w:lastRenderedPageBreak/>
        <w:t>Broadening interchange fee caps to include all amounts paid to customer service providers in payment systems including service fees in companion card system.</w:t>
      </w:r>
    </w:p>
    <w:p w14:paraId="2CCBC46F" w14:textId="77777777" w:rsidR="00DF224C" w:rsidRPr="00E41D7D" w:rsidRDefault="00DF224C" w:rsidP="00DF224C">
      <w:pPr>
        <w:jc w:val="both"/>
        <w:rPr>
          <w:rFonts w:ascii="Segoe UI" w:hAnsi="Segoe UI" w:cs="Segoe UI"/>
          <w:sz w:val="22"/>
          <w:szCs w:val="22"/>
        </w:rPr>
      </w:pPr>
    </w:p>
    <w:p w14:paraId="203BAD18" w14:textId="77777777" w:rsidR="00DF224C" w:rsidRDefault="00DF224C" w:rsidP="00DF224C">
      <w:pPr>
        <w:spacing w:line="276" w:lineRule="auto"/>
        <w:jc w:val="both"/>
        <w:rPr>
          <w:rFonts w:ascii="Segoe UI" w:hAnsi="Segoe UI" w:cs="Segoe UI"/>
          <w:sz w:val="22"/>
          <w:szCs w:val="22"/>
        </w:rPr>
      </w:pPr>
      <w:r>
        <w:rPr>
          <w:rFonts w:ascii="Segoe UI" w:hAnsi="Segoe UI" w:cs="Segoe UI"/>
          <w:sz w:val="22"/>
          <w:szCs w:val="22"/>
        </w:rPr>
        <w:t>These issues have been further elaborated in the RBA Issues Paper under the heading “Competitive Neutrality and Companion Cards” (pp. 32-33). We firmly agree with the RBA’s statement that:</w:t>
      </w:r>
    </w:p>
    <w:p w14:paraId="2C6C323C" w14:textId="77777777" w:rsidR="00DF224C" w:rsidRDefault="00DF224C" w:rsidP="00DF224C">
      <w:pPr>
        <w:jc w:val="both"/>
        <w:rPr>
          <w:rFonts w:ascii="Segoe UI" w:hAnsi="Segoe UI" w:cs="Segoe UI"/>
          <w:sz w:val="22"/>
          <w:szCs w:val="22"/>
        </w:rPr>
      </w:pPr>
    </w:p>
    <w:p w14:paraId="4DCFEA55" w14:textId="77777777" w:rsidR="00DF224C" w:rsidRPr="00554A43" w:rsidRDefault="00DF224C" w:rsidP="00DF224C">
      <w:pPr>
        <w:ind w:left="720" w:right="720"/>
        <w:jc w:val="both"/>
        <w:rPr>
          <w:rFonts w:ascii="Segoe UI" w:hAnsi="Segoe UI" w:cs="Segoe UI"/>
          <w:sz w:val="22"/>
          <w:szCs w:val="22"/>
        </w:rPr>
      </w:pPr>
      <w:r w:rsidRPr="00554A43">
        <w:rPr>
          <w:rFonts w:ascii="Segoe UI" w:hAnsi="Segoe UI" w:cs="Segoe UI"/>
          <w:sz w:val="22"/>
          <w:szCs w:val="22"/>
        </w:rPr>
        <w:t>“The emergence of American Express companion card arrangements is likely to have led to an increase in the overall issuance of American Express cards and increased the average number of credit cards consumers hold. This may have adversely affected the competitive position of other card schemes… there has been increase in the share of American Express and Diners in the credit and charge card over the past decade” (p</w:t>
      </w:r>
      <w:r>
        <w:rPr>
          <w:rFonts w:ascii="Segoe UI" w:hAnsi="Segoe UI" w:cs="Segoe UI"/>
          <w:sz w:val="22"/>
          <w:szCs w:val="22"/>
        </w:rPr>
        <w:t xml:space="preserve">p. </w:t>
      </w:r>
      <w:r w:rsidRPr="00554A43">
        <w:rPr>
          <w:rFonts w:ascii="Segoe UI" w:hAnsi="Segoe UI" w:cs="Segoe UI"/>
          <w:sz w:val="22"/>
          <w:szCs w:val="22"/>
        </w:rPr>
        <w:t>32-33)</w:t>
      </w:r>
      <w:r w:rsidR="00DE7F36">
        <w:rPr>
          <w:rFonts w:ascii="Segoe UI" w:hAnsi="Segoe UI" w:cs="Segoe UI"/>
          <w:sz w:val="22"/>
          <w:szCs w:val="22"/>
        </w:rPr>
        <w:t>.</w:t>
      </w:r>
    </w:p>
    <w:p w14:paraId="3C5DA41C" w14:textId="77777777" w:rsidR="00DF224C" w:rsidRDefault="00DF224C" w:rsidP="00DF224C">
      <w:pPr>
        <w:spacing w:line="276" w:lineRule="auto"/>
        <w:jc w:val="both"/>
        <w:rPr>
          <w:rFonts w:ascii="Segoe UI" w:hAnsi="Segoe UI" w:cs="Segoe UI"/>
          <w:sz w:val="22"/>
          <w:szCs w:val="22"/>
        </w:rPr>
      </w:pPr>
    </w:p>
    <w:p w14:paraId="6F6D88DB" w14:textId="77777777" w:rsidR="00DF224C" w:rsidRDefault="00DF224C" w:rsidP="00DF224C">
      <w:pPr>
        <w:spacing w:line="276" w:lineRule="auto"/>
        <w:jc w:val="both"/>
        <w:rPr>
          <w:rFonts w:ascii="Segoe UI" w:hAnsi="Segoe UI" w:cs="Segoe UI"/>
          <w:sz w:val="22"/>
          <w:szCs w:val="22"/>
        </w:rPr>
      </w:pPr>
      <w:r>
        <w:rPr>
          <w:rFonts w:ascii="Segoe UI" w:hAnsi="Segoe UI" w:cs="Segoe UI"/>
          <w:sz w:val="22"/>
          <w:szCs w:val="22"/>
        </w:rPr>
        <w:t>The lack of competitive neutrality has had a negative impact on payment system end-users.  Deloitte Access Economics reviewed the economic impact associated with the market share rise of companion cards. Using RBA data, Deloitte Access Economics assessed each of the following:</w:t>
      </w:r>
    </w:p>
    <w:p w14:paraId="58282CB9" w14:textId="77777777" w:rsidR="00DF224C" w:rsidRDefault="00DF224C" w:rsidP="00DF224C">
      <w:pPr>
        <w:jc w:val="both"/>
        <w:rPr>
          <w:rFonts w:ascii="Segoe UI" w:hAnsi="Segoe UI" w:cs="Segoe UI"/>
          <w:sz w:val="22"/>
          <w:szCs w:val="22"/>
        </w:rPr>
      </w:pPr>
    </w:p>
    <w:p w14:paraId="18489618" w14:textId="77777777" w:rsidR="00DF224C" w:rsidRDefault="00DF224C" w:rsidP="001F01BB">
      <w:pPr>
        <w:pStyle w:val="ListParagraph"/>
        <w:numPr>
          <w:ilvl w:val="0"/>
          <w:numId w:val="2"/>
        </w:numPr>
        <w:spacing w:after="120"/>
        <w:ind w:left="714" w:hanging="357"/>
        <w:contextualSpacing w:val="0"/>
        <w:jc w:val="both"/>
        <w:rPr>
          <w:rFonts w:ascii="Segoe UI" w:hAnsi="Segoe UI" w:cs="Segoe UI"/>
          <w:sz w:val="22"/>
          <w:szCs w:val="22"/>
        </w:rPr>
      </w:pPr>
      <w:r>
        <w:rPr>
          <w:rFonts w:ascii="Segoe UI" w:hAnsi="Segoe UI" w:cs="Segoe UI"/>
          <w:sz w:val="22"/>
          <w:szCs w:val="22"/>
        </w:rPr>
        <w:t>The rise in the proprietary four-party schemes’ market share (by value, measured in percentages) over the period;</w:t>
      </w:r>
    </w:p>
    <w:p w14:paraId="33B2C4E0" w14:textId="77777777" w:rsidR="00DF224C" w:rsidRDefault="00DF224C" w:rsidP="001F01BB">
      <w:pPr>
        <w:pStyle w:val="ListParagraph"/>
        <w:numPr>
          <w:ilvl w:val="0"/>
          <w:numId w:val="2"/>
        </w:numPr>
        <w:spacing w:after="120"/>
        <w:ind w:left="714" w:hanging="357"/>
        <w:contextualSpacing w:val="0"/>
        <w:jc w:val="both"/>
        <w:rPr>
          <w:rFonts w:ascii="Segoe UI" w:hAnsi="Segoe UI" w:cs="Segoe UI"/>
          <w:sz w:val="22"/>
          <w:szCs w:val="22"/>
        </w:rPr>
      </w:pPr>
      <w:r>
        <w:rPr>
          <w:rFonts w:ascii="Segoe UI" w:hAnsi="Segoe UI" w:cs="Segoe UI"/>
          <w:sz w:val="22"/>
          <w:szCs w:val="22"/>
        </w:rPr>
        <w:t>The difference in merchant service fees between the regulated four-party schemes and the unregulated  schemes (proxied by American Express); and</w:t>
      </w:r>
    </w:p>
    <w:p w14:paraId="6C379B04" w14:textId="77777777" w:rsidR="00DF224C" w:rsidRDefault="00DF224C" w:rsidP="001F01BB">
      <w:pPr>
        <w:pStyle w:val="ListParagraph"/>
        <w:numPr>
          <w:ilvl w:val="0"/>
          <w:numId w:val="2"/>
        </w:numPr>
        <w:spacing w:after="120"/>
        <w:ind w:left="714" w:hanging="357"/>
        <w:contextualSpacing w:val="0"/>
        <w:jc w:val="both"/>
        <w:rPr>
          <w:rFonts w:ascii="Segoe UI" w:hAnsi="Segoe UI" w:cs="Segoe UI"/>
          <w:sz w:val="22"/>
          <w:szCs w:val="22"/>
        </w:rPr>
      </w:pPr>
      <w:r>
        <w:rPr>
          <w:rFonts w:ascii="Segoe UI" w:hAnsi="Segoe UI" w:cs="Segoe UI"/>
          <w:sz w:val="22"/>
          <w:szCs w:val="22"/>
        </w:rPr>
        <w:t xml:space="preserve">Total purchase value. </w:t>
      </w:r>
    </w:p>
    <w:p w14:paraId="2C42D9E5" w14:textId="77777777" w:rsidR="00DF224C" w:rsidRDefault="00DF224C" w:rsidP="00DF224C">
      <w:pPr>
        <w:jc w:val="both"/>
        <w:rPr>
          <w:rFonts w:ascii="Segoe UI" w:hAnsi="Segoe UI" w:cs="Segoe UI"/>
          <w:sz w:val="22"/>
          <w:szCs w:val="22"/>
        </w:rPr>
      </w:pPr>
    </w:p>
    <w:p w14:paraId="1BAE0055" w14:textId="295DD8EB" w:rsidR="00DF224C" w:rsidRDefault="00DF224C" w:rsidP="00DF224C">
      <w:pPr>
        <w:spacing w:line="276" w:lineRule="auto"/>
        <w:jc w:val="both"/>
        <w:rPr>
          <w:rFonts w:ascii="Segoe UI" w:hAnsi="Segoe UI" w:cs="Segoe UI"/>
          <w:sz w:val="22"/>
          <w:szCs w:val="22"/>
        </w:rPr>
      </w:pPr>
      <w:r>
        <w:rPr>
          <w:rFonts w:ascii="Segoe UI" w:hAnsi="Segoe UI" w:cs="Segoe UI"/>
          <w:sz w:val="22"/>
          <w:szCs w:val="22"/>
        </w:rPr>
        <w:t xml:space="preserve">This research found that the uneven playing field has cost </w:t>
      </w:r>
      <w:r w:rsidRPr="00C674C7">
        <w:rPr>
          <w:rFonts w:ascii="Segoe UI" w:hAnsi="Segoe UI" w:cs="Segoe UI"/>
          <w:sz w:val="22"/>
          <w:szCs w:val="22"/>
        </w:rPr>
        <w:t>Australian</w:t>
      </w:r>
      <w:r>
        <w:rPr>
          <w:rFonts w:ascii="Segoe UI" w:hAnsi="Segoe UI" w:cs="Segoe UI"/>
          <w:sz w:val="22"/>
          <w:szCs w:val="22"/>
        </w:rPr>
        <w:t xml:space="preserve"> payment system</w:t>
      </w:r>
      <w:r w:rsidRPr="00C674C7">
        <w:rPr>
          <w:rFonts w:ascii="Segoe UI" w:hAnsi="Segoe UI" w:cs="Segoe UI"/>
          <w:sz w:val="22"/>
          <w:szCs w:val="22"/>
        </w:rPr>
        <w:t xml:space="preserve"> </w:t>
      </w:r>
      <w:r>
        <w:rPr>
          <w:rFonts w:ascii="Segoe UI" w:hAnsi="Segoe UI" w:cs="Segoe UI"/>
          <w:sz w:val="22"/>
          <w:szCs w:val="22"/>
        </w:rPr>
        <w:t>end-users</w:t>
      </w:r>
      <w:r w:rsidR="001F01BB">
        <w:rPr>
          <w:rFonts w:ascii="Segoe UI" w:hAnsi="Segoe UI" w:cs="Segoe UI"/>
          <w:sz w:val="22"/>
          <w:szCs w:val="22"/>
        </w:rPr>
        <w:t xml:space="preserve"> A$770</w:t>
      </w:r>
      <w:r w:rsidR="00E708C8">
        <w:rPr>
          <w:rFonts w:ascii="Segoe UI" w:hAnsi="Segoe UI" w:cs="Segoe UI"/>
          <w:sz w:val="22"/>
          <w:szCs w:val="22"/>
        </w:rPr>
        <w:t xml:space="preserve"> </w:t>
      </w:r>
      <w:r w:rsidRPr="00C674C7">
        <w:rPr>
          <w:rFonts w:ascii="Segoe UI" w:hAnsi="Segoe UI" w:cs="Segoe UI"/>
          <w:sz w:val="22"/>
          <w:szCs w:val="22"/>
        </w:rPr>
        <w:t xml:space="preserve">million </w:t>
      </w:r>
      <w:r>
        <w:rPr>
          <w:rFonts w:ascii="Segoe UI" w:hAnsi="Segoe UI" w:cs="Segoe UI"/>
          <w:sz w:val="22"/>
          <w:szCs w:val="22"/>
        </w:rPr>
        <w:t xml:space="preserve">(in 2013 dollars) </w:t>
      </w:r>
      <w:r w:rsidRPr="00C674C7">
        <w:rPr>
          <w:rFonts w:ascii="Segoe UI" w:hAnsi="Segoe UI" w:cs="Segoe UI"/>
          <w:sz w:val="22"/>
          <w:szCs w:val="22"/>
        </w:rPr>
        <w:t xml:space="preserve">since the </w:t>
      </w:r>
      <w:r>
        <w:rPr>
          <w:rFonts w:ascii="Segoe UI" w:hAnsi="Segoe UI" w:cs="Segoe UI"/>
          <w:sz w:val="22"/>
          <w:szCs w:val="22"/>
        </w:rPr>
        <w:t xml:space="preserve">regulations were </w:t>
      </w:r>
      <w:r w:rsidRPr="00C674C7">
        <w:rPr>
          <w:rFonts w:ascii="Segoe UI" w:hAnsi="Segoe UI" w:cs="Segoe UI"/>
          <w:sz w:val="22"/>
          <w:szCs w:val="22"/>
        </w:rPr>
        <w:t>first established</w:t>
      </w:r>
      <w:r>
        <w:rPr>
          <w:rFonts w:ascii="Segoe UI" w:hAnsi="Segoe UI" w:cs="Segoe UI"/>
          <w:sz w:val="22"/>
          <w:szCs w:val="22"/>
        </w:rPr>
        <w:t xml:space="preserve"> and the resultant higher-cost, unregulated cards began entering the Australian market.</w:t>
      </w:r>
      <w:r w:rsidRPr="00C674C7">
        <w:rPr>
          <w:rStyle w:val="FootnoteReference"/>
          <w:rFonts w:ascii="Segoe UI" w:hAnsi="Segoe UI" w:cs="Segoe UI"/>
          <w:sz w:val="22"/>
          <w:szCs w:val="22"/>
        </w:rPr>
        <w:footnoteReference w:id="14"/>
      </w:r>
      <w:r>
        <w:rPr>
          <w:rFonts w:ascii="Segoe UI" w:hAnsi="Segoe UI" w:cs="Segoe UI"/>
          <w:sz w:val="22"/>
          <w:szCs w:val="22"/>
        </w:rPr>
        <w:t xml:space="preserve"> </w:t>
      </w:r>
    </w:p>
    <w:p w14:paraId="7D4F840F" w14:textId="77777777" w:rsidR="00DF224C" w:rsidRDefault="00DF224C" w:rsidP="00DF224C">
      <w:pPr>
        <w:spacing w:line="276" w:lineRule="auto"/>
        <w:jc w:val="both"/>
        <w:rPr>
          <w:rFonts w:ascii="Segoe UI" w:hAnsi="Segoe UI" w:cs="Segoe UI"/>
          <w:sz w:val="22"/>
          <w:szCs w:val="22"/>
        </w:rPr>
      </w:pPr>
    </w:p>
    <w:p w14:paraId="6E8A22B7" w14:textId="77777777" w:rsidR="00DF224C" w:rsidRDefault="00DF224C" w:rsidP="00DF224C">
      <w:pPr>
        <w:spacing w:line="276" w:lineRule="auto"/>
        <w:jc w:val="both"/>
        <w:rPr>
          <w:rFonts w:ascii="Segoe UI" w:hAnsi="Segoe UI" w:cs="Segoe UI"/>
          <w:sz w:val="22"/>
          <w:szCs w:val="22"/>
        </w:rPr>
      </w:pPr>
      <w:r>
        <w:rPr>
          <w:rFonts w:ascii="Segoe UI" w:hAnsi="Segoe UI" w:cs="Segoe UI"/>
          <w:sz w:val="22"/>
          <w:szCs w:val="22"/>
        </w:rPr>
        <w:t>In Visa’s view, the operation of surcharging alone has been ineffective in addressing this market distortion and formal regulation is required. As hybrid four-party schemes have gained market share they have</w:t>
      </w:r>
      <w:r w:rsidR="00A23067">
        <w:rPr>
          <w:rFonts w:ascii="Segoe UI" w:hAnsi="Segoe UI" w:cs="Segoe UI"/>
          <w:sz w:val="22"/>
          <w:szCs w:val="22"/>
        </w:rPr>
        <w:t xml:space="preserve"> </w:t>
      </w:r>
      <w:r>
        <w:rPr>
          <w:rFonts w:ascii="Segoe UI" w:hAnsi="Segoe UI" w:cs="Segoe UI"/>
          <w:sz w:val="22"/>
          <w:szCs w:val="22"/>
        </w:rPr>
        <w:t>gained additional market power that has in turn lead some merchants to conclude that surcharging such schemes differentially and above the surcharge levels imposed on Visa and MasterCard transactions is impossible. This leads to the practice of blended surcharging which dulls any desired price signals.</w:t>
      </w:r>
    </w:p>
    <w:p w14:paraId="4462BCA4" w14:textId="77777777" w:rsidR="00DF224C" w:rsidRDefault="00DF224C" w:rsidP="00DF224C">
      <w:pPr>
        <w:jc w:val="both"/>
        <w:rPr>
          <w:rFonts w:ascii="Segoe UI" w:hAnsi="Segoe UI" w:cs="Segoe UI"/>
          <w:sz w:val="22"/>
          <w:szCs w:val="22"/>
        </w:rPr>
      </w:pPr>
    </w:p>
    <w:p w14:paraId="1AEBCAA7" w14:textId="77777777" w:rsidR="00DF224C" w:rsidRPr="002E4BFB" w:rsidRDefault="00DF224C" w:rsidP="00DF224C">
      <w:pPr>
        <w:jc w:val="both"/>
        <w:rPr>
          <w:rFonts w:ascii="Segoe UI" w:hAnsi="Segoe UI" w:cs="Segoe UI"/>
          <w:sz w:val="22"/>
          <w:szCs w:val="22"/>
        </w:rPr>
      </w:pPr>
    </w:p>
    <w:p w14:paraId="62CA31CC" w14:textId="77777777" w:rsidR="00DF224C" w:rsidRPr="002E4BFB" w:rsidRDefault="00DF224C" w:rsidP="00DF224C">
      <w:pPr>
        <w:keepNext/>
        <w:jc w:val="both"/>
        <w:rPr>
          <w:rFonts w:ascii="Segoe UI" w:hAnsi="Segoe UI" w:cs="Segoe UI"/>
          <w:b/>
          <w:sz w:val="22"/>
          <w:szCs w:val="22"/>
        </w:rPr>
      </w:pPr>
      <w:r w:rsidRPr="002E4BFB">
        <w:rPr>
          <w:rFonts w:ascii="Segoe UI" w:hAnsi="Segoe UI" w:cs="Segoe UI"/>
          <w:b/>
          <w:sz w:val="22"/>
          <w:szCs w:val="22"/>
        </w:rPr>
        <w:lastRenderedPageBreak/>
        <w:t xml:space="preserve">Chart </w:t>
      </w:r>
      <w:r w:rsidR="001F01BB">
        <w:rPr>
          <w:rFonts w:ascii="Segoe UI" w:hAnsi="Segoe UI" w:cs="Segoe UI"/>
          <w:b/>
          <w:sz w:val="22"/>
          <w:szCs w:val="22"/>
        </w:rPr>
        <w:t>2</w:t>
      </w:r>
      <w:r w:rsidRPr="00EC4B6B">
        <w:rPr>
          <w:rFonts w:ascii="Segoe UI" w:hAnsi="Segoe UI" w:cs="Segoe UI"/>
          <w:b/>
          <w:sz w:val="22"/>
          <w:szCs w:val="22"/>
        </w:rPr>
        <w:t>:</w:t>
      </w:r>
      <w:r w:rsidRPr="002E4BFB">
        <w:rPr>
          <w:rFonts w:ascii="Segoe UI" w:hAnsi="Segoe UI" w:cs="Segoe UI"/>
          <w:b/>
          <w:sz w:val="22"/>
          <w:szCs w:val="22"/>
        </w:rPr>
        <w:t xml:space="preserve"> Direct cost to merchants caused by increases in American Express/Diners market share</w:t>
      </w:r>
    </w:p>
    <w:p w14:paraId="01E543BE" w14:textId="77777777" w:rsidR="00DF224C" w:rsidRDefault="00DF224C" w:rsidP="00DF224C">
      <w:pPr>
        <w:keepNext/>
        <w:jc w:val="both"/>
        <w:rPr>
          <w:rFonts w:ascii="Segoe UI" w:hAnsi="Segoe UI" w:cs="Segoe UI"/>
          <w:sz w:val="22"/>
          <w:szCs w:val="22"/>
        </w:rPr>
      </w:pPr>
    </w:p>
    <w:p w14:paraId="53648153" w14:textId="77777777" w:rsidR="00DF224C" w:rsidRPr="002E4BFB" w:rsidRDefault="00DF224C" w:rsidP="00DF224C">
      <w:pPr>
        <w:keepNext/>
        <w:jc w:val="center"/>
        <w:rPr>
          <w:rFonts w:ascii="Segoe UI" w:hAnsi="Segoe UI" w:cs="Segoe UI"/>
          <w:sz w:val="20"/>
          <w:szCs w:val="20"/>
        </w:rPr>
      </w:pPr>
      <w:r>
        <w:rPr>
          <w:rFonts w:ascii="Segoe UI" w:hAnsi="Segoe UI" w:cs="Segoe UI"/>
          <w:noProof/>
          <w:sz w:val="22"/>
          <w:szCs w:val="22"/>
          <w:lang w:val="en-AU" w:eastAsia="en-AU"/>
        </w:rPr>
        <w:drawing>
          <wp:inline distT="0" distB="0" distL="0" distR="0" wp14:anchorId="4C3E0888" wp14:editId="076DA16C">
            <wp:extent cx="5009294" cy="2858755"/>
            <wp:effectExtent l="152400" t="152400" r="363220" b="3613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E chart.PNG"/>
                    <pic:cNvPicPr/>
                  </pic:nvPicPr>
                  <pic:blipFill rotWithShape="1">
                    <a:blip r:embed="rId15">
                      <a:extLst>
                        <a:ext uri="{28A0092B-C50C-407E-A947-70E740481C1C}">
                          <a14:useLocalDpi xmlns:a14="http://schemas.microsoft.com/office/drawing/2010/main" val="0"/>
                        </a:ext>
                      </a:extLst>
                    </a:blip>
                    <a:srcRect l="6447" r="6520"/>
                    <a:stretch/>
                  </pic:blipFill>
                  <pic:spPr bwMode="auto">
                    <a:xfrm>
                      <a:off x="0" y="0"/>
                      <a:ext cx="5009320" cy="285877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r w:rsidRPr="002E4BFB">
        <w:rPr>
          <w:rFonts w:ascii="Segoe UI" w:hAnsi="Segoe UI" w:cs="Segoe UI"/>
          <w:sz w:val="20"/>
          <w:szCs w:val="20"/>
        </w:rPr>
        <w:t>Source: DAE, RBA</w:t>
      </w:r>
    </w:p>
    <w:p w14:paraId="51C23AED" w14:textId="77777777" w:rsidR="00DF224C" w:rsidRDefault="00DF224C" w:rsidP="00DF224C">
      <w:pPr>
        <w:jc w:val="both"/>
        <w:rPr>
          <w:rFonts w:ascii="Segoe UI" w:hAnsi="Segoe UI" w:cs="Segoe UI"/>
          <w:sz w:val="22"/>
          <w:szCs w:val="22"/>
        </w:rPr>
      </w:pPr>
    </w:p>
    <w:p w14:paraId="235B648D" w14:textId="77777777" w:rsidR="00DF224C" w:rsidRDefault="00DF224C" w:rsidP="00DF224C">
      <w:pPr>
        <w:jc w:val="both"/>
        <w:rPr>
          <w:rFonts w:ascii="Segoe UI" w:hAnsi="Segoe UI" w:cs="Segoe UI"/>
          <w:sz w:val="22"/>
          <w:szCs w:val="22"/>
        </w:rPr>
      </w:pPr>
    </w:p>
    <w:p w14:paraId="042D2F85" w14:textId="77777777" w:rsidR="00DF224C" w:rsidRDefault="00DF224C" w:rsidP="00DF224C">
      <w:pPr>
        <w:spacing w:line="276" w:lineRule="auto"/>
        <w:jc w:val="both"/>
        <w:rPr>
          <w:rFonts w:ascii="Segoe UI" w:hAnsi="Segoe UI" w:cs="Segoe UI"/>
          <w:sz w:val="22"/>
          <w:szCs w:val="22"/>
        </w:rPr>
      </w:pPr>
      <w:r>
        <w:rPr>
          <w:rFonts w:ascii="Segoe UI" w:hAnsi="Segoe UI" w:cs="Segoe UI"/>
          <w:sz w:val="22"/>
          <w:szCs w:val="22"/>
        </w:rPr>
        <w:t>The RBA Issues Paper goes on to ask for feedback on two specific issues, similar to those determined by the FSI in its final report, namely:</w:t>
      </w:r>
    </w:p>
    <w:p w14:paraId="5484C0EE" w14:textId="77777777" w:rsidR="00DF224C" w:rsidRDefault="00DF224C" w:rsidP="00DF224C">
      <w:pPr>
        <w:jc w:val="both"/>
        <w:rPr>
          <w:rFonts w:ascii="Segoe UI" w:hAnsi="Segoe UI" w:cs="Segoe UI"/>
          <w:sz w:val="22"/>
          <w:szCs w:val="22"/>
        </w:rPr>
      </w:pPr>
    </w:p>
    <w:p w14:paraId="03EA4C79" w14:textId="77777777" w:rsidR="00DF224C" w:rsidRPr="00112D6E" w:rsidRDefault="00DF224C" w:rsidP="008B578E">
      <w:pPr>
        <w:pStyle w:val="ListParagraph"/>
        <w:numPr>
          <w:ilvl w:val="0"/>
          <w:numId w:val="7"/>
        </w:numPr>
        <w:tabs>
          <w:tab w:val="left" w:pos="9356"/>
        </w:tabs>
        <w:ind w:right="4"/>
        <w:jc w:val="both"/>
        <w:rPr>
          <w:rFonts w:ascii="Segoe UI" w:hAnsi="Segoe UI" w:cs="Segoe UI"/>
          <w:sz w:val="22"/>
          <w:szCs w:val="22"/>
        </w:rPr>
      </w:pPr>
      <w:r w:rsidRPr="00112D6E">
        <w:rPr>
          <w:rFonts w:ascii="Segoe UI" w:hAnsi="Segoe UI" w:cs="Segoe UI"/>
          <w:sz w:val="22"/>
          <w:szCs w:val="22"/>
        </w:rPr>
        <w:t>Publishing thresholds for which payment system providers will be subject to interchange or related regulation, possibly based on transaction values and/or market shares, noting the growth and size of American Express and PayPal and the introduction of UnionPay, amongst others; and</w:t>
      </w:r>
    </w:p>
    <w:p w14:paraId="4E84618C" w14:textId="77777777" w:rsidR="00DF224C" w:rsidRDefault="00DF224C" w:rsidP="008B578E">
      <w:pPr>
        <w:pStyle w:val="ListParagraph"/>
        <w:tabs>
          <w:tab w:val="left" w:pos="9356"/>
        </w:tabs>
        <w:ind w:right="4"/>
        <w:jc w:val="both"/>
        <w:rPr>
          <w:rFonts w:ascii="Segoe UI" w:hAnsi="Segoe UI" w:cs="Segoe UI"/>
          <w:sz w:val="22"/>
          <w:szCs w:val="22"/>
        </w:rPr>
      </w:pPr>
    </w:p>
    <w:p w14:paraId="479F1C6A" w14:textId="77777777" w:rsidR="00DF224C" w:rsidRPr="00112D6E" w:rsidRDefault="00DF224C" w:rsidP="008B578E">
      <w:pPr>
        <w:pStyle w:val="ListParagraph"/>
        <w:numPr>
          <w:ilvl w:val="0"/>
          <w:numId w:val="7"/>
        </w:numPr>
        <w:tabs>
          <w:tab w:val="left" w:pos="9356"/>
        </w:tabs>
        <w:ind w:right="4"/>
        <w:jc w:val="both"/>
        <w:rPr>
          <w:rFonts w:ascii="Segoe UI" w:hAnsi="Segoe UI" w:cs="Segoe UI"/>
          <w:sz w:val="22"/>
          <w:szCs w:val="22"/>
        </w:rPr>
      </w:pPr>
      <w:r w:rsidRPr="00112D6E">
        <w:rPr>
          <w:rFonts w:ascii="Segoe UI" w:hAnsi="Segoe UI" w:cs="Segoe UI"/>
          <w:sz w:val="22"/>
          <w:szCs w:val="22"/>
        </w:rPr>
        <w:t>Broadening interchange fee caps to include payments between schemes and issuers such as marketing fees, sign-on fees, incentive fee and rebates that are present in four party and three party schemes.</w:t>
      </w:r>
    </w:p>
    <w:p w14:paraId="3E11DF35" w14:textId="77777777" w:rsidR="00DF224C" w:rsidRDefault="00DF224C" w:rsidP="00DF224C">
      <w:pPr>
        <w:jc w:val="both"/>
        <w:rPr>
          <w:rFonts w:ascii="Segoe UI" w:hAnsi="Segoe UI" w:cs="Segoe UI"/>
          <w:sz w:val="22"/>
          <w:szCs w:val="22"/>
        </w:rPr>
      </w:pPr>
    </w:p>
    <w:p w14:paraId="4EACBFC8" w14:textId="77777777" w:rsidR="00DF224C" w:rsidRDefault="00DF224C" w:rsidP="00DF224C">
      <w:pPr>
        <w:jc w:val="both"/>
        <w:rPr>
          <w:rFonts w:ascii="Segoe UI" w:hAnsi="Segoe UI" w:cs="Segoe UI"/>
          <w:sz w:val="22"/>
          <w:szCs w:val="22"/>
        </w:rPr>
      </w:pPr>
      <w:r>
        <w:rPr>
          <w:rFonts w:ascii="Segoe UI" w:hAnsi="Segoe UI" w:cs="Segoe UI"/>
          <w:sz w:val="22"/>
          <w:szCs w:val="22"/>
        </w:rPr>
        <w:t>Both of these issues are addressed below.</w:t>
      </w:r>
    </w:p>
    <w:p w14:paraId="54463917" w14:textId="77777777" w:rsidR="00DF224C" w:rsidRPr="00C674C7" w:rsidRDefault="00DF224C" w:rsidP="00DF224C">
      <w:pPr>
        <w:pStyle w:val="Heading2"/>
        <w:numPr>
          <w:ilvl w:val="1"/>
          <w:numId w:val="5"/>
        </w:numPr>
        <w:ind w:left="567" w:hanging="567"/>
        <w:rPr>
          <w:rFonts w:ascii="Segoe UI" w:hAnsi="Segoe UI" w:cs="Segoe UI"/>
        </w:rPr>
      </w:pPr>
      <w:bookmarkStart w:id="17" w:name="_Toc417303926"/>
      <w:bookmarkStart w:id="18" w:name="_Toc417572683"/>
      <w:r>
        <w:rPr>
          <w:rFonts w:ascii="Segoe UI" w:hAnsi="Segoe UI" w:cs="Segoe UI"/>
        </w:rPr>
        <w:t>Publishing thresholds</w:t>
      </w:r>
      <w:bookmarkEnd w:id="17"/>
      <w:bookmarkEnd w:id="18"/>
    </w:p>
    <w:p w14:paraId="2509149A" w14:textId="77777777" w:rsidR="00DF224C" w:rsidRDefault="00DF224C" w:rsidP="00DF224C">
      <w:pPr>
        <w:tabs>
          <w:tab w:val="left" w:pos="3360"/>
        </w:tabs>
        <w:jc w:val="both"/>
        <w:rPr>
          <w:rFonts w:ascii="Segoe UI" w:hAnsi="Segoe UI" w:cs="Segoe UI"/>
          <w:bCs/>
        </w:rPr>
      </w:pPr>
    </w:p>
    <w:p w14:paraId="68682B57" w14:textId="0B2F65F9" w:rsidR="00DF224C" w:rsidRDefault="00DF224C" w:rsidP="00DF224C">
      <w:pPr>
        <w:tabs>
          <w:tab w:val="left" w:pos="3360"/>
        </w:tabs>
        <w:spacing w:line="276" w:lineRule="auto"/>
        <w:jc w:val="both"/>
        <w:rPr>
          <w:rFonts w:ascii="Segoe UI" w:hAnsi="Segoe UI" w:cs="Segoe UI"/>
          <w:bCs/>
          <w:sz w:val="22"/>
          <w:szCs w:val="22"/>
        </w:rPr>
      </w:pPr>
      <w:r>
        <w:rPr>
          <w:rFonts w:ascii="Segoe UI" w:hAnsi="Segoe UI" w:cs="Segoe UI"/>
          <w:bCs/>
          <w:sz w:val="22"/>
          <w:szCs w:val="22"/>
        </w:rPr>
        <w:t xml:space="preserve">As outlined in our FSI and Post-FSI Treasury submissions, Visa believes a legislative response that reforms the </w:t>
      </w:r>
      <w:r w:rsidRPr="00646816">
        <w:rPr>
          <w:rFonts w:ascii="Segoe UI" w:hAnsi="Segoe UI" w:cs="Segoe UI"/>
          <w:bCs/>
          <w:i/>
          <w:sz w:val="22"/>
          <w:szCs w:val="22"/>
        </w:rPr>
        <w:t>Payment System (Regulation) Act 1998</w:t>
      </w:r>
      <w:r>
        <w:rPr>
          <w:rFonts w:ascii="Segoe UI" w:hAnsi="Segoe UI" w:cs="Segoe UI"/>
          <w:bCs/>
          <w:sz w:val="22"/>
          <w:szCs w:val="22"/>
        </w:rPr>
        <w:t xml:space="preserve"> (PSRA) is </w:t>
      </w:r>
      <w:r w:rsidR="003E7BC5">
        <w:rPr>
          <w:rFonts w:ascii="Segoe UI" w:hAnsi="Segoe UI" w:cs="Segoe UI"/>
          <w:bCs/>
          <w:sz w:val="22"/>
          <w:szCs w:val="22"/>
        </w:rPr>
        <w:t xml:space="preserve">a </w:t>
      </w:r>
      <w:r w:rsidR="00DD46F3">
        <w:rPr>
          <w:rFonts w:ascii="Segoe UI" w:hAnsi="Segoe UI" w:cs="Segoe UI"/>
          <w:bCs/>
          <w:sz w:val="22"/>
          <w:szCs w:val="22"/>
        </w:rPr>
        <w:t>more appropriate long-</w:t>
      </w:r>
      <w:r w:rsidR="00193F12">
        <w:rPr>
          <w:rFonts w:ascii="Segoe UI" w:hAnsi="Segoe UI" w:cs="Segoe UI"/>
          <w:bCs/>
          <w:sz w:val="22"/>
          <w:szCs w:val="22"/>
        </w:rPr>
        <w:t>term solution</w:t>
      </w:r>
      <w:r>
        <w:rPr>
          <w:rFonts w:ascii="Segoe UI" w:hAnsi="Segoe UI" w:cs="Segoe UI"/>
          <w:bCs/>
          <w:sz w:val="22"/>
          <w:szCs w:val="22"/>
        </w:rPr>
        <w:t xml:space="preserve"> to the unlevel playing field</w:t>
      </w:r>
      <w:r w:rsidR="00DD46F3">
        <w:rPr>
          <w:rFonts w:ascii="Segoe UI" w:hAnsi="Segoe UI" w:cs="Segoe UI"/>
          <w:bCs/>
          <w:sz w:val="22"/>
          <w:szCs w:val="22"/>
        </w:rPr>
        <w:t xml:space="preserve"> issues</w:t>
      </w:r>
      <w:r>
        <w:rPr>
          <w:rFonts w:ascii="Segoe UI" w:hAnsi="Segoe UI" w:cs="Segoe UI"/>
          <w:bCs/>
          <w:sz w:val="22"/>
          <w:szCs w:val="22"/>
        </w:rPr>
        <w:t xml:space="preserve">. </w:t>
      </w:r>
    </w:p>
    <w:p w14:paraId="7F5388CF" w14:textId="77777777" w:rsidR="00DF224C" w:rsidRDefault="00DF224C" w:rsidP="00DF224C">
      <w:pPr>
        <w:tabs>
          <w:tab w:val="left" w:pos="3360"/>
        </w:tabs>
        <w:spacing w:line="276" w:lineRule="auto"/>
        <w:jc w:val="both"/>
        <w:rPr>
          <w:rFonts w:ascii="Segoe UI" w:hAnsi="Segoe UI" w:cs="Segoe UI"/>
          <w:bCs/>
          <w:sz w:val="22"/>
          <w:szCs w:val="22"/>
        </w:rPr>
      </w:pPr>
    </w:p>
    <w:p w14:paraId="42B47618" w14:textId="77777777" w:rsidR="00DF224C" w:rsidRDefault="00DF224C" w:rsidP="00DF224C">
      <w:pPr>
        <w:tabs>
          <w:tab w:val="left" w:pos="3360"/>
        </w:tabs>
        <w:spacing w:line="276" w:lineRule="auto"/>
        <w:jc w:val="both"/>
        <w:rPr>
          <w:rFonts w:ascii="Segoe UI" w:hAnsi="Segoe UI" w:cs="Segoe UI"/>
          <w:bCs/>
          <w:sz w:val="22"/>
          <w:szCs w:val="22"/>
        </w:rPr>
      </w:pPr>
      <w:r>
        <w:rPr>
          <w:rFonts w:ascii="Segoe UI" w:hAnsi="Segoe UI" w:cs="Segoe UI"/>
          <w:bCs/>
          <w:sz w:val="22"/>
          <w:szCs w:val="22"/>
        </w:rPr>
        <w:t xml:space="preserve">However, as the current RBA review is limited to reforms that would be permissible within the present powers of the RBA/PSB, we will limit our response to the questions for </w:t>
      </w:r>
      <w:r>
        <w:rPr>
          <w:rFonts w:ascii="Segoe UI" w:hAnsi="Segoe UI" w:cs="Segoe UI"/>
          <w:bCs/>
          <w:sz w:val="22"/>
          <w:szCs w:val="22"/>
        </w:rPr>
        <w:lastRenderedPageBreak/>
        <w:t>consideration. However, we take this opportunity to again note our preference for amending legislation that would widen the definition of a payment system and put in place an automatic licensing regime for any entity wishing to run such a system, regardless of scheme structure and size.</w:t>
      </w:r>
    </w:p>
    <w:p w14:paraId="20234B2A" w14:textId="77777777" w:rsidR="00DF224C" w:rsidRDefault="00DF224C" w:rsidP="00DF224C">
      <w:pPr>
        <w:tabs>
          <w:tab w:val="left" w:pos="3360"/>
        </w:tabs>
        <w:spacing w:line="276" w:lineRule="auto"/>
        <w:jc w:val="both"/>
        <w:rPr>
          <w:rFonts w:ascii="Segoe UI" w:hAnsi="Segoe UI" w:cs="Segoe UI"/>
          <w:bCs/>
          <w:sz w:val="22"/>
          <w:szCs w:val="22"/>
        </w:rPr>
      </w:pPr>
    </w:p>
    <w:p w14:paraId="050758F0" w14:textId="77777777" w:rsidR="00DF224C" w:rsidRDefault="00DF224C" w:rsidP="00DF224C">
      <w:pPr>
        <w:tabs>
          <w:tab w:val="left" w:pos="3360"/>
        </w:tabs>
        <w:spacing w:line="276" w:lineRule="auto"/>
        <w:jc w:val="both"/>
        <w:rPr>
          <w:rFonts w:ascii="Segoe UI" w:hAnsi="Segoe UI" w:cs="Segoe UI"/>
          <w:bCs/>
          <w:sz w:val="22"/>
          <w:szCs w:val="22"/>
        </w:rPr>
      </w:pPr>
      <w:r>
        <w:rPr>
          <w:rFonts w:ascii="Segoe UI" w:hAnsi="Segoe UI" w:cs="Segoe UI"/>
          <w:bCs/>
          <w:sz w:val="22"/>
          <w:szCs w:val="22"/>
        </w:rPr>
        <w:t>Addressing the RBA’s immediate question, and short of the above legislative solution, we believe both greater clarity and a degree of automaticity could be incorporated into the RBA/PSB decision-making process through the development and implementation of a threshold approach.</w:t>
      </w:r>
    </w:p>
    <w:p w14:paraId="05EB9807" w14:textId="77777777" w:rsidR="00DF224C" w:rsidRDefault="00DF224C" w:rsidP="00DF224C">
      <w:pPr>
        <w:tabs>
          <w:tab w:val="left" w:pos="3360"/>
        </w:tabs>
        <w:spacing w:line="276" w:lineRule="auto"/>
        <w:jc w:val="both"/>
        <w:rPr>
          <w:rFonts w:ascii="Segoe UI" w:hAnsi="Segoe UI" w:cs="Segoe UI"/>
          <w:bCs/>
          <w:sz w:val="22"/>
          <w:szCs w:val="22"/>
        </w:rPr>
      </w:pPr>
    </w:p>
    <w:p w14:paraId="3A33F7CB" w14:textId="77777777" w:rsidR="00DF224C" w:rsidRDefault="00DF224C" w:rsidP="00DF224C">
      <w:pPr>
        <w:tabs>
          <w:tab w:val="left" w:pos="3360"/>
        </w:tabs>
        <w:spacing w:line="276" w:lineRule="auto"/>
        <w:jc w:val="both"/>
        <w:rPr>
          <w:rFonts w:ascii="Segoe UI" w:hAnsi="Segoe UI" w:cs="Segoe UI"/>
          <w:bCs/>
          <w:sz w:val="22"/>
          <w:szCs w:val="22"/>
        </w:rPr>
      </w:pPr>
      <w:r>
        <w:rPr>
          <w:rFonts w:ascii="Segoe UI" w:hAnsi="Segoe UI" w:cs="Segoe UI"/>
          <w:bCs/>
          <w:sz w:val="22"/>
          <w:szCs w:val="22"/>
        </w:rPr>
        <w:t>We would note that to determine the actual effectiveness of such an approach, much would turn on the numerical variables used to define a threshold and the level of any threshold. For example, any threshold structure that didn’t immediately place the American Express four-party hybrid scheme above that threshold would be seen as fundamentally flawed by any fair observer. This is also true of PayPal and American Express proprietary.</w:t>
      </w:r>
    </w:p>
    <w:p w14:paraId="76B609E0" w14:textId="77777777" w:rsidR="00DF224C" w:rsidRDefault="00DF224C" w:rsidP="00DF224C">
      <w:pPr>
        <w:tabs>
          <w:tab w:val="left" w:pos="3360"/>
        </w:tabs>
        <w:spacing w:line="276" w:lineRule="auto"/>
        <w:jc w:val="both"/>
        <w:rPr>
          <w:rFonts w:ascii="Segoe UI" w:hAnsi="Segoe UI" w:cs="Segoe UI"/>
          <w:bCs/>
          <w:sz w:val="22"/>
          <w:szCs w:val="22"/>
        </w:rPr>
      </w:pPr>
    </w:p>
    <w:p w14:paraId="40A5BC21" w14:textId="77777777" w:rsidR="00DF224C" w:rsidRDefault="00DF224C" w:rsidP="00DF224C">
      <w:pPr>
        <w:tabs>
          <w:tab w:val="left" w:pos="3360"/>
        </w:tabs>
        <w:spacing w:line="276" w:lineRule="auto"/>
        <w:jc w:val="both"/>
        <w:rPr>
          <w:rFonts w:ascii="Segoe UI" w:hAnsi="Segoe UI" w:cs="Segoe UI"/>
          <w:bCs/>
          <w:sz w:val="22"/>
          <w:szCs w:val="22"/>
        </w:rPr>
      </w:pPr>
      <w:r>
        <w:rPr>
          <w:rFonts w:ascii="Segoe UI" w:hAnsi="Segoe UI" w:cs="Segoe UI"/>
          <w:bCs/>
          <w:sz w:val="22"/>
          <w:szCs w:val="22"/>
        </w:rPr>
        <w:t xml:space="preserve">Equally this approach would need to rest on automatic application to have efficacy. That is, we see little system benefit in the simple publication of thresholds if the passing of that threshold by a payment scheme didn’t automatically trigger the entry into a level or level-like regulatory environment. </w:t>
      </w:r>
    </w:p>
    <w:p w14:paraId="312F0B3E" w14:textId="77777777" w:rsidR="00DF224C" w:rsidRDefault="00DF224C" w:rsidP="00DF224C">
      <w:pPr>
        <w:tabs>
          <w:tab w:val="left" w:pos="3360"/>
        </w:tabs>
        <w:spacing w:line="276" w:lineRule="auto"/>
        <w:jc w:val="both"/>
        <w:rPr>
          <w:rFonts w:ascii="Segoe UI" w:hAnsi="Segoe UI" w:cs="Segoe UI"/>
          <w:bCs/>
          <w:sz w:val="22"/>
          <w:szCs w:val="22"/>
        </w:rPr>
      </w:pPr>
    </w:p>
    <w:p w14:paraId="74CF0769" w14:textId="77777777" w:rsidR="00DF224C" w:rsidRDefault="00DF224C" w:rsidP="00DF224C">
      <w:pPr>
        <w:tabs>
          <w:tab w:val="left" w:pos="3360"/>
        </w:tabs>
        <w:spacing w:line="276" w:lineRule="auto"/>
        <w:jc w:val="both"/>
        <w:rPr>
          <w:rFonts w:ascii="Segoe UI" w:hAnsi="Segoe UI" w:cs="Segoe UI"/>
          <w:bCs/>
          <w:sz w:val="22"/>
          <w:szCs w:val="22"/>
        </w:rPr>
      </w:pPr>
      <w:r>
        <w:rPr>
          <w:rFonts w:ascii="Segoe UI" w:hAnsi="Segoe UI" w:cs="Segoe UI"/>
          <w:bCs/>
          <w:sz w:val="22"/>
          <w:szCs w:val="22"/>
        </w:rPr>
        <w:t>Finally, it may be appropriate to have multiple and possibly different thresholds for different types of entities. For example, for a four party scheme or hybrid four party scheme, the threshold may utilise market share or transaction volumes, whereas for a payment platform such as PayPal, it may use a different and more appropriate variable. Visa is open to sharing more detailed views on threshold composition issues as part of the ongoing consultation process.</w:t>
      </w:r>
    </w:p>
    <w:p w14:paraId="455C48B2" w14:textId="77777777" w:rsidR="00DF224C" w:rsidRDefault="00DF224C" w:rsidP="00DF224C">
      <w:pPr>
        <w:tabs>
          <w:tab w:val="left" w:pos="3360"/>
        </w:tabs>
        <w:spacing w:line="276" w:lineRule="auto"/>
        <w:jc w:val="both"/>
        <w:rPr>
          <w:rFonts w:ascii="Segoe UI" w:hAnsi="Segoe UI" w:cs="Segoe UI"/>
          <w:bCs/>
          <w:sz w:val="22"/>
          <w:szCs w:val="22"/>
        </w:rPr>
      </w:pPr>
    </w:p>
    <w:p w14:paraId="005DB0C1" w14:textId="77777777" w:rsidR="00DF224C" w:rsidRDefault="00DF224C" w:rsidP="00DF224C">
      <w:pPr>
        <w:tabs>
          <w:tab w:val="left" w:pos="3360"/>
        </w:tabs>
        <w:spacing w:line="276" w:lineRule="auto"/>
        <w:jc w:val="both"/>
        <w:rPr>
          <w:rFonts w:ascii="Segoe UI" w:hAnsi="Segoe UI" w:cs="Segoe UI"/>
          <w:sz w:val="22"/>
          <w:szCs w:val="22"/>
        </w:rPr>
      </w:pPr>
      <w:r>
        <w:rPr>
          <w:rFonts w:ascii="Segoe UI" w:hAnsi="Segoe UI" w:cs="Segoe UI"/>
          <w:bCs/>
          <w:sz w:val="22"/>
          <w:szCs w:val="22"/>
        </w:rPr>
        <w:t>In relation to wider regulatory rules, beyond those related to pricing, we see no basis for applying a threshold approach to the application of rules around surcharging. Our comments below cover our views on surcharging</w:t>
      </w:r>
      <w:r w:rsidR="00DE7F36">
        <w:rPr>
          <w:rFonts w:ascii="Segoe UI" w:hAnsi="Segoe UI" w:cs="Segoe UI"/>
          <w:bCs/>
          <w:sz w:val="22"/>
          <w:szCs w:val="22"/>
        </w:rPr>
        <w:t xml:space="preserve">. We </w:t>
      </w:r>
      <w:r>
        <w:rPr>
          <w:rFonts w:ascii="Segoe UI" w:hAnsi="Segoe UI" w:cs="Segoe UI"/>
          <w:bCs/>
          <w:sz w:val="22"/>
          <w:szCs w:val="22"/>
        </w:rPr>
        <w:t xml:space="preserve">feel that surcharging rules are best applied to cover all schemes. For example, if one type of scheme is required to </w:t>
      </w:r>
      <w:r w:rsidR="003E7BC5">
        <w:rPr>
          <w:rFonts w:ascii="Segoe UI" w:hAnsi="Segoe UI" w:cs="Segoe UI"/>
          <w:bCs/>
          <w:sz w:val="22"/>
          <w:szCs w:val="22"/>
        </w:rPr>
        <w:t xml:space="preserve">Surcharge </w:t>
      </w:r>
      <w:r>
        <w:rPr>
          <w:rFonts w:ascii="Segoe UI" w:hAnsi="Segoe UI" w:cs="Segoe UI"/>
          <w:bCs/>
          <w:sz w:val="22"/>
          <w:szCs w:val="22"/>
        </w:rPr>
        <w:t>then any scheme or payment platform with a No Surcharge Rule should also be required to repeal it.</w:t>
      </w:r>
    </w:p>
    <w:p w14:paraId="255298A8" w14:textId="77777777" w:rsidR="00DF224C" w:rsidRDefault="00DF224C" w:rsidP="00DF224C">
      <w:pPr>
        <w:pStyle w:val="Heading2"/>
        <w:numPr>
          <w:ilvl w:val="1"/>
          <w:numId w:val="5"/>
        </w:numPr>
        <w:ind w:left="720" w:hanging="720"/>
        <w:rPr>
          <w:rFonts w:ascii="Segoe UI" w:hAnsi="Segoe UI" w:cs="Segoe UI"/>
        </w:rPr>
      </w:pPr>
      <w:bookmarkStart w:id="19" w:name="_Toc417303927"/>
      <w:bookmarkStart w:id="20" w:name="_Toc417572684"/>
      <w:r>
        <w:rPr>
          <w:rFonts w:ascii="Segoe UI" w:hAnsi="Segoe UI" w:cs="Segoe UI"/>
        </w:rPr>
        <w:t>Expansion of regulatory net</w:t>
      </w:r>
      <w:bookmarkEnd w:id="19"/>
      <w:bookmarkEnd w:id="20"/>
    </w:p>
    <w:p w14:paraId="6CB735E1" w14:textId="77777777" w:rsidR="00DF224C" w:rsidRPr="00721F32" w:rsidRDefault="00DF224C" w:rsidP="00DF224C"/>
    <w:p w14:paraId="4B9AE097" w14:textId="77777777" w:rsidR="00DF224C" w:rsidRDefault="00DF224C" w:rsidP="00DF224C">
      <w:pPr>
        <w:tabs>
          <w:tab w:val="left" w:pos="9360"/>
        </w:tabs>
        <w:spacing w:line="276" w:lineRule="auto"/>
        <w:jc w:val="both"/>
        <w:rPr>
          <w:rFonts w:ascii="Segoe UI" w:hAnsi="Segoe UI" w:cs="Segoe UI"/>
          <w:sz w:val="22"/>
          <w:szCs w:val="22"/>
        </w:rPr>
      </w:pPr>
      <w:r>
        <w:rPr>
          <w:rFonts w:ascii="Segoe UI" w:hAnsi="Segoe UI" w:cs="Segoe UI"/>
          <w:sz w:val="22"/>
          <w:szCs w:val="22"/>
        </w:rPr>
        <w:t>The PSB is also considering the issue of b</w:t>
      </w:r>
      <w:r w:rsidRPr="006C0199">
        <w:rPr>
          <w:rFonts w:ascii="Segoe UI" w:hAnsi="Segoe UI" w:cs="Segoe UI"/>
          <w:sz w:val="22"/>
          <w:szCs w:val="22"/>
        </w:rPr>
        <w:t xml:space="preserve">roadening interchange fee caps to include payments between schemes and issuers </w:t>
      </w:r>
      <w:r>
        <w:rPr>
          <w:rFonts w:ascii="Segoe UI" w:hAnsi="Segoe UI" w:cs="Segoe UI"/>
          <w:sz w:val="22"/>
          <w:szCs w:val="22"/>
        </w:rPr>
        <w:t xml:space="preserve">beyond interchange, </w:t>
      </w:r>
      <w:r w:rsidRPr="006C0199">
        <w:rPr>
          <w:rFonts w:ascii="Segoe UI" w:hAnsi="Segoe UI" w:cs="Segoe UI"/>
          <w:sz w:val="22"/>
          <w:szCs w:val="22"/>
        </w:rPr>
        <w:t xml:space="preserve">such as </w:t>
      </w:r>
      <w:r>
        <w:rPr>
          <w:rFonts w:ascii="Segoe UI" w:hAnsi="Segoe UI" w:cs="Segoe UI"/>
          <w:sz w:val="22"/>
          <w:szCs w:val="22"/>
        </w:rPr>
        <w:t>“</w:t>
      </w:r>
      <w:r w:rsidRPr="006C0199">
        <w:rPr>
          <w:rFonts w:ascii="Segoe UI" w:hAnsi="Segoe UI" w:cs="Segoe UI"/>
          <w:sz w:val="22"/>
          <w:szCs w:val="22"/>
        </w:rPr>
        <w:t>marketing fees, sign-on fees, incentive fee and rebates</w:t>
      </w:r>
      <w:r>
        <w:rPr>
          <w:rFonts w:ascii="Segoe UI" w:hAnsi="Segoe UI" w:cs="Segoe UI"/>
          <w:sz w:val="22"/>
          <w:szCs w:val="22"/>
        </w:rPr>
        <w:t xml:space="preserve"> </w:t>
      </w:r>
      <w:r w:rsidRPr="006C0199">
        <w:rPr>
          <w:rFonts w:ascii="Segoe UI" w:hAnsi="Segoe UI" w:cs="Segoe UI"/>
          <w:sz w:val="22"/>
          <w:szCs w:val="22"/>
        </w:rPr>
        <w:t>that are present in four party and three party schemes</w:t>
      </w:r>
      <w:r>
        <w:rPr>
          <w:rFonts w:ascii="Segoe UI" w:hAnsi="Segoe UI" w:cs="Segoe UI"/>
          <w:sz w:val="22"/>
          <w:szCs w:val="22"/>
        </w:rPr>
        <w:t>” (RBA Issues Paper, p. 36).</w:t>
      </w:r>
    </w:p>
    <w:p w14:paraId="0FA6D168" w14:textId="77777777" w:rsidR="00DF224C" w:rsidRDefault="00DF224C" w:rsidP="00DF224C">
      <w:pPr>
        <w:tabs>
          <w:tab w:val="left" w:pos="9360"/>
        </w:tabs>
        <w:spacing w:line="276" w:lineRule="auto"/>
        <w:jc w:val="both"/>
        <w:rPr>
          <w:rFonts w:ascii="Segoe UI" w:hAnsi="Segoe UI" w:cs="Segoe UI"/>
          <w:sz w:val="22"/>
          <w:szCs w:val="22"/>
        </w:rPr>
      </w:pPr>
    </w:p>
    <w:p w14:paraId="0DBC4060" w14:textId="77777777" w:rsidR="00DF224C" w:rsidRPr="006C0199" w:rsidRDefault="00DF224C" w:rsidP="00DF224C">
      <w:pPr>
        <w:tabs>
          <w:tab w:val="left" w:pos="9360"/>
        </w:tabs>
        <w:spacing w:line="276" w:lineRule="auto"/>
        <w:jc w:val="both"/>
        <w:rPr>
          <w:rFonts w:ascii="Segoe UI" w:hAnsi="Segoe UI" w:cs="Segoe UI"/>
          <w:sz w:val="22"/>
          <w:szCs w:val="22"/>
        </w:rPr>
      </w:pPr>
      <w:r w:rsidRPr="00ED5205">
        <w:rPr>
          <w:rFonts w:ascii="Segoe UI" w:hAnsi="Segoe UI" w:cs="Segoe UI"/>
          <w:sz w:val="22"/>
          <w:szCs w:val="22"/>
        </w:rPr>
        <w:lastRenderedPageBreak/>
        <w:t xml:space="preserve">We are concerned about the impact of additional or wider regulation on the Australian payments system but equally we note the RBA’s reference to regulatory developments in the United States and European Union </w:t>
      </w:r>
      <w:r>
        <w:rPr>
          <w:rFonts w:ascii="Segoe UI" w:hAnsi="Segoe UI" w:cs="Segoe UI"/>
          <w:sz w:val="22"/>
          <w:szCs w:val="22"/>
        </w:rPr>
        <w:t xml:space="preserve">(EU) </w:t>
      </w:r>
      <w:r w:rsidRPr="00ED5205">
        <w:rPr>
          <w:rFonts w:ascii="Segoe UI" w:hAnsi="Segoe UI" w:cs="Segoe UI"/>
          <w:sz w:val="22"/>
          <w:szCs w:val="22"/>
        </w:rPr>
        <w:t>and, more importantly, the linkage between this issue and ensuring any Australian reforms deliver a truly level playing field in relation to companion cards.</w:t>
      </w:r>
      <w:r>
        <w:rPr>
          <w:rFonts w:ascii="Segoe UI" w:hAnsi="Segoe UI" w:cs="Segoe UI"/>
          <w:sz w:val="22"/>
          <w:szCs w:val="22"/>
        </w:rPr>
        <w:t xml:space="preserve"> There are certainly lessons from these international regulatory experiences, particularly the treatment of hybrid four-party schemes in the EU that are important to developing a way to a level playing field in Australia.</w:t>
      </w:r>
    </w:p>
    <w:p w14:paraId="09FE6231" w14:textId="77777777" w:rsidR="00DF224C" w:rsidRDefault="00DF224C" w:rsidP="00DF224C">
      <w:pPr>
        <w:spacing w:line="276" w:lineRule="auto"/>
        <w:jc w:val="both"/>
        <w:rPr>
          <w:rFonts w:ascii="Segoe UI" w:hAnsi="Segoe UI" w:cs="Segoe UI"/>
          <w:sz w:val="22"/>
          <w:szCs w:val="22"/>
        </w:rPr>
      </w:pPr>
    </w:p>
    <w:p w14:paraId="7F09B7EE" w14:textId="77777777" w:rsidR="00DF224C" w:rsidRPr="00721F32" w:rsidRDefault="00DF224C" w:rsidP="00DF224C">
      <w:pPr>
        <w:spacing w:line="276" w:lineRule="auto"/>
        <w:jc w:val="both"/>
        <w:rPr>
          <w:rFonts w:ascii="Segoe UI" w:hAnsi="Segoe UI" w:cs="Segoe UI"/>
          <w:sz w:val="22"/>
          <w:szCs w:val="22"/>
        </w:rPr>
      </w:pPr>
      <w:r>
        <w:rPr>
          <w:rFonts w:ascii="Segoe UI" w:hAnsi="Segoe UI" w:cs="Segoe UI"/>
          <w:sz w:val="22"/>
          <w:szCs w:val="22"/>
        </w:rPr>
        <w:t xml:space="preserve">As such, Visa is open to further discussions with the RBA </w:t>
      </w:r>
      <w:r w:rsidR="00DE7F36">
        <w:rPr>
          <w:rFonts w:ascii="Segoe UI" w:hAnsi="Segoe UI" w:cs="Segoe UI"/>
          <w:sz w:val="22"/>
          <w:szCs w:val="22"/>
        </w:rPr>
        <w:t>on</w:t>
      </w:r>
      <w:r>
        <w:rPr>
          <w:rFonts w:ascii="Segoe UI" w:hAnsi="Segoe UI" w:cs="Segoe UI"/>
          <w:sz w:val="22"/>
          <w:szCs w:val="22"/>
        </w:rPr>
        <w:t xml:space="preserve"> this issue.</w:t>
      </w:r>
    </w:p>
    <w:p w14:paraId="32E22644" w14:textId="77777777" w:rsidR="00DF224C" w:rsidRDefault="00B359B5" w:rsidP="00DF224C">
      <w:pPr>
        <w:pStyle w:val="Heading2"/>
        <w:numPr>
          <w:ilvl w:val="1"/>
          <w:numId w:val="5"/>
        </w:numPr>
        <w:ind w:left="720" w:hanging="720"/>
        <w:rPr>
          <w:rFonts w:ascii="Segoe UI" w:hAnsi="Segoe UI" w:cs="Segoe UI"/>
        </w:rPr>
      </w:pPr>
      <w:bookmarkStart w:id="21" w:name="_Toc417303928"/>
      <w:bookmarkStart w:id="22" w:name="_Toc417572685"/>
      <w:r>
        <w:rPr>
          <w:rFonts w:ascii="Segoe UI" w:hAnsi="Segoe UI" w:cs="Segoe UI"/>
        </w:rPr>
        <w:t>“Traditional” or p</w:t>
      </w:r>
      <w:r w:rsidR="00DF224C">
        <w:rPr>
          <w:rFonts w:ascii="Segoe UI" w:hAnsi="Segoe UI" w:cs="Segoe UI"/>
        </w:rPr>
        <w:t>roprietary Three Party Schemes and new models</w:t>
      </w:r>
      <w:bookmarkEnd w:id="21"/>
      <w:bookmarkEnd w:id="22"/>
    </w:p>
    <w:p w14:paraId="28E2BB79" w14:textId="77777777" w:rsidR="00DF224C" w:rsidRDefault="00DF224C" w:rsidP="00DF224C">
      <w:pPr>
        <w:rPr>
          <w:rFonts w:ascii="Segoe UI" w:hAnsi="Segoe UI" w:cs="Segoe UI"/>
          <w:sz w:val="22"/>
          <w:szCs w:val="22"/>
          <w:highlight w:val="yellow"/>
        </w:rPr>
      </w:pPr>
    </w:p>
    <w:p w14:paraId="1D3ED059" w14:textId="77777777" w:rsidR="00DF224C" w:rsidRDefault="00DF224C" w:rsidP="00DF224C">
      <w:pPr>
        <w:spacing w:line="276" w:lineRule="auto"/>
        <w:jc w:val="both"/>
        <w:rPr>
          <w:rFonts w:ascii="Segoe UI" w:hAnsi="Segoe UI" w:cs="Segoe UI"/>
          <w:sz w:val="22"/>
          <w:szCs w:val="22"/>
        </w:rPr>
      </w:pPr>
      <w:r>
        <w:rPr>
          <w:rFonts w:ascii="Segoe UI" w:hAnsi="Segoe UI" w:cs="Segoe UI"/>
          <w:sz w:val="22"/>
          <w:szCs w:val="22"/>
        </w:rPr>
        <w:t>The above material and positions relate primarily to the way forward for creating a level-playing field between:</w:t>
      </w:r>
    </w:p>
    <w:p w14:paraId="13D66E19" w14:textId="77777777" w:rsidR="0089281F" w:rsidRDefault="0089281F" w:rsidP="00DF224C">
      <w:pPr>
        <w:spacing w:line="276" w:lineRule="auto"/>
        <w:jc w:val="both"/>
        <w:rPr>
          <w:rFonts w:ascii="Segoe UI" w:hAnsi="Segoe UI" w:cs="Segoe UI"/>
          <w:sz w:val="22"/>
          <w:szCs w:val="22"/>
        </w:rPr>
      </w:pPr>
    </w:p>
    <w:p w14:paraId="0DCBB370" w14:textId="77777777" w:rsidR="00DF224C" w:rsidRDefault="00DF224C" w:rsidP="00DF224C">
      <w:pPr>
        <w:pStyle w:val="ListParagraph"/>
        <w:numPr>
          <w:ilvl w:val="0"/>
          <w:numId w:val="8"/>
        </w:numPr>
        <w:spacing w:line="276" w:lineRule="auto"/>
        <w:jc w:val="both"/>
        <w:rPr>
          <w:rFonts w:ascii="Segoe UI" w:hAnsi="Segoe UI" w:cs="Segoe UI"/>
          <w:sz w:val="22"/>
          <w:szCs w:val="22"/>
        </w:rPr>
      </w:pPr>
      <w:r w:rsidRPr="00AD22AF">
        <w:rPr>
          <w:rFonts w:ascii="Segoe UI" w:hAnsi="Segoe UI" w:cs="Segoe UI"/>
          <w:sz w:val="22"/>
          <w:szCs w:val="22"/>
        </w:rPr>
        <w:t>currently regulated four-party</w:t>
      </w:r>
      <w:r>
        <w:rPr>
          <w:rFonts w:ascii="Segoe UI" w:hAnsi="Segoe UI" w:cs="Segoe UI"/>
          <w:sz w:val="22"/>
          <w:szCs w:val="22"/>
        </w:rPr>
        <w:t xml:space="preserve"> schemes (Visa and MasterCard);</w:t>
      </w:r>
    </w:p>
    <w:p w14:paraId="5AAF7FA4" w14:textId="77777777" w:rsidR="00DF224C" w:rsidRDefault="00DF224C" w:rsidP="00DF224C">
      <w:pPr>
        <w:pStyle w:val="ListParagraph"/>
        <w:numPr>
          <w:ilvl w:val="0"/>
          <w:numId w:val="8"/>
        </w:numPr>
        <w:spacing w:line="276" w:lineRule="auto"/>
        <w:jc w:val="both"/>
        <w:rPr>
          <w:rFonts w:ascii="Segoe UI" w:hAnsi="Segoe UI" w:cs="Segoe UI"/>
          <w:sz w:val="22"/>
          <w:szCs w:val="22"/>
        </w:rPr>
      </w:pPr>
      <w:r w:rsidRPr="00AD22AF">
        <w:rPr>
          <w:rFonts w:ascii="Segoe UI" w:hAnsi="Segoe UI" w:cs="Segoe UI"/>
          <w:sz w:val="22"/>
          <w:szCs w:val="22"/>
        </w:rPr>
        <w:t>new entrants schemes organised in the same manner as four-p</w:t>
      </w:r>
      <w:r>
        <w:rPr>
          <w:rFonts w:ascii="Segoe UI" w:hAnsi="Segoe UI" w:cs="Segoe UI"/>
          <w:sz w:val="22"/>
          <w:szCs w:val="22"/>
        </w:rPr>
        <w:t xml:space="preserve">arty schemes (such as UnionPay); </w:t>
      </w:r>
      <w:r w:rsidRPr="00AD22AF">
        <w:rPr>
          <w:rFonts w:ascii="Segoe UI" w:hAnsi="Segoe UI" w:cs="Segoe UI"/>
          <w:sz w:val="22"/>
          <w:szCs w:val="22"/>
        </w:rPr>
        <w:t xml:space="preserve">and </w:t>
      </w:r>
    </w:p>
    <w:p w14:paraId="19C09A03" w14:textId="77777777" w:rsidR="00DF224C" w:rsidRDefault="00DF224C" w:rsidP="00DF224C">
      <w:pPr>
        <w:pStyle w:val="ListParagraph"/>
        <w:numPr>
          <w:ilvl w:val="0"/>
          <w:numId w:val="8"/>
        </w:numPr>
        <w:spacing w:line="276" w:lineRule="auto"/>
        <w:jc w:val="both"/>
        <w:rPr>
          <w:rFonts w:ascii="Segoe UI" w:hAnsi="Segoe UI" w:cs="Segoe UI"/>
          <w:sz w:val="22"/>
          <w:szCs w:val="22"/>
        </w:rPr>
      </w:pPr>
      <w:r w:rsidRPr="00AD22AF">
        <w:rPr>
          <w:rFonts w:ascii="Segoe UI" w:hAnsi="Segoe UI" w:cs="Segoe UI"/>
          <w:sz w:val="22"/>
          <w:szCs w:val="22"/>
        </w:rPr>
        <w:t xml:space="preserve">hybrid four-party schemes run by tradition three-party schemes (such as American Express GNS and Diners/Citi). </w:t>
      </w:r>
    </w:p>
    <w:p w14:paraId="0CE119FE" w14:textId="77777777" w:rsidR="00DF224C" w:rsidRDefault="00DF224C" w:rsidP="00DF224C">
      <w:pPr>
        <w:spacing w:line="276" w:lineRule="auto"/>
        <w:jc w:val="both"/>
        <w:rPr>
          <w:rFonts w:ascii="Segoe UI" w:hAnsi="Segoe UI" w:cs="Segoe UI"/>
          <w:sz w:val="22"/>
          <w:szCs w:val="22"/>
        </w:rPr>
      </w:pPr>
    </w:p>
    <w:p w14:paraId="32AEE1E4" w14:textId="77777777" w:rsidR="00DF224C" w:rsidRPr="00A174C9" w:rsidRDefault="00DF224C" w:rsidP="00DF224C">
      <w:pPr>
        <w:spacing w:line="276" w:lineRule="auto"/>
        <w:jc w:val="both"/>
        <w:rPr>
          <w:rFonts w:ascii="Segoe UI" w:hAnsi="Segoe UI" w:cs="Segoe UI"/>
          <w:sz w:val="22"/>
          <w:szCs w:val="22"/>
        </w:rPr>
      </w:pPr>
      <w:r w:rsidRPr="00AD22AF">
        <w:rPr>
          <w:rFonts w:ascii="Segoe UI" w:hAnsi="Segoe UI" w:cs="Segoe UI"/>
          <w:sz w:val="22"/>
          <w:szCs w:val="22"/>
        </w:rPr>
        <w:t xml:space="preserve">These schemes types are sometimes collectively called open-loop schemes. </w:t>
      </w:r>
      <w:r w:rsidR="00A23067">
        <w:rPr>
          <w:rFonts w:ascii="Segoe UI" w:hAnsi="Segoe UI" w:cs="Segoe UI"/>
          <w:sz w:val="22"/>
          <w:szCs w:val="22"/>
        </w:rPr>
        <w:t xml:space="preserve">As discussed above, </w:t>
      </w:r>
      <w:r w:rsidRPr="00AD22AF">
        <w:rPr>
          <w:rFonts w:ascii="Segoe UI" w:hAnsi="Segoe UI" w:cs="Segoe UI"/>
          <w:sz w:val="22"/>
          <w:szCs w:val="22"/>
        </w:rPr>
        <w:t xml:space="preserve">these regulatory </w:t>
      </w:r>
      <w:r>
        <w:rPr>
          <w:rFonts w:ascii="Segoe UI" w:hAnsi="Segoe UI" w:cs="Segoe UI"/>
          <w:sz w:val="22"/>
          <w:szCs w:val="22"/>
        </w:rPr>
        <w:t xml:space="preserve">disparities between similar </w:t>
      </w:r>
      <w:r w:rsidRPr="00BA0FCE">
        <w:rPr>
          <w:rFonts w:ascii="Segoe UI" w:hAnsi="Segoe UI" w:cs="Segoe UI"/>
          <w:sz w:val="22"/>
          <w:szCs w:val="22"/>
        </w:rPr>
        <w:t>open loop scheme</w:t>
      </w:r>
      <w:r>
        <w:rPr>
          <w:rFonts w:ascii="Segoe UI" w:hAnsi="Segoe UI" w:cs="Segoe UI"/>
          <w:sz w:val="22"/>
          <w:szCs w:val="22"/>
        </w:rPr>
        <w:t>s</w:t>
      </w:r>
      <w:r w:rsidRPr="00A174C9">
        <w:rPr>
          <w:rFonts w:ascii="Segoe UI" w:hAnsi="Segoe UI" w:cs="Segoe UI"/>
          <w:sz w:val="22"/>
          <w:szCs w:val="22"/>
        </w:rPr>
        <w:t xml:space="preserve"> require immediate rectification.</w:t>
      </w:r>
    </w:p>
    <w:p w14:paraId="7A1CBFA4" w14:textId="77777777" w:rsidR="00DF224C" w:rsidRPr="00A174C9" w:rsidRDefault="00DF224C" w:rsidP="00DF224C">
      <w:pPr>
        <w:spacing w:line="276" w:lineRule="auto"/>
        <w:jc w:val="both"/>
        <w:rPr>
          <w:rFonts w:ascii="Segoe UI" w:hAnsi="Segoe UI" w:cs="Segoe UI"/>
          <w:sz w:val="22"/>
          <w:szCs w:val="22"/>
        </w:rPr>
      </w:pPr>
    </w:p>
    <w:p w14:paraId="3BF0F249" w14:textId="77777777" w:rsidR="00DF224C" w:rsidRDefault="00DF224C" w:rsidP="00DF224C">
      <w:pPr>
        <w:spacing w:line="276" w:lineRule="auto"/>
        <w:jc w:val="both"/>
        <w:rPr>
          <w:rFonts w:ascii="Segoe UI" w:hAnsi="Segoe UI" w:cs="Segoe UI"/>
          <w:sz w:val="22"/>
          <w:szCs w:val="22"/>
        </w:rPr>
      </w:pPr>
      <w:r w:rsidRPr="00A174C9">
        <w:rPr>
          <w:rFonts w:ascii="Segoe UI" w:hAnsi="Segoe UI" w:cs="Segoe UI"/>
          <w:sz w:val="22"/>
          <w:szCs w:val="22"/>
        </w:rPr>
        <w:t xml:space="preserve">However, even if the above open-loop parity was achieved and a new regulatory “border” developed, there would remain an unregulated scheme type, namely the “traditional” or proprietary schemes such as the three party American Express and Diners schemes, collectively </w:t>
      </w:r>
      <w:r w:rsidRPr="00BA0FCE">
        <w:rPr>
          <w:rFonts w:ascii="Segoe UI" w:hAnsi="Segoe UI" w:cs="Segoe UI"/>
          <w:sz w:val="22"/>
          <w:szCs w:val="22"/>
        </w:rPr>
        <w:t>called closed-loop schemes</w:t>
      </w:r>
      <w:r w:rsidRPr="00A174C9">
        <w:rPr>
          <w:rFonts w:ascii="Segoe UI" w:hAnsi="Segoe UI" w:cs="Segoe UI"/>
          <w:sz w:val="22"/>
          <w:szCs w:val="22"/>
        </w:rPr>
        <w:t>.</w:t>
      </w:r>
    </w:p>
    <w:p w14:paraId="258BB02A" w14:textId="77777777" w:rsidR="00DF224C" w:rsidRDefault="00DF224C" w:rsidP="00DF224C">
      <w:pPr>
        <w:spacing w:line="276" w:lineRule="auto"/>
        <w:jc w:val="both"/>
        <w:rPr>
          <w:rFonts w:ascii="Segoe UI" w:hAnsi="Segoe UI" w:cs="Segoe UI"/>
          <w:sz w:val="22"/>
          <w:szCs w:val="22"/>
        </w:rPr>
      </w:pPr>
    </w:p>
    <w:p w14:paraId="7AF20655" w14:textId="77777777" w:rsidR="00DF224C" w:rsidRDefault="00DF224C" w:rsidP="00DF224C">
      <w:pPr>
        <w:spacing w:line="276" w:lineRule="auto"/>
        <w:jc w:val="both"/>
        <w:rPr>
          <w:rFonts w:ascii="Segoe UI" w:hAnsi="Segoe UI" w:cs="Segoe UI"/>
          <w:sz w:val="22"/>
          <w:szCs w:val="22"/>
        </w:rPr>
      </w:pPr>
      <w:r>
        <w:rPr>
          <w:rFonts w:ascii="Segoe UI" w:hAnsi="Segoe UI" w:cs="Segoe UI"/>
          <w:sz w:val="22"/>
          <w:szCs w:val="22"/>
        </w:rPr>
        <w:t>We submit that closed-loop schemes should be regulated by the RBA. Without such action</w:t>
      </w:r>
      <w:r w:rsidR="00A23067">
        <w:rPr>
          <w:rFonts w:ascii="Segoe UI" w:hAnsi="Segoe UI" w:cs="Segoe UI"/>
          <w:sz w:val="22"/>
          <w:szCs w:val="22"/>
        </w:rPr>
        <w:t>,</w:t>
      </w:r>
      <w:r>
        <w:rPr>
          <w:rFonts w:ascii="Segoe UI" w:hAnsi="Segoe UI" w:cs="Segoe UI"/>
          <w:sz w:val="22"/>
          <w:szCs w:val="22"/>
        </w:rPr>
        <w:t xml:space="preserve"> a new regulatory arbitrage point will be created and the commercial entities that own and manage such schemes are likely to redirect growth and investment decisions into their expansion, leading to growth in higher-cost schemes and negative outcomes for merchants and consumers. Other schemes that currently do not operate closed-loop schemes may be encouraged to do so, potentially accelerating this trend. We are open to discussions with the RBA on how the regulation of closed-loop schemes might be achieved.</w:t>
      </w:r>
    </w:p>
    <w:p w14:paraId="31E9EB3B" w14:textId="77777777" w:rsidR="00DF224C" w:rsidRDefault="00DF224C" w:rsidP="00DF224C">
      <w:pPr>
        <w:spacing w:line="276" w:lineRule="auto"/>
        <w:jc w:val="both"/>
        <w:rPr>
          <w:rFonts w:ascii="Segoe UI" w:hAnsi="Segoe UI" w:cs="Segoe UI"/>
          <w:sz w:val="22"/>
          <w:szCs w:val="22"/>
        </w:rPr>
      </w:pPr>
    </w:p>
    <w:p w14:paraId="75F2161D" w14:textId="7FC26958" w:rsidR="00DF224C" w:rsidRDefault="00DF224C" w:rsidP="00DF224C">
      <w:pPr>
        <w:spacing w:line="276" w:lineRule="auto"/>
        <w:jc w:val="both"/>
        <w:rPr>
          <w:rFonts w:ascii="Segoe UI" w:hAnsi="Segoe UI" w:cs="Segoe UI"/>
          <w:sz w:val="22"/>
          <w:szCs w:val="22"/>
        </w:rPr>
      </w:pPr>
      <w:r>
        <w:rPr>
          <w:rFonts w:ascii="Segoe UI" w:hAnsi="Segoe UI" w:cs="Segoe UI"/>
          <w:sz w:val="22"/>
          <w:szCs w:val="22"/>
        </w:rPr>
        <w:t xml:space="preserve">However, should such schemes not be formally regulated by the current review we note that it will prove essential that a formally differentiated/tiered surcharging structure be put in place with such non-regulated schemes </w:t>
      </w:r>
      <w:r w:rsidR="0031410D">
        <w:rPr>
          <w:rFonts w:ascii="Segoe UI" w:hAnsi="Segoe UI" w:cs="Segoe UI"/>
          <w:sz w:val="22"/>
          <w:szCs w:val="22"/>
        </w:rPr>
        <w:t xml:space="preserve">eligible for </w:t>
      </w:r>
      <w:r>
        <w:rPr>
          <w:rFonts w:ascii="Segoe UI" w:hAnsi="Segoe UI" w:cs="Segoe UI"/>
          <w:sz w:val="22"/>
          <w:szCs w:val="22"/>
        </w:rPr>
        <w:t>surcharg</w:t>
      </w:r>
      <w:r w:rsidR="0031410D">
        <w:rPr>
          <w:rFonts w:ascii="Segoe UI" w:hAnsi="Segoe UI" w:cs="Segoe UI"/>
          <w:sz w:val="22"/>
          <w:szCs w:val="22"/>
        </w:rPr>
        <w:t>ing</w:t>
      </w:r>
      <w:r>
        <w:rPr>
          <w:rFonts w:ascii="Segoe UI" w:hAnsi="Segoe UI" w:cs="Segoe UI"/>
          <w:sz w:val="22"/>
          <w:szCs w:val="22"/>
        </w:rPr>
        <w:t xml:space="preserve"> in the highest tier. Equally, regulated schemes commercial cards businesses would need to be formally excluded from </w:t>
      </w:r>
      <w:r>
        <w:rPr>
          <w:rFonts w:ascii="Segoe UI" w:hAnsi="Segoe UI" w:cs="Segoe UI"/>
          <w:sz w:val="22"/>
          <w:szCs w:val="22"/>
        </w:rPr>
        <w:lastRenderedPageBreak/>
        <w:t xml:space="preserve">interchange caps so </w:t>
      </w:r>
      <w:r w:rsidR="00A23067">
        <w:rPr>
          <w:rFonts w:ascii="Segoe UI" w:hAnsi="Segoe UI" w:cs="Segoe UI"/>
          <w:sz w:val="22"/>
          <w:szCs w:val="22"/>
        </w:rPr>
        <w:t xml:space="preserve">as </w:t>
      </w:r>
      <w:r>
        <w:rPr>
          <w:rFonts w:ascii="Segoe UI" w:hAnsi="Segoe UI" w:cs="Segoe UI"/>
          <w:sz w:val="22"/>
          <w:szCs w:val="22"/>
        </w:rPr>
        <w:t>to allow any chance of fair and sustainable competition. Both of these issues are dealt with in detail elsewhere in this submission.</w:t>
      </w:r>
    </w:p>
    <w:p w14:paraId="4295454F" w14:textId="38BE0C05" w:rsidR="00DF224C" w:rsidRDefault="00DF224C" w:rsidP="00DF224C">
      <w:pPr>
        <w:spacing w:line="276" w:lineRule="auto"/>
        <w:jc w:val="both"/>
        <w:rPr>
          <w:rFonts w:ascii="Segoe UI" w:hAnsi="Segoe UI" w:cs="Segoe UI"/>
          <w:sz w:val="22"/>
          <w:szCs w:val="22"/>
        </w:rPr>
      </w:pPr>
      <w:r>
        <w:rPr>
          <w:rFonts w:ascii="Segoe UI" w:hAnsi="Segoe UI" w:cs="Segoe UI"/>
          <w:sz w:val="22"/>
          <w:szCs w:val="22"/>
        </w:rPr>
        <w:t xml:space="preserve">Finally, beyond both open and closed loop schemes there are a range of newer models being developed and deployed in the Australian payments market, such as PayPal and Alipay. These will almost certainly be joined by likely future </w:t>
      </w:r>
      <w:r w:rsidR="00A23067">
        <w:rPr>
          <w:rFonts w:ascii="Segoe UI" w:hAnsi="Segoe UI" w:cs="Segoe UI"/>
          <w:sz w:val="22"/>
          <w:szCs w:val="22"/>
        </w:rPr>
        <w:t xml:space="preserve">entrants enabled by the RBA’s National </w:t>
      </w:r>
      <w:r>
        <w:rPr>
          <w:rFonts w:ascii="Segoe UI" w:hAnsi="Segoe UI" w:cs="Segoe UI"/>
          <w:sz w:val="22"/>
          <w:szCs w:val="22"/>
        </w:rPr>
        <w:t>P</w:t>
      </w:r>
      <w:r w:rsidR="00A23067">
        <w:rPr>
          <w:rFonts w:ascii="Segoe UI" w:hAnsi="Segoe UI" w:cs="Segoe UI"/>
          <w:sz w:val="22"/>
          <w:szCs w:val="22"/>
        </w:rPr>
        <w:t>ayments Platform (NPP)</w:t>
      </w:r>
      <w:r>
        <w:rPr>
          <w:rFonts w:ascii="Segoe UI" w:hAnsi="Segoe UI" w:cs="Segoe UI"/>
          <w:sz w:val="22"/>
          <w:szCs w:val="22"/>
        </w:rPr>
        <w:t xml:space="preserve">. </w:t>
      </w:r>
      <w:r w:rsidR="00287A8C">
        <w:rPr>
          <w:rFonts w:ascii="Segoe UI" w:hAnsi="Segoe UI" w:cs="Segoe UI"/>
          <w:sz w:val="22"/>
          <w:szCs w:val="22"/>
        </w:rPr>
        <w:t xml:space="preserve">Visa welcomes working in market conditions that are fair, level and open to competition. </w:t>
      </w:r>
      <w:r>
        <w:rPr>
          <w:rFonts w:ascii="Segoe UI" w:hAnsi="Segoe UI" w:cs="Segoe UI"/>
          <w:sz w:val="22"/>
          <w:szCs w:val="22"/>
        </w:rPr>
        <w:t>However, we again underline the need for the inclusion of such schemes within the general regulatory regime (i.e. No Surcharge Rule removals) and pricing regulatory regimes.</w:t>
      </w:r>
    </w:p>
    <w:p w14:paraId="7390ACC8" w14:textId="77777777" w:rsidR="00DF224C" w:rsidRDefault="00DF224C" w:rsidP="00DF224C"/>
    <w:p w14:paraId="104160A2" w14:textId="77777777" w:rsidR="00B21569" w:rsidRDefault="00B21569">
      <w:pPr>
        <w:spacing w:after="200" w:line="276" w:lineRule="auto"/>
        <w:rPr>
          <w:rFonts w:ascii="Segoe UI" w:eastAsiaTheme="majorEastAsia" w:hAnsi="Segoe UI" w:cs="Segoe UI"/>
          <w:b/>
          <w:bCs/>
          <w:color w:val="345A8A" w:themeColor="accent1" w:themeShade="B5"/>
          <w:sz w:val="32"/>
          <w:szCs w:val="32"/>
        </w:rPr>
      </w:pPr>
      <w:bookmarkStart w:id="23" w:name="_Toc417303929"/>
      <w:r>
        <w:rPr>
          <w:rFonts w:ascii="Segoe UI" w:hAnsi="Segoe UI" w:cs="Segoe UI"/>
        </w:rPr>
        <w:br w:type="page"/>
      </w:r>
    </w:p>
    <w:p w14:paraId="3724D096" w14:textId="77777777" w:rsidR="00DF224C" w:rsidRPr="0089281F" w:rsidRDefault="00DF224C" w:rsidP="00DF224C">
      <w:pPr>
        <w:pStyle w:val="Heading1"/>
        <w:rPr>
          <w:rFonts w:ascii="Segoe UI" w:hAnsi="Segoe UI" w:cs="Segoe UI"/>
          <w:color w:val="002060"/>
        </w:rPr>
      </w:pPr>
      <w:bookmarkStart w:id="24" w:name="_Toc417572686"/>
      <w:r w:rsidRPr="0089281F">
        <w:rPr>
          <w:rFonts w:ascii="Segoe UI" w:hAnsi="Segoe UI" w:cs="Segoe UI"/>
          <w:color w:val="002060"/>
        </w:rPr>
        <w:lastRenderedPageBreak/>
        <w:t>Chapter 3: Interchange fees</w:t>
      </w:r>
      <w:bookmarkEnd w:id="23"/>
      <w:bookmarkEnd w:id="24"/>
      <w:r w:rsidRPr="0089281F">
        <w:rPr>
          <w:rFonts w:ascii="Segoe UI" w:hAnsi="Segoe UI" w:cs="Segoe UI"/>
          <w:color w:val="002060"/>
        </w:rPr>
        <w:t xml:space="preserve"> </w:t>
      </w:r>
    </w:p>
    <w:p w14:paraId="1A62EB01" w14:textId="77777777" w:rsidR="00DF224C" w:rsidRPr="00426E9B" w:rsidRDefault="00DF224C" w:rsidP="00DF224C">
      <w:pPr>
        <w:rPr>
          <w:rFonts w:ascii="Segoe UI" w:hAnsi="Segoe UI" w:cs="Segoe UI"/>
        </w:rPr>
      </w:pPr>
    </w:p>
    <w:tbl>
      <w:tblPr>
        <w:tblStyle w:val="TableGrid"/>
        <w:tblW w:w="0" w:type="auto"/>
        <w:tblBorders>
          <w:insideH w:val="none" w:sz="0" w:space="0" w:color="auto"/>
          <w:insideV w:val="none" w:sz="0" w:space="0" w:color="auto"/>
        </w:tblBorders>
        <w:shd w:val="clear" w:color="auto" w:fill="E0E0E0"/>
        <w:tblLook w:val="04A0" w:firstRow="1" w:lastRow="0" w:firstColumn="1" w:lastColumn="0" w:noHBand="0" w:noVBand="1"/>
      </w:tblPr>
      <w:tblGrid>
        <w:gridCol w:w="9243"/>
      </w:tblGrid>
      <w:tr w:rsidR="00DF224C" w:rsidRPr="00426E9B" w14:paraId="711F07DB" w14:textId="77777777" w:rsidTr="008B578E">
        <w:tc>
          <w:tcPr>
            <w:tcW w:w="9280" w:type="dxa"/>
            <w:shd w:val="clear" w:color="auto" w:fill="E0E0E0"/>
          </w:tcPr>
          <w:p w14:paraId="5FDE370A" w14:textId="77777777" w:rsidR="00DF224C" w:rsidRPr="00426E9B" w:rsidRDefault="00DF224C" w:rsidP="00653966">
            <w:pPr>
              <w:pStyle w:val="Heading4"/>
              <w:outlineLvl w:val="3"/>
              <w:rPr>
                <w:rFonts w:ascii="Segoe UI" w:hAnsi="Segoe UI" w:cs="Segoe UI"/>
              </w:rPr>
            </w:pPr>
            <w:r w:rsidRPr="00426E9B">
              <w:rPr>
                <w:rFonts w:ascii="Segoe UI" w:hAnsi="Segoe UI" w:cs="Segoe UI"/>
              </w:rPr>
              <w:t>Key points</w:t>
            </w:r>
          </w:p>
          <w:p w14:paraId="6AF264E1" w14:textId="77777777" w:rsidR="00DF224C" w:rsidRDefault="00DF224C" w:rsidP="0089281F">
            <w:pPr>
              <w:pStyle w:val="ListParagraph"/>
              <w:numPr>
                <w:ilvl w:val="0"/>
                <w:numId w:val="2"/>
              </w:numPr>
              <w:spacing w:before="120" w:after="240" w:line="240" w:lineRule="exact"/>
              <w:ind w:left="714" w:right="432" w:hanging="357"/>
              <w:contextualSpacing w:val="0"/>
              <w:jc w:val="both"/>
              <w:rPr>
                <w:rFonts w:ascii="Segoe UI" w:hAnsi="Segoe UI" w:cs="Segoe UI"/>
                <w:sz w:val="22"/>
                <w:szCs w:val="22"/>
              </w:rPr>
            </w:pPr>
            <w:r>
              <w:rPr>
                <w:rFonts w:ascii="Segoe UI" w:hAnsi="Segoe UI" w:cs="Segoe UI"/>
                <w:sz w:val="22"/>
                <w:szCs w:val="22"/>
              </w:rPr>
              <w:t xml:space="preserve">Interchange fees play a critical part in balancing a ‘two-sided’ economic market that brings together and balances the needs of both consumers and merchants. </w:t>
            </w:r>
          </w:p>
          <w:p w14:paraId="7014FB4E" w14:textId="77777777" w:rsidR="005F12D3" w:rsidRDefault="005F12D3" w:rsidP="0089281F">
            <w:pPr>
              <w:pStyle w:val="ListParagraph"/>
              <w:numPr>
                <w:ilvl w:val="0"/>
                <w:numId w:val="2"/>
              </w:numPr>
              <w:spacing w:before="120" w:after="240" w:line="240" w:lineRule="exact"/>
              <w:ind w:left="714" w:right="432" w:hanging="357"/>
              <w:contextualSpacing w:val="0"/>
              <w:jc w:val="both"/>
              <w:rPr>
                <w:rFonts w:ascii="Segoe UI" w:hAnsi="Segoe UI" w:cs="Segoe UI"/>
                <w:sz w:val="22"/>
                <w:szCs w:val="22"/>
              </w:rPr>
            </w:pPr>
            <w:r w:rsidRPr="005F12D3">
              <w:rPr>
                <w:rFonts w:ascii="Segoe UI" w:hAnsi="Segoe UI" w:cs="Segoe UI"/>
                <w:sz w:val="22"/>
                <w:szCs w:val="22"/>
              </w:rPr>
              <w:t xml:space="preserve">Visa recommends an amendment to the PSRA to end the regulation of interchange in Australia through the revocation of the limits on interchange fees.  This would bring Australia back into line with the practice in which interchange is formally unregulated but is exposed to open and competitive market forces. </w:t>
            </w:r>
          </w:p>
          <w:p w14:paraId="6FF9CB01" w14:textId="77777777" w:rsidR="00DF224C" w:rsidRDefault="00DF224C" w:rsidP="0089281F">
            <w:pPr>
              <w:pStyle w:val="ListParagraph"/>
              <w:numPr>
                <w:ilvl w:val="0"/>
                <w:numId w:val="2"/>
              </w:numPr>
              <w:spacing w:before="120" w:after="240" w:line="240" w:lineRule="exact"/>
              <w:ind w:left="714" w:right="432" w:hanging="357"/>
              <w:contextualSpacing w:val="0"/>
              <w:jc w:val="both"/>
              <w:rPr>
                <w:rFonts w:ascii="Segoe UI" w:hAnsi="Segoe UI" w:cs="Segoe UI"/>
                <w:sz w:val="22"/>
                <w:szCs w:val="22"/>
              </w:rPr>
            </w:pPr>
            <w:r>
              <w:rPr>
                <w:rFonts w:ascii="Segoe UI" w:hAnsi="Segoe UI" w:cs="Segoe UI"/>
                <w:sz w:val="22"/>
                <w:szCs w:val="22"/>
              </w:rPr>
              <w:t>Lowering interchange is unlikely to have the effect of benefiting consumers. International experience shows that issuing banks will</w:t>
            </w:r>
            <w:r w:rsidRPr="00426E9B">
              <w:rPr>
                <w:rFonts w:ascii="Segoe UI" w:hAnsi="Segoe UI" w:cs="Segoe UI"/>
                <w:sz w:val="22"/>
                <w:szCs w:val="22"/>
              </w:rPr>
              <w:t xml:space="preserve"> adjust their business models to ensure cost recovery</w:t>
            </w:r>
            <w:r>
              <w:rPr>
                <w:rFonts w:ascii="Segoe UI" w:hAnsi="Segoe UI" w:cs="Segoe UI"/>
                <w:sz w:val="22"/>
                <w:szCs w:val="22"/>
              </w:rPr>
              <w:t xml:space="preserve">, resulting in higher product </w:t>
            </w:r>
            <w:r w:rsidRPr="00426E9B">
              <w:rPr>
                <w:rFonts w:ascii="Segoe UI" w:hAnsi="Segoe UI" w:cs="Segoe UI"/>
                <w:sz w:val="22"/>
                <w:szCs w:val="22"/>
              </w:rPr>
              <w:t>fees and charges</w:t>
            </w:r>
            <w:r>
              <w:rPr>
                <w:rFonts w:ascii="Segoe UI" w:hAnsi="Segoe UI" w:cs="Segoe UI"/>
                <w:sz w:val="22"/>
                <w:szCs w:val="22"/>
              </w:rPr>
              <w:t xml:space="preserve"> for cardholders, and possibly reduced benefits and access to credit particularly for low-income individuals with little or no directly linked reductions in merchant prices. </w:t>
            </w:r>
          </w:p>
          <w:p w14:paraId="5CEDE650" w14:textId="77777777" w:rsidR="00DF224C" w:rsidRPr="0043101D" w:rsidRDefault="00DF224C" w:rsidP="0089281F">
            <w:pPr>
              <w:pStyle w:val="ListParagraph"/>
              <w:numPr>
                <w:ilvl w:val="0"/>
                <w:numId w:val="2"/>
              </w:numPr>
              <w:spacing w:before="120" w:after="240" w:line="240" w:lineRule="exact"/>
              <w:ind w:right="432"/>
              <w:jc w:val="both"/>
              <w:rPr>
                <w:rFonts w:ascii="Segoe UI" w:hAnsi="Segoe UI" w:cs="Segoe UI"/>
                <w:sz w:val="22"/>
                <w:szCs w:val="22"/>
              </w:rPr>
            </w:pPr>
            <w:r w:rsidRPr="0043101D">
              <w:rPr>
                <w:rFonts w:ascii="Segoe UI" w:hAnsi="Segoe UI" w:cs="Segoe UI"/>
                <w:sz w:val="22"/>
                <w:szCs w:val="22"/>
              </w:rPr>
              <w:t xml:space="preserve">The knock-on effect to the economy </w:t>
            </w:r>
            <w:r>
              <w:rPr>
                <w:rFonts w:ascii="Segoe UI" w:hAnsi="Segoe UI" w:cs="Segoe UI"/>
                <w:sz w:val="22"/>
                <w:szCs w:val="22"/>
              </w:rPr>
              <w:t xml:space="preserve">from these changes </w:t>
            </w:r>
            <w:r w:rsidRPr="0043101D">
              <w:rPr>
                <w:rFonts w:ascii="Segoe UI" w:hAnsi="Segoe UI" w:cs="Segoe UI"/>
                <w:sz w:val="22"/>
                <w:szCs w:val="22"/>
              </w:rPr>
              <w:t xml:space="preserve">would be detrimental, particularly when the Australian economy is in a low credit growth environment, household consumption is slightly below trend growth and where consumer sentiment (as a forward looking indicator) is at average levels despite </w:t>
            </w:r>
            <w:r>
              <w:rPr>
                <w:rFonts w:ascii="Segoe UI" w:hAnsi="Segoe UI" w:cs="Segoe UI"/>
                <w:sz w:val="22"/>
                <w:szCs w:val="22"/>
              </w:rPr>
              <w:t>low interest rates</w:t>
            </w:r>
            <w:r w:rsidRPr="0043101D">
              <w:rPr>
                <w:rFonts w:ascii="Segoe UI" w:hAnsi="Segoe UI" w:cs="Segoe UI"/>
                <w:sz w:val="22"/>
                <w:szCs w:val="22"/>
              </w:rPr>
              <w:t xml:space="preserve">. </w:t>
            </w:r>
          </w:p>
          <w:p w14:paraId="2DA97C21" w14:textId="77777777" w:rsidR="00DF224C" w:rsidRPr="0043101D" w:rsidRDefault="00DF224C" w:rsidP="0089281F">
            <w:pPr>
              <w:pStyle w:val="ListParagraph"/>
              <w:spacing w:before="120" w:after="240" w:line="240" w:lineRule="exact"/>
              <w:ind w:right="432"/>
              <w:jc w:val="both"/>
              <w:rPr>
                <w:rFonts w:ascii="Segoe UI" w:hAnsi="Segoe UI" w:cs="Segoe UI"/>
                <w:sz w:val="22"/>
                <w:szCs w:val="22"/>
              </w:rPr>
            </w:pPr>
          </w:p>
          <w:p w14:paraId="5A0BDB7F" w14:textId="77777777" w:rsidR="00DF224C" w:rsidRPr="00426E9B" w:rsidRDefault="00DF224C" w:rsidP="0089281F">
            <w:pPr>
              <w:pStyle w:val="ListParagraph"/>
              <w:numPr>
                <w:ilvl w:val="0"/>
                <w:numId w:val="2"/>
              </w:numPr>
              <w:spacing w:before="120" w:after="240" w:line="240" w:lineRule="exact"/>
              <w:ind w:right="432"/>
              <w:contextualSpacing w:val="0"/>
              <w:jc w:val="both"/>
              <w:rPr>
                <w:rFonts w:ascii="Segoe UI" w:hAnsi="Segoe UI" w:cs="Segoe UI"/>
                <w:sz w:val="22"/>
                <w:szCs w:val="22"/>
              </w:rPr>
            </w:pPr>
            <w:r w:rsidRPr="0043101D">
              <w:rPr>
                <w:rFonts w:ascii="Segoe UI" w:hAnsi="Segoe UI" w:cs="Segoe UI"/>
                <w:sz w:val="22"/>
                <w:szCs w:val="22"/>
              </w:rPr>
              <w:t>Visa considers that the policy decision to reduce interchange fees should be reconsidered and balanced by a proper economic and market impact assessment.</w:t>
            </w:r>
          </w:p>
          <w:p w14:paraId="13F08B5A" w14:textId="77777777" w:rsidR="00DF224C" w:rsidRDefault="00DF224C" w:rsidP="0089281F">
            <w:pPr>
              <w:pStyle w:val="ListParagraph"/>
              <w:numPr>
                <w:ilvl w:val="0"/>
                <w:numId w:val="2"/>
              </w:numPr>
              <w:spacing w:before="120" w:after="240" w:line="240" w:lineRule="exact"/>
              <w:ind w:left="714" w:right="432" w:hanging="357"/>
              <w:contextualSpacing w:val="0"/>
              <w:jc w:val="both"/>
              <w:rPr>
                <w:rFonts w:ascii="Segoe UI" w:hAnsi="Segoe UI" w:cs="Segoe UI"/>
                <w:sz w:val="22"/>
                <w:szCs w:val="22"/>
              </w:rPr>
            </w:pPr>
            <w:r>
              <w:rPr>
                <w:rFonts w:ascii="Segoe UI" w:hAnsi="Segoe UI" w:cs="Segoe UI"/>
                <w:sz w:val="22"/>
                <w:szCs w:val="22"/>
              </w:rPr>
              <w:t>Maintaining a weighted-cap interchange fee is essential for allowing the market to function efficiently – replacing it with a hard cap arrangement will likely see all</w:t>
            </w:r>
            <w:r w:rsidRPr="00F50998">
              <w:rPr>
                <w:rFonts w:ascii="Segoe UI" w:hAnsi="Segoe UI" w:cs="Segoe UI"/>
                <w:sz w:val="22"/>
                <w:szCs w:val="22"/>
              </w:rPr>
              <w:t xml:space="preserve"> rates </w:t>
            </w:r>
            <w:r>
              <w:rPr>
                <w:rFonts w:ascii="Segoe UI" w:hAnsi="Segoe UI" w:cs="Segoe UI"/>
                <w:sz w:val="22"/>
                <w:szCs w:val="22"/>
              </w:rPr>
              <w:t xml:space="preserve">migrate toward the maximum cap, distorting market dynamics among larger and smaller merchants, and also disincentivising innovation. </w:t>
            </w:r>
            <w:r w:rsidRPr="007C4E00">
              <w:rPr>
                <w:rFonts w:ascii="Segoe UI" w:hAnsi="Segoe UI" w:cs="Segoe UI"/>
                <w:sz w:val="22"/>
                <w:szCs w:val="22"/>
              </w:rPr>
              <w:t>The huge growth in contactless payments in Australia has been due to the larger merchants, who have substantially more investment capital aimed at increasing the efficiency of their payments process.</w:t>
            </w:r>
          </w:p>
          <w:p w14:paraId="0E1ECAF9" w14:textId="77777777" w:rsidR="00DF224C" w:rsidRPr="00426E9B" w:rsidRDefault="00DF224C" w:rsidP="0089281F">
            <w:pPr>
              <w:pStyle w:val="ListParagraph"/>
              <w:numPr>
                <w:ilvl w:val="0"/>
                <w:numId w:val="2"/>
              </w:numPr>
              <w:spacing w:before="120" w:after="240" w:line="240" w:lineRule="exact"/>
              <w:ind w:left="714" w:right="432" w:hanging="357"/>
              <w:contextualSpacing w:val="0"/>
              <w:jc w:val="both"/>
              <w:rPr>
                <w:rFonts w:ascii="Segoe UI" w:hAnsi="Segoe UI" w:cs="Segoe UI"/>
                <w:sz w:val="22"/>
                <w:szCs w:val="22"/>
              </w:rPr>
            </w:pPr>
            <w:r>
              <w:rPr>
                <w:rFonts w:ascii="Segoe UI" w:hAnsi="Segoe UI" w:cs="Segoe UI"/>
                <w:sz w:val="22"/>
                <w:szCs w:val="22"/>
              </w:rPr>
              <w:t>A more frequent re-weighting of the interchange basket may be a more appropriate means in addressing the PSB’s concerns without disrupting the current business models and market.</w:t>
            </w:r>
          </w:p>
          <w:p w14:paraId="4E5D6CAD" w14:textId="77777777" w:rsidR="00DF224C" w:rsidRPr="00426E9B" w:rsidRDefault="00DF224C" w:rsidP="00653966">
            <w:pPr>
              <w:pStyle w:val="Heading4"/>
              <w:outlineLvl w:val="3"/>
              <w:rPr>
                <w:rFonts w:ascii="Segoe UI" w:hAnsi="Segoe UI" w:cs="Segoe UI"/>
              </w:rPr>
            </w:pPr>
          </w:p>
        </w:tc>
      </w:tr>
    </w:tbl>
    <w:p w14:paraId="4E7D42AF" w14:textId="77777777" w:rsidR="00DF224C" w:rsidRPr="00426E9B" w:rsidRDefault="00DF224C" w:rsidP="00DF224C">
      <w:pPr>
        <w:rPr>
          <w:rFonts w:ascii="Segoe UI" w:hAnsi="Segoe UI" w:cs="Segoe UI"/>
        </w:rPr>
      </w:pPr>
    </w:p>
    <w:p w14:paraId="36742398" w14:textId="77777777" w:rsidR="00DF224C" w:rsidRDefault="00DF224C" w:rsidP="00DF224C">
      <w:pPr>
        <w:pStyle w:val="Heading2"/>
        <w:ind w:left="567" w:hanging="567"/>
        <w:rPr>
          <w:rFonts w:ascii="Segoe UI" w:hAnsi="Segoe UI" w:cs="Segoe UI"/>
        </w:rPr>
      </w:pPr>
      <w:bookmarkStart w:id="25" w:name="_Toc289107958"/>
      <w:bookmarkStart w:id="26" w:name="_Toc417303930"/>
      <w:bookmarkStart w:id="27" w:name="_Toc417572687"/>
      <w:r>
        <w:rPr>
          <w:rFonts w:ascii="Segoe UI" w:hAnsi="Segoe UI" w:cs="Segoe UI"/>
        </w:rPr>
        <w:t>3.1</w:t>
      </w:r>
      <w:r>
        <w:rPr>
          <w:rFonts w:ascii="Segoe UI" w:hAnsi="Segoe UI" w:cs="Segoe UI"/>
        </w:rPr>
        <w:tab/>
      </w:r>
      <w:r w:rsidRPr="00426E9B">
        <w:rPr>
          <w:rFonts w:ascii="Segoe UI" w:hAnsi="Segoe UI" w:cs="Segoe UI"/>
        </w:rPr>
        <w:t>Introduction</w:t>
      </w:r>
      <w:bookmarkEnd w:id="25"/>
      <w:bookmarkEnd w:id="26"/>
      <w:bookmarkEnd w:id="27"/>
    </w:p>
    <w:p w14:paraId="208646E7" w14:textId="77777777" w:rsidR="00DF224C" w:rsidRPr="00CF374F" w:rsidRDefault="00DF224C" w:rsidP="00DF224C"/>
    <w:p w14:paraId="5A5AC6BC" w14:textId="77777777" w:rsidR="00DF224C" w:rsidRDefault="00DF224C" w:rsidP="00DF224C">
      <w:pPr>
        <w:spacing w:after="200" w:line="276" w:lineRule="auto"/>
        <w:jc w:val="both"/>
        <w:rPr>
          <w:rFonts w:ascii="Segoe UI" w:hAnsi="Segoe UI" w:cs="Segoe UI"/>
          <w:sz w:val="22"/>
          <w:szCs w:val="22"/>
        </w:rPr>
      </w:pPr>
      <w:r>
        <w:rPr>
          <w:rFonts w:ascii="Segoe UI" w:hAnsi="Segoe UI" w:cs="Segoe UI"/>
          <w:sz w:val="22"/>
          <w:szCs w:val="22"/>
        </w:rPr>
        <w:t xml:space="preserve">Before dealing with the specific options that the PSB is considering, Visa would like to reinforce the important market dynamics that occur in the setting of interchange rates.  </w:t>
      </w:r>
    </w:p>
    <w:p w14:paraId="59687BC7" w14:textId="77777777" w:rsidR="0089281F" w:rsidRDefault="00DF224C" w:rsidP="00DF224C">
      <w:pPr>
        <w:spacing w:after="200" w:line="276" w:lineRule="auto"/>
        <w:jc w:val="both"/>
        <w:rPr>
          <w:rFonts w:ascii="Segoe UI" w:hAnsi="Segoe UI" w:cs="Segoe UI"/>
          <w:sz w:val="22"/>
          <w:szCs w:val="22"/>
        </w:rPr>
      </w:pPr>
      <w:r w:rsidRPr="00426E9B">
        <w:rPr>
          <w:rFonts w:ascii="Segoe UI" w:hAnsi="Segoe UI" w:cs="Segoe UI"/>
          <w:sz w:val="22"/>
          <w:szCs w:val="22"/>
        </w:rPr>
        <w:t>Visa advocate</w:t>
      </w:r>
      <w:r>
        <w:rPr>
          <w:rFonts w:ascii="Segoe UI" w:hAnsi="Segoe UI" w:cs="Segoe UI"/>
          <w:sz w:val="22"/>
          <w:szCs w:val="22"/>
        </w:rPr>
        <w:t>s</w:t>
      </w:r>
      <w:r w:rsidRPr="00426E9B">
        <w:rPr>
          <w:rFonts w:ascii="Segoe UI" w:hAnsi="Segoe UI" w:cs="Segoe UI"/>
          <w:sz w:val="22"/>
          <w:szCs w:val="22"/>
        </w:rPr>
        <w:t xml:space="preserve"> for the importance of interchange as a mechanism to balance a ‘two-sided’ economic market that brings together and balances the </w:t>
      </w:r>
      <w:r>
        <w:rPr>
          <w:rFonts w:ascii="Segoe UI" w:hAnsi="Segoe UI" w:cs="Segoe UI"/>
          <w:sz w:val="22"/>
          <w:szCs w:val="22"/>
        </w:rPr>
        <w:t xml:space="preserve">disparate </w:t>
      </w:r>
      <w:r w:rsidRPr="00426E9B">
        <w:rPr>
          <w:rFonts w:ascii="Segoe UI" w:hAnsi="Segoe UI" w:cs="Segoe UI"/>
          <w:sz w:val="22"/>
          <w:szCs w:val="22"/>
        </w:rPr>
        <w:t xml:space="preserve">needs of both consumers and merchants. If the cost to merchants were too high, many businesses would stop accepting cards, thereby </w:t>
      </w:r>
      <w:r>
        <w:rPr>
          <w:rFonts w:ascii="Segoe UI" w:hAnsi="Segoe UI" w:cs="Segoe UI"/>
          <w:sz w:val="22"/>
          <w:szCs w:val="22"/>
        </w:rPr>
        <w:t>disadvantaging</w:t>
      </w:r>
      <w:r w:rsidRPr="00426E9B">
        <w:rPr>
          <w:rFonts w:ascii="Segoe UI" w:hAnsi="Segoe UI" w:cs="Segoe UI"/>
          <w:sz w:val="22"/>
          <w:szCs w:val="22"/>
        </w:rPr>
        <w:t xml:space="preserve"> the </w:t>
      </w:r>
      <w:r>
        <w:rPr>
          <w:rFonts w:ascii="Segoe UI" w:hAnsi="Segoe UI" w:cs="Segoe UI"/>
          <w:sz w:val="22"/>
          <w:szCs w:val="22"/>
        </w:rPr>
        <w:t xml:space="preserve">efficiency and </w:t>
      </w:r>
      <w:r w:rsidRPr="00426E9B">
        <w:rPr>
          <w:rFonts w:ascii="Segoe UI" w:hAnsi="Segoe UI" w:cs="Segoe UI"/>
          <w:sz w:val="22"/>
          <w:szCs w:val="22"/>
        </w:rPr>
        <w:t>effectiveness of the system</w:t>
      </w:r>
      <w:r>
        <w:rPr>
          <w:rFonts w:ascii="Segoe UI" w:hAnsi="Segoe UI" w:cs="Segoe UI"/>
          <w:sz w:val="22"/>
          <w:szCs w:val="22"/>
        </w:rPr>
        <w:t xml:space="preserve">, or </w:t>
      </w:r>
      <w:r>
        <w:rPr>
          <w:rFonts w:ascii="Segoe UI" w:hAnsi="Segoe UI" w:cs="Segoe UI"/>
          <w:sz w:val="22"/>
          <w:szCs w:val="22"/>
        </w:rPr>
        <w:lastRenderedPageBreak/>
        <w:t>drive consumers to alternative funding sources that are potentially less transparent or efficient</w:t>
      </w:r>
      <w:r w:rsidRPr="00426E9B">
        <w:rPr>
          <w:rFonts w:ascii="Segoe UI" w:hAnsi="Segoe UI" w:cs="Segoe UI"/>
          <w:sz w:val="22"/>
          <w:szCs w:val="22"/>
        </w:rPr>
        <w:t>. Similarly, if the cost to consumers were too high, it would limit consumer use of payments cards and, as a result, inhibit consumer spending</w:t>
      </w:r>
      <w:r>
        <w:rPr>
          <w:rFonts w:ascii="Segoe UI" w:hAnsi="Segoe UI" w:cs="Segoe UI"/>
          <w:sz w:val="22"/>
          <w:szCs w:val="22"/>
        </w:rPr>
        <w:t xml:space="preserve"> and adoption of new digital technologies</w:t>
      </w:r>
      <w:r w:rsidRPr="00426E9B">
        <w:rPr>
          <w:rFonts w:ascii="Segoe UI" w:hAnsi="Segoe UI" w:cs="Segoe UI"/>
          <w:sz w:val="22"/>
          <w:szCs w:val="22"/>
        </w:rPr>
        <w:t xml:space="preserve">. </w:t>
      </w:r>
    </w:p>
    <w:p w14:paraId="67870AB0" w14:textId="18617117" w:rsidR="00DF224C" w:rsidRDefault="00DF224C" w:rsidP="00DF224C">
      <w:pPr>
        <w:spacing w:after="200" w:line="276" w:lineRule="auto"/>
        <w:jc w:val="both"/>
        <w:rPr>
          <w:rFonts w:ascii="Segoe UI" w:hAnsi="Segoe UI" w:cs="Segoe UI"/>
          <w:sz w:val="22"/>
          <w:szCs w:val="22"/>
        </w:rPr>
      </w:pPr>
      <w:r w:rsidRPr="00426E9B">
        <w:rPr>
          <w:rFonts w:ascii="Segoe UI" w:hAnsi="Segoe UI" w:cs="Segoe UI"/>
          <w:sz w:val="22"/>
          <w:szCs w:val="22"/>
        </w:rPr>
        <w:t xml:space="preserve">Accordingly, the payments industry should be able to self-regulate the fees based on market demand. Visa </w:t>
      </w:r>
      <w:r>
        <w:rPr>
          <w:rFonts w:ascii="Segoe UI" w:hAnsi="Segoe UI" w:cs="Segoe UI"/>
          <w:sz w:val="22"/>
          <w:szCs w:val="22"/>
        </w:rPr>
        <w:t>balances</w:t>
      </w:r>
      <w:r w:rsidRPr="00426E9B">
        <w:rPr>
          <w:rFonts w:ascii="Segoe UI" w:hAnsi="Segoe UI" w:cs="Segoe UI"/>
          <w:sz w:val="22"/>
          <w:szCs w:val="22"/>
        </w:rPr>
        <w:t xml:space="preserve"> interchange to maximi</w:t>
      </w:r>
      <w:r>
        <w:rPr>
          <w:rFonts w:ascii="Segoe UI" w:hAnsi="Segoe UI" w:cs="Segoe UI"/>
          <w:sz w:val="22"/>
          <w:szCs w:val="22"/>
        </w:rPr>
        <w:t>s</w:t>
      </w:r>
      <w:r w:rsidRPr="00426E9B">
        <w:rPr>
          <w:rFonts w:ascii="Segoe UI" w:hAnsi="Segoe UI" w:cs="Segoe UI"/>
          <w:sz w:val="22"/>
          <w:szCs w:val="22"/>
        </w:rPr>
        <w:t xml:space="preserve">e </w:t>
      </w:r>
      <w:r>
        <w:rPr>
          <w:rFonts w:ascii="Segoe UI" w:hAnsi="Segoe UI" w:cs="Segoe UI"/>
          <w:sz w:val="22"/>
          <w:szCs w:val="22"/>
        </w:rPr>
        <w:t xml:space="preserve">use of electronic transactions and </w:t>
      </w:r>
      <w:r w:rsidRPr="00426E9B">
        <w:rPr>
          <w:rFonts w:ascii="Segoe UI" w:hAnsi="Segoe UI" w:cs="Segoe UI"/>
          <w:sz w:val="22"/>
          <w:szCs w:val="22"/>
        </w:rPr>
        <w:t xml:space="preserve">benefits to both sides of the market. </w:t>
      </w:r>
      <w:r>
        <w:rPr>
          <w:rFonts w:ascii="Segoe UI" w:hAnsi="Segoe UI" w:cs="Segoe UI"/>
          <w:sz w:val="22"/>
          <w:szCs w:val="22"/>
        </w:rPr>
        <w:t>In effect, interchange is the mechanism through which economically efficient outcomes are achieved. Visa therefore refutes the point that interchange is used to ‘</w:t>
      </w:r>
      <w:r w:rsidRPr="00033196">
        <w:rPr>
          <w:rFonts w:ascii="Segoe UI" w:hAnsi="Segoe UI" w:cs="Segoe UI"/>
          <w:sz w:val="22"/>
          <w:szCs w:val="22"/>
        </w:rPr>
        <w:t>drive up interchange fees and costs to merchants, with adverse effects on the efficiency of the payments system</w:t>
      </w:r>
      <w:r>
        <w:rPr>
          <w:rFonts w:ascii="Segoe UI" w:hAnsi="Segoe UI" w:cs="Segoe UI"/>
          <w:sz w:val="22"/>
          <w:szCs w:val="22"/>
        </w:rPr>
        <w:t xml:space="preserve"> (RBA Issues Paper p. 9).</w:t>
      </w:r>
    </w:p>
    <w:p w14:paraId="42B1ED76" w14:textId="51F081B9" w:rsidR="00DF224C" w:rsidRPr="00B467D6" w:rsidRDefault="00DF224C" w:rsidP="00DF224C">
      <w:pPr>
        <w:spacing w:after="200" w:line="276" w:lineRule="auto"/>
        <w:jc w:val="both"/>
        <w:rPr>
          <w:rFonts w:ascii="Segoe UI" w:hAnsi="Segoe UI" w:cs="Segoe UI"/>
          <w:sz w:val="22"/>
          <w:szCs w:val="22"/>
        </w:rPr>
      </w:pPr>
      <w:r w:rsidRPr="00B467D6">
        <w:rPr>
          <w:rFonts w:ascii="Segoe UI" w:hAnsi="Segoe UI" w:cs="Segoe UI"/>
          <w:sz w:val="22"/>
          <w:szCs w:val="22"/>
        </w:rPr>
        <w:t xml:space="preserve">Thus, Visa has traditionally set lower rates for certain segments </w:t>
      </w:r>
      <w:r>
        <w:rPr>
          <w:rFonts w:ascii="Segoe UI" w:hAnsi="Segoe UI" w:cs="Segoe UI"/>
          <w:sz w:val="22"/>
          <w:szCs w:val="22"/>
        </w:rPr>
        <w:t xml:space="preserve">to reflect ‘buyer’ perceptions of value vis-a-vis other payment mechanisms </w:t>
      </w:r>
      <w:r w:rsidRPr="00B467D6">
        <w:rPr>
          <w:rFonts w:ascii="Segoe UI" w:hAnsi="Segoe UI" w:cs="Segoe UI"/>
          <w:sz w:val="22"/>
          <w:szCs w:val="22"/>
        </w:rPr>
        <w:t>(</w:t>
      </w:r>
      <w:r>
        <w:rPr>
          <w:rFonts w:ascii="Segoe UI" w:hAnsi="Segoe UI" w:cs="Segoe UI"/>
          <w:sz w:val="22"/>
          <w:szCs w:val="22"/>
        </w:rPr>
        <w:t>for example,</w:t>
      </w:r>
      <w:r w:rsidRPr="00B467D6">
        <w:rPr>
          <w:rFonts w:ascii="Segoe UI" w:hAnsi="Segoe UI" w:cs="Segoe UI"/>
          <w:sz w:val="22"/>
          <w:szCs w:val="22"/>
        </w:rPr>
        <w:t xml:space="preserve"> grocery stores,</w:t>
      </w:r>
      <w:r>
        <w:rPr>
          <w:rFonts w:ascii="Segoe UI" w:hAnsi="Segoe UI" w:cs="Segoe UI"/>
          <w:sz w:val="22"/>
          <w:szCs w:val="22"/>
        </w:rPr>
        <w:t xml:space="preserve"> petrol, even charities</w:t>
      </w:r>
      <w:r w:rsidRPr="00B467D6">
        <w:rPr>
          <w:rFonts w:ascii="Segoe UI" w:hAnsi="Segoe UI" w:cs="Segoe UI"/>
          <w:sz w:val="22"/>
          <w:szCs w:val="22"/>
        </w:rPr>
        <w:t xml:space="preserve">), while it sets higher rates for transactions at merchants </w:t>
      </w:r>
      <w:r>
        <w:rPr>
          <w:rFonts w:ascii="Segoe UI" w:hAnsi="Segoe UI" w:cs="Segoe UI"/>
          <w:sz w:val="22"/>
          <w:szCs w:val="22"/>
        </w:rPr>
        <w:t xml:space="preserve">where the value of Visa’s network is more universally acknowledged and material (for example, merchants </w:t>
      </w:r>
      <w:r w:rsidRPr="00B467D6">
        <w:rPr>
          <w:rFonts w:ascii="Segoe UI" w:hAnsi="Segoe UI" w:cs="Segoe UI"/>
          <w:sz w:val="22"/>
          <w:szCs w:val="22"/>
        </w:rPr>
        <w:t xml:space="preserve">that represent higher risk to other participants in the payment system </w:t>
      </w:r>
      <w:r>
        <w:rPr>
          <w:rFonts w:ascii="Segoe UI" w:hAnsi="Segoe UI" w:cs="Segoe UI"/>
          <w:sz w:val="22"/>
          <w:szCs w:val="22"/>
        </w:rPr>
        <w:t xml:space="preserve">or higher end merchant categories </w:t>
      </w:r>
      <w:r w:rsidRPr="00B467D6">
        <w:rPr>
          <w:rFonts w:ascii="Segoe UI" w:hAnsi="Segoe UI" w:cs="Segoe UI"/>
          <w:sz w:val="22"/>
          <w:szCs w:val="22"/>
        </w:rPr>
        <w:t>(</w:t>
      </w:r>
      <w:r>
        <w:rPr>
          <w:rFonts w:ascii="Segoe UI" w:hAnsi="Segoe UI" w:cs="Segoe UI"/>
          <w:sz w:val="22"/>
          <w:szCs w:val="22"/>
        </w:rPr>
        <w:t xml:space="preserve">for example, </w:t>
      </w:r>
      <w:r w:rsidRPr="00B467D6">
        <w:rPr>
          <w:rFonts w:ascii="Segoe UI" w:hAnsi="Segoe UI" w:cs="Segoe UI"/>
          <w:sz w:val="22"/>
          <w:szCs w:val="22"/>
        </w:rPr>
        <w:t xml:space="preserve"> e-commerce merchants, who pose a higher fraud risk, with its attendant costs on issuers, acquirers, and cardholders).</w:t>
      </w:r>
      <w:r>
        <w:rPr>
          <w:rFonts w:ascii="Segoe UI" w:hAnsi="Segoe UI" w:cs="Segoe UI"/>
          <w:sz w:val="22"/>
          <w:szCs w:val="22"/>
        </w:rPr>
        <w:t xml:space="preserve"> </w:t>
      </w:r>
    </w:p>
    <w:p w14:paraId="3EEF9472" w14:textId="77777777" w:rsidR="00DF224C" w:rsidRDefault="00DF224C" w:rsidP="00DF224C">
      <w:pPr>
        <w:spacing w:after="200" w:line="276" w:lineRule="auto"/>
        <w:jc w:val="both"/>
        <w:rPr>
          <w:rFonts w:ascii="Segoe UI" w:hAnsi="Segoe UI" w:cs="Segoe UI"/>
          <w:sz w:val="22"/>
          <w:szCs w:val="22"/>
        </w:rPr>
      </w:pPr>
      <w:r w:rsidRPr="00B467D6">
        <w:rPr>
          <w:rFonts w:ascii="Segoe UI" w:hAnsi="Segoe UI" w:cs="Segoe UI"/>
          <w:sz w:val="22"/>
          <w:szCs w:val="22"/>
        </w:rPr>
        <w:t xml:space="preserve">Importantly, to set interchange fees effectively, Visa must engage in a precise and nuanced analysis of the marketplace along multiple dimensions. There is no “one size fits all” </w:t>
      </w:r>
      <w:r>
        <w:rPr>
          <w:rFonts w:ascii="Segoe UI" w:hAnsi="Segoe UI" w:cs="Segoe UI"/>
          <w:sz w:val="22"/>
          <w:szCs w:val="22"/>
        </w:rPr>
        <w:t xml:space="preserve">solution </w:t>
      </w:r>
      <w:r w:rsidRPr="00B467D6">
        <w:rPr>
          <w:rFonts w:ascii="Segoe UI" w:hAnsi="Segoe UI" w:cs="Segoe UI"/>
          <w:sz w:val="22"/>
          <w:szCs w:val="22"/>
        </w:rPr>
        <w:t xml:space="preserve">that is likely to </w:t>
      </w:r>
      <w:r>
        <w:rPr>
          <w:rFonts w:ascii="Segoe UI" w:hAnsi="Segoe UI" w:cs="Segoe UI"/>
          <w:sz w:val="22"/>
          <w:szCs w:val="22"/>
        </w:rPr>
        <w:t xml:space="preserve">balance consumers and merchants </w:t>
      </w:r>
      <w:r w:rsidRPr="00B467D6">
        <w:rPr>
          <w:rFonts w:ascii="Segoe UI" w:hAnsi="Segoe UI" w:cs="Segoe UI"/>
          <w:sz w:val="22"/>
          <w:szCs w:val="22"/>
        </w:rPr>
        <w:t>in all countries.</w:t>
      </w:r>
    </w:p>
    <w:p w14:paraId="081EA552" w14:textId="12AD7CA3" w:rsidR="00DF224C" w:rsidRDefault="00DF224C" w:rsidP="00DF224C">
      <w:pPr>
        <w:spacing w:after="200" w:line="276" w:lineRule="auto"/>
        <w:jc w:val="both"/>
        <w:rPr>
          <w:rFonts w:ascii="Segoe UI" w:hAnsi="Segoe UI" w:cs="Segoe UI"/>
          <w:sz w:val="22"/>
          <w:szCs w:val="22"/>
        </w:rPr>
      </w:pPr>
      <w:r>
        <w:rPr>
          <w:rFonts w:ascii="Segoe UI" w:hAnsi="Segoe UI" w:cs="Segoe UI"/>
          <w:sz w:val="22"/>
          <w:szCs w:val="22"/>
        </w:rPr>
        <w:t xml:space="preserve">Moreover, the electronic payments sector is a fiercely competitive marketplace that is growing more competitive. As discussed in chapter 1, an array of new competitors have entered the market, including both well-known companies such as PayPal, Google and Alipay, as well as lesser known (but increasingly successful) startups such as Square, iZettle and Weve. These entrants, as well as the traditional card companies, have all brought a host of innovations to market, including, for example, mobile payments and wallet technology. </w:t>
      </w:r>
    </w:p>
    <w:p w14:paraId="1AB8EE58" w14:textId="77777777" w:rsidR="00B56604" w:rsidRDefault="00B56604" w:rsidP="00B56604">
      <w:pPr>
        <w:spacing w:after="200" w:line="276" w:lineRule="auto"/>
        <w:jc w:val="both"/>
        <w:rPr>
          <w:rFonts w:ascii="Segoe UI" w:hAnsi="Segoe UI" w:cs="Segoe UI"/>
          <w:sz w:val="22"/>
          <w:szCs w:val="22"/>
        </w:rPr>
      </w:pPr>
      <w:r w:rsidRPr="005F12D3">
        <w:rPr>
          <w:rFonts w:ascii="Segoe UI" w:hAnsi="Segoe UI" w:cs="Segoe UI"/>
          <w:sz w:val="22"/>
          <w:szCs w:val="22"/>
        </w:rPr>
        <w:t>In summary, Visa recommends an amendment to the PSRA to end the regulation of interchange in Australia through the revocation of the limits on interchange fees.  This would bring Australia back into line with the practice in which interchange is formally unregulated but is exposed to open and competitive market forces. The conduct of payment systems and other market participants would of course always remain subject to Australia’s competition laws, which are a fundamental limit on the ability of any firm to act anti-competitively. This would also recognise the reality that regulation has not provided clear benefits to the Australian payment system, but instead has constituted a wealth transfer from Australian consumers to Australian merchants.</w:t>
      </w:r>
    </w:p>
    <w:p w14:paraId="244A81F6" w14:textId="77777777" w:rsidR="0089281F" w:rsidRDefault="0089281F" w:rsidP="00B56604">
      <w:pPr>
        <w:spacing w:after="200" w:line="276" w:lineRule="auto"/>
        <w:jc w:val="both"/>
        <w:rPr>
          <w:rFonts w:ascii="Segoe UI" w:hAnsi="Segoe UI" w:cs="Segoe UI"/>
          <w:sz w:val="22"/>
          <w:szCs w:val="22"/>
        </w:rPr>
      </w:pPr>
    </w:p>
    <w:p w14:paraId="439C583F" w14:textId="77777777" w:rsidR="00DF224C" w:rsidRDefault="00DF224C" w:rsidP="00DF224C">
      <w:pPr>
        <w:pStyle w:val="Heading2"/>
        <w:ind w:left="567" w:hanging="567"/>
        <w:rPr>
          <w:rFonts w:ascii="Segoe UI" w:hAnsi="Segoe UI" w:cs="Segoe UI"/>
        </w:rPr>
      </w:pPr>
      <w:bookmarkStart w:id="28" w:name="_Toc417303931"/>
      <w:bookmarkStart w:id="29" w:name="_Toc417572688"/>
      <w:r>
        <w:rPr>
          <w:rFonts w:ascii="Segoe UI" w:hAnsi="Segoe UI" w:cs="Segoe UI"/>
        </w:rPr>
        <w:lastRenderedPageBreak/>
        <w:t>3.2</w:t>
      </w:r>
      <w:r>
        <w:rPr>
          <w:rFonts w:ascii="Segoe UI" w:hAnsi="Segoe UI" w:cs="Segoe UI"/>
        </w:rPr>
        <w:tab/>
        <w:t>Lowering interchange fee caps</w:t>
      </w:r>
      <w:bookmarkEnd w:id="28"/>
      <w:bookmarkEnd w:id="29"/>
    </w:p>
    <w:p w14:paraId="5FF23E27" w14:textId="77777777" w:rsidR="00DF224C" w:rsidRDefault="00DF224C" w:rsidP="00DF224C">
      <w:pPr>
        <w:spacing w:line="276" w:lineRule="auto"/>
        <w:rPr>
          <w:rFonts w:ascii="Segoe UI" w:hAnsi="Segoe UI" w:cs="Segoe UI"/>
          <w:sz w:val="22"/>
          <w:szCs w:val="22"/>
        </w:rPr>
      </w:pPr>
    </w:p>
    <w:p w14:paraId="6B475321" w14:textId="77777777" w:rsidR="00DF224C" w:rsidRDefault="00DF224C" w:rsidP="00DF224C">
      <w:pPr>
        <w:spacing w:line="276" w:lineRule="auto"/>
        <w:jc w:val="both"/>
        <w:rPr>
          <w:rFonts w:ascii="Segoe UI" w:hAnsi="Segoe UI" w:cs="Segoe UI"/>
          <w:sz w:val="22"/>
          <w:szCs w:val="22"/>
        </w:rPr>
      </w:pPr>
      <w:r>
        <w:rPr>
          <w:rFonts w:ascii="Segoe UI" w:hAnsi="Segoe UI" w:cs="Segoe UI"/>
          <w:sz w:val="22"/>
          <w:szCs w:val="22"/>
        </w:rPr>
        <w:t xml:space="preserve">It has been suggested that a further lowering of interchange fee caps could improve the efficiency of the payments system. The central contention here is that ‘low cost’ in this one component of the payment value chain, equates to efficiency; that lowering interchange fees will reduce merchant service fees, which will ultimately benefit consumers. Although the PSB recognises that there will be transitional costs and considerable disruption to existing business models as a result of lowering interchange fees, it is believed that the benefits of doing so will benefit merchants who in turn will pass on these reduced costs to consumers. </w:t>
      </w:r>
    </w:p>
    <w:p w14:paraId="2A4D0796" w14:textId="77777777" w:rsidR="00DF224C" w:rsidRDefault="00DF224C" w:rsidP="00DF224C">
      <w:pPr>
        <w:spacing w:line="276" w:lineRule="auto"/>
        <w:rPr>
          <w:rFonts w:ascii="Segoe UI" w:hAnsi="Segoe UI" w:cs="Segoe UI"/>
          <w:sz w:val="22"/>
          <w:szCs w:val="22"/>
        </w:rPr>
      </w:pPr>
    </w:p>
    <w:p w14:paraId="6828BCDD" w14:textId="30A9BEE1" w:rsidR="00DF224C" w:rsidRDefault="00DF224C" w:rsidP="00DF224C">
      <w:pPr>
        <w:spacing w:line="276" w:lineRule="auto"/>
        <w:jc w:val="both"/>
        <w:rPr>
          <w:rFonts w:ascii="Segoe UI" w:hAnsi="Segoe UI" w:cs="Segoe UI"/>
          <w:sz w:val="22"/>
          <w:szCs w:val="22"/>
        </w:rPr>
      </w:pPr>
      <w:r w:rsidRPr="002C03ED">
        <w:rPr>
          <w:rFonts w:ascii="Segoe UI" w:hAnsi="Segoe UI" w:cs="Segoe UI"/>
          <w:sz w:val="22"/>
          <w:szCs w:val="22"/>
        </w:rPr>
        <w:t xml:space="preserve">As </w:t>
      </w:r>
      <w:r w:rsidR="00E86F46">
        <w:rPr>
          <w:rFonts w:ascii="Segoe UI" w:hAnsi="Segoe UI" w:cs="Segoe UI"/>
          <w:sz w:val="22"/>
          <w:szCs w:val="22"/>
        </w:rPr>
        <w:t>a</w:t>
      </w:r>
      <w:r w:rsidRPr="002C03ED">
        <w:rPr>
          <w:rFonts w:ascii="Segoe UI" w:hAnsi="Segoe UI" w:cs="Segoe UI"/>
          <w:sz w:val="22"/>
          <w:szCs w:val="22"/>
        </w:rPr>
        <w:t xml:space="preserve"> global electronic payment provider, Visa has unique insights into the </w:t>
      </w:r>
      <w:r>
        <w:rPr>
          <w:rFonts w:ascii="Segoe UI" w:hAnsi="Segoe UI" w:cs="Segoe UI"/>
          <w:sz w:val="22"/>
          <w:szCs w:val="22"/>
        </w:rPr>
        <w:t>likely outcomes of further</w:t>
      </w:r>
      <w:r w:rsidRPr="002C03ED">
        <w:rPr>
          <w:rFonts w:ascii="Segoe UI" w:hAnsi="Segoe UI" w:cs="Segoe UI"/>
          <w:sz w:val="22"/>
          <w:szCs w:val="22"/>
        </w:rPr>
        <w:t xml:space="preserve"> </w:t>
      </w:r>
      <w:r>
        <w:rPr>
          <w:rFonts w:ascii="Segoe UI" w:hAnsi="Segoe UI" w:cs="Segoe UI"/>
          <w:sz w:val="22"/>
          <w:szCs w:val="22"/>
        </w:rPr>
        <w:t>regulatory</w:t>
      </w:r>
      <w:r w:rsidRPr="002C03ED">
        <w:rPr>
          <w:rFonts w:ascii="Segoe UI" w:hAnsi="Segoe UI" w:cs="Segoe UI"/>
          <w:sz w:val="22"/>
          <w:szCs w:val="22"/>
        </w:rPr>
        <w:t xml:space="preserve"> intervention in this area. </w:t>
      </w:r>
      <w:r>
        <w:rPr>
          <w:rFonts w:ascii="Segoe UI" w:hAnsi="Segoe UI" w:cs="Segoe UI"/>
          <w:sz w:val="22"/>
          <w:szCs w:val="22"/>
        </w:rPr>
        <w:t>In Visa’s view, no attempt to regulate interchange fees anywhere has ever effectively balanced the interests of merchants and consumers (cardholders). Unquestionably, retailers have received a windfall in lower acceptance costs and increased pro</w:t>
      </w:r>
      <w:r w:rsidR="006745B9">
        <w:rPr>
          <w:rFonts w:ascii="Segoe UI" w:hAnsi="Segoe UI" w:cs="Segoe UI"/>
          <w:sz w:val="22"/>
          <w:szCs w:val="22"/>
        </w:rPr>
        <w:t xml:space="preserve">fits </w:t>
      </w:r>
      <w:r w:rsidR="00287A8C">
        <w:rPr>
          <w:rFonts w:ascii="Segoe UI" w:hAnsi="Segoe UI" w:cs="Segoe UI"/>
          <w:sz w:val="22"/>
          <w:szCs w:val="22"/>
        </w:rPr>
        <w:t>and there is no evidence to show these have</w:t>
      </w:r>
      <w:r w:rsidR="006745B9">
        <w:rPr>
          <w:rFonts w:ascii="Segoe UI" w:hAnsi="Segoe UI" w:cs="Segoe UI"/>
          <w:sz w:val="22"/>
          <w:szCs w:val="22"/>
        </w:rPr>
        <w:t xml:space="preserve"> materialis</w:t>
      </w:r>
      <w:r>
        <w:rPr>
          <w:rFonts w:ascii="Segoe UI" w:hAnsi="Segoe UI" w:cs="Segoe UI"/>
          <w:sz w:val="22"/>
          <w:szCs w:val="22"/>
        </w:rPr>
        <w:t xml:space="preserve">ed </w:t>
      </w:r>
      <w:r w:rsidR="00287A8C">
        <w:rPr>
          <w:rFonts w:ascii="Segoe UI" w:hAnsi="Segoe UI" w:cs="Segoe UI"/>
          <w:sz w:val="22"/>
          <w:szCs w:val="22"/>
        </w:rPr>
        <w:t>as</w:t>
      </w:r>
      <w:r>
        <w:rPr>
          <w:rFonts w:ascii="Segoe UI" w:hAnsi="Segoe UI" w:cs="Segoe UI"/>
          <w:sz w:val="22"/>
          <w:szCs w:val="22"/>
        </w:rPr>
        <w:t xml:space="preserve"> lower prices for consumers at the POS.  Card </w:t>
      </w:r>
      <w:r w:rsidR="003F6869">
        <w:rPr>
          <w:rFonts w:ascii="Segoe UI" w:hAnsi="Segoe UI" w:cs="Segoe UI"/>
          <w:sz w:val="22"/>
          <w:szCs w:val="22"/>
        </w:rPr>
        <w:t>payments end up further subsidis</w:t>
      </w:r>
      <w:r>
        <w:rPr>
          <w:rFonts w:ascii="Segoe UI" w:hAnsi="Segoe UI" w:cs="Segoe UI"/>
          <w:sz w:val="22"/>
          <w:szCs w:val="22"/>
        </w:rPr>
        <w:t xml:space="preserve">ing the tacit and explicit costs of cash alternatives. </w:t>
      </w:r>
    </w:p>
    <w:p w14:paraId="7DE24D0A" w14:textId="77777777" w:rsidR="00DF224C" w:rsidRDefault="00DF224C" w:rsidP="00DF224C">
      <w:pPr>
        <w:spacing w:line="276" w:lineRule="auto"/>
        <w:jc w:val="both"/>
        <w:rPr>
          <w:rFonts w:ascii="Segoe UI" w:hAnsi="Segoe UI" w:cs="Segoe UI"/>
          <w:sz w:val="22"/>
          <w:szCs w:val="22"/>
        </w:rPr>
      </w:pPr>
    </w:p>
    <w:p w14:paraId="6DB261E8" w14:textId="77777777" w:rsidR="00DF224C" w:rsidRPr="005D2CFA" w:rsidRDefault="00DF224C" w:rsidP="00DF224C">
      <w:pPr>
        <w:tabs>
          <w:tab w:val="left" w:pos="0"/>
        </w:tabs>
        <w:spacing w:line="276" w:lineRule="auto"/>
        <w:jc w:val="both"/>
        <w:rPr>
          <w:rFonts w:ascii="Segoe UI" w:hAnsi="Segoe UI" w:cs="Segoe UI"/>
          <w:sz w:val="22"/>
          <w:szCs w:val="22"/>
        </w:rPr>
      </w:pPr>
      <w:r w:rsidRPr="005D2CFA">
        <w:rPr>
          <w:rFonts w:ascii="Segoe UI" w:hAnsi="Segoe UI" w:cs="Segoe UI"/>
          <w:sz w:val="22"/>
          <w:szCs w:val="22"/>
        </w:rPr>
        <w:t xml:space="preserve">In their paper from 2014 entitled “Price Controls on Payment Card Interchange Fees: The U.S. Experience”, </w:t>
      </w:r>
      <w:r w:rsidRPr="00C42A50">
        <w:rPr>
          <w:rFonts w:ascii="Segoe UI" w:hAnsi="Segoe UI" w:cs="Segoe UI"/>
          <w:bCs/>
          <w:sz w:val="22"/>
          <w:szCs w:val="22"/>
        </w:rPr>
        <w:t xml:space="preserve">Zywicki, Manne and Morris found that, following the capping of </w:t>
      </w:r>
      <w:r>
        <w:rPr>
          <w:rFonts w:ascii="Segoe UI" w:hAnsi="Segoe UI" w:cs="Segoe UI"/>
          <w:bCs/>
          <w:sz w:val="22"/>
          <w:szCs w:val="22"/>
        </w:rPr>
        <w:t>D</w:t>
      </w:r>
      <w:r w:rsidRPr="00C42A50">
        <w:rPr>
          <w:rFonts w:ascii="Segoe UI" w:hAnsi="Segoe UI" w:cs="Segoe UI"/>
          <w:bCs/>
          <w:sz w:val="22"/>
          <w:szCs w:val="22"/>
        </w:rPr>
        <w:t xml:space="preserve">ebit interchange in the U.S., via what is known as the Durbin Amendment, most </w:t>
      </w:r>
      <w:r w:rsidRPr="005D2CFA">
        <w:rPr>
          <w:rFonts w:ascii="Segoe UI" w:hAnsi="Segoe UI" w:cs="Segoe UI"/>
          <w:sz w:val="22"/>
          <w:szCs w:val="22"/>
        </w:rPr>
        <w:t>large retailers have seen significant cost reductions, yet to date there is no evidence that those cost savings have been passed-through to consumers.</w:t>
      </w:r>
      <w:r>
        <w:rPr>
          <w:rStyle w:val="FootnoteReference"/>
          <w:rFonts w:ascii="Segoe UI" w:hAnsi="Segoe UI" w:cs="Segoe UI"/>
          <w:sz w:val="22"/>
          <w:szCs w:val="22"/>
        </w:rPr>
        <w:footnoteReference w:id="15"/>
      </w:r>
      <w:r w:rsidRPr="005D2CFA">
        <w:rPr>
          <w:rFonts w:ascii="Segoe UI" w:hAnsi="Segoe UI" w:cs="Segoe UI"/>
          <w:sz w:val="22"/>
          <w:szCs w:val="22"/>
        </w:rPr>
        <w:t xml:space="preserve"> </w:t>
      </w:r>
    </w:p>
    <w:p w14:paraId="6F62E30F" w14:textId="77777777" w:rsidR="00DF224C" w:rsidRPr="005D2CFA" w:rsidRDefault="00DF224C" w:rsidP="00DF224C">
      <w:pPr>
        <w:tabs>
          <w:tab w:val="left" w:pos="0"/>
        </w:tabs>
        <w:spacing w:line="276" w:lineRule="auto"/>
        <w:jc w:val="both"/>
        <w:rPr>
          <w:rFonts w:ascii="Segoe UI" w:hAnsi="Segoe UI" w:cs="Segoe UI"/>
          <w:sz w:val="22"/>
          <w:szCs w:val="22"/>
        </w:rPr>
      </w:pPr>
    </w:p>
    <w:p w14:paraId="3FADB84D" w14:textId="3153D5A9" w:rsidR="00DF224C" w:rsidRPr="005D2CFA" w:rsidRDefault="00DF224C" w:rsidP="00DF224C">
      <w:pPr>
        <w:tabs>
          <w:tab w:val="left" w:pos="0"/>
        </w:tabs>
        <w:spacing w:line="276" w:lineRule="auto"/>
        <w:jc w:val="both"/>
        <w:rPr>
          <w:rFonts w:ascii="Segoe UI" w:hAnsi="Segoe UI" w:cs="Segoe UI"/>
          <w:sz w:val="22"/>
          <w:szCs w:val="22"/>
        </w:rPr>
      </w:pPr>
      <w:r w:rsidRPr="005D2CFA">
        <w:rPr>
          <w:rFonts w:ascii="Segoe UI" w:hAnsi="Segoe UI" w:cs="Segoe UI"/>
          <w:sz w:val="22"/>
          <w:szCs w:val="22"/>
        </w:rPr>
        <w:t xml:space="preserve">They </w:t>
      </w:r>
      <w:r>
        <w:rPr>
          <w:rFonts w:ascii="Segoe UI" w:hAnsi="Segoe UI" w:cs="Segoe UI"/>
          <w:sz w:val="22"/>
          <w:szCs w:val="22"/>
        </w:rPr>
        <w:t xml:space="preserve">also </w:t>
      </w:r>
      <w:r w:rsidRPr="005D2CFA">
        <w:rPr>
          <w:rFonts w:ascii="Segoe UI" w:hAnsi="Segoe UI" w:cs="Segoe UI"/>
          <w:sz w:val="22"/>
          <w:szCs w:val="22"/>
        </w:rPr>
        <w:t>found that while consumers have seen large and immediate increases in the cost of bank accounts</w:t>
      </w:r>
      <w:r>
        <w:rPr>
          <w:rFonts w:ascii="Segoe UI" w:hAnsi="Segoe UI" w:cs="Segoe UI"/>
          <w:sz w:val="22"/>
          <w:szCs w:val="22"/>
        </w:rPr>
        <w:t xml:space="preserve"> (see below)</w:t>
      </w:r>
      <w:r w:rsidRPr="005D2CFA">
        <w:rPr>
          <w:rFonts w:ascii="Segoe UI" w:hAnsi="Segoe UI" w:cs="Segoe UI"/>
          <w:sz w:val="22"/>
          <w:szCs w:val="22"/>
        </w:rPr>
        <w:t xml:space="preserve">, to date there is no evidence of reduced prices at </w:t>
      </w:r>
      <w:r>
        <w:rPr>
          <w:rFonts w:ascii="Segoe UI" w:hAnsi="Segoe UI" w:cs="Segoe UI"/>
          <w:sz w:val="22"/>
          <w:szCs w:val="22"/>
        </w:rPr>
        <w:t>retailers and they</w:t>
      </w:r>
      <w:r w:rsidRPr="005D2CFA">
        <w:rPr>
          <w:rFonts w:ascii="Segoe UI" w:hAnsi="Segoe UI" w:cs="Segoe UI"/>
          <w:sz w:val="22"/>
          <w:szCs w:val="22"/>
        </w:rPr>
        <w:t xml:space="preserve"> estimate that as a result of the </w:t>
      </w:r>
      <w:r>
        <w:rPr>
          <w:rFonts w:ascii="Segoe UI" w:hAnsi="Segoe UI" w:cs="Segoe UI"/>
          <w:sz w:val="22"/>
          <w:szCs w:val="22"/>
        </w:rPr>
        <w:t>Debit interchange caps</w:t>
      </w:r>
      <w:r w:rsidRPr="005D2CFA">
        <w:rPr>
          <w:rFonts w:ascii="Segoe UI" w:hAnsi="Segoe UI" w:cs="Segoe UI"/>
          <w:sz w:val="22"/>
          <w:szCs w:val="22"/>
        </w:rPr>
        <w:t xml:space="preserve">, there </w:t>
      </w:r>
      <w:r>
        <w:rPr>
          <w:rFonts w:ascii="Segoe UI" w:hAnsi="Segoe UI" w:cs="Segoe UI"/>
          <w:sz w:val="22"/>
          <w:szCs w:val="22"/>
        </w:rPr>
        <w:t>would</w:t>
      </w:r>
      <w:r w:rsidRPr="005D2CFA">
        <w:rPr>
          <w:rFonts w:ascii="Segoe UI" w:hAnsi="Segoe UI" w:cs="Segoe UI"/>
          <w:sz w:val="22"/>
          <w:szCs w:val="22"/>
        </w:rPr>
        <w:t xml:space="preserve"> be a transfer from low-income households to large r</w:t>
      </w:r>
      <w:r>
        <w:rPr>
          <w:rFonts w:ascii="Segoe UI" w:hAnsi="Segoe UI" w:cs="Segoe UI"/>
          <w:sz w:val="22"/>
          <w:szCs w:val="22"/>
        </w:rPr>
        <w:t>etailers and their shareholders</w:t>
      </w:r>
      <w:r w:rsidRPr="005D2CFA">
        <w:rPr>
          <w:rFonts w:ascii="Segoe UI" w:hAnsi="Segoe UI" w:cs="Segoe UI"/>
          <w:sz w:val="22"/>
          <w:szCs w:val="22"/>
        </w:rPr>
        <w:t>.</w:t>
      </w:r>
      <w:r>
        <w:rPr>
          <w:rFonts w:ascii="Segoe UI" w:hAnsi="Segoe UI" w:cs="Segoe UI"/>
          <w:sz w:val="22"/>
          <w:szCs w:val="22"/>
        </w:rPr>
        <w:t xml:space="preserve"> Further, as banks have been unable to profitably service lower income accounts where opportunities to ethically exploit fee revenue opportunities are minimal, the US has see</w:t>
      </w:r>
      <w:r w:rsidR="00287A8C">
        <w:rPr>
          <w:rFonts w:ascii="Segoe UI" w:hAnsi="Segoe UI" w:cs="Segoe UI"/>
          <w:sz w:val="22"/>
          <w:szCs w:val="22"/>
        </w:rPr>
        <w:t>n banks jettison customers that deliver lower profitability</w:t>
      </w:r>
      <w:r>
        <w:rPr>
          <w:rFonts w:ascii="Segoe UI" w:hAnsi="Segoe UI" w:cs="Segoe UI"/>
          <w:sz w:val="22"/>
          <w:szCs w:val="22"/>
        </w:rPr>
        <w:t xml:space="preserve"> to maintain their commitments to their shareholders.  The resulting increase in the number of ‘financially excluded’ customers in the US was far from what the regulators had in mind when they introduced the Durbin legislation.</w:t>
      </w:r>
    </w:p>
    <w:p w14:paraId="06843393" w14:textId="77777777" w:rsidR="00DF224C" w:rsidRPr="005D2CFA" w:rsidRDefault="00DF224C" w:rsidP="00DF224C">
      <w:pPr>
        <w:spacing w:line="276" w:lineRule="auto"/>
        <w:jc w:val="both"/>
        <w:rPr>
          <w:rFonts w:ascii="Segoe UI" w:hAnsi="Segoe UI" w:cs="Segoe UI"/>
          <w:sz w:val="22"/>
          <w:szCs w:val="22"/>
        </w:rPr>
      </w:pPr>
    </w:p>
    <w:p w14:paraId="18BB3A77" w14:textId="77777777" w:rsidR="00DF224C" w:rsidRDefault="00DF224C" w:rsidP="00DF224C">
      <w:pPr>
        <w:spacing w:line="276" w:lineRule="auto"/>
        <w:jc w:val="both"/>
        <w:rPr>
          <w:rFonts w:ascii="Segoe UI" w:hAnsi="Segoe UI" w:cs="Segoe UI"/>
          <w:sz w:val="22"/>
          <w:szCs w:val="22"/>
        </w:rPr>
      </w:pPr>
      <w:r>
        <w:rPr>
          <w:rFonts w:ascii="Segoe UI" w:hAnsi="Segoe UI" w:cs="Segoe UI"/>
          <w:sz w:val="22"/>
          <w:szCs w:val="22"/>
        </w:rPr>
        <w:t>Cap reductions will not only impact the respective position of merchants in the payments system, issuers too will need to respond. Issuing banks normally</w:t>
      </w:r>
      <w:r w:rsidRPr="00426E9B">
        <w:rPr>
          <w:rFonts w:ascii="Segoe UI" w:hAnsi="Segoe UI" w:cs="Segoe UI"/>
          <w:sz w:val="22"/>
          <w:szCs w:val="22"/>
        </w:rPr>
        <w:t xml:space="preserve"> adjust their business models to ensure cost recovery</w:t>
      </w:r>
      <w:r>
        <w:rPr>
          <w:rFonts w:ascii="Segoe UI" w:hAnsi="Segoe UI" w:cs="Segoe UI"/>
          <w:sz w:val="22"/>
          <w:szCs w:val="22"/>
        </w:rPr>
        <w:t xml:space="preserve"> through changes to product </w:t>
      </w:r>
      <w:r w:rsidRPr="00426E9B">
        <w:rPr>
          <w:rFonts w:ascii="Segoe UI" w:hAnsi="Segoe UI" w:cs="Segoe UI"/>
          <w:sz w:val="22"/>
          <w:szCs w:val="22"/>
        </w:rPr>
        <w:t>fees and charges</w:t>
      </w:r>
      <w:r>
        <w:rPr>
          <w:rFonts w:ascii="Segoe UI" w:hAnsi="Segoe UI" w:cs="Segoe UI"/>
          <w:sz w:val="22"/>
          <w:szCs w:val="22"/>
        </w:rPr>
        <w:t xml:space="preserve"> and if interchange revenue is radically reduced by regulation they may need to respond in some of the following ways: </w:t>
      </w:r>
    </w:p>
    <w:p w14:paraId="6D3C3321" w14:textId="77777777" w:rsidR="0089281F" w:rsidRPr="00426E9B" w:rsidRDefault="0089281F" w:rsidP="00DF224C">
      <w:pPr>
        <w:spacing w:line="276" w:lineRule="auto"/>
        <w:jc w:val="both"/>
        <w:rPr>
          <w:rFonts w:ascii="Segoe UI" w:hAnsi="Segoe UI" w:cs="Segoe UI"/>
          <w:sz w:val="22"/>
          <w:szCs w:val="22"/>
        </w:rPr>
      </w:pPr>
    </w:p>
    <w:p w14:paraId="61BE9336" w14:textId="77777777" w:rsidR="00DF224C" w:rsidRPr="00426E9B" w:rsidRDefault="00DF224C" w:rsidP="00DF224C">
      <w:pPr>
        <w:pStyle w:val="ListParagraph"/>
        <w:numPr>
          <w:ilvl w:val="0"/>
          <w:numId w:val="2"/>
        </w:numPr>
        <w:rPr>
          <w:rFonts w:ascii="Segoe UI" w:hAnsi="Segoe UI" w:cs="Segoe UI"/>
          <w:sz w:val="22"/>
          <w:szCs w:val="22"/>
        </w:rPr>
      </w:pPr>
      <w:r w:rsidRPr="00426E9B">
        <w:rPr>
          <w:rFonts w:ascii="Segoe UI" w:hAnsi="Segoe UI" w:cs="Segoe UI"/>
          <w:sz w:val="22"/>
          <w:szCs w:val="22"/>
        </w:rPr>
        <w:t>increas</w:t>
      </w:r>
      <w:r>
        <w:rPr>
          <w:rFonts w:ascii="Segoe UI" w:hAnsi="Segoe UI" w:cs="Segoe UI"/>
          <w:sz w:val="22"/>
          <w:szCs w:val="22"/>
        </w:rPr>
        <w:t>ing</w:t>
      </w:r>
      <w:r w:rsidRPr="00426E9B">
        <w:rPr>
          <w:rFonts w:ascii="Segoe UI" w:hAnsi="Segoe UI" w:cs="Segoe UI"/>
          <w:sz w:val="22"/>
          <w:szCs w:val="22"/>
        </w:rPr>
        <w:t xml:space="preserve"> </w:t>
      </w:r>
      <w:r>
        <w:rPr>
          <w:rFonts w:ascii="Segoe UI" w:hAnsi="Segoe UI" w:cs="Segoe UI"/>
          <w:sz w:val="22"/>
          <w:szCs w:val="22"/>
        </w:rPr>
        <w:t>C</w:t>
      </w:r>
      <w:r w:rsidRPr="00426E9B">
        <w:rPr>
          <w:rFonts w:ascii="Segoe UI" w:hAnsi="Segoe UI" w:cs="Segoe UI"/>
          <w:sz w:val="22"/>
          <w:szCs w:val="22"/>
        </w:rPr>
        <w:t>redit card interest rates;</w:t>
      </w:r>
    </w:p>
    <w:p w14:paraId="6722705B" w14:textId="77777777" w:rsidR="00DF224C" w:rsidRPr="00426E9B" w:rsidRDefault="00DF224C" w:rsidP="00DF224C">
      <w:pPr>
        <w:pStyle w:val="ListParagraph"/>
        <w:numPr>
          <w:ilvl w:val="0"/>
          <w:numId w:val="2"/>
        </w:numPr>
        <w:rPr>
          <w:rFonts w:ascii="Segoe UI" w:hAnsi="Segoe UI" w:cs="Segoe UI"/>
          <w:sz w:val="22"/>
          <w:szCs w:val="22"/>
        </w:rPr>
      </w:pPr>
      <w:r>
        <w:rPr>
          <w:rFonts w:ascii="Segoe UI" w:hAnsi="Segoe UI" w:cs="Segoe UI"/>
          <w:sz w:val="22"/>
          <w:szCs w:val="22"/>
        </w:rPr>
        <w:t>increasing</w:t>
      </w:r>
      <w:r w:rsidRPr="00426E9B">
        <w:rPr>
          <w:rFonts w:ascii="Segoe UI" w:hAnsi="Segoe UI" w:cs="Segoe UI"/>
          <w:sz w:val="22"/>
          <w:szCs w:val="22"/>
        </w:rPr>
        <w:t xml:space="preserve"> annual fees; and/or</w:t>
      </w:r>
    </w:p>
    <w:p w14:paraId="2F3D48EC" w14:textId="77777777" w:rsidR="00DF224C" w:rsidRPr="00426E9B" w:rsidRDefault="00DF224C" w:rsidP="00DF224C">
      <w:pPr>
        <w:pStyle w:val="ListParagraph"/>
        <w:numPr>
          <w:ilvl w:val="0"/>
          <w:numId w:val="2"/>
        </w:numPr>
        <w:rPr>
          <w:rFonts w:ascii="Segoe UI" w:hAnsi="Segoe UI" w:cs="Segoe UI"/>
          <w:sz w:val="22"/>
          <w:szCs w:val="22"/>
        </w:rPr>
      </w:pPr>
      <w:r w:rsidRPr="00426E9B">
        <w:rPr>
          <w:rFonts w:ascii="Segoe UI" w:hAnsi="Segoe UI" w:cs="Segoe UI"/>
          <w:sz w:val="22"/>
          <w:szCs w:val="22"/>
        </w:rPr>
        <w:t>introduc</w:t>
      </w:r>
      <w:r>
        <w:rPr>
          <w:rFonts w:ascii="Segoe UI" w:hAnsi="Segoe UI" w:cs="Segoe UI"/>
          <w:sz w:val="22"/>
          <w:szCs w:val="22"/>
        </w:rPr>
        <w:t>ing</w:t>
      </w:r>
      <w:r w:rsidRPr="00426E9B">
        <w:rPr>
          <w:rFonts w:ascii="Segoe UI" w:hAnsi="Segoe UI" w:cs="Segoe UI"/>
          <w:sz w:val="22"/>
          <w:szCs w:val="22"/>
        </w:rPr>
        <w:t xml:space="preserve"> a transaction fee; </w:t>
      </w:r>
      <w:r>
        <w:rPr>
          <w:rFonts w:ascii="Segoe UI" w:hAnsi="Segoe UI" w:cs="Segoe UI"/>
          <w:sz w:val="22"/>
          <w:szCs w:val="22"/>
        </w:rPr>
        <w:t>and</w:t>
      </w:r>
    </w:p>
    <w:p w14:paraId="5D2354DB" w14:textId="77777777" w:rsidR="00DF224C" w:rsidRPr="002E3B81" w:rsidRDefault="00DF224C" w:rsidP="00DF224C">
      <w:pPr>
        <w:pStyle w:val="ListParagraph"/>
        <w:numPr>
          <w:ilvl w:val="0"/>
          <w:numId w:val="2"/>
        </w:numPr>
        <w:rPr>
          <w:rFonts w:ascii="Segoe UI" w:hAnsi="Segoe UI" w:cs="Segoe UI"/>
          <w:sz w:val="22"/>
          <w:szCs w:val="22"/>
        </w:rPr>
      </w:pPr>
      <w:r w:rsidRPr="002E3B81">
        <w:rPr>
          <w:rFonts w:ascii="Segoe UI" w:hAnsi="Segoe UI" w:cs="Segoe UI"/>
          <w:sz w:val="22"/>
          <w:szCs w:val="22"/>
        </w:rPr>
        <w:t>diluting the loyalty program offerings</w:t>
      </w:r>
      <w:r>
        <w:rPr>
          <w:rFonts w:ascii="Segoe UI" w:hAnsi="Segoe UI" w:cs="Segoe UI"/>
          <w:sz w:val="22"/>
          <w:szCs w:val="22"/>
        </w:rPr>
        <w:t xml:space="preserve"> and benefits</w:t>
      </w:r>
      <w:r w:rsidRPr="002E3B81">
        <w:rPr>
          <w:rFonts w:ascii="Segoe UI" w:hAnsi="Segoe UI" w:cs="Segoe UI"/>
          <w:sz w:val="22"/>
          <w:szCs w:val="22"/>
        </w:rPr>
        <w:t>.</w:t>
      </w:r>
    </w:p>
    <w:p w14:paraId="2F7B4E92" w14:textId="77777777" w:rsidR="00DF224C" w:rsidRPr="002C03ED" w:rsidRDefault="00DF224C" w:rsidP="00DF224C">
      <w:pPr>
        <w:rPr>
          <w:rFonts w:ascii="Segoe UI" w:hAnsi="Segoe UI" w:cs="Segoe UI"/>
          <w:sz w:val="22"/>
          <w:szCs w:val="22"/>
        </w:rPr>
      </w:pPr>
    </w:p>
    <w:p w14:paraId="2881F7EE" w14:textId="77777777" w:rsidR="00DF224C" w:rsidRDefault="00DF224C" w:rsidP="00DF224C">
      <w:pPr>
        <w:spacing w:line="276" w:lineRule="auto"/>
        <w:jc w:val="both"/>
        <w:rPr>
          <w:rFonts w:ascii="Segoe UI" w:hAnsi="Segoe UI" w:cs="Segoe UI"/>
          <w:sz w:val="22"/>
          <w:szCs w:val="22"/>
        </w:rPr>
      </w:pPr>
      <w:r>
        <w:rPr>
          <w:rFonts w:ascii="Segoe UI" w:hAnsi="Segoe UI" w:cs="Segoe UI"/>
          <w:sz w:val="22"/>
          <w:szCs w:val="22"/>
        </w:rPr>
        <w:t xml:space="preserve">These changes can have detrimental effects to consumers accessing credit and economic growth more generally. </w:t>
      </w:r>
      <w:r w:rsidRPr="00F976CD">
        <w:rPr>
          <w:rFonts w:ascii="Segoe UI" w:hAnsi="Segoe UI" w:cs="Segoe UI"/>
          <w:sz w:val="22"/>
          <w:szCs w:val="22"/>
        </w:rPr>
        <w:t>When used responsibly</w:t>
      </w:r>
      <w:r>
        <w:rPr>
          <w:rStyle w:val="FootnoteReference"/>
          <w:rFonts w:ascii="Segoe UI" w:hAnsi="Segoe UI" w:cs="Segoe UI"/>
          <w:sz w:val="22"/>
          <w:szCs w:val="22"/>
        </w:rPr>
        <w:footnoteReference w:id="16"/>
      </w:r>
      <w:r w:rsidRPr="00F976CD">
        <w:rPr>
          <w:rFonts w:ascii="Segoe UI" w:hAnsi="Segoe UI" w:cs="Segoe UI"/>
          <w:sz w:val="22"/>
          <w:szCs w:val="22"/>
        </w:rPr>
        <w:t>, especi</w:t>
      </w:r>
      <w:r>
        <w:rPr>
          <w:rFonts w:ascii="Segoe UI" w:hAnsi="Segoe UI" w:cs="Segoe UI"/>
          <w:sz w:val="22"/>
          <w:szCs w:val="22"/>
        </w:rPr>
        <w:t>ally by transacting consumers, C</w:t>
      </w:r>
      <w:r w:rsidRPr="00F976CD">
        <w:rPr>
          <w:rFonts w:ascii="Segoe UI" w:hAnsi="Segoe UI" w:cs="Segoe UI"/>
          <w:sz w:val="22"/>
          <w:szCs w:val="22"/>
        </w:rPr>
        <w:t>redit cards ‘smooth’ the irregularities in</w:t>
      </w:r>
      <w:r>
        <w:rPr>
          <w:rFonts w:ascii="Segoe UI" w:hAnsi="Segoe UI" w:cs="Segoe UI"/>
          <w:sz w:val="22"/>
          <w:szCs w:val="22"/>
        </w:rPr>
        <w:t xml:space="preserve"> </w:t>
      </w:r>
      <w:r w:rsidRPr="00F976CD">
        <w:rPr>
          <w:rFonts w:ascii="Segoe UI" w:hAnsi="Segoe UI" w:cs="Segoe UI"/>
          <w:sz w:val="22"/>
          <w:szCs w:val="22"/>
        </w:rPr>
        <w:t>income an</w:t>
      </w:r>
      <w:r>
        <w:rPr>
          <w:rFonts w:ascii="Segoe UI" w:hAnsi="Segoe UI" w:cs="Segoe UI"/>
          <w:sz w:val="22"/>
          <w:szCs w:val="22"/>
        </w:rPr>
        <w:t>d expenditure patterns</w:t>
      </w:r>
      <w:r w:rsidRPr="00F976CD">
        <w:rPr>
          <w:rFonts w:ascii="Segoe UI" w:hAnsi="Segoe UI" w:cs="Segoe UI"/>
          <w:sz w:val="22"/>
          <w:szCs w:val="22"/>
        </w:rPr>
        <w:t xml:space="preserve"> and can increase individual financial stability. Moreover, through</w:t>
      </w:r>
      <w:r>
        <w:rPr>
          <w:rFonts w:ascii="Segoe UI" w:hAnsi="Segoe UI" w:cs="Segoe UI"/>
          <w:sz w:val="22"/>
          <w:szCs w:val="22"/>
        </w:rPr>
        <w:t xml:space="preserve"> </w:t>
      </w:r>
      <w:r w:rsidRPr="00F976CD">
        <w:rPr>
          <w:rFonts w:ascii="Segoe UI" w:hAnsi="Segoe UI" w:cs="Segoe UI"/>
          <w:sz w:val="22"/>
          <w:szCs w:val="22"/>
        </w:rPr>
        <w:t>fund</w:t>
      </w:r>
      <w:r w:rsidR="00506FE8">
        <w:rPr>
          <w:rFonts w:ascii="Segoe UI" w:hAnsi="Segoe UI" w:cs="Segoe UI"/>
          <w:sz w:val="22"/>
          <w:szCs w:val="22"/>
        </w:rPr>
        <w:t>ing consumption, C</w:t>
      </w:r>
      <w:r w:rsidRPr="00F976CD">
        <w:rPr>
          <w:rFonts w:ascii="Segoe UI" w:hAnsi="Segoe UI" w:cs="Segoe UI"/>
          <w:sz w:val="22"/>
          <w:szCs w:val="22"/>
        </w:rPr>
        <w:t>redit cards play an important role in Australia’s economy.</w:t>
      </w:r>
      <w:r>
        <w:rPr>
          <w:rFonts w:ascii="Segoe UI" w:hAnsi="Segoe UI" w:cs="Segoe UI"/>
          <w:sz w:val="22"/>
          <w:szCs w:val="22"/>
        </w:rPr>
        <w:t xml:space="preserve"> </w:t>
      </w:r>
    </w:p>
    <w:p w14:paraId="1D11247A" w14:textId="77777777" w:rsidR="00DF224C" w:rsidRDefault="00DF224C" w:rsidP="00DF224C">
      <w:pPr>
        <w:spacing w:line="276" w:lineRule="auto"/>
        <w:jc w:val="both"/>
        <w:rPr>
          <w:rFonts w:ascii="Segoe UI" w:hAnsi="Segoe UI" w:cs="Segoe UI"/>
          <w:sz w:val="22"/>
          <w:szCs w:val="22"/>
        </w:rPr>
      </w:pPr>
    </w:p>
    <w:p w14:paraId="35B12CF2" w14:textId="77777777" w:rsidR="00DF224C" w:rsidRDefault="00DF224C" w:rsidP="00DF224C">
      <w:pPr>
        <w:spacing w:line="276" w:lineRule="auto"/>
        <w:jc w:val="both"/>
        <w:rPr>
          <w:rFonts w:ascii="Segoe UI" w:hAnsi="Segoe UI" w:cs="Segoe UI"/>
          <w:sz w:val="22"/>
          <w:szCs w:val="22"/>
        </w:rPr>
      </w:pPr>
      <w:r>
        <w:rPr>
          <w:rFonts w:ascii="Segoe UI" w:hAnsi="Segoe UI" w:cs="Segoe UI"/>
          <w:sz w:val="22"/>
          <w:szCs w:val="22"/>
        </w:rPr>
        <w:t>As a consequence of issuers’ responses, there is likely to be less credit growth in the economy as consumers are deterred from using Credit cards associated with higher fees and/or diluted rewards/loyalty offerings. The knock-on effect to the economy would be detrimental, particularly when the Australian economy is in a low credit growth environment, household consumption is slightly below trend growth and where consumer sentiment (as a forward looking indicator) is at average levels despite a low interest rate environment.</w:t>
      </w:r>
      <w:r>
        <w:rPr>
          <w:rStyle w:val="FootnoteReference"/>
          <w:rFonts w:ascii="Segoe UI" w:hAnsi="Segoe UI" w:cs="Segoe UI"/>
          <w:sz w:val="22"/>
          <w:szCs w:val="22"/>
        </w:rPr>
        <w:footnoteReference w:id="17"/>
      </w:r>
    </w:p>
    <w:p w14:paraId="69160479" w14:textId="77777777" w:rsidR="00DF224C" w:rsidRDefault="00DF224C" w:rsidP="00DF224C">
      <w:pPr>
        <w:spacing w:line="276" w:lineRule="auto"/>
        <w:jc w:val="both"/>
        <w:rPr>
          <w:rFonts w:ascii="Segoe UI" w:hAnsi="Segoe UI" w:cs="Segoe UI"/>
          <w:sz w:val="22"/>
          <w:szCs w:val="22"/>
        </w:rPr>
      </w:pPr>
    </w:p>
    <w:p w14:paraId="0CB67784" w14:textId="77777777" w:rsidR="00DF224C" w:rsidRDefault="00DF224C" w:rsidP="00DF224C">
      <w:pPr>
        <w:spacing w:line="276" w:lineRule="auto"/>
        <w:jc w:val="both"/>
        <w:rPr>
          <w:rFonts w:ascii="Segoe UI" w:hAnsi="Segoe UI" w:cs="Segoe UI"/>
          <w:sz w:val="22"/>
          <w:szCs w:val="22"/>
        </w:rPr>
      </w:pPr>
      <w:r>
        <w:rPr>
          <w:rFonts w:ascii="Segoe UI" w:hAnsi="Segoe UI" w:cs="Segoe UI"/>
          <w:sz w:val="22"/>
          <w:szCs w:val="22"/>
        </w:rPr>
        <w:t xml:space="preserve">Visa considers that </w:t>
      </w:r>
      <w:r w:rsidRPr="009F22F1">
        <w:rPr>
          <w:rFonts w:ascii="Segoe UI" w:hAnsi="Segoe UI" w:cs="Segoe UI"/>
          <w:sz w:val="22"/>
          <w:szCs w:val="22"/>
        </w:rPr>
        <w:t xml:space="preserve">the policy decision to </w:t>
      </w:r>
      <w:r>
        <w:rPr>
          <w:rFonts w:ascii="Segoe UI" w:hAnsi="Segoe UI" w:cs="Segoe UI"/>
          <w:sz w:val="22"/>
          <w:szCs w:val="22"/>
        </w:rPr>
        <w:t xml:space="preserve">reduce interchange </w:t>
      </w:r>
      <w:r w:rsidRPr="009F22F1">
        <w:rPr>
          <w:rFonts w:ascii="Segoe UI" w:hAnsi="Segoe UI" w:cs="Segoe UI"/>
          <w:sz w:val="22"/>
          <w:szCs w:val="22"/>
        </w:rPr>
        <w:t>fees should</w:t>
      </w:r>
      <w:r>
        <w:rPr>
          <w:rFonts w:ascii="Segoe UI" w:hAnsi="Segoe UI" w:cs="Segoe UI"/>
          <w:sz w:val="22"/>
          <w:szCs w:val="22"/>
        </w:rPr>
        <w:t xml:space="preserve"> </w:t>
      </w:r>
      <w:r w:rsidRPr="009F22F1">
        <w:rPr>
          <w:rFonts w:ascii="Segoe UI" w:hAnsi="Segoe UI" w:cs="Segoe UI"/>
          <w:sz w:val="22"/>
          <w:szCs w:val="22"/>
        </w:rPr>
        <w:t>be reconsidered</w:t>
      </w:r>
      <w:r>
        <w:rPr>
          <w:rFonts w:ascii="Segoe UI" w:hAnsi="Segoe UI" w:cs="Segoe UI"/>
          <w:sz w:val="22"/>
          <w:szCs w:val="22"/>
        </w:rPr>
        <w:t xml:space="preserve"> and</w:t>
      </w:r>
      <w:r w:rsidRPr="009F22F1">
        <w:rPr>
          <w:rFonts w:ascii="Segoe UI" w:hAnsi="Segoe UI" w:cs="Segoe UI"/>
          <w:sz w:val="22"/>
          <w:szCs w:val="22"/>
        </w:rPr>
        <w:t xml:space="preserve"> balanced by a proper</w:t>
      </w:r>
      <w:r>
        <w:rPr>
          <w:rFonts w:ascii="Segoe UI" w:hAnsi="Segoe UI" w:cs="Segoe UI"/>
          <w:sz w:val="22"/>
          <w:szCs w:val="22"/>
        </w:rPr>
        <w:t xml:space="preserve"> </w:t>
      </w:r>
      <w:r w:rsidRPr="009F22F1">
        <w:rPr>
          <w:rFonts w:ascii="Segoe UI" w:hAnsi="Segoe UI" w:cs="Segoe UI"/>
          <w:sz w:val="22"/>
          <w:szCs w:val="22"/>
        </w:rPr>
        <w:t>economic and market impact assessment.</w:t>
      </w:r>
    </w:p>
    <w:p w14:paraId="4F13C976" w14:textId="77777777" w:rsidR="00DF224C" w:rsidRDefault="00DF224C" w:rsidP="00DF224C">
      <w:pPr>
        <w:spacing w:line="276" w:lineRule="auto"/>
        <w:jc w:val="both"/>
        <w:rPr>
          <w:rFonts w:ascii="Segoe UI" w:hAnsi="Segoe UI" w:cs="Segoe UI"/>
          <w:sz w:val="22"/>
          <w:szCs w:val="22"/>
        </w:rPr>
      </w:pPr>
    </w:p>
    <w:p w14:paraId="45248AC9" w14:textId="77777777" w:rsidR="00DF224C" w:rsidRDefault="00DF224C" w:rsidP="00DF224C">
      <w:pPr>
        <w:spacing w:line="276" w:lineRule="auto"/>
        <w:jc w:val="both"/>
        <w:rPr>
          <w:rFonts w:ascii="Segoe UI" w:hAnsi="Segoe UI" w:cs="Segoe UI"/>
          <w:sz w:val="22"/>
          <w:szCs w:val="22"/>
        </w:rPr>
      </w:pPr>
      <w:r>
        <w:rPr>
          <w:rFonts w:ascii="Segoe UI" w:hAnsi="Segoe UI" w:cs="Segoe UI"/>
          <w:sz w:val="22"/>
          <w:szCs w:val="22"/>
        </w:rPr>
        <w:t xml:space="preserve">For these reasons, Visa sees no clear public policy case for any further reduction of interchange rates overall. Based on international experiences (which we discuss in section 3.3 below), such a measure would see no benefits to the overall payments system, it would simply move resources towards merchants with no net gain for consumers. </w:t>
      </w:r>
    </w:p>
    <w:p w14:paraId="25ED0F79" w14:textId="77777777" w:rsidR="00DF224C" w:rsidRDefault="00DF224C" w:rsidP="00DF224C">
      <w:pPr>
        <w:spacing w:line="276" w:lineRule="auto"/>
        <w:jc w:val="both"/>
        <w:rPr>
          <w:rFonts w:ascii="Segoe UI" w:hAnsi="Segoe UI" w:cs="Segoe UI"/>
          <w:sz w:val="22"/>
          <w:szCs w:val="22"/>
        </w:rPr>
      </w:pPr>
    </w:p>
    <w:p w14:paraId="12774F41" w14:textId="77777777" w:rsidR="00DF224C" w:rsidRDefault="00DF224C" w:rsidP="00DF224C">
      <w:pPr>
        <w:spacing w:line="276" w:lineRule="auto"/>
        <w:jc w:val="both"/>
        <w:rPr>
          <w:rFonts w:ascii="Segoe UI" w:hAnsi="Segoe UI" w:cs="Segoe UI"/>
          <w:sz w:val="22"/>
          <w:szCs w:val="22"/>
        </w:rPr>
      </w:pPr>
      <w:r>
        <w:rPr>
          <w:rFonts w:ascii="Segoe UI" w:hAnsi="Segoe UI" w:cs="Segoe UI"/>
          <w:sz w:val="22"/>
          <w:szCs w:val="22"/>
        </w:rPr>
        <w:t xml:space="preserve">As discussed in </w:t>
      </w:r>
      <w:r w:rsidRPr="00DA1D20">
        <w:rPr>
          <w:rFonts w:ascii="Segoe UI" w:hAnsi="Segoe UI" w:cs="Segoe UI"/>
          <w:sz w:val="22"/>
          <w:szCs w:val="22"/>
        </w:rPr>
        <w:t>Chapter 2</w:t>
      </w:r>
      <w:r>
        <w:rPr>
          <w:rFonts w:ascii="Segoe UI" w:hAnsi="Segoe UI" w:cs="Segoe UI"/>
          <w:sz w:val="22"/>
          <w:szCs w:val="22"/>
        </w:rPr>
        <w:t>, if interchange fee regulation remains in Australia, then it must cover all three and four party schemes to ensure all players are competing on a level playing field. R</w:t>
      </w:r>
      <w:r w:rsidRPr="00426E9B">
        <w:rPr>
          <w:rFonts w:ascii="Segoe UI" w:hAnsi="Segoe UI" w:cs="Segoe UI"/>
          <w:sz w:val="22"/>
          <w:szCs w:val="22"/>
        </w:rPr>
        <w:t>egulating Amex on a level playing field will be the single most important step to addressing any regulator and merchant concerns with how</w:t>
      </w:r>
      <w:r>
        <w:rPr>
          <w:rFonts w:ascii="Segoe UI" w:hAnsi="Segoe UI" w:cs="Segoe UI"/>
          <w:sz w:val="22"/>
          <w:szCs w:val="22"/>
        </w:rPr>
        <w:t xml:space="preserve"> the basket mechanism operates. Without doing so, there will continue to be a market distortion between American Express GNS cards and other schemes, such that non-regulated schemes can continue to offer higher cost programs with more rewards and other benefits to its cardholders, despite being considerably more expensive to the merchant (and likely su</w:t>
      </w:r>
      <w:r w:rsidR="003F6869">
        <w:rPr>
          <w:rFonts w:ascii="Segoe UI" w:hAnsi="Segoe UI" w:cs="Segoe UI"/>
          <w:sz w:val="22"/>
          <w:szCs w:val="22"/>
        </w:rPr>
        <w:t>bsidis</w:t>
      </w:r>
      <w:r>
        <w:rPr>
          <w:rFonts w:ascii="Segoe UI" w:hAnsi="Segoe UI" w:cs="Segoe UI"/>
          <w:sz w:val="22"/>
          <w:szCs w:val="22"/>
        </w:rPr>
        <w:t xml:space="preserve">ed through bundled pricing </w:t>
      </w:r>
      <w:r>
        <w:rPr>
          <w:rFonts w:ascii="Segoe UI" w:hAnsi="Segoe UI" w:cs="Segoe UI"/>
          <w:sz w:val="22"/>
          <w:szCs w:val="22"/>
        </w:rPr>
        <w:lastRenderedPageBreak/>
        <w:t xml:space="preserve">for regulated scheme and cash alternatives). This stands contrary to the objectives set out by the PSB in ensuring that merchants have access to low cost of acceptance. </w:t>
      </w:r>
    </w:p>
    <w:p w14:paraId="4ECF0313" w14:textId="77777777" w:rsidR="00DF224C" w:rsidRPr="00C020B5" w:rsidRDefault="00DF224C" w:rsidP="00DF224C">
      <w:pPr>
        <w:pStyle w:val="Heading2"/>
        <w:ind w:left="567" w:hanging="567"/>
        <w:rPr>
          <w:rFonts w:ascii="Segoe UI" w:hAnsi="Segoe UI" w:cs="Segoe UI"/>
        </w:rPr>
      </w:pPr>
      <w:bookmarkStart w:id="30" w:name="_Toc417303932"/>
      <w:bookmarkStart w:id="31" w:name="_Toc417572689"/>
      <w:r w:rsidRPr="00C020B5">
        <w:rPr>
          <w:rFonts w:ascii="Segoe UI" w:hAnsi="Segoe UI" w:cs="Segoe UI"/>
        </w:rPr>
        <w:t>3.4</w:t>
      </w:r>
      <w:r w:rsidRPr="00C020B5">
        <w:rPr>
          <w:rFonts w:ascii="Segoe UI" w:hAnsi="Segoe UI" w:cs="Segoe UI"/>
        </w:rPr>
        <w:tab/>
        <w:t>Replacing the three-year weighted-average caps with hard caps</w:t>
      </w:r>
      <w:bookmarkEnd w:id="30"/>
      <w:bookmarkEnd w:id="31"/>
    </w:p>
    <w:p w14:paraId="76B5E038" w14:textId="77777777" w:rsidR="00DF224C" w:rsidRDefault="00DF224C" w:rsidP="00DF224C"/>
    <w:p w14:paraId="3A67A8E6" w14:textId="4825F5DE" w:rsidR="00DF224C" w:rsidRDefault="00DF224C" w:rsidP="00DF224C">
      <w:pPr>
        <w:spacing w:line="276" w:lineRule="auto"/>
        <w:jc w:val="both"/>
        <w:rPr>
          <w:rFonts w:ascii="Segoe UI" w:hAnsi="Segoe UI" w:cs="Segoe UI"/>
          <w:sz w:val="22"/>
          <w:szCs w:val="22"/>
        </w:rPr>
      </w:pPr>
      <w:r>
        <w:rPr>
          <w:rFonts w:ascii="Segoe UI" w:hAnsi="Segoe UI" w:cs="Segoe UI"/>
          <w:sz w:val="22"/>
          <w:szCs w:val="22"/>
        </w:rPr>
        <w:t xml:space="preserve">The FSI and PSB reviews </w:t>
      </w:r>
      <w:r w:rsidR="00DE7F36">
        <w:rPr>
          <w:rFonts w:ascii="Segoe UI" w:hAnsi="Segoe UI" w:cs="Segoe UI"/>
          <w:sz w:val="22"/>
          <w:szCs w:val="22"/>
        </w:rPr>
        <w:t xml:space="preserve">have raised </w:t>
      </w:r>
      <w:r>
        <w:rPr>
          <w:rFonts w:ascii="Segoe UI" w:hAnsi="Segoe UI" w:cs="Segoe UI"/>
          <w:sz w:val="22"/>
          <w:szCs w:val="22"/>
        </w:rPr>
        <w:t xml:space="preserve">the option of replacing the three year weighted-average cap with a hard cap. One of the key reasons offered is to allow schemes to set interchange schedules to normalise and set interchange schedules between smaller merchants with </w:t>
      </w:r>
      <w:r w:rsidR="008260B6">
        <w:rPr>
          <w:rFonts w:ascii="Segoe UI" w:hAnsi="Segoe UI" w:cs="Segoe UI"/>
          <w:sz w:val="22"/>
          <w:szCs w:val="22"/>
        </w:rPr>
        <w:t xml:space="preserve">less bargaining </w:t>
      </w:r>
      <w:r>
        <w:rPr>
          <w:rFonts w:ascii="Segoe UI" w:hAnsi="Segoe UI" w:cs="Segoe UI"/>
          <w:sz w:val="22"/>
          <w:szCs w:val="22"/>
        </w:rPr>
        <w:t>power, which claim to face high</w:t>
      </w:r>
      <w:r w:rsidR="008260B6">
        <w:rPr>
          <w:rFonts w:ascii="Segoe UI" w:hAnsi="Segoe UI" w:cs="Segoe UI"/>
          <w:sz w:val="22"/>
          <w:szCs w:val="22"/>
        </w:rPr>
        <w:t>er</w:t>
      </w:r>
      <w:r>
        <w:rPr>
          <w:rFonts w:ascii="Segoe UI" w:hAnsi="Segoe UI" w:cs="Segoe UI"/>
          <w:sz w:val="22"/>
          <w:szCs w:val="22"/>
        </w:rPr>
        <w:t xml:space="preserve"> payment costs</w:t>
      </w:r>
      <w:r w:rsidR="008260B6">
        <w:rPr>
          <w:rFonts w:ascii="Segoe UI" w:hAnsi="Segoe UI" w:cs="Segoe UI"/>
          <w:sz w:val="22"/>
          <w:szCs w:val="22"/>
        </w:rPr>
        <w:t>,</w:t>
      </w:r>
      <w:r>
        <w:rPr>
          <w:rFonts w:ascii="Segoe UI" w:hAnsi="Segoe UI" w:cs="Segoe UI"/>
          <w:sz w:val="22"/>
          <w:szCs w:val="22"/>
        </w:rPr>
        <w:t xml:space="preserve"> with larger merchants that do have bargaining power and leverage this for lower interchange. Furthermore, the PSB review notes that the current system has meant that weighted-average interchange fees for Master</w:t>
      </w:r>
      <w:r w:rsidR="0071412E">
        <w:rPr>
          <w:rFonts w:ascii="Segoe UI" w:hAnsi="Segoe UI" w:cs="Segoe UI"/>
          <w:sz w:val="22"/>
          <w:szCs w:val="22"/>
        </w:rPr>
        <w:t>C</w:t>
      </w:r>
      <w:r>
        <w:rPr>
          <w:rFonts w:ascii="Segoe UI" w:hAnsi="Segoe UI" w:cs="Segoe UI"/>
          <w:sz w:val="22"/>
          <w:szCs w:val="22"/>
        </w:rPr>
        <w:t xml:space="preserve">ard and Visa schemes have typically been above the caps. </w:t>
      </w:r>
    </w:p>
    <w:p w14:paraId="35C75067" w14:textId="77777777" w:rsidR="00DF224C" w:rsidRDefault="00DF224C" w:rsidP="00DF224C">
      <w:pPr>
        <w:spacing w:line="276" w:lineRule="auto"/>
        <w:jc w:val="both"/>
        <w:rPr>
          <w:rFonts w:ascii="Segoe UI" w:hAnsi="Segoe UI" w:cs="Segoe UI"/>
          <w:sz w:val="22"/>
          <w:szCs w:val="22"/>
        </w:rPr>
      </w:pPr>
    </w:p>
    <w:p w14:paraId="3A6458E2" w14:textId="77777777" w:rsidR="00DF224C" w:rsidRPr="00426E9B" w:rsidRDefault="00DF224C" w:rsidP="00DF224C">
      <w:pPr>
        <w:spacing w:line="276" w:lineRule="auto"/>
        <w:jc w:val="both"/>
        <w:rPr>
          <w:rFonts w:ascii="Segoe UI" w:hAnsi="Segoe UI" w:cs="Segoe UI"/>
          <w:sz w:val="22"/>
          <w:szCs w:val="22"/>
        </w:rPr>
      </w:pPr>
      <w:r w:rsidRPr="00DA1D20">
        <w:rPr>
          <w:rFonts w:ascii="Segoe UI" w:hAnsi="Segoe UI" w:cs="Segoe UI"/>
          <w:sz w:val="22"/>
          <w:szCs w:val="22"/>
          <w:lang w:val="en-AU" w:eastAsia="zh-CN"/>
        </w:rPr>
        <w:t xml:space="preserve">In the event that </w:t>
      </w:r>
      <w:r>
        <w:rPr>
          <w:rFonts w:ascii="Segoe UI" w:hAnsi="Segoe UI" w:cs="Segoe UI"/>
          <w:sz w:val="22"/>
          <w:szCs w:val="22"/>
          <w:lang w:val="en-AU" w:eastAsia="zh-CN"/>
        </w:rPr>
        <w:t xml:space="preserve">interchange rates are capped at a hard rate, this would essentially </w:t>
      </w:r>
      <w:r w:rsidRPr="00F50998">
        <w:rPr>
          <w:rFonts w:ascii="Segoe UI" w:hAnsi="Segoe UI" w:cs="Segoe UI"/>
          <w:sz w:val="22"/>
          <w:szCs w:val="22"/>
        </w:rPr>
        <w:t>result in fixed interchange rates. That is, if interchange rates are</w:t>
      </w:r>
      <w:r>
        <w:rPr>
          <w:rFonts w:ascii="Segoe UI" w:hAnsi="Segoe UI" w:cs="Segoe UI"/>
          <w:sz w:val="22"/>
          <w:szCs w:val="22"/>
        </w:rPr>
        <w:t xml:space="preserve"> hard capped this</w:t>
      </w:r>
      <w:r w:rsidRPr="00F50998">
        <w:rPr>
          <w:rFonts w:ascii="Segoe UI" w:hAnsi="Segoe UI" w:cs="Segoe UI"/>
          <w:sz w:val="22"/>
          <w:szCs w:val="22"/>
        </w:rPr>
        <w:t xml:space="preserve"> </w:t>
      </w:r>
      <w:r>
        <w:rPr>
          <w:rFonts w:ascii="Segoe UI" w:hAnsi="Segoe UI" w:cs="Segoe UI"/>
          <w:sz w:val="22"/>
          <w:szCs w:val="22"/>
        </w:rPr>
        <w:t>will likely see all</w:t>
      </w:r>
      <w:r w:rsidRPr="00F50998">
        <w:rPr>
          <w:rFonts w:ascii="Segoe UI" w:hAnsi="Segoe UI" w:cs="Segoe UI"/>
          <w:sz w:val="22"/>
          <w:szCs w:val="22"/>
        </w:rPr>
        <w:t xml:space="preserve"> rates </w:t>
      </w:r>
      <w:r>
        <w:rPr>
          <w:rFonts w:ascii="Segoe UI" w:hAnsi="Segoe UI" w:cs="Segoe UI"/>
          <w:sz w:val="22"/>
          <w:szCs w:val="22"/>
        </w:rPr>
        <w:t>migrate toward the maximum cap</w:t>
      </w:r>
      <w:r w:rsidRPr="00F50998">
        <w:rPr>
          <w:rFonts w:ascii="Segoe UI" w:hAnsi="Segoe UI" w:cs="Segoe UI"/>
          <w:sz w:val="22"/>
          <w:szCs w:val="22"/>
        </w:rPr>
        <w:t>.</w:t>
      </w:r>
      <w:r>
        <w:rPr>
          <w:rFonts w:ascii="Segoe UI" w:hAnsi="Segoe UI" w:cs="Segoe UI"/>
          <w:sz w:val="22"/>
          <w:szCs w:val="22"/>
        </w:rPr>
        <w:t xml:space="preserve"> </w:t>
      </w:r>
      <w:r w:rsidRPr="00426E9B">
        <w:rPr>
          <w:rFonts w:ascii="Segoe UI" w:hAnsi="Segoe UI" w:cs="Segoe UI"/>
          <w:sz w:val="22"/>
          <w:szCs w:val="22"/>
        </w:rPr>
        <w:t xml:space="preserve">There </w:t>
      </w:r>
      <w:r>
        <w:rPr>
          <w:rFonts w:ascii="Segoe UI" w:hAnsi="Segoe UI" w:cs="Segoe UI"/>
          <w:sz w:val="22"/>
          <w:szCs w:val="22"/>
        </w:rPr>
        <w:t>would be</w:t>
      </w:r>
      <w:r w:rsidRPr="00426E9B">
        <w:rPr>
          <w:rFonts w:ascii="Segoe UI" w:hAnsi="Segoe UI" w:cs="Segoe UI"/>
          <w:sz w:val="22"/>
          <w:szCs w:val="22"/>
        </w:rPr>
        <w:t xml:space="preserve"> a number of unintended consequences associated with moving to </w:t>
      </w:r>
      <w:r>
        <w:rPr>
          <w:rFonts w:ascii="Segoe UI" w:hAnsi="Segoe UI" w:cs="Segoe UI"/>
          <w:sz w:val="22"/>
          <w:szCs w:val="22"/>
        </w:rPr>
        <w:t xml:space="preserve">hard </w:t>
      </w:r>
      <w:r w:rsidRPr="00426E9B">
        <w:rPr>
          <w:rFonts w:ascii="Segoe UI" w:hAnsi="Segoe UI" w:cs="Segoe UI"/>
          <w:sz w:val="22"/>
          <w:szCs w:val="22"/>
        </w:rPr>
        <w:t>capped rates:</w:t>
      </w:r>
    </w:p>
    <w:p w14:paraId="36B2AB4C" w14:textId="77777777" w:rsidR="00DF224C" w:rsidRPr="00426E9B" w:rsidRDefault="00DF224C" w:rsidP="00DF224C">
      <w:pPr>
        <w:jc w:val="both"/>
        <w:rPr>
          <w:rFonts w:ascii="Segoe UI" w:hAnsi="Segoe UI" w:cs="Segoe UI"/>
          <w:sz w:val="22"/>
          <w:szCs w:val="22"/>
        </w:rPr>
      </w:pPr>
    </w:p>
    <w:p w14:paraId="7F624A3D" w14:textId="4853A37B" w:rsidR="00DF224C" w:rsidRDefault="00DF224C" w:rsidP="00DF224C">
      <w:pPr>
        <w:pStyle w:val="ListParagraph"/>
        <w:numPr>
          <w:ilvl w:val="0"/>
          <w:numId w:val="9"/>
        </w:numPr>
        <w:spacing w:after="200" w:line="276" w:lineRule="auto"/>
        <w:ind w:left="425" w:hanging="425"/>
        <w:contextualSpacing w:val="0"/>
        <w:jc w:val="both"/>
        <w:rPr>
          <w:rFonts w:ascii="Segoe UI" w:hAnsi="Segoe UI" w:cs="Segoe UI"/>
          <w:b/>
          <w:sz w:val="22"/>
          <w:szCs w:val="22"/>
          <w:lang w:val="en-AU" w:eastAsia="zh-CN"/>
        </w:rPr>
      </w:pPr>
      <w:r>
        <w:rPr>
          <w:rFonts w:ascii="Segoe UI" w:hAnsi="Segoe UI" w:cs="Segoe UI"/>
          <w:b/>
          <w:sz w:val="22"/>
          <w:szCs w:val="22"/>
          <w:lang w:val="en-AU" w:eastAsia="zh-CN"/>
        </w:rPr>
        <w:t>Higher rates in many cases</w:t>
      </w:r>
      <w:r w:rsidRPr="00BA0FCE">
        <w:rPr>
          <w:rFonts w:ascii="Segoe UI" w:hAnsi="Segoe UI" w:cs="Segoe UI"/>
          <w:sz w:val="22"/>
          <w:szCs w:val="22"/>
          <w:lang w:val="en-AU" w:eastAsia="zh-CN"/>
        </w:rPr>
        <w:t xml:space="preserve"> –</w:t>
      </w:r>
      <w:r>
        <w:rPr>
          <w:rFonts w:ascii="Segoe UI" w:hAnsi="Segoe UI" w:cs="Segoe UI"/>
          <w:sz w:val="22"/>
          <w:szCs w:val="22"/>
          <w:lang w:val="en-AU" w:eastAsia="zh-CN"/>
        </w:rPr>
        <w:t xml:space="preserve"> as outlined above, all rates below the new hard cap could be expected to move to that new cap. This has been the experience internationally. In the Australian context this could see the ending of or the tighter use of strategic merchant rates, increasing costs for key merchants, impacts on the ability to include industry rates, again impacting key sectors, and likely higher costs from what are currently “low rate” cards.</w:t>
      </w:r>
    </w:p>
    <w:p w14:paraId="78C6F8DF" w14:textId="0C9D2395" w:rsidR="00DF224C" w:rsidRPr="00574718" w:rsidRDefault="00DF224C" w:rsidP="00DF224C">
      <w:pPr>
        <w:pStyle w:val="ListParagraph"/>
        <w:numPr>
          <w:ilvl w:val="0"/>
          <w:numId w:val="9"/>
        </w:numPr>
        <w:spacing w:after="200" w:line="276" w:lineRule="auto"/>
        <w:ind w:left="425" w:hanging="425"/>
        <w:contextualSpacing w:val="0"/>
        <w:jc w:val="both"/>
        <w:rPr>
          <w:rFonts w:ascii="Segoe UI" w:hAnsi="Segoe UI" w:cs="Segoe UI"/>
          <w:b/>
          <w:sz w:val="22"/>
          <w:szCs w:val="22"/>
          <w:lang w:val="en-AU" w:eastAsia="zh-CN"/>
        </w:rPr>
      </w:pPr>
      <w:r w:rsidRPr="00426E9B">
        <w:rPr>
          <w:rFonts w:ascii="Segoe UI" w:hAnsi="Segoe UI" w:cs="Segoe UI"/>
          <w:b/>
          <w:sz w:val="22"/>
          <w:szCs w:val="22"/>
          <w:lang w:val="en-AU" w:eastAsia="zh-CN"/>
        </w:rPr>
        <w:t xml:space="preserve">Limiting market innovation – </w:t>
      </w:r>
      <w:r w:rsidRPr="00426E9B">
        <w:rPr>
          <w:rFonts w:ascii="Segoe UI" w:hAnsi="Segoe UI" w:cs="Segoe UI"/>
          <w:sz w:val="22"/>
          <w:szCs w:val="22"/>
          <w:lang w:val="en-AU" w:eastAsia="zh-CN"/>
        </w:rPr>
        <w:t xml:space="preserve">Interchange has been a key driver for the deployment of market innovation. An example of this was that interchange supported the roll out of EMV </w:t>
      </w:r>
      <w:r>
        <w:rPr>
          <w:rFonts w:ascii="Segoe UI" w:hAnsi="Segoe UI" w:cs="Segoe UI"/>
          <w:sz w:val="22"/>
          <w:szCs w:val="22"/>
          <w:lang w:val="en-AU" w:eastAsia="zh-CN"/>
        </w:rPr>
        <w:t xml:space="preserve">and Visa payWave through strategic rates to deploy </w:t>
      </w:r>
      <w:r w:rsidRPr="00426E9B">
        <w:rPr>
          <w:rFonts w:ascii="Segoe UI" w:hAnsi="Segoe UI" w:cs="Segoe UI"/>
          <w:sz w:val="22"/>
          <w:szCs w:val="22"/>
          <w:lang w:val="en-AU" w:eastAsia="zh-CN"/>
        </w:rPr>
        <w:t>EMV usage</w:t>
      </w:r>
      <w:r>
        <w:rPr>
          <w:rFonts w:ascii="Segoe UI" w:hAnsi="Segoe UI" w:cs="Segoe UI"/>
          <w:sz w:val="22"/>
          <w:szCs w:val="22"/>
          <w:lang w:val="en-AU" w:eastAsia="zh-CN"/>
        </w:rPr>
        <w:t xml:space="preserve"> and </w:t>
      </w:r>
      <w:r w:rsidRPr="00426E9B">
        <w:rPr>
          <w:rFonts w:ascii="Segoe UI" w:hAnsi="Segoe UI" w:cs="Segoe UI"/>
          <w:sz w:val="22"/>
          <w:szCs w:val="22"/>
          <w:lang w:val="en-AU" w:eastAsia="zh-CN"/>
        </w:rPr>
        <w:t xml:space="preserve">payWave </w:t>
      </w:r>
      <w:r w:rsidR="00193F12">
        <w:rPr>
          <w:rFonts w:ascii="Segoe UI" w:hAnsi="Segoe UI" w:cs="Segoe UI"/>
          <w:sz w:val="22"/>
          <w:szCs w:val="22"/>
          <w:lang w:val="en-AU" w:eastAsia="zh-CN"/>
        </w:rPr>
        <w:t>terminals</w:t>
      </w:r>
      <w:r w:rsidRPr="00426E9B">
        <w:rPr>
          <w:rFonts w:ascii="Segoe UI" w:hAnsi="Segoe UI" w:cs="Segoe UI"/>
          <w:sz w:val="22"/>
          <w:szCs w:val="22"/>
          <w:lang w:val="en-AU" w:eastAsia="zh-CN"/>
        </w:rPr>
        <w:t xml:space="preserve">. </w:t>
      </w:r>
      <w:r w:rsidRPr="009056F2">
        <w:rPr>
          <w:rFonts w:ascii="Segoe UI" w:hAnsi="Segoe UI" w:cs="Segoe UI"/>
          <w:sz w:val="22"/>
          <w:szCs w:val="22"/>
        </w:rPr>
        <w:t xml:space="preserve">The huge growth in contactless payments in Australia has been due to the larger merchants, who have substantially more investment capital aimed at increasing the efficiency of their payments process. Without the investment, made possible by variable </w:t>
      </w:r>
      <w:r>
        <w:rPr>
          <w:rFonts w:ascii="Segoe UI" w:hAnsi="Segoe UI" w:cs="Segoe UI"/>
          <w:sz w:val="22"/>
          <w:szCs w:val="22"/>
        </w:rPr>
        <w:t>interchange</w:t>
      </w:r>
      <w:r w:rsidRPr="009056F2">
        <w:rPr>
          <w:rFonts w:ascii="Segoe UI" w:hAnsi="Segoe UI" w:cs="Segoe UI"/>
          <w:sz w:val="22"/>
          <w:szCs w:val="22"/>
        </w:rPr>
        <w:t>, these organisations may have been disincent</w:t>
      </w:r>
      <w:r w:rsidR="001F01BB">
        <w:rPr>
          <w:rFonts w:ascii="Segoe UI" w:hAnsi="Segoe UI" w:cs="Segoe UI"/>
          <w:sz w:val="22"/>
          <w:szCs w:val="22"/>
        </w:rPr>
        <w:t>ivised from investing</w:t>
      </w:r>
      <w:r>
        <w:rPr>
          <w:rFonts w:ascii="Segoe UI" w:hAnsi="Segoe UI" w:cs="Segoe UI"/>
          <w:sz w:val="22"/>
          <w:szCs w:val="22"/>
        </w:rPr>
        <w:t xml:space="preserve"> </w:t>
      </w:r>
      <w:r w:rsidRPr="009056F2">
        <w:rPr>
          <w:rFonts w:ascii="Segoe UI" w:hAnsi="Segoe UI" w:cs="Segoe UI"/>
          <w:sz w:val="22"/>
          <w:szCs w:val="22"/>
        </w:rPr>
        <w:t>in contactless terminals, resulting in net more cash being used in the economy, with the resultant economic costs</w:t>
      </w:r>
      <w:r>
        <w:rPr>
          <w:rFonts w:ascii="Segoe UI" w:hAnsi="Segoe UI" w:cs="Segoe UI"/>
          <w:sz w:val="22"/>
          <w:szCs w:val="22"/>
        </w:rPr>
        <w:t>.</w:t>
      </w:r>
    </w:p>
    <w:p w14:paraId="044686D1" w14:textId="77777777" w:rsidR="00DF224C" w:rsidRPr="00426E9B" w:rsidRDefault="00DF224C" w:rsidP="00DF224C">
      <w:pPr>
        <w:pStyle w:val="ListParagraph"/>
        <w:numPr>
          <w:ilvl w:val="0"/>
          <w:numId w:val="9"/>
        </w:numPr>
        <w:spacing w:after="200" w:line="276" w:lineRule="auto"/>
        <w:ind w:left="425" w:hanging="425"/>
        <w:contextualSpacing w:val="0"/>
        <w:jc w:val="both"/>
        <w:rPr>
          <w:rFonts w:ascii="Segoe UI" w:hAnsi="Segoe UI" w:cs="Segoe UI"/>
          <w:b/>
          <w:sz w:val="22"/>
          <w:szCs w:val="22"/>
          <w:lang w:val="en-AU" w:eastAsia="zh-CN"/>
        </w:rPr>
      </w:pPr>
      <w:r w:rsidRPr="00426E9B">
        <w:rPr>
          <w:rFonts w:ascii="Segoe UI" w:hAnsi="Segoe UI" w:cs="Segoe UI"/>
          <w:b/>
          <w:sz w:val="22"/>
          <w:szCs w:val="22"/>
          <w:lang w:val="en-AU" w:eastAsia="zh-CN"/>
        </w:rPr>
        <w:t xml:space="preserve">Risk and Fraud management – </w:t>
      </w:r>
      <w:r w:rsidRPr="00426E9B">
        <w:rPr>
          <w:rFonts w:ascii="Segoe UI" w:hAnsi="Segoe UI" w:cs="Segoe UI"/>
          <w:sz w:val="22"/>
          <w:szCs w:val="22"/>
          <w:lang w:val="en-AU" w:eastAsia="zh-CN"/>
        </w:rPr>
        <w:t>Interchange has been used in other markets to provide incentives to introduce risk services such as Verified by Visa. This is also used on international interchange.</w:t>
      </w:r>
    </w:p>
    <w:p w14:paraId="20AEA086" w14:textId="77777777" w:rsidR="00DF224C" w:rsidRPr="00F50998" w:rsidRDefault="00DF224C" w:rsidP="00DF224C">
      <w:pPr>
        <w:pStyle w:val="ListParagraph"/>
        <w:numPr>
          <w:ilvl w:val="0"/>
          <w:numId w:val="9"/>
        </w:numPr>
        <w:spacing w:after="200" w:line="276" w:lineRule="auto"/>
        <w:ind w:left="425" w:hanging="425"/>
        <w:contextualSpacing w:val="0"/>
        <w:jc w:val="both"/>
        <w:rPr>
          <w:rFonts w:ascii="Segoe UI" w:hAnsi="Segoe UI" w:cs="Segoe UI"/>
          <w:b/>
          <w:sz w:val="22"/>
          <w:szCs w:val="22"/>
          <w:lang w:val="en-AU" w:eastAsia="zh-CN"/>
        </w:rPr>
      </w:pPr>
      <w:r w:rsidRPr="00426E9B">
        <w:rPr>
          <w:rFonts w:ascii="Segoe UI" w:hAnsi="Segoe UI" w:cs="Segoe UI"/>
          <w:b/>
          <w:sz w:val="22"/>
          <w:szCs w:val="22"/>
          <w:lang w:val="en-AU" w:eastAsia="zh-CN"/>
        </w:rPr>
        <w:t xml:space="preserve">Product differentiation – </w:t>
      </w:r>
      <w:r w:rsidRPr="00426E9B">
        <w:rPr>
          <w:rFonts w:ascii="Segoe UI" w:hAnsi="Segoe UI" w:cs="Segoe UI"/>
          <w:sz w:val="22"/>
          <w:szCs w:val="22"/>
          <w:lang w:val="en-AU" w:eastAsia="zh-CN"/>
        </w:rPr>
        <w:t xml:space="preserve">Product differentiation is important to correctly align the value that merchants and issuers receive from different customer types. </w:t>
      </w:r>
      <w:r>
        <w:rPr>
          <w:rFonts w:ascii="Segoe UI" w:hAnsi="Segoe UI" w:cs="Segoe UI"/>
          <w:sz w:val="22"/>
          <w:szCs w:val="22"/>
          <w:lang w:val="en-AU" w:eastAsia="zh-CN"/>
        </w:rPr>
        <w:t>A payment provider outside of the regulations will have the ability to drive a stronger consumer value proposition.</w:t>
      </w:r>
    </w:p>
    <w:p w14:paraId="6650E8AE" w14:textId="77777777" w:rsidR="00DF224C" w:rsidRDefault="00DF224C" w:rsidP="00DF224C">
      <w:pPr>
        <w:spacing w:after="200" w:line="276" w:lineRule="auto"/>
        <w:jc w:val="both"/>
        <w:rPr>
          <w:rFonts w:ascii="Segoe UI" w:hAnsi="Segoe UI" w:cs="Segoe UI"/>
          <w:sz w:val="22"/>
          <w:szCs w:val="22"/>
          <w:lang w:val="en-AU" w:eastAsia="zh-CN"/>
        </w:rPr>
      </w:pPr>
      <w:r>
        <w:rPr>
          <w:rFonts w:ascii="Segoe UI" w:hAnsi="Segoe UI" w:cs="Segoe UI"/>
          <w:sz w:val="22"/>
          <w:szCs w:val="22"/>
        </w:rPr>
        <w:lastRenderedPageBreak/>
        <w:t xml:space="preserve">Further, such a move would </w:t>
      </w:r>
      <w:r w:rsidRPr="00F50998">
        <w:rPr>
          <w:rFonts w:ascii="Segoe UI" w:hAnsi="Segoe UI" w:cs="Segoe UI"/>
          <w:sz w:val="22"/>
          <w:szCs w:val="22"/>
          <w:lang w:val="en-AU" w:eastAsia="zh-CN"/>
        </w:rPr>
        <w:t>limit the ability for issuers to offer appropriate products to premium cardholders and result in greater focus on cardholders that pay interest, but deliver less value to merchants (because they are lower spenders).</w:t>
      </w:r>
      <w:r>
        <w:rPr>
          <w:rFonts w:ascii="Segoe UI" w:hAnsi="Segoe UI" w:cs="Segoe UI"/>
          <w:sz w:val="22"/>
          <w:szCs w:val="22"/>
          <w:lang w:val="en-AU" w:eastAsia="zh-CN"/>
        </w:rPr>
        <w:t xml:space="preserve"> </w:t>
      </w:r>
    </w:p>
    <w:p w14:paraId="48FB374C" w14:textId="77777777" w:rsidR="00DF224C" w:rsidRDefault="00DF224C" w:rsidP="00DF224C">
      <w:pPr>
        <w:spacing w:after="200" w:line="276" w:lineRule="auto"/>
        <w:jc w:val="both"/>
        <w:rPr>
          <w:rFonts w:ascii="Segoe UI" w:hAnsi="Segoe UI" w:cs="Segoe UI"/>
          <w:sz w:val="22"/>
          <w:szCs w:val="22"/>
        </w:rPr>
      </w:pPr>
      <w:r>
        <w:rPr>
          <w:rFonts w:ascii="Segoe UI" w:hAnsi="Segoe UI" w:cs="Segoe UI"/>
          <w:sz w:val="22"/>
          <w:szCs w:val="22"/>
        </w:rPr>
        <w:t>Moreover, normalis</w:t>
      </w:r>
      <w:r w:rsidRPr="00C924A6">
        <w:rPr>
          <w:rFonts w:ascii="Segoe UI" w:hAnsi="Segoe UI" w:cs="Segoe UI"/>
          <w:sz w:val="22"/>
          <w:szCs w:val="22"/>
        </w:rPr>
        <w:t xml:space="preserve">ing the interchange rates paid by small and large merchants would </w:t>
      </w:r>
      <w:r w:rsidR="001F01BB">
        <w:rPr>
          <w:rFonts w:ascii="Segoe UI" w:hAnsi="Segoe UI" w:cs="Segoe UI"/>
          <w:sz w:val="22"/>
          <w:szCs w:val="22"/>
        </w:rPr>
        <w:t>disincentivise</w:t>
      </w:r>
      <w:r>
        <w:rPr>
          <w:rFonts w:ascii="Segoe UI" w:hAnsi="Segoe UI" w:cs="Segoe UI"/>
          <w:sz w:val="22"/>
          <w:szCs w:val="22"/>
        </w:rPr>
        <w:t xml:space="preserve"> the ability for schemes and acquirers to ensure that innovations are deployed rapidly as was the case with </w:t>
      </w:r>
      <w:r w:rsidR="0071412E">
        <w:rPr>
          <w:rFonts w:ascii="Segoe UI" w:hAnsi="Segoe UI" w:cs="Segoe UI"/>
          <w:sz w:val="22"/>
          <w:szCs w:val="22"/>
        </w:rPr>
        <w:t xml:space="preserve">Visa </w:t>
      </w:r>
      <w:r>
        <w:rPr>
          <w:rFonts w:ascii="Segoe UI" w:hAnsi="Segoe UI" w:cs="Segoe UI"/>
          <w:sz w:val="22"/>
          <w:szCs w:val="22"/>
        </w:rPr>
        <w:t>payWave and EMV.</w:t>
      </w:r>
    </w:p>
    <w:p w14:paraId="68854183" w14:textId="77777777" w:rsidR="00DF224C" w:rsidRDefault="00DF224C" w:rsidP="00DF224C">
      <w:pPr>
        <w:pStyle w:val="Heading2"/>
        <w:numPr>
          <w:ilvl w:val="1"/>
          <w:numId w:val="10"/>
        </w:numPr>
        <w:ind w:left="567" w:hanging="567"/>
        <w:jc w:val="both"/>
        <w:rPr>
          <w:rFonts w:ascii="Segoe UI" w:hAnsi="Segoe UI" w:cs="Segoe UI"/>
        </w:rPr>
      </w:pPr>
      <w:bookmarkStart w:id="32" w:name="_Toc417303933"/>
      <w:bookmarkStart w:id="33" w:name="_Toc417572690"/>
      <w:r>
        <w:rPr>
          <w:rFonts w:ascii="Segoe UI" w:hAnsi="Segoe UI" w:cs="Segoe UI"/>
        </w:rPr>
        <w:t>Increased frequency in the interchange rate three-year reset cycle</w:t>
      </w:r>
      <w:bookmarkEnd w:id="32"/>
      <w:bookmarkEnd w:id="33"/>
      <w:r>
        <w:rPr>
          <w:rFonts w:ascii="Segoe UI" w:hAnsi="Segoe UI" w:cs="Segoe UI"/>
        </w:rPr>
        <w:t xml:space="preserve"> </w:t>
      </w:r>
    </w:p>
    <w:p w14:paraId="5B2F35CD" w14:textId="77777777" w:rsidR="00DF224C" w:rsidRPr="00721F32" w:rsidRDefault="00DF224C" w:rsidP="00DF224C">
      <w:pPr>
        <w:jc w:val="both"/>
      </w:pPr>
    </w:p>
    <w:p w14:paraId="3D2FD2F0" w14:textId="77777777" w:rsidR="00DF224C" w:rsidRDefault="00DF224C" w:rsidP="00DF224C">
      <w:pPr>
        <w:tabs>
          <w:tab w:val="left" w:pos="9360"/>
        </w:tabs>
        <w:spacing w:line="276" w:lineRule="auto"/>
        <w:jc w:val="both"/>
        <w:rPr>
          <w:rFonts w:ascii="Segoe UI" w:hAnsi="Segoe UI" w:cs="Segoe UI"/>
          <w:sz w:val="22"/>
          <w:szCs w:val="22"/>
        </w:rPr>
      </w:pPr>
      <w:r>
        <w:rPr>
          <w:rFonts w:ascii="Segoe UI" w:hAnsi="Segoe UI" w:cs="Segoe UI"/>
          <w:sz w:val="22"/>
          <w:szCs w:val="22"/>
        </w:rPr>
        <w:t>The PSB has proposed a more frequent benchmark observance (RBA Issues Paper, p. 36) to reduce what the PSB has described as the upward ‘drift’ in average interchange rates under the current three-year reset mechanism</w:t>
      </w:r>
      <w:r w:rsidR="00DE7F36">
        <w:rPr>
          <w:rFonts w:ascii="Segoe UI" w:hAnsi="Segoe UI" w:cs="Segoe UI"/>
          <w:sz w:val="22"/>
          <w:szCs w:val="22"/>
        </w:rPr>
        <w:t>.</w:t>
      </w:r>
      <w:r>
        <w:rPr>
          <w:rFonts w:ascii="Segoe UI" w:hAnsi="Segoe UI" w:cs="Segoe UI"/>
          <w:sz w:val="22"/>
          <w:szCs w:val="22"/>
        </w:rPr>
        <w:t xml:space="preserve"> </w:t>
      </w:r>
    </w:p>
    <w:p w14:paraId="6EBC1661" w14:textId="77777777" w:rsidR="00DF224C" w:rsidRDefault="00DF224C" w:rsidP="00DF224C">
      <w:pPr>
        <w:tabs>
          <w:tab w:val="left" w:pos="9360"/>
        </w:tabs>
        <w:spacing w:line="276" w:lineRule="auto"/>
        <w:jc w:val="both"/>
        <w:rPr>
          <w:rFonts w:ascii="Segoe UI" w:hAnsi="Segoe UI" w:cs="Segoe UI"/>
          <w:sz w:val="22"/>
          <w:szCs w:val="22"/>
        </w:rPr>
      </w:pPr>
    </w:p>
    <w:p w14:paraId="40B3753C" w14:textId="77777777" w:rsidR="00DF224C" w:rsidRDefault="00DF224C" w:rsidP="00DF224C">
      <w:pPr>
        <w:tabs>
          <w:tab w:val="left" w:pos="9360"/>
        </w:tabs>
        <w:spacing w:line="276" w:lineRule="auto"/>
        <w:jc w:val="both"/>
        <w:rPr>
          <w:rFonts w:ascii="Segoe UI" w:hAnsi="Segoe UI" w:cs="Segoe UI"/>
          <w:sz w:val="22"/>
          <w:szCs w:val="22"/>
        </w:rPr>
      </w:pPr>
      <w:r>
        <w:rPr>
          <w:rFonts w:ascii="Segoe UI" w:hAnsi="Segoe UI" w:cs="Segoe UI"/>
          <w:sz w:val="22"/>
          <w:szCs w:val="22"/>
        </w:rPr>
        <w:t>Visa is open</w:t>
      </w:r>
      <w:r w:rsidRPr="00CF5CF5">
        <w:rPr>
          <w:rFonts w:ascii="Segoe UI" w:hAnsi="Segoe UI" w:cs="Segoe UI"/>
          <w:sz w:val="22"/>
          <w:szCs w:val="22"/>
        </w:rPr>
        <w:t xml:space="preserve"> </w:t>
      </w:r>
      <w:r>
        <w:rPr>
          <w:rFonts w:ascii="Segoe UI" w:hAnsi="Segoe UI" w:cs="Segoe UI"/>
          <w:sz w:val="22"/>
          <w:szCs w:val="22"/>
        </w:rPr>
        <w:t xml:space="preserve">to further discussions with the RBA on this issue, although we note that a reduced timeframe for interchange reset, such as one year re-weighting, could limit the desirability for launching new products as the interchange certainty to support the new product would be applied over a shortened timeframe. A slightly longer timeframe may be more appropriate in these circumstances. </w:t>
      </w:r>
    </w:p>
    <w:p w14:paraId="4340CE2A" w14:textId="77777777" w:rsidR="00DF224C" w:rsidRPr="00426E9B" w:rsidRDefault="00DF224C" w:rsidP="00DF224C">
      <w:pPr>
        <w:pStyle w:val="Heading2"/>
        <w:ind w:left="567" w:hanging="567"/>
        <w:rPr>
          <w:rFonts w:ascii="Segoe UI" w:hAnsi="Segoe UI" w:cs="Segoe UI"/>
        </w:rPr>
      </w:pPr>
      <w:bookmarkStart w:id="34" w:name="_Toc417303934"/>
      <w:bookmarkStart w:id="35" w:name="_Toc417572691"/>
      <w:r>
        <w:rPr>
          <w:rFonts w:ascii="Segoe UI" w:hAnsi="Segoe UI" w:cs="Segoe UI"/>
        </w:rPr>
        <w:t>3.3</w:t>
      </w:r>
      <w:r>
        <w:rPr>
          <w:rFonts w:ascii="Segoe UI" w:hAnsi="Segoe UI" w:cs="Segoe UI"/>
        </w:rPr>
        <w:tab/>
        <w:t>International experiences with interchange regulation</w:t>
      </w:r>
      <w:bookmarkEnd w:id="34"/>
      <w:bookmarkEnd w:id="35"/>
      <w:r>
        <w:rPr>
          <w:rFonts w:ascii="Segoe UI" w:hAnsi="Segoe UI" w:cs="Segoe UI"/>
        </w:rPr>
        <w:t xml:space="preserve"> </w:t>
      </w:r>
    </w:p>
    <w:p w14:paraId="28320789" w14:textId="77777777" w:rsidR="00DF224C" w:rsidRDefault="00DF224C" w:rsidP="00DF224C">
      <w:pPr>
        <w:rPr>
          <w:rFonts w:ascii="Segoe UI" w:hAnsi="Segoe UI" w:cs="Segoe UI"/>
        </w:rPr>
      </w:pPr>
    </w:p>
    <w:p w14:paraId="2257EA4A" w14:textId="77777777" w:rsidR="00DF224C" w:rsidRPr="00C42A50" w:rsidRDefault="00DF224C" w:rsidP="00DF224C">
      <w:pPr>
        <w:spacing w:after="200"/>
        <w:jc w:val="both"/>
        <w:rPr>
          <w:rFonts w:ascii="Segoe UI" w:hAnsi="Segoe UI" w:cs="Segoe UI"/>
          <w:bCs/>
          <w:iCs/>
          <w:sz w:val="22"/>
          <w:szCs w:val="22"/>
        </w:rPr>
      </w:pPr>
      <w:r w:rsidRPr="00C42A50">
        <w:rPr>
          <w:rFonts w:ascii="Segoe UI" w:hAnsi="Segoe UI" w:cs="Segoe UI"/>
          <w:bCs/>
          <w:iCs/>
          <w:sz w:val="22"/>
          <w:szCs w:val="22"/>
        </w:rPr>
        <w:t>As referenced above, we feel it is useful to reference international experiences to underline our present policy positions.</w:t>
      </w:r>
    </w:p>
    <w:p w14:paraId="21C3D25B" w14:textId="77777777" w:rsidR="00DF224C" w:rsidRPr="00427F9C" w:rsidRDefault="00DF224C" w:rsidP="00DF224C">
      <w:pPr>
        <w:spacing w:after="200"/>
        <w:jc w:val="both"/>
        <w:rPr>
          <w:rFonts w:ascii="Segoe UI" w:hAnsi="Segoe UI" w:cs="Segoe UI"/>
          <w:b/>
          <w:bCs/>
          <w:i/>
          <w:iCs/>
          <w:color w:val="4F81BD" w:themeColor="accent1"/>
          <w:sz w:val="22"/>
          <w:szCs w:val="22"/>
        </w:rPr>
      </w:pPr>
      <w:r w:rsidRPr="00427F9C">
        <w:rPr>
          <w:rFonts w:ascii="Segoe UI" w:hAnsi="Segoe UI" w:cs="Segoe UI"/>
          <w:b/>
          <w:bCs/>
          <w:i/>
          <w:iCs/>
          <w:color w:val="4F81BD" w:themeColor="accent1"/>
          <w:sz w:val="22"/>
          <w:szCs w:val="22"/>
        </w:rPr>
        <w:t>The United States experience</w:t>
      </w:r>
      <w:r w:rsidR="00B359B5">
        <w:rPr>
          <w:rStyle w:val="FootnoteReference"/>
          <w:rFonts w:ascii="Segoe UI" w:hAnsi="Segoe UI" w:cs="Segoe UI"/>
          <w:b/>
          <w:i/>
          <w:sz w:val="22"/>
          <w:szCs w:val="22"/>
        </w:rPr>
        <w:footnoteReference w:id="18"/>
      </w:r>
    </w:p>
    <w:p w14:paraId="7069ACBF" w14:textId="2887B67F" w:rsidR="00DF224C" w:rsidRPr="00427F9C" w:rsidRDefault="00DF224C" w:rsidP="00DF224C">
      <w:pPr>
        <w:widowControl w:val="0"/>
        <w:autoSpaceDE w:val="0"/>
        <w:autoSpaceDN w:val="0"/>
        <w:adjustRightInd w:val="0"/>
        <w:spacing w:after="240" w:line="276" w:lineRule="auto"/>
        <w:jc w:val="both"/>
        <w:rPr>
          <w:rFonts w:ascii="Segoe UI" w:hAnsi="Segoe UI" w:cs="Segoe UI"/>
          <w:position w:val="13"/>
          <w:sz w:val="22"/>
          <w:szCs w:val="22"/>
        </w:rPr>
      </w:pPr>
      <w:r w:rsidRPr="00B359B5">
        <w:rPr>
          <w:rFonts w:ascii="Segoe UI" w:hAnsi="Segoe UI" w:cs="Segoe UI"/>
          <w:sz w:val="22"/>
          <w:szCs w:val="22"/>
        </w:rPr>
        <w:t>The effects of the Durbin Amendment</w:t>
      </w:r>
      <w:r w:rsidR="00B359B5">
        <w:rPr>
          <w:rFonts w:ascii="Segoe UI" w:hAnsi="Segoe UI" w:cs="Segoe UI"/>
          <w:sz w:val="22"/>
          <w:szCs w:val="22"/>
        </w:rPr>
        <w:t xml:space="preserve"> for </w:t>
      </w:r>
      <w:r w:rsidRPr="00427F9C">
        <w:rPr>
          <w:rFonts w:ascii="Segoe UI" w:hAnsi="Segoe UI" w:cs="Segoe UI"/>
          <w:sz w:val="22"/>
          <w:szCs w:val="22"/>
        </w:rPr>
        <w:t>consumers – especially low-income</w:t>
      </w:r>
      <w:r w:rsidR="00B359B5">
        <w:rPr>
          <w:rFonts w:ascii="Segoe UI" w:hAnsi="Segoe UI" w:cs="Segoe UI"/>
          <w:sz w:val="22"/>
          <w:szCs w:val="22"/>
        </w:rPr>
        <w:t xml:space="preserve"> </w:t>
      </w:r>
      <w:r w:rsidRPr="00427F9C">
        <w:rPr>
          <w:rFonts w:ascii="Segoe UI" w:hAnsi="Segoe UI" w:cs="Segoe UI"/>
          <w:sz w:val="22"/>
          <w:szCs w:val="22"/>
        </w:rPr>
        <w:t xml:space="preserve">– and small businesses have been </w:t>
      </w:r>
      <w:r w:rsidR="00287A8C">
        <w:rPr>
          <w:rFonts w:ascii="Segoe UI" w:hAnsi="Segoe UI" w:cs="Segoe UI"/>
          <w:sz w:val="22"/>
          <w:szCs w:val="22"/>
        </w:rPr>
        <w:t>very negative</w:t>
      </w:r>
      <w:r w:rsidRPr="00427F9C">
        <w:rPr>
          <w:rFonts w:ascii="Segoe UI" w:hAnsi="Segoe UI" w:cs="Segoe UI"/>
          <w:sz w:val="22"/>
          <w:szCs w:val="22"/>
        </w:rPr>
        <w:t xml:space="preserve"> where the average interchange fee was reduced by 52 percent. Large retailers gained a US$8 billion windfall without passing on savings to consumers.</w:t>
      </w:r>
      <w:r w:rsidRPr="00427F9C">
        <w:rPr>
          <w:rFonts w:ascii="Segoe UI" w:hAnsi="Segoe UI" w:cs="Segoe UI"/>
          <w:position w:val="13"/>
          <w:sz w:val="22"/>
          <w:szCs w:val="22"/>
        </w:rPr>
        <w:t xml:space="preserve"> </w:t>
      </w:r>
    </w:p>
    <w:p w14:paraId="2115045D" w14:textId="7C4AB8DC" w:rsidR="00DF224C" w:rsidRPr="00427F9C" w:rsidRDefault="00DF224C" w:rsidP="00DF224C">
      <w:pPr>
        <w:widowControl w:val="0"/>
        <w:autoSpaceDE w:val="0"/>
        <w:autoSpaceDN w:val="0"/>
        <w:adjustRightInd w:val="0"/>
        <w:spacing w:after="240" w:line="276" w:lineRule="auto"/>
        <w:jc w:val="both"/>
        <w:rPr>
          <w:rFonts w:ascii="Segoe UI" w:hAnsi="Segoe UI" w:cs="Segoe UI"/>
          <w:i/>
          <w:sz w:val="22"/>
          <w:szCs w:val="22"/>
        </w:rPr>
      </w:pPr>
      <w:r w:rsidRPr="00427F9C">
        <w:rPr>
          <w:rFonts w:ascii="Segoe UI" w:hAnsi="Segoe UI" w:cs="Segoe UI"/>
          <w:sz w:val="22"/>
          <w:szCs w:val="22"/>
        </w:rPr>
        <w:t xml:space="preserve">Given that the interchange revenue of the banks has reduced, the banks </w:t>
      </w:r>
      <w:r w:rsidR="008B5AA1">
        <w:rPr>
          <w:rFonts w:ascii="Segoe UI" w:hAnsi="Segoe UI" w:cs="Segoe UI"/>
          <w:sz w:val="22"/>
          <w:szCs w:val="22"/>
        </w:rPr>
        <w:t>implemented</w:t>
      </w:r>
      <w:r w:rsidRPr="00427F9C">
        <w:rPr>
          <w:rFonts w:ascii="Segoe UI" w:hAnsi="Segoe UI" w:cs="Segoe UI"/>
          <w:sz w:val="22"/>
          <w:szCs w:val="22"/>
        </w:rPr>
        <w:t xml:space="preserve"> new charges and increas</w:t>
      </w:r>
      <w:r w:rsidR="008B5AA1">
        <w:rPr>
          <w:rFonts w:ascii="Segoe UI" w:hAnsi="Segoe UI" w:cs="Segoe UI"/>
          <w:sz w:val="22"/>
          <w:szCs w:val="22"/>
        </w:rPr>
        <w:t>ed</w:t>
      </w:r>
      <w:r w:rsidRPr="00427F9C">
        <w:rPr>
          <w:rFonts w:ascii="Segoe UI" w:hAnsi="Segoe UI" w:cs="Segoe UI"/>
          <w:sz w:val="22"/>
          <w:szCs w:val="22"/>
        </w:rPr>
        <w:t xml:space="preserve"> fees to offset costs. The cost of imposing such regulat</w:t>
      </w:r>
      <w:r>
        <w:rPr>
          <w:rFonts w:ascii="Segoe UI" w:hAnsi="Segoe UI" w:cs="Segoe UI"/>
          <w:sz w:val="22"/>
          <w:szCs w:val="22"/>
        </w:rPr>
        <w:t xml:space="preserve">ions has impacted on consumers – a study by </w:t>
      </w:r>
      <w:r w:rsidRPr="00427F9C">
        <w:rPr>
          <w:rFonts w:ascii="Segoe UI" w:hAnsi="Segoe UI" w:cs="Segoe UI"/>
          <w:sz w:val="22"/>
          <w:szCs w:val="22"/>
        </w:rPr>
        <w:t xml:space="preserve">David Evans cites this to the tune of </w:t>
      </w:r>
      <w:r>
        <w:rPr>
          <w:rFonts w:ascii="Segoe UI" w:hAnsi="Segoe UI" w:cs="Segoe UI"/>
          <w:sz w:val="22"/>
          <w:szCs w:val="22"/>
        </w:rPr>
        <w:t xml:space="preserve">between </w:t>
      </w:r>
      <w:r w:rsidRPr="00427F9C">
        <w:rPr>
          <w:rFonts w:ascii="Segoe UI" w:hAnsi="Segoe UI" w:cs="Segoe UI"/>
          <w:sz w:val="22"/>
          <w:szCs w:val="22"/>
        </w:rPr>
        <w:t>US$22 and $US25billion</w:t>
      </w:r>
      <w:r>
        <w:rPr>
          <w:rFonts w:ascii="Segoe UI" w:hAnsi="Segoe UI" w:cs="Segoe UI"/>
          <w:sz w:val="22"/>
          <w:szCs w:val="22"/>
        </w:rPr>
        <w:t>.</w:t>
      </w:r>
      <w:r>
        <w:rPr>
          <w:rStyle w:val="FootnoteReference"/>
          <w:rFonts w:ascii="Segoe UI" w:hAnsi="Segoe UI" w:cs="Segoe UI"/>
          <w:sz w:val="22"/>
          <w:szCs w:val="22"/>
        </w:rPr>
        <w:footnoteReference w:id="19"/>
      </w:r>
      <w:r>
        <w:rPr>
          <w:rFonts w:ascii="Segoe UI" w:hAnsi="Segoe UI" w:cs="Segoe UI"/>
          <w:sz w:val="22"/>
          <w:szCs w:val="22"/>
        </w:rPr>
        <w:t xml:space="preserve"> S</w:t>
      </w:r>
      <w:r w:rsidRPr="00427F9C">
        <w:rPr>
          <w:rFonts w:ascii="Segoe UI" w:hAnsi="Segoe UI" w:cs="Segoe UI"/>
          <w:sz w:val="22"/>
          <w:szCs w:val="22"/>
        </w:rPr>
        <w:t xml:space="preserve">avings have not been passed on to them and it provides further </w:t>
      </w:r>
      <w:r w:rsidRPr="00427F9C">
        <w:rPr>
          <w:rFonts w:ascii="Segoe UI" w:hAnsi="Segoe UI" w:cs="Segoe UI"/>
          <w:sz w:val="22"/>
          <w:szCs w:val="22"/>
        </w:rPr>
        <w:lastRenderedPageBreak/>
        <w:t>evidence as to why interchange fees should not be regulated or capped in any market.</w:t>
      </w:r>
      <w:r w:rsidRPr="00F722BC">
        <w:rPr>
          <w:rStyle w:val="FootnoteReference"/>
          <w:rFonts w:ascii="Segoe UI" w:hAnsi="Segoe UI" w:cs="Segoe UI"/>
          <w:i/>
          <w:sz w:val="22"/>
          <w:szCs w:val="22"/>
        </w:rPr>
        <w:t xml:space="preserve"> </w:t>
      </w:r>
      <w:r>
        <w:rPr>
          <w:rStyle w:val="FootnoteReference"/>
          <w:rFonts w:ascii="Segoe UI" w:hAnsi="Segoe UI" w:cs="Segoe UI"/>
          <w:i/>
          <w:sz w:val="22"/>
          <w:szCs w:val="22"/>
        </w:rPr>
        <w:footnoteReference w:id="20"/>
      </w:r>
      <w:r w:rsidRPr="00427F9C">
        <w:rPr>
          <w:rFonts w:ascii="Segoe UI" w:hAnsi="Segoe UI" w:cs="Segoe UI"/>
          <w:sz w:val="22"/>
          <w:szCs w:val="22"/>
        </w:rPr>
        <w:t xml:space="preserve"> </w:t>
      </w:r>
    </w:p>
    <w:p w14:paraId="3E5529B2" w14:textId="77777777" w:rsidR="00DF224C" w:rsidRPr="00427F9C" w:rsidRDefault="00DF224C" w:rsidP="00DF224C">
      <w:pPr>
        <w:widowControl w:val="0"/>
        <w:autoSpaceDE w:val="0"/>
        <w:autoSpaceDN w:val="0"/>
        <w:adjustRightInd w:val="0"/>
        <w:spacing w:after="240" w:line="276" w:lineRule="auto"/>
        <w:jc w:val="both"/>
        <w:rPr>
          <w:rFonts w:ascii="Segoe UI" w:hAnsi="Segoe UI" w:cs="Segoe UI"/>
          <w:sz w:val="22"/>
          <w:szCs w:val="22"/>
        </w:rPr>
      </w:pPr>
      <w:r>
        <w:rPr>
          <w:rFonts w:ascii="Segoe UI" w:hAnsi="Segoe UI" w:cs="Segoe UI"/>
          <w:sz w:val="22"/>
          <w:szCs w:val="22"/>
        </w:rPr>
        <w:t>Reducing access to bank accounts for these consumers may drive them to more costly forms of financial services, as payday lending and pawn shops has increased approximately 125 per cent since 2008.</w:t>
      </w:r>
      <w:r>
        <w:rPr>
          <w:rStyle w:val="FootnoteReference"/>
          <w:rFonts w:ascii="Segoe UI" w:hAnsi="Segoe UI" w:cs="Segoe UI"/>
          <w:sz w:val="22"/>
          <w:szCs w:val="22"/>
        </w:rPr>
        <w:footnoteReference w:id="21"/>
      </w:r>
      <w:r>
        <w:rPr>
          <w:rFonts w:ascii="Segoe UI" w:hAnsi="Segoe UI" w:cs="Segoe UI"/>
          <w:sz w:val="22"/>
          <w:szCs w:val="22"/>
        </w:rPr>
        <w:t xml:space="preserve"> The Australian Securities and Investment Commission has recently expressed their concern about the payday lending sector and the need to improve compliance and that the sector was ‘on notice’ given that consumer protections such as responsible lending obligations were in breach. </w:t>
      </w:r>
    </w:p>
    <w:p w14:paraId="642D5732" w14:textId="77777777" w:rsidR="00DF224C" w:rsidRDefault="00DF224C" w:rsidP="00DF224C">
      <w:pPr>
        <w:spacing w:line="276" w:lineRule="auto"/>
        <w:jc w:val="both"/>
        <w:rPr>
          <w:rFonts w:ascii="Segoe UI" w:hAnsi="Segoe UI" w:cs="Segoe UI"/>
          <w:sz w:val="22"/>
          <w:szCs w:val="22"/>
        </w:rPr>
      </w:pPr>
      <w:r>
        <w:rPr>
          <w:rFonts w:ascii="Segoe UI" w:hAnsi="Segoe UI" w:cs="Segoe UI"/>
          <w:sz w:val="22"/>
          <w:szCs w:val="22"/>
        </w:rPr>
        <w:t xml:space="preserve">In sum, the Durbin Amendment has been a benefit to some retailers, but at severe costs to the consumers, banks, other retailers and payments innovation generally. Further, consumers have yet to reap any benefits from the Durbin Amendment, as retailers have not passed on cost savings. </w:t>
      </w:r>
    </w:p>
    <w:p w14:paraId="3A770895" w14:textId="77777777" w:rsidR="00DF224C" w:rsidRDefault="00DF224C" w:rsidP="00DF224C">
      <w:pPr>
        <w:spacing w:line="276" w:lineRule="auto"/>
        <w:jc w:val="both"/>
        <w:rPr>
          <w:rFonts w:ascii="Segoe UI" w:hAnsi="Segoe UI" w:cs="Segoe UI"/>
          <w:sz w:val="22"/>
          <w:szCs w:val="22"/>
        </w:rPr>
      </w:pPr>
    </w:p>
    <w:p w14:paraId="039119CB" w14:textId="77777777" w:rsidR="00DF224C" w:rsidRPr="00427F9C" w:rsidRDefault="00DF224C" w:rsidP="00DF224C">
      <w:pPr>
        <w:spacing w:after="200"/>
        <w:jc w:val="both"/>
        <w:rPr>
          <w:rFonts w:ascii="Segoe UI" w:hAnsi="Segoe UI" w:cs="Segoe UI"/>
          <w:b/>
          <w:bCs/>
          <w:i/>
          <w:iCs/>
          <w:color w:val="4F81BD" w:themeColor="accent1"/>
          <w:sz w:val="22"/>
          <w:szCs w:val="22"/>
        </w:rPr>
      </w:pPr>
      <w:r w:rsidRPr="00427F9C">
        <w:rPr>
          <w:rFonts w:ascii="Segoe UI" w:hAnsi="Segoe UI" w:cs="Segoe UI"/>
          <w:b/>
          <w:bCs/>
          <w:i/>
          <w:iCs/>
          <w:color w:val="4F81BD" w:themeColor="accent1"/>
          <w:sz w:val="22"/>
          <w:szCs w:val="22"/>
        </w:rPr>
        <w:t xml:space="preserve">The </w:t>
      </w:r>
      <w:r>
        <w:rPr>
          <w:rFonts w:ascii="Segoe UI" w:hAnsi="Segoe UI" w:cs="Segoe UI"/>
          <w:b/>
          <w:bCs/>
          <w:i/>
          <w:iCs/>
          <w:color w:val="4F81BD" w:themeColor="accent1"/>
          <w:sz w:val="22"/>
          <w:szCs w:val="22"/>
        </w:rPr>
        <w:t xml:space="preserve">European Union </w:t>
      </w:r>
      <w:r w:rsidRPr="00427F9C">
        <w:rPr>
          <w:rFonts w:ascii="Segoe UI" w:hAnsi="Segoe UI" w:cs="Segoe UI"/>
          <w:b/>
          <w:bCs/>
          <w:i/>
          <w:iCs/>
          <w:color w:val="4F81BD" w:themeColor="accent1"/>
          <w:sz w:val="22"/>
          <w:szCs w:val="22"/>
        </w:rPr>
        <w:t>experience</w:t>
      </w:r>
    </w:p>
    <w:p w14:paraId="7097362B" w14:textId="77777777" w:rsidR="00DF224C" w:rsidRPr="004548B6" w:rsidRDefault="00DF224C" w:rsidP="00DF224C">
      <w:pPr>
        <w:spacing w:line="276" w:lineRule="auto"/>
        <w:jc w:val="both"/>
        <w:rPr>
          <w:rFonts w:ascii="Segoe UI" w:hAnsi="Segoe UI" w:cs="Segoe UI"/>
          <w:sz w:val="22"/>
          <w:szCs w:val="22"/>
        </w:rPr>
      </w:pPr>
      <w:r w:rsidRPr="004548B6">
        <w:rPr>
          <w:rFonts w:ascii="Segoe UI" w:hAnsi="Segoe UI" w:cs="Segoe UI"/>
          <w:sz w:val="22"/>
          <w:szCs w:val="22"/>
        </w:rPr>
        <w:t xml:space="preserve">As mentioned in the RBA Issues Paper, the EU has recently undertaken wide consideration of payments regulatory issues, including approaches to the regulation and management of interchange. </w:t>
      </w:r>
    </w:p>
    <w:p w14:paraId="7405FD03" w14:textId="77777777" w:rsidR="00DF224C" w:rsidRPr="004548B6" w:rsidRDefault="00DF224C" w:rsidP="00DF224C">
      <w:pPr>
        <w:spacing w:line="276" w:lineRule="auto"/>
        <w:jc w:val="both"/>
        <w:rPr>
          <w:rFonts w:ascii="Segoe UI" w:hAnsi="Segoe UI" w:cs="Segoe UI"/>
          <w:sz w:val="22"/>
          <w:szCs w:val="22"/>
        </w:rPr>
      </w:pPr>
    </w:p>
    <w:p w14:paraId="24C863C9" w14:textId="2EC35124" w:rsidR="00DF224C" w:rsidRDefault="00DF224C" w:rsidP="00DF224C">
      <w:pPr>
        <w:spacing w:line="276" w:lineRule="auto"/>
        <w:jc w:val="both"/>
        <w:rPr>
          <w:rFonts w:ascii="Segoe UI" w:hAnsi="Segoe UI" w:cs="Segoe UI"/>
          <w:sz w:val="22"/>
          <w:szCs w:val="22"/>
        </w:rPr>
      </w:pPr>
      <w:r w:rsidRPr="004548B6">
        <w:rPr>
          <w:rFonts w:ascii="Segoe UI" w:hAnsi="Segoe UI" w:cs="Segoe UI"/>
          <w:sz w:val="22"/>
          <w:szCs w:val="22"/>
        </w:rPr>
        <w:t>Most relevantly to the matters raised by the PSB we note that the EU has agreed that hybrid four-party schemes should be regulated. I</w:t>
      </w:r>
      <w:r>
        <w:rPr>
          <w:rFonts w:ascii="Segoe UI" w:hAnsi="Segoe UI" w:cs="Segoe UI"/>
          <w:sz w:val="22"/>
          <w:szCs w:val="22"/>
        </w:rPr>
        <w:t>n</w:t>
      </w:r>
      <w:r w:rsidRPr="004548B6">
        <w:rPr>
          <w:rFonts w:ascii="Segoe UI" w:hAnsi="Segoe UI" w:cs="Segoe UI"/>
          <w:sz w:val="22"/>
          <w:szCs w:val="22"/>
        </w:rPr>
        <w:t xml:space="preserve"> addition, the EU has determined that</w:t>
      </w:r>
      <w:r w:rsidR="00DD46F3">
        <w:rPr>
          <w:rFonts w:ascii="Segoe UI" w:hAnsi="Segoe UI" w:cs="Segoe UI"/>
          <w:sz w:val="22"/>
          <w:szCs w:val="22"/>
        </w:rPr>
        <w:t xml:space="preserve"> merchant choice cannot override consumer choice (addressed in chapter 5 below) and that </w:t>
      </w:r>
      <w:r w:rsidRPr="004548B6">
        <w:rPr>
          <w:rFonts w:ascii="Segoe UI" w:hAnsi="Segoe UI" w:cs="Segoe UI"/>
          <w:sz w:val="22"/>
          <w:szCs w:val="22"/>
        </w:rPr>
        <w:t>interchange associated with Commercial Cards should be excluded from regulation</w:t>
      </w:r>
      <w:r w:rsidR="00DD46F3">
        <w:rPr>
          <w:rFonts w:ascii="Segoe UI" w:hAnsi="Segoe UI" w:cs="Segoe UI"/>
          <w:sz w:val="22"/>
          <w:szCs w:val="22"/>
        </w:rPr>
        <w:t xml:space="preserve"> (addressed</w:t>
      </w:r>
      <w:r w:rsidRPr="004548B6">
        <w:rPr>
          <w:rFonts w:ascii="Segoe UI" w:hAnsi="Segoe UI" w:cs="Segoe UI"/>
          <w:sz w:val="22"/>
          <w:szCs w:val="22"/>
        </w:rPr>
        <w:t xml:space="preserve"> in chapter </w:t>
      </w:r>
      <w:r>
        <w:rPr>
          <w:rFonts w:ascii="Segoe UI" w:hAnsi="Segoe UI" w:cs="Segoe UI"/>
          <w:sz w:val="22"/>
          <w:szCs w:val="22"/>
        </w:rPr>
        <w:t xml:space="preserve">7 </w:t>
      </w:r>
      <w:r w:rsidRPr="004548B6">
        <w:rPr>
          <w:rFonts w:ascii="Segoe UI" w:hAnsi="Segoe UI" w:cs="Segoe UI"/>
          <w:sz w:val="22"/>
          <w:szCs w:val="22"/>
        </w:rPr>
        <w:t>below</w:t>
      </w:r>
      <w:r w:rsidR="00DD46F3">
        <w:rPr>
          <w:rFonts w:ascii="Segoe UI" w:hAnsi="Segoe UI" w:cs="Segoe UI"/>
          <w:sz w:val="22"/>
          <w:szCs w:val="22"/>
        </w:rPr>
        <w:t>)</w:t>
      </w:r>
      <w:r w:rsidRPr="004548B6">
        <w:rPr>
          <w:rFonts w:ascii="Segoe UI" w:hAnsi="Segoe UI" w:cs="Segoe UI"/>
          <w:sz w:val="22"/>
          <w:szCs w:val="22"/>
        </w:rPr>
        <w:t>.</w:t>
      </w:r>
    </w:p>
    <w:p w14:paraId="36A8EE10" w14:textId="77777777" w:rsidR="00DF224C" w:rsidRDefault="00DF224C" w:rsidP="00DF224C">
      <w:pPr>
        <w:spacing w:line="276" w:lineRule="auto"/>
        <w:jc w:val="both"/>
        <w:rPr>
          <w:rFonts w:ascii="Segoe UI" w:hAnsi="Segoe UI" w:cs="Segoe UI"/>
          <w:sz w:val="22"/>
          <w:szCs w:val="22"/>
        </w:rPr>
      </w:pPr>
    </w:p>
    <w:p w14:paraId="09C19FB3" w14:textId="77777777" w:rsidR="00DF224C" w:rsidRDefault="00DF224C" w:rsidP="00DF224C">
      <w:pPr>
        <w:spacing w:line="276" w:lineRule="auto"/>
        <w:jc w:val="both"/>
        <w:rPr>
          <w:rFonts w:ascii="Segoe UI" w:hAnsi="Segoe UI" w:cs="Segoe UI"/>
          <w:sz w:val="22"/>
          <w:szCs w:val="22"/>
        </w:rPr>
      </w:pPr>
    </w:p>
    <w:p w14:paraId="64185F3B" w14:textId="77777777" w:rsidR="00DF224C" w:rsidRDefault="00DF224C" w:rsidP="00DF224C">
      <w:pPr>
        <w:spacing w:line="276" w:lineRule="auto"/>
        <w:jc w:val="both"/>
        <w:rPr>
          <w:rFonts w:ascii="Segoe UI" w:hAnsi="Segoe UI" w:cs="Segoe UI"/>
          <w:sz w:val="22"/>
          <w:szCs w:val="22"/>
        </w:rPr>
      </w:pPr>
    </w:p>
    <w:p w14:paraId="160A4609" w14:textId="77777777" w:rsidR="00DF224C" w:rsidRDefault="00DF224C" w:rsidP="00DF224C"/>
    <w:p w14:paraId="232D7474" w14:textId="77777777" w:rsidR="001F01BB" w:rsidRDefault="001F01BB">
      <w:pPr>
        <w:spacing w:after="200" w:line="276" w:lineRule="auto"/>
        <w:rPr>
          <w:rFonts w:ascii="Segoe UI" w:eastAsiaTheme="majorEastAsia" w:hAnsi="Segoe UI" w:cs="Segoe UI"/>
          <w:b/>
          <w:bCs/>
          <w:color w:val="345A8A" w:themeColor="accent1" w:themeShade="B5"/>
          <w:sz w:val="32"/>
          <w:szCs w:val="32"/>
        </w:rPr>
      </w:pPr>
      <w:bookmarkStart w:id="36" w:name="_Toc289363564"/>
      <w:bookmarkStart w:id="37" w:name="_Toc417303935"/>
      <w:r>
        <w:rPr>
          <w:rFonts w:ascii="Segoe UI" w:hAnsi="Segoe UI" w:cs="Segoe UI"/>
        </w:rPr>
        <w:br w:type="page"/>
      </w:r>
    </w:p>
    <w:p w14:paraId="21D94DED" w14:textId="77777777" w:rsidR="00DF224C" w:rsidRPr="0089281F" w:rsidRDefault="00DF224C" w:rsidP="00DF224C">
      <w:pPr>
        <w:pStyle w:val="Heading1"/>
        <w:rPr>
          <w:rFonts w:ascii="Segoe UI" w:hAnsi="Segoe UI" w:cs="Segoe UI"/>
          <w:color w:val="002060"/>
        </w:rPr>
      </w:pPr>
      <w:bookmarkStart w:id="38" w:name="_Toc417572692"/>
      <w:r w:rsidRPr="0089281F">
        <w:rPr>
          <w:rFonts w:ascii="Segoe UI" w:hAnsi="Segoe UI" w:cs="Segoe UI"/>
          <w:color w:val="002060"/>
        </w:rPr>
        <w:lastRenderedPageBreak/>
        <w:t>Chapter 4: Surcharging</w:t>
      </w:r>
      <w:bookmarkEnd w:id="36"/>
      <w:bookmarkEnd w:id="37"/>
      <w:bookmarkEnd w:id="38"/>
    </w:p>
    <w:p w14:paraId="288F3106" w14:textId="77777777" w:rsidR="00DF224C" w:rsidRPr="00110678" w:rsidRDefault="00DF224C" w:rsidP="00DF224C"/>
    <w:tbl>
      <w:tblPr>
        <w:tblStyle w:val="TableGrid"/>
        <w:tblW w:w="0" w:type="auto"/>
        <w:tblBorders>
          <w:insideH w:val="none" w:sz="0" w:space="0" w:color="auto"/>
          <w:insideV w:val="none" w:sz="0" w:space="0" w:color="auto"/>
        </w:tblBorders>
        <w:shd w:val="clear" w:color="auto" w:fill="E0E0E0"/>
        <w:tblLook w:val="04A0" w:firstRow="1" w:lastRow="0" w:firstColumn="1" w:lastColumn="0" w:noHBand="0" w:noVBand="1"/>
      </w:tblPr>
      <w:tblGrid>
        <w:gridCol w:w="9243"/>
      </w:tblGrid>
      <w:tr w:rsidR="00DF224C" w:rsidRPr="0001116F" w14:paraId="1AE7729C" w14:textId="77777777" w:rsidTr="00653966">
        <w:tc>
          <w:tcPr>
            <w:tcW w:w="9280" w:type="dxa"/>
            <w:shd w:val="clear" w:color="auto" w:fill="E0E0E0"/>
          </w:tcPr>
          <w:p w14:paraId="1858884D" w14:textId="77777777" w:rsidR="00DF224C" w:rsidRPr="00110678" w:rsidRDefault="00DF224C" w:rsidP="00653966">
            <w:pPr>
              <w:pStyle w:val="Heading4"/>
              <w:outlineLvl w:val="3"/>
              <w:rPr>
                <w:rFonts w:ascii="Segoe UI" w:hAnsi="Segoe UI" w:cs="Segoe UI"/>
              </w:rPr>
            </w:pPr>
            <w:r w:rsidRPr="00110678">
              <w:rPr>
                <w:rFonts w:ascii="Segoe UI" w:hAnsi="Segoe UI" w:cs="Segoe UI"/>
              </w:rPr>
              <w:t>Key points</w:t>
            </w:r>
          </w:p>
          <w:p w14:paraId="1771B2A3" w14:textId="77777777" w:rsidR="00DF224C" w:rsidRPr="00110678" w:rsidRDefault="00DF224C" w:rsidP="0089281F">
            <w:pPr>
              <w:pStyle w:val="ListParagraph"/>
              <w:numPr>
                <w:ilvl w:val="0"/>
                <w:numId w:val="2"/>
              </w:numPr>
              <w:spacing w:before="120" w:after="240" w:line="240" w:lineRule="exact"/>
              <w:ind w:left="714" w:right="432" w:hanging="357"/>
              <w:contextualSpacing w:val="0"/>
              <w:jc w:val="both"/>
              <w:rPr>
                <w:rFonts w:ascii="Segoe UI" w:hAnsi="Segoe UI" w:cs="Segoe UI"/>
                <w:sz w:val="22"/>
                <w:szCs w:val="22"/>
              </w:rPr>
            </w:pPr>
            <w:r>
              <w:rPr>
                <w:rFonts w:ascii="Segoe UI" w:hAnsi="Segoe UI" w:cs="Segoe UI"/>
                <w:sz w:val="22"/>
                <w:szCs w:val="22"/>
              </w:rPr>
              <w:t xml:space="preserve">Visa continues to oppose the ability for merchants to surcharge customers </w:t>
            </w:r>
            <w:r w:rsidRPr="006E7B02">
              <w:rPr>
                <w:rFonts w:ascii="Segoe UI" w:hAnsi="Segoe UI" w:cs="Segoe UI"/>
                <w:sz w:val="22"/>
                <w:szCs w:val="22"/>
              </w:rPr>
              <w:t>for using secure, transparent and reliable electronic payment systems</w:t>
            </w:r>
            <w:r>
              <w:rPr>
                <w:rFonts w:ascii="Segoe UI" w:hAnsi="Segoe UI" w:cs="Segoe UI"/>
                <w:sz w:val="22"/>
                <w:szCs w:val="22"/>
              </w:rPr>
              <w:t xml:space="preserve"> such as Visa. </w:t>
            </w:r>
          </w:p>
          <w:p w14:paraId="7FDEE7AF" w14:textId="77777777" w:rsidR="00DF224C" w:rsidRDefault="00DF224C" w:rsidP="0089281F">
            <w:pPr>
              <w:pStyle w:val="ListParagraph"/>
              <w:numPr>
                <w:ilvl w:val="0"/>
                <w:numId w:val="2"/>
              </w:numPr>
              <w:spacing w:before="120" w:after="240" w:line="240" w:lineRule="exact"/>
              <w:ind w:left="714" w:right="432" w:hanging="357"/>
              <w:contextualSpacing w:val="0"/>
              <w:jc w:val="both"/>
              <w:rPr>
                <w:rFonts w:ascii="Segoe UI" w:hAnsi="Segoe UI" w:cs="Segoe UI"/>
                <w:sz w:val="22"/>
                <w:szCs w:val="22"/>
              </w:rPr>
            </w:pPr>
            <w:r w:rsidRPr="00CD1E53">
              <w:rPr>
                <w:rFonts w:ascii="Segoe UI" w:hAnsi="Segoe UI" w:cs="Segoe UI"/>
                <w:sz w:val="22"/>
                <w:szCs w:val="22"/>
              </w:rPr>
              <w:t>If surcharging is not to be prohibited in the Australian market, Visa supports the ongoing imposition of a limitation on the level of permissi</w:t>
            </w:r>
            <w:r>
              <w:rPr>
                <w:rFonts w:ascii="Segoe UI" w:hAnsi="Segoe UI" w:cs="Segoe UI"/>
                <w:sz w:val="22"/>
                <w:szCs w:val="22"/>
              </w:rPr>
              <w:t xml:space="preserve">ble surcharging of transactions. </w:t>
            </w:r>
          </w:p>
          <w:p w14:paraId="256B27ED" w14:textId="77777777" w:rsidR="00DF224C" w:rsidRPr="00CD1E53" w:rsidRDefault="00DF224C" w:rsidP="0089281F">
            <w:pPr>
              <w:pStyle w:val="ListParagraph"/>
              <w:numPr>
                <w:ilvl w:val="0"/>
                <w:numId w:val="2"/>
              </w:numPr>
              <w:spacing w:before="120" w:after="240" w:line="240" w:lineRule="exact"/>
              <w:ind w:left="714" w:right="432" w:hanging="357"/>
              <w:contextualSpacing w:val="0"/>
              <w:jc w:val="both"/>
              <w:rPr>
                <w:rFonts w:ascii="Segoe UI" w:hAnsi="Segoe UI" w:cs="Segoe UI"/>
                <w:sz w:val="22"/>
                <w:szCs w:val="22"/>
              </w:rPr>
            </w:pPr>
            <w:r w:rsidRPr="00CD1E53">
              <w:rPr>
                <w:rFonts w:ascii="Segoe UI" w:hAnsi="Segoe UI" w:cs="Segoe UI"/>
                <w:sz w:val="22"/>
                <w:szCs w:val="22"/>
              </w:rPr>
              <w:t>Regardless of whether an overall surcharge ban is endorsed, or an enhanced limitation approach of some form is enacted, it is critical that the position be enforceable via empowering a statutory body with powers to monitor and enforce surcharging rules in Australia</w:t>
            </w:r>
            <w:r>
              <w:rPr>
                <w:rFonts w:ascii="Segoe UI" w:hAnsi="Segoe UI" w:cs="Segoe UI"/>
                <w:sz w:val="22"/>
                <w:szCs w:val="22"/>
              </w:rPr>
              <w:t xml:space="preserve"> such as the ASIC or ACCC</w:t>
            </w:r>
            <w:r w:rsidRPr="00CD1E53">
              <w:rPr>
                <w:rFonts w:ascii="Segoe UI" w:hAnsi="Segoe UI" w:cs="Segoe UI"/>
                <w:sz w:val="22"/>
                <w:szCs w:val="22"/>
              </w:rPr>
              <w:t xml:space="preserve">. </w:t>
            </w:r>
          </w:p>
        </w:tc>
      </w:tr>
    </w:tbl>
    <w:p w14:paraId="3C249766" w14:textId="77777777" w:rsidR="00DF224C" w:rsidRPr="006E7B02" w:rsidRDefault="00DF224C" w:rsidP="00DF224C">
      <w:pPr>
        <w:pStyle w:val="Heading2"/>
        <w:numPr>
          <w:ilvl w:val="1"/>
          <w:numId w:val="12"/>
        </w:numPr>
        <w:ind w:left="567" w:hanging="567"/>
        <w:rPr>
          <w:rFonts w:ascii="Segoe UI" w:hAnsi="Segoe UI" w:cs="Segoe UI"/>
        </w:rPr>
      </w:pPr>
      <w:bookmarkStart w:id="39" w:name="_Toc289363565"/>
      <w:bookmarkStart w:id="40" w:name="_Toc417303936"/>
      <w:bookmarkStart w:id="41" w:name="_Toc417572693"/>
      <w:r w:rsidRPr="006E7B02">
        <w:rPr>
          <w:rFonts w:ascii="Segoe UI" w:hAnsi="Segoe UI" w:cs="Segoe UI"/>
        </w:rPr>
        <w:t>Introduction</w:t>
      </w:r>
      <w:bookmarkEnd w:id="39"/>
      <w:bookmarkEnd w:id="40"/>
      <w:bookmarkEnd w:id="41"/>
    </w:p>
    <w:p w14:paraId="62D0FDE4" w14:textId="77777777" w:rsidR="00DF224C" w:rsidRPr="006E7B02" w:rsidRDefault="00DF224C" w:rsidP="00DF224C">
      <w:pPr>
        <w:rPr>
          <w:rFonts w:ascii="Segoe UI" w:hAnsi="Segoe UI" w:cs="Segoe UI"/>
        </w:rPr>
      </w:pPr>
    </w:p>
    <w:p w14:paraId="06A90BDE" w14:textId="77777777" w:rsidR="00DF224C" w:rsidRPr="006E7B02" w:rsidRDefault="00DF224C" w:rsidP="00DF224C">
      <w:pPr>
        <w:spacing w:line="276" w:lineRule="auto"/>
        <w:jc w:val="both"/>
        <w:rPr>
          <w:rFonts w:ascii="Segoe UI" w:hAnsi="Segoe UI" w:cs="Segoe UI"/>
          <w:sz w:val="22"/>
          <w:szCs w:val="22"/>
        </w:rPr>
      </w:pPr>
      <w:r w:rsidRPr="006E7B02">
        <w:rPr>
          <w:rFonts w:ascii="Segoe UI" w:hAnsi="Segoe UI" w:cs="Segoe UI"/>
          <w:sz w:val="22"/>
          <w:szCs w:val="22"/>
        </w:rPr>
        <w:t>Visa has been concerned for many years now that the prevalence and excessive levels of surcharging in Australia are negatively impacting Australian consumers. The surcharging problem in Australia is more extensive and widespread than nearly any other advanced market in which Visa operates. Changes and reforms to regulations in past years have, unfortunately, insufficiently addressed the problem despite the best of policy intentions, with excessive surcharging still being a widespread practice across the country.</w:t>
      </w:r>
      <w:r>
        <w:rPr>
          <w:rFonts w:ascii="Segoe UI" w:hAnsi="Segoe UI" w:cs="Segoe UI"/>
          <w:sz w:val="22"/>
          <w:szCs w:val="22"/>
        </w:rPr>
        <w:t xml:space="preserve"> Excessive surcharging has also been raised by the PSB and FSI final report. </w:t>
      </w:r>
    </w:p>
    <w:p w14:paraId="1E38F6AD" w14:textId="77777777" w:rsidR="00DF224C" w:rsidRPr="006E7B02" w:rsidRDefault="00DF224C" w:rsidP="00DF224C">
      <w:pPr>
        <w:spacing w:line="276" w:lineRule="auto"/>
        <w:jc w:val="both"/>
        <w:rPr>
          <w:rFonts w:ascii="Segoe UI" w:hAnsi="Segoe UI" w:cs="Segoe UI"/>
          <w:sz w:val="22"/>
          <w:szCs w:val="22"/>
        </w:rPr>
      </w:pPr>
    </w:p>
    <w:p w14:paraId="0A5C1914" w14:textId="77777777" w:rsidR="00DF224C" w:rsidRPr="006E7B02" w:rsidRDefault="00DF224C" w:rsidP="00DF224C">
      <w:pPr>
        <w:spacing w:line="276" w:lineRule="auto"/>
        <w:jc w:val="both"/>
        <w:rPr>
          <w:rFonts w:ascii="Segoe UI" w:hAnsi="Segoe UI" w:cs="Segoe UI"/>
          <w:sz w:val="22"/>
          <w:szCs w:val="22"/>
        </w:rPr>
      </w:pPr>
      <w:r w:rsidRPr="006E7B02">
        <w:rPr>
          <w:rFonts w:ascii="Segoe UI" w:hAnsi="Segoe UI" w:cs="Segoe UI"/>
          <w:sz w:val="22"/>
          <w:szCs w:val="22"/>
        </w:rPr>
        <w:t xml:space="preserve">It is Visa’s position that excessive surcharges in Australia have been an unfair cost burden on consumers. Penalising consumers via surcharges for using secure, transparent and reliable electronic payment systems is a practice </w:t>
      </w:r>
      <w:r>
        <w:rPr>
          <w:rFonts w:ascii="Segoe UI" w:hAnsi="Segoe UI" w:cs="Segoe UI"/>
          <w:sz w:val="22"/>
          <w:szCs w:val="22"/>
        </w:rPr>
        <w:t>we</w:t>
      </w:r>
      <w:r w:rsidRPr="006E7B02">
        <w:rPr>
          <w:rFonts w:ascii="Segoe UI" w:hAnsi="Segoe UI" w:cs="Segoe UI"/>
          <w:sz w:val="22"/>
          <w:szCs w:val="22"/>
        </w:rPr>
        <w:t xml:space="preserve"> ha</w:t>
      </w:r>
      <w:r>
        <w:rPr>
          <w:rFonts w:ascii="Segoe UI" w:hAnsi="Segoe UI" w:cs="Segoe UI"/>
          <w:sz w:val="22"/>
          <w:szCs w:val="22"/>
        </w:rPr>
        <w:t>ve</w:t>
      </w:r>
      <w:r w:rsidRPr="006E7B02">
        <w:rPr>
          <w:rFonts w:ascii="Segoe UI" w:hAnsi="Segoe UI" w:cs="Segoe UI"/>
          <w:sz w:val="22"/>
          <w:szCs w:val="22"/>
        </w:rPr>
        <w:t xml:space="preserve"> always strongly opposed in the best interests of consumers. There is no evidence that shows </w:t>
      </w:r>
      <w:r>
        <w:rPr>
          <w:rFonts w:ascii="Segoe UI" w:hAnsi="Segoe UI" w:cs="Segoe UI"/>
          <w:sz w:val="22"/>
          <w:szCs w:val="22"/>
        </w:rPr>
        <w:t xml:space="preserve">that </w:t>
      </w:r>
      <w:r w:rsidRPr="006E7B02">
        <w:rPr>
          <w:rFonts w:ascii="Segoe UI" w:hAnsi="Segoe UI" w:cs="Segoe UI"/>
          <w:sz w:val="22"/>
          <w:szCs w:val="22"/>
        </w:rPr>
        <w:t>surcharging has led to a reduction in prices charged by merchants. Visa’s view about the need to limit surcharging remains despite the changes put in place by the RBA in 2012 and which took effect from March 2013 that allowed a voluntary “reasonable cost of card acceptance” limitation to be put in place by card schemes.</w:t>
      </w:r>
    </w:p>
    <w:p w14:paraId="0A3AB9A9" w14:textId="77777777" w:rsidR="00DF224C" w:rsidRPr="006E7B02" w:rsidRDefault="00DF224C" w:rsidP="00DF224C">
      <w:pPr>
        <w:spacing w:line="276" w:lineRule="auto"/>
        <w:jc w:val="both"/>
        <w:rPr>
          <w:rFonts w:ascii="Segoe UI" w:hAnsi="Segoe UI" w:cs="Segoe UI"/>
          <w:sz w:val="22"/>
          <w:szCs w:val="22"/>
        </w:rPr>
      </w:pPr>
    </w:p>
    <w:p w14:paraId="09F12E03" w14:textId="77777777" w:rsidR="00DF224C" w:rsidRPr="006E7B02" w:rsidRDefault="00DF224C" w:rsidP="00DF224C">
      <w:pPr>
        <w:spacing w:line="276" w:lineRule="auto"/>
        <w:jc w:val="both"/>
        <w:rPr>
          <w:rFonts w:ascii="Segoe UI" w:hAnsi="Segoe UI" w:cs="Segoe UI"/>
          <w:sz w:val="22"/>
          <w:szCs w:val="22"/>
        </w:rPr>
      </w:pPr>
      <w:r w:rsidRPr="006E7B02">
        <w:rPr>
          <w:rFonts w:ascii="Segoe UI" w:hAnsi="Segoe UI" w:cs="Segoe UI"/>
          <w:sz w:val="22"/>
          <w:szCs w:val="22"/>
        </w:rPr>
        <w:t xml:space="preserve">Visa is committed to playing a role in addressing excessive surcharging, although we believe that the current means of implementing the “reasonable costs of card acceptance” test places Visa squarely as the quasi-regulatory umpire with merchants and acquirers – a position which is problematic on many levels. </w:t>
      </w:r>
    </w:p>
    <w:p w14:paraId="12EEAC32" w14:textId="77777777" w:rsidR="00DF224C" w:rsidRDefault="00DF224C" w:rsidP="00DF224C">
      <w:pPr>
        <w:pStyle w:val="Heading2"/>
        <w:numPr>
          <w:ilvl w:val="1"/>
          <w:numId w:val="12"/>
        </w:numPr>
        <w:ind w:left="567" w:hanging="567"/>
        <w:rPr>
          <w:rFonts w:ascii="Segoe UI" w:hAnsi="Segoe UI" w:cs="Segoe UI"/>
        </w:rPr>
      </w:pPr>
      <w:bookmarkStart w:id="42" w:name="_Toc417303937"/>
      <w:bookmarkStart w:id="43" w:name="_Toc417572694"/>
      <w:r w:rsidRPr="00110678">
        <w:rPr>
          <w:rFonts w:ascii="Segoe UI" w:hAnsi="Segoe UI" w:cs="Segoe UI"/>
        </w:rPr>
        <w:t>Prohibition on surcharging</w:t>
      </w:r>
      <w:bookmarkEnd w:id="42"/>
      <w:bookmarkEnd w:id="43"/>
    </w:p>
    <w:p w14:paraId="6950A971" w14:textId="77777777" w:rsidR="00DF224C" w:rsidRPr="00110678" w:rsidRDefault="00DF224C" w:rsidP="00DF224C"/>
    <w:p w14:paraId="5681457E" w14:textId="46AD8E31" w:rsidR="00DF224C" w:rsidRPr="00B26885" w:rsidRDefault="00DF224C" w:rsidP="00DF224C">
      <w:pPr>
        <w:spacing w:line="276" w:lineRule="auto"/>
        <w:jc w:val="both"/>
        <w:rPr>
          <w:rFonts w:ascii="Segoe UI" w:hAnsi="Segoe UI" w:cs="Segoe UI"/>
          <w:sz w:val="22"/>
          <w:szCs w:val="22"/>
        </w:rPr>
      </w:pPr>
      <w:r w:rsidRPr="00B26885">
        <w:rPr>
          <w:rFonts w:ascii="Segoe UI" w:hAnsi="Segoe UI" w:cs="Segoe UI"/>
          <w:sz w:val="22"/>
          <w:szCs w:val="22"/>
        </w:rPr>
        <w:t xml:space="preserve">In line with </w:t>
      </w:r>
      <w:r>
        <w:rPr>
          <w:rFonts w:ascii="Segoe UI" w:hAnsi="Segoe UI" w:cs="Segoe UI"/>
          <w:sz w:val="22"/>
          <w:szCs w:val="22"/>
        </w:rPr>
        <w:t>Visa’s</w:t>
      </w:r>
      <w:r w:rsidRPr="00B26885">
        <w:rPr>
          <w:rFonts w:ascii="Segoe UI" w:hAnsi="Segoe UI" w:cs="Segoe UI"/>
          <w:sz w:val="22"/>
          <w:szCs w:val="22"/>
        </w:rPr>
        <w:t xml:space="preserve"> global policy positions, </w:t>
      </w:r>
      <w:r>
        <w:rPr>
          <w:rFonts w:ascii="Segoe UI" w:hAnsi="Segoe UI" w:cs="Segoe UI"/>
          <w:sz w:val="22"/>
          <w:szCs w:val="22"/>
        </w:rPr>
        <w:t>we believe that</w:t>
      </w:r>
      <w:r w:rsidRPr="00B26885">
        <w:rPr>
          <w:rFonts w:ascii="Segoe UI" w:hAnsi="Segoe UI" w:cs="Segoe UI"/>
          <w:sz w:val="22"/>
          <w:szCs w:val="22"/>
        </w:rPr>
        <w:t xml:space="preserve"> surcharging should be banned as we believe surcharging disincentivises the uptake of efficient electronic payments</w:t>
      </w:r>
      <w:r>
        <w:rPr>
          <w:rFonts w:ascii="Segoe UI" w:hAnsi="Segoe UI" w:cs="Segoe UI"/>
          <w:sz w:val="22"/>
          <w:szCs w:val="22"/>
        </w:rPr>
        <w:t xml:space="preserve"> to the </w:t>
      </w:r>
      <w:r>
        <w:rPr>
          <w:rFonts w:ascii="Segoe UI" w:hAnsi="Segoe UI" w:cs="Segoe UI"/>
          <w:sz w:val="22"/>
          <w:szCs w:val="22"/>
        </w:rPr>
        <w:lastRenderedPageBreak/>
        <w:t xml:space="preserve">detriment of </w:t>
      </w:r>
      <w:r w:rsidRPr="00B26885">
        <w:rPr>
          <w:rFonts w:ascii="Segoe UI" w:hAnsi="Segoe UI" w:cs="Segoe UI"/>
          <w:sz w:val="22"/>
          <w:szCs w:val="22"/>
        </w:rPr>
        <w:t>consumers and is very frequently in excess of the merchants true costs of acceptance. Surcharging</w:t>
      </w:r>
      <w:r>
        <w:rPr>
          <w:rFonts w:ascii="Segoe UI" w:hAnsi="Segoe UI" w:cs="Segoe UI"/>
          <w:sz w:val="22"/>
          <w:szCs w:val="22"/>
        </w:rPr>
        <w:t>, especially excessive surcharging,</w:t>
      </w:r>
      <w:r w:rsidRPr="00B26885">
        <w:rPr>
          <w:rFonts w:ascii="Segoe UI" w:hAnsi="Segoe UI" w:cs="Segoe UI"/>
          <w:sz w:val="22"/>
          <w:szCs w:val="22"/>
        </w:rPr>
        <w:t xml:space="preserve"> </w:t>
      </w:r>
      <w:r>
        <w:rPr>
          <w:rFonts w:ascii="Segoe UI" w:hAnsi="Segoe UI" w:cs="Segoe UI"/>
          <w:sz w:val="22"/>
          <w:szCs w:val="22"/>
        </w:rPr>
        <w:t>also reduces the overall efficiency of the payments system and is usually concentrated amongst</w:t>
      </w:r>
      <w:r w:rsidRPr="00B26885">
        <w:rPr>
          <w:rFonts w:ascii="Segoe UI" w:hAnsi="Segoe UI" w:cs="Segoe UI"/>
          <w:sz w:val="22"/>
          <w:szCs w:val="22"/>
        </w:rPr>
        <w:t xml:space="preserve"> merchants who have control of certain industries or </w:t>
      </w:r>
      <w:r w:rsidR="007E035E">
        <w:rPr>
          <w:rFonts w:ascii="Segoe UI" w:hAnsi="Segoe UI" w:cs="Segoe UI"/>
          <w:sz w:val="22"/>
          <w:szCs w:val="22"/>
        </w:rPr>
        <w:t>captive consumers</w:t>
      </w:r>
      <w:r>
        <w:rPr>
          <w:rFonts w:ascii="Segoe UI" w:hAnsi="Segoe UI" w:cs="Segoe UI"/>
          <w:sz w:val="22"/>
          <w:szCs w:val="22"/>
        </w:rPr>
        <w:t>, such as airlines, hotels and taxis</w:t>
      </w:r>
      <w:r w:rsidRPr="00B26885">
        <w:rPr>
          <w:rFonts w:ascii="Segoe UI" w:hAnsi="Segoe UI" w:cs="Segoe UI"/>
          <w:sz w:val="22"/>
          <w:szCs w:val="22"/>
        </w:rPr>
        <w:t>. Surcharging is</w:t>
      </w:r>
      <w:r w:rsidR="00506FE8">
        <w:rPr>
          <w:rFonts w:ascii="Segoe UI" w:hAnsi="Segoe UI" w:cs="Segoe UI"/>
          <w:sz w:val="22"/>
          <w:szCs w:val="22"/>
        </w:rPr>
        <w:t xml:space="preserve"> now prevalent across not just C</w:t>
      </w:r>
      <w:r w:rsidRPr="00B26885">
        <w:rPr>
          <w:rFonts w:ascii="Segoe UI" w:hAnsi="Segoe UI" w:cs="Segoe UI"/>
          <w:sz w:val="22"/>
          <w:szCs w:val="22"/>
        </w:rPr>
        <w:t>re</w:t>
      </w:r>
      <w:r w:rsidR="00506FE8">
        <w:rPr>
          <w:rFonts w:ascii="Segoe UI" w:hAnsi="Segoe UI" w:cs="Segoe UI"/>
          <w:sz w:val="22"/>
          <w:szCs w:val="22"/>
        </w:rPr>
        <w:t>dit card transactions but also D</w:t>
      </w:r>
      <w:r w:rsidRPr="00B26885">
        <w:rPr>
          <w:rFonts w:ascii="Segoe UI" w:hAnsi="Segoe UI" w:cs="Segoe UI"/>
          <w:sz w:val="22"/>
          <w:szCs w:val="22"/>
        </w:rPr>
        <w:t>ebit card transactions.</w:t>
      </w:r>
    </w:p>
    <w:p w14:paraId="3853CCC3" w14:textId="77777777" w:rsidR="00DF224C" w:rsidRPr="00B26885" w:rsidRDefault="00DF224C" w:rsidP="00DF224C">
      <w:pPr>
        <w:spacing w:line="276" w:lineRule="auto"/>
        <w:jc w:val="both"/>
        <w:rPr>
          <w:rFonts w:ascii="Segoe UI" w:hAnsi="Segoe UI" w:cs="Segoe UI"/>
          <w:sz w:val="22"/>
          <w:szCs w:val="22"/>
        </w:rPr>
      </w:pPr>
    </w:p>
    <w:p w14:paraId="01E33474" w14:textId="77777777" w:rsidR="00DF224C" w:rsidRPr="00B26885" w:rsidRDefault="00DF224C" w:rsidP="00DF224C">
      <w:pPr>
        <w:spacing w:line="276" w:lineRule="auto"/>
        <w:jc w:val="both"/>
        <w:rPr>
          <w:rFonts w:ascii="Segoe UI" w:hAnsi="Segoe UI" w:cs="Segoe UI"/>
          <w:sz w:val="22"/>
          <w:szCs w:val="22"/>
        </w:rPr>
      </w:pPr>
      <w:r w:rsidRPr="00B26885">
        <w:rPr>
          <w:rFonts w:ascii="Segoe UI" w:hAnsi="Segoe UI" w:cs="Segoe UI"/>
          <w:sz w:val="22"/>
          <w:szCs w:val="22"/>
        </w:rPr>
        <w:t>We contend that a ‘no surcharge rule’ for transactions in Australia, coupled with a clear approach to enforceability of such a rule via a statutory authority, would be a pro-consumer policy package.</w:t>
      </w:r>
      <w:r>
        <w:rPr>
          <w:rFonts w:ascii="Segoe UI" w:hAnsi="Segoe UI" w:cs="Segoe UI"/>
          <w:sz w:val="22"/>
          <w:szCs w:val="22"/>
        </w:rPr>
        <w:t xml:space="preserve"> It would certainly be the case that for regulated schemes, if interchange caps were lowered beyond current levels, there would be no justification for allowing any surcharging on regulated transactions, either Debit or Credit.</w:t>
      </w:r>
    </w:p>
    <w:p w14:paraId="045FF0EE" w14:textId="77777777" w:rsidR="00DF224C" w:rsidRPr="00B26885" w:rsidRDefault="00DF224C" w:rsidP="00DF224C">
      <w:pPr>
        <w:spacing w:line="276" w:lineRule="auto"/>
        <w:jc w:val="both"/>
        <w:rPr>
          <w:rFonts w:ascii="Segoe UI" w:hAnsi="Segoe UI" w:cs="Segoe UI"/>
          <w:sz w:val="22"/>
          <w:szCs w:val="22"/>
        </w:rPr>
      </w:pPr>
    </w:p>
    <w:p w14:paraId="5B507C92" w14:textId="39C7E3A7" w:rsidR="00DD46F3" w:rsidRPr="00B26885" w:rsidRDefault="00DF224C" w:rsidP="00DF224C">
      <w:pPr>
        <w:spacing w:line="276" w:lineRule="auto"/>
        <w:jc w:val="both"/>
        <w:rPr>
          <w:rFonts w:ascii="Segoe UI" w:hAnsi="Segoe UI" w:cs="Segoe UI"/>
          <w:sz w:val="22"/>
          <w:szCs w:val="22"/>
        </w:rPr>
      </w:pPr>
      <w:r w:rsidRPr="00B26885">
        <w:rPr>
          <w:rFonts w:ascii="Segoe UI" w:hAnsi="Segoe UI" w:cs="Segoe UI"/>
          <w:sz w:val="22"/>
          <w:szCs w:val="22"/>
        </w:rPr>
        <w:t>Policymakers need to balance industry regulations with consumer benefits. On surcharging, despite recent intervention, the market is failing consumers with excessive surcharges still a feature. As such, a direct intervention is warranted by policymakers.</w:t>
      </w:r>
    </w:p>
    <w:p w14:paraId="1128509A" w14:textId="77777777" w:rsidR="00DF224C" w:rsidRDefault="00DF224C" w:rsidP="00DF224C">
      <w:pPr>
        <w:pStyle w:val="Heading2"/>
        <w:numPr>
          <w:ilvl w:val="1"/>
          <w:numId w:val="12"/>
        </w:numPr>
        <w:ind w:left="567" w:hanging="567"/>
        <w:rPr>
          <w:rFonts w:ascii="Segoe UI" w:hAnsi="Segoe UI" w:cs="Segoe UI"/>
        </w:rPr>
      </w:pPr>
      <w:bookmarkStart w:id="44" w:name="_Toc417303938"/>
      <w:bookmarkStart w:id="45" w:name="_Toc417572695"/>
      <w:r w:rsidRPr="00110678">
        <w:rPr>
          <w:rFonts w:ascii="Segoe UI" w:hAnsi="Segoe UI" w:cs="Segoe UI"/>
        </w:rPr>
        <w:t>Enhanced limitations on surcharging</w:t>
      </w:r>
      <w:bookmarkEnd w:id="44"/>
      <w:bookmarkEnd w:id="45"/>
    </w:p>
    <w:p w14:paraId="52A8EEF3" w14:textId="77777777" w:rsidR="00DF224C" w:rsidRPr="009F0F60" w:rsidRDefault="00DF224C" w:rsidP="00DF224C"/>
    <w:p w14:paraId="35E3B34D" w14:textId="77777777" w:rsidR="00DF224C" w:rsidRPr="006E7B02" w:rsidRDefault="00DF224C" w:rsidP="00DF224C">
      <w:pPr>
        <w:spacing w:line="276" w:lineRule="auto"/>
        <w:jc w:val="both"/>
        <w:rPr>
          <w:rFonts w:ascii="Segoe UI" w:hAnsi="Segoe UI" w:cs="Segoe UI"/>
          <w:sz w:val="22"/>
          <w:szCs w:val="22"/>
        </w:rPr>
      </w:pPr>
      <w:r w:rsidRPr="006E7B02">
        <w:rPr>
          <w:rFonts w:ascii="Segoe UI" w:hAnsi="Segoe UI" w:cs="Segoe UI"/>
          <w:sz w:val="22"/>
          <w:szCs w:val="22"/>
        </w:rPr>
        <w:t>If surcharging is not to be prohibited in the Australian market, Visa supports the imposition of a limitation on the level of permissible surcharging of transactions</w:t>
      </w:r>
      <w:r>
        <w:rPr>
          <w:rFonts w:ascii="Segoe UI" w:hAnsi="Segoe UI" w:cs="Segoe UI"/>
          <w:sz w:val="22"/>
          <w:szCs w:val="22"/>
        </w:rPr>
        <w:t>. H</w:t>
      </w:r>
      <w:r w:rsidRPr="006E7B02">
        <w:rPr>
          <w:rFonts w:ascii="Segoe UI" w:hAnsi="Segoe UI" w:cs="Segoe UI"/>
          <w:sz w:val="22"/>
          <w:szCs w:val="22"/>
        </w:rPr>
        <w:t>owever, we believe that the limitation could be improved so as to provide improved market outcomes, enhanced consumer protections and clearer arrangements for merchants and acquirers in order to avoid excessive practices, including profiteering.</w:t>
      </w:r>
    </w:p>
    <w:p w14:paraId="7B624E56" w14:textId="77777777" w:rsidR="00DF224C" w:rsidRPr="001A79CC" w:rsidRDefault="00DF224C" w:rsidP="00DF224C">
      <w:pPr>
        <w:spacing w:line="276" w:lineRule="auto"/>
        <w:jc w:val="both"/>
        <w:rPr>
          <w:rFonts w:ascii="Segoe UI" w:hAnsi="Segoe UI" w:cs="Segoe UI"/>
          <w:sz w:val="22"/>
          <w:szCs w:val="22"/>
        </w:rPr>
      </w:pPr>
    </w:p>
    <w:p w14:paraId="05643062" w14:textId="77777777" w:rsidR="00DF224C" w:rsidRPr="001A79CC" w:rsidRDefault="00DF224C" w:rsidP="00DF224C">
      <w:pPr>
        <w:spacing w:line="276" w:lineRule="auto"/>
        <w:jc w:val="both"/>
        <w:rPr>
          <w:rFonts w:ascii="Segoe UI" w:hAnsi="Segoe UI" w:cs="Segoe UI"/>
          <w:sz w:val="22"/>
          <w:szCs w:val="22"/>
        </w:rPr>
      </w:pPr>
      <w:r w:rsidRPr="001A79CC">
        <w:rPr>
          <w:rFonts w:ascii="Segoe UI" w:hAnsi="Segoe UI" w:cs="Segoe UI"/>
          <w:sz w:val="22"/>
          <w:szCs w:val="22"/>
        </w:rPr>
        <w:t>An environment with no limitation in place, as occurred between 2003 and 2013 is untenable and not in Australian consumer end-user interests. It is important however that this limitation be clear, quantifiable and commonly understood by all parties.</w:t>
      </w:r>
    </w:p>
    <w:p w14:paraId="6FA0CBE2" w14:textId="77777777" w:rsidR="00DF224C" w:rsidRPr="001A79CC" w:rsidRDefault="00DF224C" w:rsidP="00DF224C">
      <w:pPr>
        <w:spacing w:line="276" w:lineRule="auto"/>
        <w:jc w:val="both"/>
        <w:rPr>
          <w:rFonts w:ascii="Segoe UI" w:hAnsi="Segoe UI" w:cs="Segoe UI"/>
          <w:sz w:val="22"/>
          <w:szCs w:val="22"/>
        </w:rPr>
      </w:pPr>
    </w:p>
    <w:p w14:paraId="06BA845B" w14:textId="31081304" w:rsidR="00DF224C" w:rsidRPr="001A79CC" w:rsidRDefault="00DF224C" w:rsidP="00DF224C">
      <w:pPr>
        <w:spacing w:line="276" w:lineRule="auto"/>
        <w:jc w:val="both"/>
        <w:rPr>
          <w:rFonts w:ascii="Segoe UI" w:hAnsi="Segoe UI" w:cs="Segoe UI"/>
          <w:sz w:val="22"/>
          <w:szCs w:val="22"/>
        </w:rPr>
      </w:pPr>
      <w:r w:rsidRPr="001A79CC">
        <w:rPr>
          <w:rFonts w:ascii="Segoe UI" w:hAnsi="Segoe UI" w:cs="Segoe UI"/>
          <w:sz w:val="22"/>
          <w:szCs w:val="22"/>
        </w:rPr>
        <w:t xml:space="preserve">We do not feel that a blanket continuation of the </w:t>
      </w:r>
      <w:r>
        <w:rPr>
          <w:rFonts w:ascii="Segoe UI" w:hAnsi="Segoe UI" w:cs="Segoe UI"/>
          <w:sz w:val="22"/>
          <w:szCs w:val="22"/>
        </w:rPr>
        <w:t xml:space="preserve">status quo (i.e. the </w:t>
      </w:r>
      <w:r w:rsidRPr="001A79CC">
        <w:rPr>
          <w:rFonts w:ascii="Segoe UI" w:hAnsi="Segoe UI" w:cs="Segoe UI"/>
          <w:sz w:val="22"/>
          <w:szCs w:val="22"/>
        </w:rPr>
        <w:t>current RBA developed approach which uses the</w:t>
      </w:r>
      <w:r>
        <w:rPr>
          <w:rFonts w:ascii="Segoe UI" w:hAnsi="Segoe UI" w:cs="Segoe UI"/>
          <w:sz w:val="22"/>
          <w:szCs w:val="22"/>
        </w:rPr>
        <w:t xml:space="preserve"> </w:t>
      </w:r>
      <w:r w:rsidRPr="001A79CC">
        <w:rPr>
          <w:rFonts w:ascii="Segoe UI" w:hAnsi="Segoe UI" w:cs="Segoe UI"/>
          <w:sz w:val="22"/>
          <w:szCs w:val="22"/>
        </w:rPr>
        <w:t xml:space="preserve">”reasonable cost of card acceptance” as set out in the RBA Guidance Note) is tenable, although this may form an effective element in the below tiered approach. </w:t>
      </w:r>
    </w:p>
    <w:p w14:paraId="3C745639" w14:textId="77777777" w:rsidR="00DF224C" w:rsidRPr="00662D09" w:rsidRDefault="00DF224C" w:rsidP="00DF224C">
      <w:pPr>
        <w:pStyle w:val="Heading4"/>
        <w:rPr>
          <w:rFonts w:ascii="Segoe UI" w:eastAsiaTheme="minorEastAsia" w:hAnsi="Segoe UI" w:cs="Segoe UI"/>
          <w:sz w:val="22"/>
          <w:szCs w:val="22"/>
        </w:rPr>
      </w:pPr>
      <w:r w:rsidRPr="00662D09">
        <w:rPr>
          <w:rFonts w:ascii="Segoe UI" w:eastAsiaTheme="minorEastAsia" w:hAnsi="Segoe UI" w:cs="Segoe UI"/>
          <w:sz w:val="22"/>
          <w:szCs w:val="22"/>
        </w:rPr>
        <w:t xml:space="preserve">Ban </w:t>
      </w:r>
      <w:r>
        <w:rPr>
          <w:rFonts w:ascii="Segoe UI" w:eastAsiaTheme="minorEastAsia" w:hAnsi="Segoe UI" w:cs="Segoe UI"/>
          <w:sz w:val="22"/>
          <w:szCs w:val="22"/>
        </w:rPr>
        <w:t>D</w:t>
      </w:r>
      <w:r w:rsidRPr="00662D09">
        <w:rPr>
          <w:rFonts w:ascii="Segoe UI" w:eastAsiaTheme="minorEastAsia" w:hAnsi="Segoe UI" w:cs="Segoe UI"/>
          <w:sz w:val="22"/>
          <w:szCs w:val="22"/>
        </w:rPr>
        <w:t>ebit surcharging</w:t>
      </w:r>
    </w:p>
    <w:p w14:paraId="561CA744" w14:textId="77777777" w:rsidR="00DF224C" w:rsidRDefault="00DF224C" w:rsidP="00DF224C">
      <w:pPr>
        <w:rPr>
          <w:rFonts w:ascii="Segoe UI" w:hAnsi="Segoe UI" w:cs="Segoe UI"/>
          <w:sz w:val="22"/>
          <w:szCs w:val="22"/>
        </w:rPr>
      </w:pPr>
    </w:p>
    <w:p w14:paraId="2449BE63" w14:textId="77777777" w:rsidR="00DF224C" w:rsidRPr="001A79CC" w:rsidRDefault="00DF224C" w:rsidP="00DF224C">
      <w:pPr>
        <w:spacing w:line="276" w:lineRule="auto"/>
        <w:jc w:val="both"/>
        <w:rPr>
          <w:rFonts w:ascii="Segoe UI" w:hAnsi="Segoe UI" w:cs="Segoe UI"/>
          <w:sz w:val="22"/>
          <w:szCs w:val="22"/>
        </w:rPr>
      </w:pPr>
      <w:r w:rsidRPr="001A79CC">
        <w:rPr>
          <w:rFonts w:ascii="Segoe UI" w:hAnsi="Segoe UI" w:cs="Segoe UI"/>
          <w:sz w:val="22"/>
          <w:szCs w:val="22"/>
        </w:rPr>
        <w:t>It is Visa’s strong view tha</w:t>
      </w:r>
      <w:r w:rsidR="00506FE8">
        <w:rPr>
          <w:rFonts w:ascii="Segoe UI" w:hAnsi="Segoe UI" w:cs="Segoe UI"/>
          <w:sz w:val="22"/>
          <w:szCs w:val="22"/>
        </w:rPr>
        <w:t>t at a minimum, surcharging on D</w:t>
      </w:r>
      <w:r w:rsidRPr="001A79CC">
        <w:rPr>
          <w:rFonts w:ascii="Segoe UI" w:hAnsi="Segoe UI" w:cs="Segoe UI"/>
          <w:sz w:val="22"/>
          <w:szCs w:val="22"/>
        </w:rPr>
        <w:t xml:space="preserve">ebit transactions should be prohibited. Debit is a highly regulated, low cost and very popular form of electronic payment in Australia. Schemes have largely priced </w:t>
      </w:r>
      <w:r>
        <w:rPr>
          <w:rFonts w:ascii="Segoe UI" w:hAnsi="Segoe UI" w:cs="Segoe UI"/>
          <w:sz w:val="22"/>
          <w:szCs w:val="22"/>
        </w:rPr>
        <w:t>Debit</w:t>
      </w:r>
      <w:r w:rsidRPr="001A79CC">
        <w:rPr>
          <w:rFonts w:ascii="Segoe UI" w:hAnsi="Segoe UI" w:cs="Segoe UI"/>
          <w:sz w:val="22"/>
          <w:szCs w:val="22"/>
        </w:rPr>
        <w:t xml:space="preserve"> intentionally to be a mass consumer use payment option. Visa would contend tha</w:t>
      </w:r>
      <w:r w:rsidR="00506FE8">
        <w:rPr>
          <w:rFonts w:ascii="Segoe UI" w:hAnsi="Segoe UI" w:cs="Segoe UI"/>
          <w:sz w:val="22"/>
          <w:szCs w:val="22"/>
        </w:rPr>
        <w:t>t with the rise of contactless D</w:t>
      </w:r>
      <w:r w:rsidRPr="001A79CC">
        <w:rPr>
          <w:rFonts w:ascii="Segoe UI" w:hAnsi="Segoe UI" w:cs="Segoe UI"/>
          <w:sz w:val="22"/>
          <w:szCs w:val="22"/>
        </w:rPr>
        <w:t xml:space="preserve">ebit, including with the forthcoming introduction of contactless technology by EPAL, the cost of </w:t>
      </w:r>
      <w:r>
        <w:rPr>
          <w:rFonts w:ascii="Segoe UI" w:hAnsi="Segoe UI" w:cs="Segoe UI"/>
          <w:sz w:val="22"/>
          <w:szCs w:val="22"/>
        </w:rPr>
        <w:t>D</w:t>
      </w:r>
      <w:r w:rsidRPr="001A79CC">
        <w:rPr>
          <w:rFonts w:ascii="Segoe UI" w:hAnsi="Segoe UI" w:cs="Segoe UI"/>
          <w:sz w:val="22"/>
          <w:szCs w:val="22"/>
        </w:rPr>
        <w:t>ebit in Australia is arguabl</w:t>
      </w:r>
      <w:r>
        <w:rPr>
          <w:rFonts w:ascii="Segoe UI" w:hAnsi="Segoe UI" w:cs="Segoe UI"/>
          <w:sz w:val="22"/>
          <w:szCs w:val="22"/>
        </w:rPr>
        <w:t>y</w:t>
      </w:r>
      <w:r w:rsidRPr="001A79CC">
        <w:rPr>
          <w:rFonts w:ascii="Segoe UI" w:hAnsi="Segoe UI" w:cs="Segoe UI"/>
          <w:sz w:val="22"/>
          <w:szCs w:val="22"/>
        </w:rPr>
        <w:t xml:space="preserve"> lower to the system than cash</w:t>
      </w:r>
      <w:r>
        <w:rPr>
          <w:rFonts w:ascii="Segoe UI" w:hAnsi="Segoe UI" w:cs="Segoe UI"/>
          <w:sz w:val="22"/>
          <w:szCs w:val="22"/>
        </w:rPr>
        <w:t xml:space="preserve"> and comes with all the additional benefits of electronic payments over their cash alternatives, such as transparency, revenue collection </w:t>
      </w:r>
      <w:r>
        <w:rPr>
          <w:rFonts w:ascii="Segoe UI" w:hAnsi="Segoe UI" w:cs="Segoe UI"/>
          <w:sz w:val="22"/>
          <w:szCs w:val="22"/>
        </w:rPr>
        <w:lastRenderedPageBreak/>
        <w:t>and lower security costs</w:t>
      </w:r>
      <w:r w:rsidRPr="001A79CC">
        <w:rPr>
          <w:rFonts w:ascii="Segoe UI" w:hAnsi="Segoe UI" w:cs="Segoe UI"/>
          <w:sz w:val="22"/>
          <w:szCs w:val="22"/>
        </w:rPr>
        <w:t xml:space="preserve">. Enforcement of a blanket ban would also become significantly easier, regardless of who had carriage of that </w:t>
      </w:r>
      <w:r>
        <w:rPr>
          <w:rFonts w:ascii="Segoe UI" w:hAnsi="Segoe UI" w:cs="Segoe UI"/>
          <w:sz w:val="22"/>
          <w:szCs w:val="22"/>
        </w:rPr>
        <w:t xml:space="preserve">the enforcement </w:t>
      </w:r>
      <w:r w:rsidRPr="001A79CC">
        <w:rPr>
          <w:rFonts w:ascii="Segoe UI" w:hAnsi="Segoe UI" w:cs="Segoe UI"/>
          <w:sz w:val="22"/>
          <w:szCs w:val="22"/>
        </w:rPr>
        <w:t>role</w:t>
      </w:r>
      <w:r>
        <w:rPr>
          <w:rFonts w:ascii="Segoe UI" w:hAnsi="Segoe UI" w:cs="Segoe UI"/>
          <w:sz w:val="22"/>
          <w:szCs w:val="22"/>
        </w:rPr>
        <w:t>, i.e</w:t>
      </w:r>
      <w:r w:rsidR="00BC722E">
        <w:rPr>
          <w:rFonts w:ascii="Segoe UI" w:hAnsi="Segoe UI" w:cs="Segoe UI"/>
          <w:sz w:val="22"/>
          <w:szCs w:val="22"/>
        </w:rPr>
        <w:t>.</w:t>
      </w:r>
      <w:r>
        <w:rPr>
          <w:rFonts w:ascii="Segoe UI" w:hAnsi="Segoe UI" w:cs="Segoe UI"/>
          <w:sz w:val="22"/>
          <w:szCs w:val="22"/>
        </w:rPr>
        <w:t xml:space="preserve"> a public regulatory or schemes</w:t>
      </w:r>
      <w:r w:rsidRPr="001A79CC">
        <w:rPr>
          <w:rFonts w:ascii="Segoe UI" w:hAnsi="Segoe UI" w:cs="Segoe UI"/>
          <w:sz w:val="22"/>
          <w:szCs w:val="22"/>
        </w:rPr>
        <w:t xml:space="preserve">. </w:t>
      </w:r>
    </w:p>
    <w:p w14:paraId="3CE5851C" w14:textId="77777777" w:rsidR="00DF224C" w:rsidRPr="002A50E8" w:rsidRDefault="00DF224C" w:rsidP="00DF224C">
      <w:pPr>
        <w:spacing w:line="276" w:lineRule="auto"/>
        <w:jc w:val="both"/>
        <w:rPr>
          <w:rFonts w:ascii="Segoe UI" w:hAnsi="Segoe UI" w:cs="Segoe UI"/>
          <w:sz w:val="22"/>
          <w:szCs w:val="22"/>
        </w:rPr>
      </w:pPr>
      <w:r w:rsidRPr="002A50E8">
        <w:rPr>
          <w:rFonts w:ascii="Segoe UI" w:hAnsi="Segoe UI" w:cs="Segoe UI"/>
          <w:sz w:val="22"/>
          <w:szCs w:val="22"/>
        </w:rPr>
        <w:t>As such, regardless of the surcharging arrangements covering other forms</w:t>
      </w:r>
      <w:r w:rsidR="00506FE8">
        <w:rPr>
          <w:rFonts w:ascii="Segoe UI" w:hAnsi="Segoe UI" w:cs="Segoe UI"/>
          <w:sz w:val="22"/>
          <w:szCs w:val="22"/>
        </w:rPr>
        <w:t xml:space="preserve"> of electronic payment such as C</w:t>
      </w:r>
      <w:r w:rsidRPr="002A50E8">
        <w:rPr>
          <w:rFonts w:ascii="Segoe UI" w:hAnsi="Segoe UI" w:cs="Segoe UI"/>
          <w:sz w:val="22"/>
          <w:szCs w:val="22"/>
        </w:rPr>
        <w:t>redit cards, the RBA should take this opp</w:t>
      </w:r>
      <w:r w:rsidR="00506FE8">
        <w:rPr>
          <w:rFonts w:ascii="Segoe UI" w:hAnsi="Segoe UI" w:cs="Segoe UI"/>
          <w:sz w:val="22"/>
          <w:szCs w:val="22"/>
        </w:rPr>
        <w:t>ortunity to ban surcharging on D</w:t>
      </w:r>
      <w:r w:rsidRPr="002A50E8">
        <w:rPr>
          <w:rFonts w:ascii="Segoe UI" w:hAnsi="Segoe UI" w:cs="Segoe UI"/>
          <w:sz w:val="22"/>
          <w:szCs w:val="22"/>
        </w:rPr>
        <w:t>ebit cards.</w:t>
      </w:r>
    </w:p>
    <w:p w14:paraId="758FB7B8" w14:textId="77777777" w:rsidR="00DF224C" w:rsidRPr="001F01BB" w:rsidRDefault="00DF224C" w:rsidP="00DF224C">
      <w:pPr>
        <w:pStyle w:val="Heading4"/>
        <w:rPr>
          <w:rFonts w:ascii="Segoe UI" w:hAnsi="Segoe UI" w:cs="Segoe UI"/>
          <w:sz w:val="22"/>
          <w:szCs w:val="22"/>
        </w:rPr>
      </w:pPr>
      <w:r w:rsidRPr="001F01BB">
        <w:rPr>
          <w:rFonts w:ascii="Segoe UI" w:hAnsi="Segoe UI" w:cs="Segoe UI"/>
          <w:sz w:val="22"/>
          <w:szCs w:val="22"/>
        </w:rPr>
        <w:t>Tiered approach</w:t>
      </w:r>
    </w:p>
    <w:p w14:paraId="2587F1A6" w14:textId="77777777" w:rsidR="00DF224C" w:rsidRDefault="00DF224C" w:rsidP="00DF224C">
      <w:pPr>
        <w:rPr>
          <w:rFonts w:ascii="Segoe UI" w:hAnsi="Segoe UI" w:cs="Segoe UI"/>
          <w:sz w:val="22"/>
          <w:szCs w:val="22"/>
        </w:rPr>
      </w:pPr>
    </w:p>
    <w:p w14:paraId="6B4E450B" w14:textId="77777777" w:rsidR="00DF224C" w:rsidRPr="00DC0D12" w:rsidRDefault="00DF224C" w:rsidP="00DF224C">
      <w:pPr>
        <w:spacing w:line="276" w:lineRule="auto"/>
        <w:jc w:val="both"/>
        <w:rPr>
          <w:rFonts w:ascii="Segoe UI" w:hAnsi="Segoe UI" w:cs="Segoe UI"/>
          <w:sz w:val="22"/>
          <w:szCs w:val="22"/>
        </w:rPr>
      </w:pPr>
      <w:r w:rsidRPr="00DC0D12">
        <w:rPr>
          <w:rFonts w:ascii="Segoe UI" w:hAnsi="Segoe UI" w:cs="Segoe UI"/>
          <w:sz w:val="22"/>
          <w:szCs w:val="22"/>
        </w:rPr>
        <w:t>Chapter 5 of the RBA’s Issues Paper discusses as one option, the “three-tiered” approach to addressing excessive surcharging as originally outlined and recommended in the FSI’s Fi</w:t>
      </w:r>
      <w:r>
        <w:rPr>
          <w:rFonts w:ascii="Segoe UI" w:hAnsi="Segoe UI" w:cs="Segoe UI"/>
          <w:sz w:val="22"/>
          <w:szCs w:val="22"/>
        </w:rPr>
        <w:t>nal Report. Under this approach</w:t>
      </w:r>
      <w:r w:rsidRPr="00DC0D12">
        <w:rPr>
          <w:rFonts w:ascii="Segoe UI" w:hAnsi="Segoe UI" w:cs="Segoe UI"/>
          <w:sz w:val="22"/>
          <w:szCs w:val="22"/>
        </w:rPr>
        <w:t xml:space="preserve"> </w:t>
      </w:r>
      <w:r>
        <w:rPr>
          <w:rFonts w:ascii="Segoe UI" w:hAnsi="Segoe UI" w:cs="Segoe UI"/>
          <w:sz w:val="22"/>
          <w:szCs w:val="22"/>
        </w:rPr>
        <w:t xml:space="preserve">firstly </w:t>
      </w:r>
      <w:r w:rsidR="00506FE8">
        <w:rPr>
          <w:rFonts w:ascii="Segoe UI" w:hAnsi="Segoe UI" w:cs="Segoe UI"/>
          <w:sz w:val="22"/>
          <w:szCs w:val="22"/>
        </w:rPr>
        <w:t>surcharging on D</w:t>
      </w:r>
      <w:r w:rsidRPr="00DC0D12">
        <w:rPr>
          <w:rFonts w:ascii="Segoe UI" w:hAnsi="Segoe UI" w:cs="Segoe UI"/>
          <w:sz w:val="22"/>
          <w:szCs w:val="22"/>
        </w:rPr>
        <w:t>ebit would be banned</w:t>
      </w:r>
      <w:r>
        <w:rPr>
          <w:rFonts w:ascii="Segoe UI" w:hAnsi="Segoe UI" w:cs="Segoe UI"/>
          <w:sz w:val="22"/>
          <w:szCs w:val="22"/>
        </w:rPr>
        <w:t xml:space="preserve"> (this would include </w:t>
      </w:r>
      <w:r w:rsidRPr="00DC0D12">
        <w:rPr>
          <w:rFonts w:ascii="Segoe UI" w:hAnsi="Segoe UI" w:cs="Segoe UI"/>
          <w:sz w:val="22"/>
          <w:szCs w:val="22"/>
        </w:rPr>
        <w:t xml:space="preserve">Visa Debit, MasterCard Debit and eftpos transactions </w:t>
      </w:r>
      <w:r>
        <w:rPr>
          <w:rFonts w:ascii="Segoe UI" w:hAnsi="Segoe UI" w:cs="Segoe UI"/>
          <w:sz w:val="22"/>
          <w:szCs w:val="22"/>
        </w:rPr>
        <w:t xml:space="preserve">as </w:t>
      </w:r>
      <w:r w:rsidRPr="00DC0D12">
        <w:rPr>
          <w:rFonts w:ascii="Segoe UI" w:hAnsi="Segoe UI" w:cs="Segoe UI"/>
          <w:sz w:val="22"/>
          <w:szCs w:val="22"/>
        </w:rPr>
        <w:t>Tier One)</w:t>
      </w:r>
      <w:r>
        <w:rPr>
          <w:rFonts w:ascii="Segoe UI" w:hAnsi="Segoe UI" w:cs="Segoe UI"/>
          <w:sz w:val="22"/>
          <w:szCs w:val="22"/>
        </w:rPr>
        <w:t>. Secondly,</w:t>
      </w:r>
      <w:r w:rsidRPr="00DC0D12">
        <w:rPr>
          <w:rFonts w:ascii="Segoe UI" w:hAnsi="Segoe UI" w:cs="Segoe UI"/>
          <w:sz w:val="22"/>
          <w:szCs w:val="22"/>
        </w:rPr>
        <w:t xml:space="preserve"> surcharging on regulated capped </w:t>
      </w:r>
      <w:r>
        <w:rPr>
          <w:rFonts w:ascii="Segoe UI" w:hAnsi="Segoe UI" w:cs="Segoe UI"/>
          <w:sz w:val="22"/>
          <w:szCs w:val="22"/>
        </w:rPr>
        <w:t>C</w:t>
      </w:r>
      <w:r w:rsidRPr="00DC0D12">
        <w:rPr>
          <w:rFonts w:ascii="Segoe UI" w:hAnsi="Segoe UI" w:cs="Segoe UI"/>
          <w:sz w:val="22"/>
          <w:szCs w:val="22"/>
        </w:rPr>
        <w:t>redit products, ideally those currently regulated (Visa Credit and MasterCard credit) along with new entrant four</w:t>
      </w:r>
      <w:r>
        <w:rPr>
          <w:rFonts w:ascii="Segoe UI" w:hAnsi="Segoe UI" w:cs="Segoe UI"/>
          <w:sz w:val="22"/>
          <w:szCs w:val="22"/>
        </w:rPr>
        <w:t>-</w:t>
      </w:r>
      <w:r w:rsidRPr="00DC0D12">
        <w:rPr>
          <w:rFonts w:ascii="Segoe UI" w:hAnsi="Segoe UI" w:cs="Segoe UI"/>
          <w:sz w:val="22"/>
          <w:szCs w:val="22"/>
        </w:rPr>
        <w:t>party schemes, such as American Express GNS</w:t>
      </w:r>
      <w:r>
        <w:rPr>
          <w:rFonts w:ascii="Segoe UI" w:hAnsi="Segoe UI" w:cs="Segoe UI"/>
          <w:sz w:val="22"/>
          <w:szCs w:val="22"/>
        </w:rPr>
        <w:t>, Diners companion cards</w:t>
      </w:r>
      <w:r w:rsidRPr="00DC0D12">
        <w:rPr>
          <w:rFonts w:ascii="Segoe UI" w:hAnsi="Segoe UI" w:cs="Segoe UI"/>
          <w:sz w:val="22"/>
          <w:szCs w:val="22"/>
        </w:rPr>
        <w:t xml:space="preserve"> and UnionPay would be limited to a numerically quantified cap set by the PSB</w:t>
      </w:r>
      <w:r>
        <w:rPr>
          <w:rFonts w:ascii="Segoe UI" w:hAnsi="Segoe UI" w:cs="Segoe UI"/>
          <w:sz w:val="22"/>
          <w:szCs w:val="22"/>
        </w:rPr>
        <w:t xml:space="preserve">, forming Tier Two. Then finally, </w:t>
      </w:r>
      <w:r w:rsidRPr="00DC0D12">
        <w:rPr>
          <w:rFonts w:ascii="Segoe UI" w:hAnsi="Segoe UI" w:cs="Segoe UI"/>
          <w:sz w:val="22"/>
          <w:szCs w:val="22"/>
        </w:rPr>
        <w:t xml:space="preserve">non-regulated </w:t>
      </w:r>
      <w:r>
        <w:rPr>
          <w:rFonts w:ascii="Segoe UI" w:hAnsi="Segoe UI" w:cs="Segoe UI"/>
          <w:sz w:val="22"/>
          <w:szCs w:val="22"/>
        </w:rPr>
        <w:t>C</w:t>
      </w:r>
      <w:r w:rsidRPr="00DC0D12">
        <w:rPr>
          <w:rFonts w:ascii="Segoe UI" w:hAnsi="Segoe UI" w:cs="Segoe UI"/>
          <w:sz w:val="22"/>
          <w:szCs w:val="22"/>
        </w:rPr>
        <w:t>redit schemes, such as American Express’s and Diner’s proprietary cards businesses would operate under the existing “reasonable cost of card acceptance” limitation</w:t>
      </w:r>
      <w:r>
        <w:rPr>
          <w:rFonts w:ascii="Segoe UI" w:hAnsi="Segoe UI" w:cs="Segoe UI"/>
          <w:sz w:val="22"/>
          <w:szCs w:val="22"/>
        </w:rPr>
        <w:t xml:space="preserve"> as </w:t>
      </w:r>
      <w:r w:rsidRPr="00DC0D12">
        <w:rPr>
          <w:rFonts w:ascii="Segoe UI" w:hAnsi="Segoe UI" w:cs="Segoe UI"/>
          <w:sz w:val="22"/>
          <w:szCs w:val="22"/>
        </w:rPr>
        <w:t>Tier</w:t>
      </w:r>
      <w:r>
        <w:rPr>
          <w:rFonts w:ascii="Segoe UI" w:hAnsi="Segoe UI" w:cs="Segoe UI"/>
          <w:sz w:val="22"/>
          <w:szCs w:val="22"/>
        </w:rPr>
        <w:t xml:space="preserve"> </w:t>
      </w:r>
      <w:r w:rsidRPr="00DC0D12">
        <w:rPr>
          <w:rFonts w:ascii="Segoe UI" w:hAnsi="Segoe UI" w:cs="Segoe UI"/>
          <w:sz w:val="22"/>
          <w:szCs w:val="22"/>
        </w:rPr>
        <w:t>Three.</w:t>
      </w:r>
    </w:p>
    <w:p w14:paraId="34BBABBC" w14:textId="77777777" w:rsidR="00DF224C" w:rsidRPr="002A50E8" w:rsidRDefault="00DF224C" w:rsidP="00DF224C">
      <w:pPr>
        <w:spacing w:line="276" w:lineRule="auto"/>
        <w:jc w:val="both"/>
        <w:rPr>
          <w:rFonts w:ascii="Segoe UI" w:hAnsi="Segoe UI" w:cs="Segoe UI"/>
          <w:sz w:val="22"/>
          <w:szCs w:val="22"/>
        </w:rPr>
      </w:pPr>
    </w:p>
    <w:p w14:paraId="1EB82523" w14:textId="77777777" w:rsidR="00DF224C" w:rsidRPr="002A50E8" w:rsidRDefault="00DF224C" w:rsidP="00DF224C">
      <w:pPr>
        <w:spacing w:line="276" w:lineRule="auto"/>
        <w:jc w:val="both"/>
        <w:rPr>
          <w:rFonts w:ascii="Segoe UI" w:hAnsi="Segoe UI" w:cs="Segoe UI"/>
          <w:sz w:val="22"/>
          <w:szCs w:val="22"/>
        </w:rPr>
      </w:pPr>
      <w:r w:rsidRPr="002A50E8">
        <w:rPr>
          <w:rFonts w:ascii="Segoe UI" w:hAnsi="Segoe UI" w:cs="Segoe UI"/>
          <w:sz w:val="22"/>
          <w:szCs w:val="22"/>
        </w:rPr>
        <w:t xml:space="preserve">Visa immediately offers our support for the approach proposed for Tier One – as outlined above we recommend that this measure be implemented regardless of how or if other tiers are established and limited differentially. </w:t>
      </w:r>
    </w:p>
    <w:p w14:paraId="19758164" w14:textId="77777777" w:rsidR="00DF224C" w:rsidRPr="002A50E8" w:rsidRDefault="00DF224C" w:rsidP="00DF224C">
      <w:pPr>
        <w:spacing w:line="276" w:lineRule="auto"/>
        <w:jc w:val="both"/>
        <w:rPr>
          <w:rFonts w:ascii="Segoe UI" w:hAnsi="Segoe UI" w:cs="Segoe UI"/>
          <w:sz w:val="22"/>
          <w:szCs w:val="22"/>
        </w:rPr>
      </w:pPr>
    </w:p>
    <w:p w14:paraId="2AE8C40B" w14:textId="77777777" w:rsidR="007D6D26" w:rsidRDefault="00DF224C" w:rsidP="00DF224C">
      <w:pPr>
        <w:spacing w:line="276" w:lineRule="auto"/>
        <w:jc w:val="both"/>
        <w:rPr>
          <w:rFonts w:ascii="Segoe UI" w:hAnsi="Segoe UI" w:cs="Segoe UI"/>
          <w:sz w:val="22"/>
          <w:szCs w:val="22"/>
        </w:rPr>
      </w:pPr>
      <w:r w:rsidRPr="002A50E8">
        <w:rPr>
          <w:rFonts w:ascii="Segoe UI" w:hAnsi="Segoe UI" w:cs="Segoe UI"/>
          <w:sz w:val="22"/>
          <w:szCs w:val="22"/>
        </w:rPr>
        <w:t xml:space="preserve">In relation to Tier Two, we believe this could amount to a significant improvement for this class of </w:t>
      </w:r>
      <w:r>
        <w:rPr>
          <w:rFonts w:ascii="Segoe UI" w:hAnsi="Segoe UI" w:cs="Segoe UI"/>
          <w:sz w:val="22"/>
          <w:szCs w:val="22"/>
        </w:rPr>
        <w:t>C</w:t>
      </w:r>
      <w:r w:rsidRPr="002A50E8">
        <w:rPr>
          <w:rFonts w:ascii="Segoe UI" w:hAnsi="Segoe UI" w:cs="Segoe UI"/>
          <w:sz w:val="22"/>
          <w:szCs w:val="22"/>
        </w:rPr>
        <w:t xml:space="preserve">redit transactions when compared to the problems associated with the “reasonable cost of card acceptance” approach. Almost immediately several industries with egregious surcharging practices would have to significantly cut their surcharge levels, such as the taxi industry, and enforcement would become easier, although not as simple as for the </w:t>
      </w:r>
      <w:r>
        <w:rPr>
          <w:rFonts w:ascii="Segoe UI" w:hAnsi="Segoe UI" w:cs="Segoe UI"/>
          <w:sz w:val="22"/>
          <w:szCs w:val="22"/>
        </w:rPr>
        <w:t>D</w:t>
      </w:r>
      <w:r w:rsidRPr="002A50E8">
        <w:rPr>
          <w:rFonts w:ascii="Segoe UI" w:hAnsi="Segoe UI" w:cs="Segoe UI"/>
          <w:sz w:val="22"/>
          <w:szCs w:val="22"/>
        </w:rPr>
        <w:t xml:space="preserve">ebit environment. </w:t>
      </w:r>
    </w:p>
    <w:p w14:paraId="58AD4DD9" w14:textId="77777777" w:rsidR="007D6D26" w:rsidRDefault="007D6D26" w:rsidP="00DF224C">
      <w:pPr>
        <w:spacing w:line="276" w:lineRule="auto"/>
        <w:jc w:val="both"/>
        <w:rPr>
          <w:rFonts w:ascii="Segoe UI" w:hAnsi="Segoe UI" w:cs="Segoe UI"/>
          <w:sz w:val="22"/>
          <w:szCs w:val="22"/>
        </w:rPr>
      </w:pPr>
    </w:p>
    <w:p w14:paraId="4BF18C5B" w14:textId="3EB59F4E" w:rsidR="00DF224C" w:rsidRDefault="00DF224C" w:rsidP="00DF224C">
      <w:pPr>
        <w:spacing w:line="276" w:lineRule="auto"/>
        <w:jc w:val="both"/>
        <w:rPr>
          <w:rFonts w:ascii="Segoe UI" w:hAnsi="Segoe UI" w:cs="Segoe UI"/>
          <w:sz w:val="22"/>
          <w:szCs w:val="22"/>
        </w:rPr>
      </w:pPr>
      <w:r>
        <w:rPr>
          <w:rFonts w:ascii="Segoe UI" w:hAnsi="Segoe UI" w:cs="Segoe UI"/>
          <w:sz w:val="22"/>
          <w:szCs w:val="22"/>
        </w:rPr>
        <w:t>H</w:t>
      </w:r>
      <w:r w:rsidRPr="002A50E8">
        <w:rPr>
          <w:rFonts w:ascii="Segoe UI" w:hAnsi="Segoe UI" w:cs="Segoe UI"/>
          <w:sz w:val="22"/>
          <w:szCs w:val="22"/>
        </w:rPr>
        <w:t>owever</w:t>
      </w:r>
      <w:r>
        <w:rPr>
          <w:rFonts w:ascii="Segoe UI" w:hAnsi="Segoe UI" w:cs="Segoe UI"/>
          <w:sz w:val="22"/>
          <w:szCs w:val="22"/>
        </w:rPr>
        <w:t>,</w:t>
      </w:r>
      <w:r w:rsidRPr="002A50E8">
        <w:rPr>
          <w:rFonts w:ascii="Segoe UI" w:hAnsi="Segoe UI" w:cs="Segoe UI"/>
          <w:sz w:val="22"/>
          <w:szCs w:val="22"/>
        </w:rPr>
        <w:t xml:space="preserve"> there are some areas of concern for discussion prior to implementation of such an approach. The fact some merchants w</w:t>
      </w:r>
      <w:r w:rsidR="00506FE8">
        <w:rPr>
          <w:rFonts w:ascii="Segoe UI" w:hAnsi="Segoe UI" w:cs="Segoe UI"/>
          <w:sz w:val="22"/>
          <w:szCs w:val="22"/>
        </w:rPr>
        <w:t>ho today do not surcharge such C</w:t>
      </w:r>
      <w:r w:rsidRPr="002A50E8">
        <w:rPr>
          <w:rFonts w:ascii="Segoe UI" w:hAnsi="Segoe UI" w:cs="Segoe UI"/>
          <w:sz w:val="22"/>
          <w:szCs w:val="22"/>
        </w:rPr>
        <w:t xml:space="preserve">redit transactions may start doing so once such a “regulated” cap is created is of some concern as are questions of how the PSB would calculate the level. </w:t>
      </w:r>
      <w:r>
        <w:rPr>
          <w:rFonts w:ascii="Segoe UI" w:hAnsi="Segoe UI" w:cs="Segoe UI"/>
          <w:sz w:val="22"/>
          <w:szCs w:val="22"/>
        </w:rPr>
        <w:t>T</w:t>
      </w:r>
      <w:r w:rsidRPr="002A50E8">
        <w:rPr>
          <w:rFonts w:ascii="Segoe UI" w:hAnsi="Segoe UI" w:cs="Segoe UI"/>
          <w:sz w:val="22"/>
          <w:szCs w:val="22"/>
        </w:rPr>
        <w:t>he approach contained in Tier Two would be a system enhancement over today’s arrangem</w:t>
      </w:r>
      <w:r>
        <w:rPr>
          <w:rFonts w:ascii="Segoe UI" w:hAnsi="Segoe UI" w:cs="Segoe UI"/>
          <w:sz w:val="22"/>
          <w:szCs w:val="22"/>
        </w:rPr>
        <w:t xml:space="preserve">ents for this class of products </w:t>
      </w:r>
      <w:r w:rsidRPr="002A50E8">
        <w:rPr>
          <w:rFonts w:ascii="Segoe UI" w:hAnsi="Segoe UI" w:cs="Segoe UI"/>
          <w:sz w:val="22"/>
          <w:szCs w:val="22"/>
        </w:rPr>
        <w:t>particularly as a means to send differential price signals vis-à-vis any higher prices schemes that may continue to operate outside formal interchange/inte</w:t>
      </w:r>
      <w:r>
        <w:rPr>
          <w:rFonts w:ascii="Segoe UI" w:hAnsi="Segoe UI" w:cs="Segoe UI"/>
          <w:sz w:val="22"/>
          <w:szCs w:val="22"/>
        </w:rPr>
        <w:t>rchange-like pricing regulation.</w:t>
      </w:r>
    </w:p>
    <w:p w14:paraId="447545C0" w14:textId="77777777" w:rsidR="00DD46F3" w:rsidRDefault="00DD46F3" w:rsidP="00DF224C">
      <w:pPr>
        <w:spacing w:line="276" w:lineRule="auto"/>
        <w:jc w:val="both"/>
        <w:rPr>
          <w:rFonts w:ascii="Segoe UI" w:hAnsi="Segoe UI" w:cs="Segoe UI"/>
          <w:sz w:val="22"/>
          <w:szCs w:val="22"/>
        </w:rPr>
      </w:pPr>
    </w:p>
    <w:p w14:paraId="6201A68C" w14:textId="105768EB" w:rsidR="00DD46F3" w:rsidRPr="002A50E8" w:rsidRDefault="00DD46F3" w:rsidP="00DF224C">
      <w:pPr>
        <w:spacing w:line="276" w:lineRule="auto"/>
        <w:jc w:val="both"/>
        <w:rPr>
          <w:rFonts w:ascii="Segoe UI" w:hAnsi="Segoe UI" w:cs="Segoe UI"/>
          <w:sz w:val="22"/>
          <w:szCs w:val="22"/>
        </w:rPr>
      </w:pPr>
      <w:r>
        <w:rPr>
          <w:rFonts w:ascii="Segoe UI" w:hAnsi="Segoe UI" w:cs="Segoe UI"/>
          <w:sz w:val="22"/>
          <w:szCs w:val="22"/>
        </w:rPr>
        <w:t>We note that the recently conclude</w:t>
      </w:r>
      <w:r w:rsidR="00E708C8">
        <w:rPr>
          <w:rFonts w:ascii="Segoe UI" w:hAnsi="Segoe UI" w:cs="Segoe UI"/>
          <w:sz w:val="22"/>
          <w:szCs w:val="22"/>
        </w:rPr>
        <w:t>d</w:t>
      </w:r>
      <w:r>
        <w:rPr>
          <w:rFonts w:ascii="Segoe UI" w:hAnsi="Segoe UI" w:cs="Segoe UI"/>
          <w:sz w:val="22"/>
          <w:szCs w:val="22"/>
        </w:rPr>
        <w:t xml:space="preserve"> EU regulatory framework completely excludes surcharging on all regulated transactions, that is, if applied to Australia, all transactions in </w:t>
      </w:r>
      <w:r>
        <w:rPr>
          <w:rFonts w:ascii="Segoe UI" w:hAnsi="Segoe UI" w:cs="Segoe UI"/>
          <w:sz w:val="22"/>
          <w:szCs w:val="22"/>
        </w:rPr>
        <w:lastRenderedPageBreak/>
        <w:t>Tiers One and Two would be merged into on tier and surcharging prohibited across that full tier. We submit that this outcome is certainly worth consideration by the PSB.</w:t>
      </w:r>
    </w:p>
    <w:p w14:paraId="0CA24D4A" w14:textId="77777777" w:rsidR="00DF224C" w:rsidRPr="002A50E8" w:rsidRDefault="00DF224C" w:rsidP="00DF224C">
      <w:pPr>
        <w:spacing w:line="276" w:lineRule="auto"/>
        <w:jc w:val="both"/>
        <w:rPr>
          <w:rFonts w:ascii="Segoe UI" w:hAnsi="Segoe UI" w:cs="Segoe UI"/>
          <w:sz w:val="22"/>
          <w:szCs w:val="22"/>
        </w:rPr>
      </w:pPr>
    </w:p>
    <w:p w14:paraId="497BB546" w14:textId="2DFE4682" w:rsidR="00DF224C" w:rsidRPr="00CA6063" w:rsidRDefault="00DF224C" w:rsidP="00DF224C">
      <w:pPr>
        <w:spacing w:line="276" w:lineRule="auto"/>
        <w:jc w:val="both"/>
        <w:rPr>
          <w:rFonts w:ascii="Segoe UI" w:hAnsi="Segoe UI" w:cs="Segoe UI"/>
          <w:sz w:val="22"/>
          <w:szCs w:val="22"/>
        </w:rPr>
      </w:pPr>
      <w:r w:rsidRPr="00CA6063">
        <w:rPr>
          <w:rFonts w:ascii="Segoe UI" w:hAnsi="Segoe UI" w:cs="Segoe UI"/>
          <w:sz w:val="22"/>
          <w:szCs w:val="22"/>
        </w:rPr>
        <w:t>In relation to Tier Three, we firmly agree</w:t>
      </w:r>
      <w:r>
        <w:rPr>
          <w:rFonts w:ascii="Segoe UI" w:hAnsi="Segoe UI" w:cs="Segoe UI"/>
          <w:sz w:val="22"/>
          <w:szCs w:val="22"/>
        </w:rPr>
        <w:t xml:space="preserve"> that</w:t>
      </w:r>
      <w:r w:rsidRPr="00CA6063">
        <w:rPr>
          <w:rFonts w:ascii="Segoe UI" w:hAnsi="Segoe UI" w:cs="Segoe UI"/>
          <w:sz w:val="22"/>
          <w:szCs w:val="22"/>
        </w:rPr>
        <w:t xml:space="preserve"> should the RBA </w:t>
      </w:r>
      <w:r>
        <w:rPr>
          <w:rFonts w:ascii="Segoe UI" w:hAnsi="Segoe UI" w:cs="Segoe UI"/>
          <w:sz w:val="22"/>
          <w:szCs w:val="22"/>
        </w:rPr>
        <w:t xml:space="preserve">decide </w:t>
      </w:r>
      <w:r w:rsidRPr="009F0F60">
        <w:rPr>
          <w:rFonts w:ascii="Segoe UI" w:hAnsi="Segoe UI" w:cs="Segoe UI"/>
          <w:sz w:val="22"/>
          <w:szCs w:val="22"/>
        </w:rPr>
        <w:t>not</w:t>
      </w:r>
      <w:r w:rsidRPr="00CA6063">
        <w:rPr>
          <w:rFonts w:ascii="Segoe UI" w:hAnsi="Segoe UI" w:cs="Segoe UI"/>
          <w:sz w:val="22"/>
          <w:szCs w:val="22"/>
        </w:rPr>
        <w:t xml:space="preserve"> take measures to formally regulate the closed loop proprietary card schemes (and as outlined in the Competitive Neutrality section above we firmly encourage that such system</w:t>
      </w:r>
      <w:r w:rsidR="007E035E">
        <w:rPr>
          <w:rFonts w:ascii="Segoe UI" w:hAnsi="Segoe UI" w:cs="Segoe UI"/>
          <w:sz w:val="22"/>
          <w:szCs w:val="22"/>
        </w:rPr>
        <w:t>s</w:t>
      </w:r>
      <w:r w:rsidRPr="00CA6063">
        <w:rPr>
          <w:rFonts w:ascii="Segoe UI" w:hAnsi="Segoe UI" w:cs="Segoe UI"/>
          <w:sz w:val="22"/>
          <w:szCs w:val="22"/>
        </w:rPr>
        <w:t xml:space="preserve"> are brought within the regulator</w:t>
      </w:r>
      <w:r w:rsidR="007E035E">
        <w:rPr>
          <w:rFonts w:ascii="Segoe UI" w:hAnsi="Segoe UI" w:cs="Segoe UI"/>
          <w:sz w:val="22"/>
          <w:szCs w:val="22"/>
        </w:rPr>
        <w:t>y</w:t>
      </w:r>
      <w:r w:rsidRPr="00CA6063">
        <w:rPr>
          <w:rFonts w:ascii="Segoe UI" w:hAnsi="Segoe UI" w:cs="Segoe UI"/>
          <w:sz w:val="22"/>
          <w:szCs w:val="22"/>
        </w:rPr>
        <w:t xml:space="preserve"> net to avoid a new wave of arbitrage), then it is essential there either be no cap on the surcharges applied to such transactions or a cap mechanism that reflect</w:t>
      </w:r>
      <w:r>
        <w:rPr>
          <w:rFonts w:ascii="Segoe UI" w:hAnsi="Segoe UI" w:cs="Segoe UI"/>
          <w:sz w:val="22"/>
          <w:szCs w:val="22"/>
        </w:rPr>
        <w:t>s</w:t>
      </w:r>
      <w:r w:rsidRPr="00CA6063">
        <w:rPr>
          <w:rFonts w:ascii="Segoe UI" w:hAnsi="Segoe UI" w:cs="Segoe UI"/>
          <w:sz w:val="22"/>
          <w:szCs w:val="22"/>
        </w:rPr>
        <w:t xml:space="preserve"> the non-regulated status and commensurately much higher costs to merchants. </w:t>
      </w:r>
    </w:p>
    <w:p w14:paraId="29E60A69" w14:textId="77777777" w:rsidR="00DF224C" w:rsidRPr="00CA6063" w:rsidRDefault="00DF224C" w:rsidP="00DF224C">
      <w:pPr>
        <w:spacing w:line="276" w:lineRule="auto"/>
        <w:jc w:val="both"/>
        <w:rPr>
          <w:rFonts w:ascii="Segoe UI" w:hAnsi="Segoe UI" w:cs="Segoe UI"/>
          <w:sz w:val="22"/>
          <w:szCs w:val="22"/>
        </w:rPr>
      </w:pPr>
    </w:p>
    <w:p w14:paraId="792A18A9" w14:textId="0B34BBBB" w:rsidR="00DF224C" w:rsidRPr="00CA6063" w:rsidRDefault="00DF224C" w:rsidP="00DF224C">
      <w:pPr>
        <w:spacing w:line="276" w:lineRule="auto"/>
        <w:jc w:val="both"/>
        <w:rPr>
          <w:rFonts w:ascii="Segoe UI" w:hAnsi="Segoe UI" w:cs="Segoe UI"/>
          <w:sz w:val="22"/>
          <w:szCs w:val="22"/>
        </w:rPr>
      </w:pPr>
      <w:r w:rsidRPr="00CA6063">
        <w:rPr>
          <w:rFonts w:ascii="Segoe UI" w:hAnsi="Segoe UI" w:cs="Segoe UI"/>
          <w:sz w:val="22"/>
          <w:szCs w:val="22"/>
        </w:rPr>
        <w:t xml:space="preserve">There has been some suggestion that this third tier may also be extended to include sub-types of </w:t>
      </w:r>
      <w:r>
        <w:rPr>
          <w:rFonts w:ascii="Segoe UI" w:hAnsi="Segoe UI" w:cs="Segoe UI"/>
          <w:sz w:val="22"/>
          <w:szCs w:val="22"/>
        </w:rPr>
        <w:t>C</w:t>
      </w:r>
      <w:r w:rsidRPr="00CA6063">
        <w:rPr>
          <w:rFonts w:ascii="Segoe UI" w:hAnsi="Segoe UI" w:cs="Segoe UI"/>
          <w:sz w:val="22"/>
          <w:szCs w:val="22"/>
        </w:rPr>
        <w:t>redit products offered under the regulated capped schemes. We feel that this would be inappropriate. Under the regulated basket mechanism in place today there is a</w:t>
      </w:r>
      <w:r w:rsidR="00A61994">
        <w:rPr>
          <w:rFonts w:ascii="Segoe UI" w:hAnsi="Segoe UI" w:cs="Segoe UI"/>
          <w:sz w:val="22"/>
          <w:szCs w:val="22"/>
        </w:rPr>
        <w:t>lready</w:t>
      </w:r>
      <w:r w:rsidRPr="00CA6063">
        <w:rPr>
          <w:rFonts w:ascii="Segoe UI" w:hAnsi="Segoe UI" w:cs="Segoe UI"/>
          <w:sz w:val="22"/>
          <w:szCs w:val="22"/>
        </w:rPr>
        <w:t xml:space="preserve"> downwards pressure exerted on the higher end of the interchange hierarchy </w:t>
      </w:r>
      <w:r w:rsidR="007E035E">
        <w:rPr>
          <w:rFonts w:ascii="Segoe UI" w:hAnsi="Segoe UI" w:cs="Segoe UI"/>
          <w:sz w:val="22"/>
          <w:szCs w:val="22"/>
        </w:rPr>
        <w:t xml:space="preserve">as a result of </w:t>
      </w:r>
      <w:r w:rsidRPr="00CA6063">
        <w:rPr>
          <w:rFonts w:ascii="Segoe UI" w:hAnsi="Segoe UI" w:cs="Segoe UI"/>
          <w:sz w:val="22"/>
          <w:szCs w:val="22"/>
        </w:rPr>
        <w:t>the need to balance the tri-annual interchange basket. Presupposing an averaging mechanism was maintained in some form, even with possible modifications, this pressure would continue. Those schemes that could continue to sit wholly outside any regulatory net would experience no such pressures so placing both offering in the same tier would, in our view, be unfair and unjustified. That is, all regulated offering</w:t>
      </w:r>
      <w:r>
        <w:rPr>
          <w:rFonts w:ascii="Segoe UI" w:hAnsi="Segoe UI" w:cs="Segoe UI"/>
          <w:sz w:val="22"/>
          <w:szCs w:val="22"/>
        </w:rPr>
        <w:t>s</w:t>
      </w:r>
      <w:r w:rsidRPr="00CA6063">
        <w:rPr>
          <w:rFonts w:ascii="Segoe UI" w:hAnsi="Segoe UI" w:cs="Segoe UI"/>
          <w:sz w:val="22"/>
          <w:szCs w:val="22"/>
        </w:rPr>
        <w:t xml:space="preserve"> should remain in Tier Two, or non-regulated offerings should remain in Tier Three.</w:t>
      </w:r>
      <w:r>
        <w:rPr>
          <w:rFonts w:ascii="Segoe UI" w:hAnsi="Segoe UI" w:cs="Segoe UI"/>
          <w:sz w:val="22"/>
          <w:szCs w:val="22"/>
        </w:rPr>
        <w:t xml:space="preserve"> We feel that it is appropriate this also apply to newer or other previously unregulated payment means such as PayPal and BPay.</w:t>
      </w:r>
    </w:p>
    <w:p w14:paraId="5F010646" w14:textId="77777777" w:rsidR="00DF224C" w:rsidRPr="002A50E8" w:rsidRDefault="00DF224C" w:rsidP="00DF224C">
      <w:pPr>
        <w:spacing w:line="276" w:lineRule="auto"/>
        <w:jc w:val="both"/>
        <w:rPr>
          <w:rFonts w:ascii="Segoe UI" w:hAnsi="Segoe UI" w:cs="Segoe UI"/>
          <w:sz w:val="22"/>
          <w:szCs w:val="22"/>
        </w:rPr>
      </w:pPr>
    </w:p>
    <w:p w14:paraId="455AA770" w14:textId="77777777" w:rsidR="00DF224C" w:rsidRPr="00CA6063" w:rsidRDefault="00DF224C" w:rsidP="00DF224C">
      <w:pPr>
        <w:spacing w:line="276" w:lineRule="auto"/>
        <w:jc w:val="both"/>
        <w:rPr>
          <w:rFonts w:ascii="Segoe UI" w:hAnsi="Segoe UI" w:cs="Segoe UI"/>
          <w:sz w:val="22"/>
          <w:szCs w:val="22"/>
        </w:rPr>
      </w:pPr>
      <w:r w:rsidRPr="00CA6063">
        <w:rPr>
          <w:rFonts w:ascii="Segoe UI" w:hAnsi="Segoe UI" w:cs="Segoe UI"/>
          <w:sz w:val="22"/>
          <w:szCs w:val="22"/>
        </w:rPr>
        <w:t>Finally, while Visa is encouraged that this tiered model would potentially provide significantly greater clarity to consumers, merchants, acquirers and schemes on what types of transactions can and cannot be surcharged and how, there is inherently some degree of complexit</w:t>
      </w:r>
      <w:r>
        <w:rPr>
          <w:rFonts w:ascii="Segoe UI" w:hAnsi="Segoe UI" w:cs="Segoe UI"/>
          <w:sz w:val="22"/>
          <w:szCs w:val="22"/>
        </w:rPr>
        <w:t xml:space="preserve">y in this approach. As such we </w:t>
      </w:r>
      <w:r w:rsidRPr="00CA6063">
        <w:rPr>
          <w:rFonts w:ascii="Segoe UI" w:hAnsi="Segoe UI" w:cs="Segoe UI"/>
          <w:sz w:val="22"/>
          <w:szCs w:val="22"/>
        </w:rPr>
        <w:t xml:space="preserve">believe that a tiered system would </w:t>
      </w:r>
      <w:r>
        <w:rPr>
          <w:rFonts w:ascii="Segoe UI" w:hAnsi="Segoe UI" w:cs="Segoe UI"/>
          <w:sz w:val="22"/>
          <w:szCs w:val="22"/>
        </w:rPr>
        <w:t>need to</w:t>
      </w:r>
      <w:r w:rsidRPr="00CA6063">
        <w:rPr>
          <w:rFonts w:ascii="Segoe UI" w:hAnsi="Segoe UI" w:cs="Segoe UI"/>
          <w:sz w:val="22"/>
          <w:szCs w:val="22"/>
        </w:rPr>
        <w:t xml:space="preserve"> be complemented by a robust approach on enforceability, including an empowered statutory body </w:t>
      </w:r>
      <w:r>
        <w:rPr>
          <w:rFonts w:ascii="Segoe UI" w:hAnsi="Segoe UI" w:cs="Segoe UI"/>
          <w:sz w:val="22"/>
          <w:szCs w:val="22"/>
        </w:rPr>
        <w:t>which</w:t>
      </w:r>
      <w:r w:rsidRPr="00CA6063">
        <w:rPr>
          <w:rFonts w:ascii="Segoe UI" w:hAnsi="Segoe UI" w:cs="Segoe UI"/>
          <w:sz w:val="22"/>
          <w:szCs w:val="22"/>
        </w:rPr>
        <w:t xml:space="preserve"> could monitor and enforce the rules (see below).</w:t>
      </w:r>
    </w:p>
    <w:p w14:paraId="41D63EC4" w14:textId="77777777" w:rsidR="00DF224C" w:rsidRPr="00CA6063" w:rsidRDefault="00DF224C" w:rsidP="00DF224C">
      <w:pPr>
        <w:spacing w:line="276" w:lineRule="auto"/>
        <w:jc w:val="both"/>
        <w:rPr>
          <w:rFonts w:ascii="Segoe UI" w:hAnsi="Segoe UI" w:cs="Segoe UI"/>
          <w:sz w:val="22"/>
          <w:szCs w:val="22"/>
        </w:rPr>
      </w:pPr>
    </w:p>
    <w:p w14:paraId="5332BF31" w14:textId="77777777" w:rsidR="00DF224C" w:rsidRPr="00CA6063" w:rsidRDefault="00DF224C" w:rsidP="00DF224C">
      <w:pPr>
        <w:spacing w:line="276" w:lineRule="auto"/>
        <w:jc w:val="both"/>
        <w:rPr>
          <w:rFonts w:ascii="Segoe UI" w:hAnsi="Segoe UI" w:cs="Segoe UI"/>
          <w:sz w:val="22"/>
          <w:szCs w:val="22"/>
        </w:rPr>
      </w:pPr>
      <w:r w:rsidRPr="00CA6063">
        <w:rPr>
          <w:rFonts w:ascii="Segoe UI" w:hAnsi="Segoe UI" w:cs="Segoe UI"/>
          <w:sz w:val="22"/>
          <w:szCs w:val="22"/>
        </w:rPr>
        <w:t>Visa would be happy to discuss together with RBA and industry partners the pros and cons of such an approach, in order to better understand whether this could be a realistic policy solution.</w:t>
      </w:r>
    </w:p>
    <w:p w14:paraId="5CDD9A68" w14:textId="77777777" w:rsidR="00DF224C" w:rsidRPr="002A50E8" w:rsidRDefault="00DF224C" w:rsidP="00DF224C">
      <w:pPr>
        <w:rPr>
          <w:rFonts w:ascii="Segoe UI" w:hAnsi="Segoe UI" w:cs="Segoe UI"/>
          <w:sz w:val="22"/>
          <w:szCs w:val="22"/>
        </w:rPr>
      </w:pPr>
    </w:p>
    <w:p w14:paraId="3C797F4B" w14:textId="77777777" w:rsidR="00DF224C" w:rsidRDefault="00DF224C" w:rsidP="00DF224C">
      <w:pPr>
        <w:rPr>
          <w:rFonts w:ascii="Segoe UI" w:hAnsi="Segoe UI" w:cs="Segoe UI"/>
          <w:b/>
          <w:bCs/>
          <w:i/>
          <w:iCs/>
          <w:color w:val="4F81BD" w:themeColor="accent1"/>
          <w:sz w:val="22"/>
          <w:szCs w:val="22"/>
        </w:rPr>
      </w:pPr>
      <w:r w:rsidRPr="00662D09">
        <w:rPr>
          <w:rFonts w:ascii="Segoe UI" w:hAnsi="Segoe UI" w:cs="Segoe UI"/>
          <w:b/>
          <w:bCs/>
          <w:i/>
          <w:iCs/>
          <w:color w:val="4F81BD" w:themeColor="accent1"/>
          <w:sz w:val="22"/>
          <w:szCs w:val="22"/>
        </w:rPr>
        <w:t>Sector specific surcharge limits</w:t>
      </w:r>
    </w:p>
    <w:p w14:paraId="1C152F39" w14:textId="77777777" w:rsidR="00DF224C" w:rsidRPr="00662D09" w:rsidRDefault="00DF224C" w:rsidP="00DF224C">
      <w:pPr>
        <w:rPr>
          <w:rFonts w:ascii="Segoe UI" w:hAnsi="Segoe UI" w:cs="Segoe UI"/>
          <w:b/>
          <w:bCs/>
          <w:i/>
          <w:iCs/>
          <w:color w:val="4F81BD" w:themeColor="accent1"/>
          <w:sz w:val="22"/>
          <w:szCs w:val="22"/>
        </w:rPr>
      </w:pPr>
    </w:p>
    <w:p w14:paraId="73C1626A" w14:textId="77777777" w:rsidR="00DF224C" w:rsidRPr="00CA6063" w:rsidRDefault="00DF224C" w:rsidP="00DF224C">
      <w:pPr>
        <w:spacing w:line="276" w:lineRule="auto"/>
        <w:jc w:val="both"/>
        <w:rPr>
          <w:rFonts w:ascii="Segoe UI" w:hAnsi="Segoe UI" w:cs="Segoe UI"/>
          <w:sz w:val="22"/>
          <w:szCs w:val="22"/>
        </w:rPr>
      </w:pPr>
      <w:r w:rsidRPr="00CA6063">
        <w:rPr>
          <w:rFonts w:ascii="Segoe UI" w:hAnsi="Segoe UI" w:cs="Segoe UI"/>
          <w:sz w:val="22"/>
          <w:szCs w:val="22"/>
        </w:rPr>
        <w:t>The concept of specific limits or caps on permissible surcharge levels by sector is raised in the RBA Issue Paper. A particular possibility of allowing schemes to adjust their rules to allow the inclusion of caps on surcharges that are not percentage-based at some low fixed-dollar amount, resulting in lower surcharges for low-value purchases. Overall, Visa is more supportive of system-wide solutions such as a ban or the tiered approach. Having said that, we are open to considering RBA measures for sectors where past approaches have proven unsuccessful in addressing excessive surcharging behaviours.</w:t>
      </w:r>
    </w:p>
    <w:p w14:paraId="5CE96C00" w14:textId="77777777" w:rsidR="00DF224C" w:rsidRPr="00CA6063" w:rsidRDefault="00DF224C" w:rsidP="00DF224C">
      <w:pPr>
        <w:rPr>
          <w:rFonts w:ascii="Segoe UI" w:hAnsi="Segoe UI" w:cs="Segoe UI"/>
          <w:sz w:val="22"/>
          <w:szCs w:val="22"/>
        </w:rPr>
      </w:pPr>
    </w:p>
    <w:p w14:paraId="01E120A2" w14:textId="77777777" w:rsidR="00DF224C" w:rsidRPr="00F2215E" w:rsidRDefault="00DF224C" w:rsidP="00DF224C">
      <w:pPr>
        <w:pStyle w:val="Heading2"/>
        <w:numPr>
          <w:ilvl w:val="1"/>
          <w:numId w:val="12"/>
        </w:numPr>
        <w:ind w:left="567" w:hanging="567"/>
        <w:rPr>
          <w:rFonts w:ascii="Segoe UI" w:hAnsi="Segoe UI" w:cs="Segoe UI"/>
        </w:rPr>
      </w:pPr>
      <w:bookmarkStart w:id="46" w:name="_Toc417303939"/>
      <w:bookmarkStart w:id="47" w:name="_Toc417572696"/>
      <w:r w:rsidRPr="00F2215E">
        <w:rPr>
          <w:rFonts w:ascii="Segoe UI" w:hAnsi="Segoe UI" w:cs="Segoe UI"/>
        </w:rPr>
        <w:t>Enforceability</w:t>
      </w:r>
      <w:bookmarkEnd w:id="46"/>
      <w:bookmarkEnd w:id="47"/>
    </w:p>
    <w:p w14:paraId="34AD9828" w14:textId="77777777" w:rsidR="00DF224C" w:rsidRPr="00662D09" w:rsidRDefault="00DF224C" w:rsidP="00DF224C"/>
    <w:p w14:paraId="02B2FDF2" w14:textId="77777777" w:rsidR="00DF224C" w:rsidRPr="00CA6063" w:rsidRDefault="00DF224C" w:rsidP="00DF224C">
      <w:pPr>
        <w:spacing w:line="276" w:lineRule="auto"/>
        <w:jc w:val="both"/>
        <w:rPr>
          <w:rFonts w:ascii="Segoe UI" w:hAnsi="Segoe UI" w:cs="Segoe UI"/>
          <w:sz w:val="22"/>
          <w:szCs w:val="22"/>
        </w:rPr>
      </w:pPr>
      <w:r w:rsidRPr="00CA6063">
        <w:rPr>
          <w:rFonts w:ascii="Segoe UI" w:hAnsi="Segoe UI" w:cs="Segoe UI"/>
          <w:sz w:val="22"/>
          <w:szCs w:val="22"/>
        </w:rPr>
        <w:t xml:space="preserve">Regardless of whether an overall surcharge ban is endorsed, or an enhanced limitation approach is enacted, it is critical that the position be enforceable. As such we strongly support creating enforceability of any policy approach to surcharging via empowering a statutory body with powers to monitor and enforce surcharging rules in Australia. </w:t>
      </w:r>
    </w:p>
    <w:p w14:paraId="27C4D501" w14:textId="77777777" w:rsidR="00DF224C" w:rsidRPr="00CA6063" w:rsidRDefault="00DF224C" w:rsidP="00DF224C">
      <w:pPr>
        <w:spacing w:line="276" w:lineRule="auto"/>
        <w:jc w:val="both"/>
        <w:rPr>
          <w:rFonts w:ascii="Segoe UI" w:hAnsi="Segoe UI" w:cs="Segoe UI"/>
          <w:sz w:val="22"/>
          <w:szCs w:val="22"/>
        </w:rPr>
      </w:pPr>
    </w:p>
    <w:p w14:paraId="452C41A9" w14:textId="77777777" w:rsidR="00DF224C" w:rsidRPr="00CA6063" w:rsidRDefault="00DF224C" w:rsidP="00DF224C">
      <w:pPr>
        <w:spacing w:line="276" w:lineRule="auto"/>
        <w:jc w:val="both"/>
        <w:rPr>
          <w:rFonts w:ascii="Segoe UI" w:hAnsi="Segoe UI" w:cs="Segoe UI"/>
          <w:sz w:val="22"/>
          <w:szCs w:val="22"/>
        </w:rPr>
      </w:pPr>
      <w:r w:rsidRPr="00BA0FCE">
        <w:rPr>
          <w:rFonts w:ascii="Segoe UI" w:hAnsi="Segoe UI" w:cs="Segoe UI"/>
          <w:sz w:val="22"/>
          <w:szCs w:val="22"/>
        </w:rPr>
        <w:t>The current approach which calls on payment schemes to implement and enforce surcharging limitations through a two-step process involving acquiring banks is very challenging. In our view it is empirically clear from actual events since the 18 March 2013 commencement of Visa’s efforts to enforce the current regime that a statutory authority will stand the best realistic chance of bringing about a reduction in excessive surcharging. This holds true whether a ban or an enhanced tiered limitation mechanism is supported and implemented.</w:t>
      </w:r>
    </w:p>
    <w:p w14:paraId="4DDFC703" w14:textId="77777777" w:rsidR="00DF224C" w:rsidRPr="00CA6063" w:rsidRDefault="00DF224C" w:rsidP="00DF224C">
      <w:pPr>
        <w:spacing w:line="276" w:lineRule="auto"/>
        <w:jc w:val="both"/>
        <w:rPr>
          <w:rFonts w:ascii="Segoe UI" w:hAnsi="Segoe UI" w:cs="Segoe UI"/>
          <w:sz w:val="22"/>
          <w:szCs w:val="22"/>
        </w:rPr>
      </w:pPr>
    </w:p>
    <w:p w14:paraId="1CE29708" w14:textId="77777777" w:rsidR="00DF224C" w:rsidRPr="00CA6063" w:rsidRDefault="00DF224C" w:rsidP="00DF224C">
      <w:pPr>
        <w:spacing w:line="276" w:lineRule="auto"/>
        <w:jc w:val="both"/>
        <w:rPr>
          <w:rFonts w:ascii="Segoe UI" w:hAnsi="Segoe UI" w:cs="Segoe UI"/>
          <w:sz w:val="22"/>
          <w:szCs w:val="22"/>
        </w:rPr>
      </w:pPr>
      <w:r w:rsidRPr="00CA6063">
        <w:rPr>
          <w:rFonts w:ascii="Segoe UI" w:hAnsi="Segoe UI" w:cs="Segoe UI"/>
          <w:sz w:val="22"/>
          <w:szCs w:val="22"/>
        </w:rPr>
        <w:t xml:space="preserve">It could be argued for example that existing regulators have the infrastructure </w:t>
      </w:r>
      <w:r>
        <w:rPr>
          <w:rFonts w:ascii="Segoe UI" w:hAnsi="Segoe UI" w:cs="Segoe UI"/>
          <w:sz w:val="22"/>
          <w:szCs w:val="22"/>
        </w:rPr>
        <w:t>that</w:t>
      </w:r>
      <w:r w:rsidRPr="00CA6063">
        <w:rPr>
          <w:rFonts w:ascii="Segoe UI" w:hAnsi="Segoe UI" w:cs="Segoe UI"/>
          <w:sz w:val="22"/>
          <w:szCs w:val="22"/>
        </w:rPr>
        <w:t xml:space="preserve"> may allow them to effectively discharge enforcement responsibilities more effectively than card schemes. For example ASIC and the ACCC both have consumer hotlines that could be utilised for consumers to inform them about excessive surcharging practices in the market. It is certainly the case that Australian consumers perceive of the need to be able to access such reporting mechanisms in relation to surcharging. In a 2013 UMR poll 74 percent of Australians (77 percent of cardholders) believed the then Government was not doing enough to protect them from excessive surcharges. Solutions that consumers supported in the 2013 research include:</w:t>
      </w:r>
    </w:p>
    <w:p w14:paraId="3BC8D8AF" w14:textId="77777777" w:rsidR="00DF224C" w:rsidRPr="00CA6063" w:rsidRDefault="00DF224C" w:rsidP="00DF224C">
      <w:pPr>
        <w:rPr>
          <w:rFonts w:ascii="Segoe UI" w:hAnsi="Segoe UI" w:cs="Segoe UI"/>
          <w:sz w:val="22"/>
          <w:szCs w:val="22"/>
        </w:rPr>
      </w:pPr>
    </w:p>
    <w:p w14:paraId="232D960E" w14:textId="77777777" w:rsidR="00DF224C" w:rsidRPr="00CA6063" w:rsidRDefault="00DF224C" w:rsidP="00DF224C">
      <w:pPr>
        <w:pStyle w:val="ListParagraph"/>
        <w:numPr>
          <w:ilvl w:val="0"/>
          <w:numId w:val="11"/>
        </w:numPr>
        <w:rPr>
          <w:rFonts w:ascii="Segoe UI" w:hAnsi="Segoe UI" w:cs="Segoe UI"/>
          <w:sz w:val="22"/>
          <w:szCs w:val="22"/>
        </w:rPr>
      </w:pPr>
      <w:r w:rsidRPr="00CA6063">
        <w:rPr>
          <w:rFonts w:ascii="Segoe UI" w:hAnsi="Segoe UI" w:cs="Segoe UI"/>
          <w:sz w:val="22"/>
          <w:szCs w:val="22"/>
        </w:rPr>
        <w:t>79 percent (80 percent of cardholders) support a complaints phone line or website where customers can report excessive surcharging; and</w:t>
      </w:r>
    </w:p>
    <w:p w14:paraId="26E260D1" w14:textId="77777777" w:rsidR="00DF224C" w:rsidRPr="00CA6063" w:rsidRDefault="00DF224C" w:rsidP="00DF224C">
      <w:pPr>
        <w:rPr>
          <w:rFonts w:ascii="Segoe UI" w:hAnsi="Segoe UI" w:cs="Segoe UI"/>
          <w:b/>
          <w:bCs/>
          <w:sz w:val="22"/>
          <w:szCs w:val="22"/>
        </w:rPr>
      </w:pPr>
    </w:p>
    <w:p w14:paraId="55A90193" w14:textId="77777777" w:rsidR="00DF224C" w:rsidRPr="00CA6063" w:rsidRDefault="00DF224C" w:rsidP="00DF224C">
      <w:pPr>
        <w:pStyle w:val="ListParagraph"/>
        <w:numPr>
          <w:ilvl w:val="0"/>
          <w:numId w:val="11"/>
        </w:numPr>
        <w:rPr>
          <w:rFonts w:ascii="Segoe UI" w:hAnsi="Segoe UI" w:cs="Segoe UI"/>
          <w:sz w:val="22"/>
          <w:szCs w:val="22"/>
        </w:rPr>
      </w:pPr>
      <w:r w:rsidRPr="00CA6063">
        <w:rPr>
          <w:rFonts w:ascii="Segoe UI" w:hAnsi="Segoe UI" w:cs="Segoe UI"/>
          <w:sz w:val="22"/>
          <w:szCs w:val="22"/>
        </w:rPr>
        <w:t>67 percent support a Government agency to resolve disputes and enforce any rules on surcharging where customers feel they have been unfairly surcharged</w:t>
      </w:r>
    </w:p>
    <w:p w14:paraId="4FAE4176" w14:textId="77777777" w:rsidR="00DF224C" w:rsidRPr="00CA6063" w:rsidRDefault="00DF224C" w:rsidP="00DF224C">
      <w:pPr>
        <w:spacing w:line="276" w:lineRule="auto"/>
        <w:rPr>
          <w:rFonts w:ascii="Segoe UI" w:hAnsi="Segoe UI" w:cs="Segoe UI"/>
          <w:sz w:val="22"/>
          <w:szCs w:val="22"/>
        </w:rPr>
      </w:pPr>
    </w:p>
    <w:p w14:paraId="6B123CA2" w14:textId="77777777" w:rsidR="00DF224C" w:rsidRPr="00950763" w:rsidRDefault="00DF224C" w:rsidP="00DF224C">
      <w:pPr>
        <w:spacing w:line="276" w:lineRule="auto"/>
        <w:rPr>
          <w:rFonts w:ascii="Segoe UI" w:hAnsi="Segoe UI" w:cs="Segoe UI"/>
          <w:sz w:val="22"/>
          <w:szCs w:val="22"/>
        </w:rPr>
      </w:pPr>
      <w:r w:rsidRPr="00950763">
        <w:rPr>
          <w:rFonts w:ascii="Segoe UI" w:hAnsi="Segoe UI" w:cs="Segoe UI"/>
          <w:sz w:val="22"/>
          <w:szCs w:val="22"/>
        </w:rPr>
        <w:t>As an example, legal developments in the UK on surcharging have included appointing the UK Office of Fair Trading with this task. In the Australian context, we feel that one of either ASIC or the ACCC are already established statutory authorities that are natural candidates who would be well equipped to take up this function.</w:t>
      </w:r>
    </w:p>
    <w:p w14:paraId="35ACFADA" w14:textId="77777777" w:rsidR="00DF224C" w:rsidRPr="00950763" w:rsidRDefault="00DF224C" w:rsidP="00DF224C">
      <w:pPr>
        <w:spacing w:line="276" w:lineRule="auto"/>
        <w:rPr>
          <w:rFonts w:ascii="Segoe UI" w:hAnsi="Segoe UI" w:cs="Segoe UI"/>
          <w:sz w:val="22"/>
          <w:szCs w:val="22"/>
        </w:rPr>
      </w:pPr>
    </w:p>
    <w:p w14:paraId="4CB25961" w14:textId="3DED1739" w:rsidR="00DF224C" w:rsidRDefault="00DF224C" w:rsidP="007D6D26">
      <w:pPr>
        <w:spacing w:line="276" w:lineRule="auto"/>
        <w:jc w:val="both"/>
      </w:pPr>
      <w:r w:rsidRPr="00950763">
        <w:rPr>
          <w:rFonts w:ascii="Segoe UI" w:hAnsi="Segoe UI" w:cs="Segoe UI"/>
          <w:sz w:val="22"/>
          <w:szCs w:val="22"/>
        </w:rPr>
        <w:t xml:space="preserve">Visa understands the limitations that currently exist in relation to the RBA’s powers under the PSRA in relation to enforcement of merchant surcharging limitations. As such, we submit that the RBA (i) convene a cross-regulator working group between itself, ASIC and the ACCC to determine, finalise and publish the roles and responsibilities of each agency in relation to this issue, including gaps in enforcement responsibility and resourcing, and (ii) formally </w:t>
      </w:r>
      <w:r w:rsidRPr="00950763">
        <w:rPr>
          <w:rFonts w:ascii="Segoe UI" w:hAnsi="Segoe UI" w:cs="Segoe UI"/>
          <w:sz w:val="22"/>
          <w:szCs w:val="22"/>
        </w:rPr>
        <w:lastRenderedPageBreak/>
        <w:t>recommend to the Government any legislative and amendments and funding approaches to close identified gaps.</w:t>
      </w:r>
    </w:p>
    <w:p w14:paraId="711BC2F0" w14:textId="77777777" w:rsidR="001F01BB" w:rsidRDefault="001F01BB">
      <w:pPr>
        <w:spacing w:after="200" w:line="276" w:lineRule="auto"/>
        <w:rPr>
          <w:rFonts w:ascii="Segoe UI" w:eastAsiaTheme="majorEastAsia" w:hAnsi="Segoe UI" w:cs="Segoe UI"/>
          <w:b/>
          <w:bCs/>
          <w:color w:val="345A8A" w:themeColor="accent1" w:themeShade="B5"/>
          <w:sz w:val="32"/>
          <w:szCs w:val="32"/>
        </w:rPr>
      </w:pPr>
      <w:bookmarkStart w:id="48" w:name="_Toc289363569"/>
      <w:bookmarkStart w:id="49" w:name="_Toc417303940"/>
      <w:r>
        <w:rPr>
          <w:rFonts w:ascii="Segoe UI" w:hAnsi="Segoe UI" w:cs="Segoe UI"/>
        </w:rPr>
        <w:br w:type="page"/>
      </w:r>
    </w:p>
    <w:p w14:paraId="5112762F" w14:textId="76873534" w:rsidR="00DF224C" w:rsidRPr="0089281F" w:rsidRDefault="00DF224C" w:rsidP="00DF224C">
      <w:pPr>
        <w:pStyle w:val="Heading1"/>
        <w:rPr>
          <w:rFonts w:ascii="Segoe UI" w:hAnsi="Segoe UI" w:cs="Segoe UI"/>
          <w:color w:val="002060"/>
        </w:rPr>
      </w:pPr>
      <w:bookmarkStart w:id="50" w:name="_Toc417572697"/>
      <w:r w:rsidRPr="0089281F">
        <w:rPr>
          <w:rFonts w:ascii="Segoe UI" w:hAnsi="Segoe UI" w:cs="Segoe UI"/>
          <w:color w:val="002060"/>
        </w:rPr>
        <w:lastRenderedPageBreak/>
        <w:t>Chapter 5: Merchant</w:t>
      </w:r>
      <w:r w:rsidR="00477C91">
        <w:rPr>
          <w:rFonts w:ascii="Segoe UI" w:hAnsi="Segoe UI" w:cs="Segoe UI"/>
          <w:color w:val="002060"/>
        </w:rPr>
        <w:t xml:space="preserve"> </w:t>
      </w:r>
      <w:r w:rsidRPr="0089281F">
        <w:rPr>
          <w:rFonts w:ascii="Segoe UI" w:hAnsi="Segoe UI" w:cs="Segoe UI"/>
          <w:color w:val="002060"/>
        </w:rPr>
        <w:t>related issues</w:t>
      </w:r>
      <w:bookmarkEnd w:id="48"/>
      <w:bookmarkEnd w:id="49"/>
      <w:bookmarkEnd w:id="50"/>
    </w:p>
    <w:p w14:paraId="4C4CD2CC" w14:textId="77777777" w:rsidR="00DF224C" w:rsidRPr="00612D95" w:rsidRDefault="00DF224C" w:rsidP="00DF224C">
      <w:pPr>
        <w:rPr>
          <w:rFonts w:ascii="Segoe UI" w:hAnsi="Segoe UI" w:cs="Segoe UI"/>
        </w:rPr>
      </w:pPr>
    </w:p>
    <w:tbl>
      <w:tblPr>
        <w:tblStyle w:val="TableGrid"/>
        <w:tblW w:w="0" w:type="auto"/>
        <w:tblBorders>
          <w:insideH w:val="none" w:sz="0" w:space="0" w:color="auto"/>
          <w:insideV w:val="none" w:sz="0" w:space="0" w:color="auto"/>
        </w:tblBorders>
        <w:shd w:val="clear" w:color="auto" w:fill="E0E0E0"/>
        <w:tblLook w:val="04A0" w:firstRow="1" w:lastRow="0" w:firstColumn="1" w:lastColumn="0" w:noHBand="0" w:noVBand="1"/>
      </w:tblPr>
      <w:tblGrid>
        <w:gridCol w:w="9243"/>
      </w:tblGrid>
      <w:tr w:rsidR="00DF224C" w:rsidRPr="00612D95" w14:paraId="267151D8" w14:textId="77777777" w:rsidTr="00653966">
        <w:tc>
          <w:tcPr>
            <w:tcW w:w="9280" w:type="dxa"/>
            <w:shd w:val="clear" w:color="auto" w:fill="E0E0E0"/>
          </w:tcPr>
          <w:p w14:paraId="3A3FC143" w14:textId="77777777" w:rsidR="00DF224C" w:rsidRPr="00612D95" w:rsidRDefault="00DF224C" w:rsidP="00653966">
            <w:pPr>
              <w:pStyle w:val="Heading4"/>
              <w:outlineLvl w:val="3"/>
              <w:rPr>
                <w:rFonts w:ascii="Segoe UI" w:hAnsi="Segoe UI" w:cs="Segoe UI"/>
              </w:rPr>
            </w:pPr>
            <w:r w:rsidRPr="00612D95">
              <w:rPr>
                <w:rFonts w:ascii="Segoe UI" w:hAnsi="Segoe UI" w:cs="Segoe UI"/>
              </w:rPr>
              <w:t>Key points</w:t>
            </w:r>
          </w:p>
          <w:p w14:paraId="3AE6096C" w14:textId="77777777" w:rsidR="00DF224C" w:rsidRDefault="00DF224C" w:rsidP="007D6D26">
            <w:pPr>
              <w:pStyle w:val="ListParagraph"/>
              <w:numPr>
                <w:ilvl w:val="0"/>
                <w:numId w:val="2"/>
              </w:numPr>
              <w:spacing w:before="120" w:after="240" w:line="240" w:lineRule="exact"/>
              <w:ind w:left="714" w:right="288" w:hanging="357"/>
              <w:contextualSpacing w:val="0"/>
              <w:jc w:val="both"/>
              <w:rPr>
                <w:rFonts w:ascii="Segoe UI" w:hAnsi="Segoe UI" w:cs="Segoe UI"/>
                <w:sz w:val="22"/>
                <w:szCs w:val="22"/>
              </w:rPr>
            </w:pPr>
            <w:r>
              <w:rPr>
                <w:rFonts w:ascii="Segoe UI" w:hAnsi="Segoe UI" w:cs="Segoe UI"/>
                <w:sz w:val="22"/>
                <w:szCs w:val="22"/>
              </w:rPr>
              <w:t xml:space="preserve">Over the past decade regulatory reform of the electronic payments sector has empowered merchants in a number of new ways with little or no pass through to consumers. </w:t>
            </w:r>
          </w:p>
          <w:p w14:paraId="26044529" w14:textId="77777777" w:rsidR="00DF224C" w:rsidRDefault="00DF224C" w:rsidP="007D6D26">
            <w:pPr>
              <w:pStyle w:val="ListParagraph"/>
              <w:numPr>
                <w:ilvl w:val="0"/>
                <w:numId w:val="2"/>
              </w:numPr>
              <w:spacing w:before="120" w:after="240" w:line="240" w:lineRule="exact"/>
              <w:ind w:left="714" w:right="288" w:hanging="357"/>
              <w:contextualSpacing w:val="0"/>
              <w:jc w:val="both"/>
              <w:rPr>
                <w:rFonts w:ascii="Segoe UI" w:hAnsi="Segoe UI" w:cs="Segoe UI"/>
                <w:sz w:val="22"/>
                <w:szCs w:val="22"/>
              </w:rPr>
            </w:pPr>
            <w:r>
              <w:rPr>
                <w:rFonts w:ascii="Segoe UI" w:hAnsi="Segoe UI" w:cs="Segoe UI"/>
                <w:sz w:val="22"/>
                <w:szCs w:val="22"/>
              </w:rPr>
              <w:t>We are therefore not currently persuaded of the need to introduce a number of the measures to promote merchant transparency whether that be via amendments to existing Standards or through a new standalone merchant-related Standard.</w:t>
            </w:r>
          </w:p>
          <w:p w14:paraId="394BA7CE" w14:textId="7D55C3F1" w:rsidR="00DF224C" w:rsidRPr="007D6D26" w:rsidRDefault="00DF224C" w:rsidP="00653966">
            <w:pPr>
              <w:pStyle w:val="ListParagraph"/>
              <w:numPr>
                <w:ilvl w:val="0"/>
                <w:numId w:val="2"/>
              </w:numPr>
              <w:spacing w:before="120" w:after="240" w:line="240" w:lineRule="exact"/>
              <w:ind w:left="714" w:right="288" w:hanging="357"/>
              <w:jc w:val="both"/>
              <w:rPr>
                <w:rFonts w:ascii="Segoe UI" w:hAnsi="Segoe UI" w:cs="Segoe UI"/>
                <w:sz w:val="22"/>
                <w:szCs w:val="22"/>
              </w:rPr>
            </w:pPr>
            <w:r w:rsidRPr="002A576D">
              <w:rPr>
                <w:rFonts w:ascii="Segoe UI" w:hAnsi="Segoe UI" w:cs="Segoe UI"/>
                <w:sz w:val="22"/>
                <w:szCs w:val="22"/>
              </w:rPr>
              <w:t xml:space="preserve">Visa </w:t>
            </w:r>
            <w:r>
              <w:rPr>
                <w:rFonts w:ascii="Segoe UI" w:hAnsi="Segoe UI" w:cs="Segoe UI"/>
                <w:sz w:val="22"/>
                <w:szCs w:val="22"/>
              </w:rPr>
              <w:t>strongly opposes</w:t>
            </w:r>
            <w:r w:rsidRPr="002A576D">
              <w:rPr>
                <w:rFonts w:ascii="Segoe UI" w:hAnsi="Segoe UI" w:cs="Segoe UI"/>
                <w:sz w:val="22"/>
                <w:szCs w:val="22"/>
              </w:rPr>
              <w:t xml:space="preserve"> any</w:t>
            </w:r>
            <w:r>
              <w:rPr>
                <w:rFonts w:ascii="Segoe UI" w:hAnsi="Segoe UI" w:cs="Segoe UI"/>
                <w:sz w:val="22"/>
                <w:szCs w:val="22"/>
              </w:rPr>
              <w:t xml:space="preserve"> measure that would</w:t>
            </w:r>
            <w:r w:rsidRPr="002A576D">
              <w:rPr>
                <w:rFonts w:ascii="Segoe UI" w:hAnsi="Segoe UI" w:cs="Segoe UI"/>
                <w:sz w:val="22"/>
                <w:szCs w:val="22"/>
              </w:rPr>
              <w:t xml:space="preserve"> infring</w:t>
            </w:r>
            <w:r>
              <w:rPr>
                <w:rFonts w:ascii="Segoe UI" w:hAnsi="Segoe UI" w:cs="Segoe UI"/>
                <w:sz w:val="22"/>
                <w:szCs w:val="22"/>
              </w:rPr>
              <w:t>e</w:t>
            </w:r>
            <w:r w:rsidRPr="002A576D">
              <w:rPr>
                <w:rFonts w:ascii="Segoe UI" w:hAnsi="Segoe UI" w:cs="Segoe UI"/>
                <w:sz w:val="22"/>
                <w:szCs w:val="22"/>
              </w:rPr>
              <w:t xml:space="preserve"> or </w:t>
            </w:r>
            <w:r>
              <w:rPr>
                <w:rFonts w:ascii="Segoe UI" w:hAnsi="Segoe UI" w:cs="Segoe UI"/>
                <w:sz w:val="22"/>
                <w:szCs w:val="22"/>
              </w:rPr>
              <w:t xml:space="preserve">require the </w:t>
            </w:r>
            <w:r w:rsidRPr="002A576D">
              <w:rPr>
                <w:rFonts w:ascii="Segoe UI" w:hAnsi="Segoe UI" w:cs="Segoe UI"/>
                <w:sz w:val="22"/>
                <w:szCs w:val="22"/>
              </w:rPr>
              <w:t xml:space="preserve">‘easing’ of </w:t>
            </w:r>
            <w:r>
              <w:rPr>
                <w:rFonts w:ascii="Segoe UI" w:hAnsi="Segoe UI" w:cs="Segoe UI"/>
                <w:sz w:val="22"/>
                <w:szCs w:val="22"/>
              </w:rPr>
              <w:t>its</w:t>
            </w:r>
            <w:r w:rsidRPr="002A576D">
              <w:rPr>
                <w:rFonts w:ascii="Segoe UI" w:hAnsi="Segoe UI" w:cs="Segoe UI"/>
                <w:sz w:val="22"/>
                <w:szCs w:val="22"/>
              </w:rPr>
              <w:t xml:space="preserve"> global </w:t>
            </w:r>
            <w:r>
              <w:rPr>
                <w:rFonts w:ascii="Segoe UI" w:hAnsi="Segoe UI" w:cs="Segoe UI"/>
                <w:sz w:val="22"/>
                <w:szCs w:val="22"/>
              </w:rPr>
              <w:t xml:space="preserve">Honour All Cards rule (HACR) </w:t>
            </w:r>
            <w:r w:rsidRPr="002A576D">
              <w:rPr>
                <w:rFonts w:ascii="Segoe UI" w:hAnsi="Segoe UI" w:cs="Segoe UI"/>
                <w:sz w:val="22"/>
                <w:szCs w:val="22"/>
              </w:rPr>
              <w:t xml:space="preserve">to allow merchants </w:t>
            </w:r>
            <w:r>
              <w:rPr>
                <w:rFonts w:ascii="Segoe UI" w:hAnsi="Segoe UI" w:cs="Segoe UI"/>
                <w:sz w:val="22"/>
                <w:szCs w:val="22"/>
              </w:rPr>
              <w:t xml:space="preserve">the right not to </w:t>
            </w:r>
            <w:r w:rsidRPr="002A576D">
              <w:rPr>
                <w:rFonts w:ascii="Segoe UI" w:hAnsi="Segoe UI" w:cs="Segoe UI"/>
                <w:sz w:val="22"/>
                <w:szCs w:val="22"/>
              </w:rPr>
              <w:t>accept certain cards</w:t>
            </w:r>
            <w:r w:rsidRPr="00612D95">
              <w:rPr>
                <w:rFonts w:ascii="Segoe UI" w:hAnsi="Segoe UI" w:cs="Segoe UI"/>
                <w:sz w:val="22"/>
                <w:szCs w:val="22"/>
              </w:rPr>
              <w:t>.</w:t>
            </w:r>
            <w:r>
              <w:rPr>
                <w:rFonts w:ascii="Segoe UI" w:hAnsi="Segoe UI" w:cs="Segoe UI"/>
                <w:sz w:val="22"/>
                <w:szCs w:val="22"/>
              </w:rPr>
              <w:t xml:space="preserve"> </w:t>
            </w:r>
            <w:r w:rsidRPr="00C92BBC">
              <w:rPr>
                <w:rFonts w:ascii="Segoe UI" w:hAnsi="Segoe UI" w:cs="Segoe UI"/>
                <w:sz w:val="22"/>
                <w:szCs w:val="22"/>
              </w:rPr>
              <w:t>Cardholders would have to incur significant inconvenience in determining if a merchant acce</w:t>
            </w:r>
            <w:r>
              <w:rPr>
                <w:rFonts w:ascii="Segoe UI" w:hAnsi="Segoe UI" w:cs="Segoe UI"/>
                <w:sz w:val="22"/>
                <w:szCs w:val="22"/>
              </w:rPr>
              <w:t xml:space="preserve">pted his or her particular card. This would ultimately have </w:t>
            </w:r>
            <w:r w:rsidRPr="00C92BBC">
              <w:rPr>
                <w:rFonts w:ascii="Segoe UI" w:hAnsi="Segoe UI" w:cs="Segoe UI"/>
                <w:sz w:val="22"/>
                <w:szCs w:val="22"/>
              </w:rPr>
              <w:t xml:space="preserve">negative </w:t>
            </w:r>
            <w:r>
              <w:rPr>
                <w:rFonts w:ascii="Segoe UI" w:hAnsi="Segoe UI" w:cs="Segoe UI"/>
                <w:sz w:val="22"/>
                <w:szCs w:val="22"/>
              </w:rPr>
              <w:t xml:space="preserve">consequences for the </w:t>
            </w:r>
            <w:r w:rsidRPr="00C92BBC">
              <w:rPr>
                <w:rFonts w:ascii="Segoe UI" w:hAnsi="Segoe UI" w:cs="Segoe UI"/>
                <w:sz w:val="22"/>
                <w:szCs w:val="22"/>
              </w:rPr>
              <w:t>overall usage rates of electronic payments.</w:t>
            </w:r>
          </w:p>
        </w:tc>
      </w:tr>
    </w:tbl>
    <w:p w14:paraId="645D944C" w14:textId="77777777" w:rsidR="00DF224C" w:rsidRPr="00612D95" w:rsidRDefault="00DF224C" w:rsidP="00DF224C">
      <w:pPr>
        <w:rPr>
          <w:rFonts w:ascii="Segoe UI" w:hAnsi="Segoe UI" w:cs="Segoe UI"/>
          <w:sz w:val="22"/>
          <w:szCs w:val="22"/>
        </w:rPr>
      </w:pPr>
    </w:p>
    <w:p w14:paraId="750F16BA" w14:textId="77777777" w:rsidR="00DF224C" w:rsidRPr="00612D95" w:rsidRDefault="00DF224C" w:rsidP="00DF224C">
      <w:pPr>
        <w:pStyle w:val="Heading2"/>
        <w:numPr>
          <w:ilvl w:val="1"/>
          <w:numId w:val="14"/>
        </w:numPr>
        <w:ind w:left="567" w:hanging="567"/>
        <w:rPr>
          <w:rFonts w:ascii="Segoe UI" w:hAnsi="Segoe UI" w:cs="Segoe UI"/>
        </w:rPr>
      </w:pPr>
      <w:bookmarkStart w:id="51" w:name="_Toc289363570"/>
      <w:bookmarkStart w:id="52" w:name="_Toc417303941"/>
      <w:bookmarkStart w:id="53" w:name="_Toc417572698"/>
      <w:r w:rsidRPr="00612D95">
        <w:rPr>
          <w:rFonts w:ascii="Segoe UI" w:hAnsi="Segoe UI" w:cs="Segoe UI"/>
        </w:rPr>
        <w:t>Introduction</w:t>
      </w:r>
      <w:bookmarkEnd w:id="51"/>
      <w:bookmarkEnd w:id="52"/>
      <w:bookmarkEnd w:id="53"/>
    </w:p>
    <w:p w14:paraId="5EE7C5B8" w14:textId="77777777" w:rsidR="00DF224C" w:rsidRPr="00612D95" w:rsidRDefault="00DF224C" w:rsidP="00DF224C">
      <w:pPr>
        <w:rPr>
          <w:rFonts w:ascii="Segoe UI" w:hAnsi="Segoe UI" w:cs="Segoe UI"/>
        </w:rPr>
      </w:pPr>
    </w:p>
    <w:p w14:paraId="7C991043" w14:textId="77777777" w:rsidR="00DF224C" w:rsidRDefault="00DF224C" w:rsidP="00DF224C">
      <w:pPr>
        <w:jc w:val="both"/>
        <w:rPr>
          <w:rFonts w:ascii="Segoe UI" w:hAnsi="Segoe UI" w:cs="Segoe UI"/>
          <w:sz w:val="22"/>
          <w:szCs w:val="22"/>
        </w:rPr>
      </w:pPr>
      <w:r>
        <w:rPr>
          <w:rFonts w:ascii="Segoe UI" w:hAnsi="Segoe UI" w:cs="Segoe UI"/>
          <w:sz w:val="22"/>
          <w:szCs w:val="22"/>
        </w:rPr>
        <w:t>Over the past decade regulatory reform of the electronic payments sector has empowered merchants in a number of new ways. In some cases</w:t>
      </w:r>
      <w:r w:rsidR="00081067">
        <w:rPr>
          <w:rFonts w:ascii="Segoe UI" w:hAnsi="Segoe UI" w:cs="Segoe UI"/>
          <w:sz w:val="22"/>
          <w:szCs w:val="22"/>
        </w:rPr>
        <w:t>,</w:t>
      </w:r>
      <w:r>
        <w:rPr>
          <w:rFonts w:ascii="Segoe UI" w:hAnsi="Segoe UI" w:cs="Segoe UI"/>
          <w:sz w:val="22"/>
          <w:szCs w:val="22"/>
        </w:rPr>
        <w:t xml:space="preserve"> limits have been imposed on long-standing pro-consumer schemes rules in favour of merchant positions and the regulated lowering of some costs. The benefit of these types of changes both in Australia and globally has flowed primarily to merchants will little or no evidence of a pass through to consumers.</w:t>
      </w:r>
      <w:r>
        <w:rPr>
          <w:rStyle w:val="FootnoteReference"/>
          <w:rFonts w:ascii="Segoe UI" w:hAnsi="Segoe UI" w:cs="Segoe UI"/>
          <w:sz w:val="22"/>
          <w:szCs w:val="22"/>
        </w:rPr>
        <w:footnoteReference w:id="22"/>
      </w:r>
      <w:r>
        <w:rPr>
          <w:rFonts w:ascii="Segoe UI" w:hAnsi="Segoe UI" w:cs="Segoe UI"/>
          <w:sz w:val="22"/>
          <w:szCs w:val="22"/>
        </w:rPr>
        <w:t xml:space="preserve">  </w:t>
      </w:r>
    </w:p>
    <w:p w14:paraId="1711D42D" w14:textId="77777777" w:rsidR="00DF224C" w:rsidRDefault="00DF224C" w:rsidP="00DF224C">
      <w:pPr>
        <w:jc w:val="both"/>
        <w:rPr>
          <w:rFonts w:ascii="Segoe UI" w:hAnsi="Segoe UI" w:cs="Segoe UI"/>
          <w:sz w:val="22"/>
          <w:szCs w:val="22"/>
        </w:rPr>
      </w:pPr>
    </w:p>
    <w:p w14:paraId="22058350" w14:textId="77777777" w:rsidR="00DF224C" w:rsidRDefault="00DF224C" w:rsidP="00DF224C">
      <w:pPr>
        <w:jc w:val="both"/>
        <w:rPr>
          <w:rFonts w:ascii="Segoe UI" w:hAnsi="Segoe UI" w:cs="Segoe UI"/>
          <w:sz w:val="22"/>
          <w:szCs w:val="22"/>
        </w:rPr>
      </w:pPr>
      <w:r>
        <w:rPr>
          <w:rFonts w:ascii="Segoe UI" w:hAnsi="Segoe UI" w:cs="Segoe UI"/>
          <w:sz w:val="22"/>
          <w:szCs w:val="22"/>
        </w:rPr>
        <w:t>Visa believes in an open, fair and competitive payments environment in which all parties add value for the benefit of Australian consumers and the wider economy. Markets work most efficiently when competition is allowed to happen. In our view, c</w:t>
      </w:r>
      <w:r w:rsidRPr="00612D95">
        <w:rPr>
          <w:rFonts w:ascii="Segoe UI" w:hAnsi="Segoe UI" w:cs="Segoe UI"/>
          <w:sz w:val="22"/>
          <w:szCs w:val="22"/>
        </w:rPr>
        <w:t>ommercial arrangements should be left separate when con</w:t>
      </w:r>
      <w:r>
        <w:rPr>
          <w:rFonts w:ascii="Segoe UI" w:hAnsi="Segoe UI" w:cs="Segoe UI"/>
          <w:sz w:val="22"/>
          <w:szCs w:val="22"/>
        </w:rPr>
        <w:t>sidering policy initiatives to enhance transparency for merchants. The addition of further regulation, specifically in favour of merchants risks undermining existing commercial relationships, reducing consumer choice and slowing the uptake of electronic payments.</w:t>
      </w:r>
    </w:p>
    <w:p w14:paraId="488B5A0C" w14:textId="77777777" w:rsidR="00DF224C" w:rsidRDefault="00DF224C" w:rsidP="00DF224C">
      <w:pPr>
        <w:jc w:val="both"/>
        <w:rPr>
          <w:rFonts w:ascii="Segoe UI" w:hAnsi="Segoe UI" w:cs="Segoe UI"/>
          <w:sz w:val="22"/>
          <w:szCs w:val="22"/>
        </w:rPr>
      </w:pPr>
    </w:p>
    <w:p w14:paraId="250A4ADD" w14:textId="77777777" w:rsidR="00DF224C" w:rsidRDefault="00DF224C" w:rsidP="00DF224C">
      <w:pPr>
        <w:jc w:val="both"/>
        <w:rPr>
          <w:rFonts w:ascii="Segoe UI" w:hAnsi="Segoe UI" w:cs="Segoe UI"/>
          <w:sz w:val="22"/>
          <w:szCs w:val="22"/>
        </w:rPr>
      </w:pPr>
      <w:r>
        <w:rPr>
          <w:rFonts w:ascii="Segoe UI" w:hAnsi="Segoe UI" w:cs="Segoe UI"/>
          <w:sz w:val="22"/>
          <w:szCs w:val="22"/>
        </w:rPr>
        <w:t>We are therefore not currently persuaded of the need to introduce a number of the measures discussed in the RBA Issues Paper (Chapter 4, pp. 25-26) to promote merchant transparency, particularly at the transaction level, whether that be via amendments to existing Standards or through a new standalone merchant-related Standard.</w:t>
      </w:r>
    </w:p>
    <w:p w14:paraId="5E4AFBDF" w14:textId="77777777" w:rsidR="007D6D26" w:rsidRDefault="007D6D26" w:rsidP="00DF224C">
      <w:pPr>
        <w:jc w:val="both"/>
        <w:rPr>
          <w:rFonts w:ascii="Segoe UI" w:hAnsi="Segoe UI" w:cs="Segoe UI"/>
          <w:sz w:val="22"/>
          <w:szCs w:val="22"/>
        </w:rPr>
      </w:pPr>
    </w:p>
    <w:p w14:paraId="7DAD75A5" w14:textId="77777777" w:rsidR="007D6D26" w:rsidRDefault="007D6D26" w:rsidP="00DF224C">
      <w:pPr>
        <w:jc w:val="both"/>
        <w:rPr>
          <w:rFonts w:ascii="Segoe UI" w:hAnsi="Segoe UI" w:cs="Segoe UI"/>
          <w:sz w:val="22"/>
          <w:szCs w:val="22"/>
        </w:rPr>
      </w:pPr>
    </w:p>
    <w:p w14:paraId="2E28D361" w14:textId="77777777" w:rsidR="00DF224C" w:rsidRPr="00C020B5" w:rsidRDefault="00DF224C" w:rsidP="00DF224C">
      <w:pPr>
        <w:pStyle w:val="Heading2"/>
        <w:numPr>
          <w:ilvl w:val="1"/>
          <w:numId w:val="14"/>
        </w:numPr>
        <w:ind w:left="567" w:hanging="567"/>
        <w:rPr>
          <w:rFonts w:ascii="Segoe UI" w:hAnsi="Segoe UI" w:cs="Segoe UI"/>
        </w:rPr>
      </w:pPr>
      <w:bookmarkStart w:id="54" w:name="_Toc289363571"/>
      <w:bookmarkStart w:id="55" w:name="_Toc417303942"/>
      <w:bookmarkStart w:id="56" w:name="_Toc417572699"/>
      <w:r w:rsidRPr="00612D95">
        <w:rPr>
          <w:rFonts w:ascii="Segoe UI" w:hAnsi="Segoe UI" w:cs="Segoe UI"/>
        </w:rPr>
        <w:lastRenderedPageBreak/>
        <w:t>Transparency</w:t>
      </w:r>
      <w:bookmarkEnd w:id="54"/>
      <w:bookmarkEnd w:id="55"/>
      <w:bookmarkEnd w:id="56"/>
    </w:p>
    <w:p w14:paraId="6F420880" w14:textId="77777777" w:rsidR="00DF224C" w:rsidRDefault="00DF224C" w:rsidP="00DF224C">
      <w:pPr>
        <w:rPr>
          <w:rFonts w:ascii="Segoe UI" w:hAnsi="Segoe UI" w:cs="Segoe UI"/>
          <w:sz w:val="22"/>
          <w:szCs w:val="22"/>
        </w:rPr>
      </w:pPr>
    </w:p>
    <w:p w14:paraId="534D15A7" w14:textId="77777777" w:rsidR="00DF224C" w:rsidRDefault="00DF224C" w:rsidP="00DF224C">
      <w:pPr>
        <w:jc w:val="both"/>
        <w:rPr>
          <w:rFonts w:ascii="Segoe UI" w:hAnsi="Segoe UI" w:cs="Segoe UI"/>
          <w:sz w:val="22"/>
          <w:szCs w:val="22"/>
        </w:rPr>
      </w:pPr>
      <w:r>
        <w:rPr>
          <w:rFonts w:ascii="Segoe UI" w:hAnsi="Segoe UI" w:cs="Segoe UI"/>
          <w:sz w:val="22"/>
          <w:szCs w:val="22"/>
        </w:rPr>
        <w:t>Visa is fully committed to managing a modern payments scheme that is both transparent and effective for all participants. Visa’s rules are published and our management processes are fully transparent. Our system is carefully designed to strike the right balance between system transparency, appropriate commerciality and the costs to all players of managing large volumes of complex data. Our partner financial institutions take a similar approach.</w:t>
      </w:r>
    </w:p>
    <w:p w14:paraId="4F448AF3" w14:textId="77777777" w:rsidR="00DF224C" w:rsidRDefault="00DF224C" w:rsidP="00DF224C">
      <w:pPr>
        <w:jc w:val="both"/>
        <w:rPr>
          <w:rFonts w:ascii="Segoe UI" w:hAnsi="Segoe UI" w:cs="Segoe UI"/>
          <w:sz w:val="22"/>
          <w:szCs w:val="22"/>
        </w:rPr>
      </w:pPr>
    </w:p>
    <w:p w14:paraId="1393599B" w14:textId="77777777" w:rsidR="00DF224C" w:rsidRDefault="00DF224C" w:rsidP="00DF224C">
      <w:pPr>
        <w:jc w:val="both"/>
        <w:rPr>
          <w:rFonts w:ascii="Segoe UI" w:hAnsi="Segoe UI" w:cs="Segoe UI"/>
          <w:sz w:val="22"/>
          <w:szCs w:val="22"/>
        </w:rPr>
      </w:pPr>
      <w:r>
        <w:rPr>
          <w:rFonts w:ascii="Segoe UI" w:hAnsi="Segoe UI" w:cs="Segoe UI"/>
          <w:sz w:val="22"/>
          <w:szCs w:val="22"/>
        </w:rPr>
        <w:t>On</w:t>
      </w:r>
      <w:r w:rsidR="00081067">
        <w:rPr>
          <w:rFonts w:ascii="Segoe UI" w:hAnsi="Segoe UI" w:cs="Segoe UI"/>
          <w:sz w:val="22"/>
          <w:szCs w:val="22"/>
        </w:rPr>
        <w:t xml:space="preserve"> the specific issues raised in C</w:t>
      </w:r>
      <w:r>
        <w:rPr>
          <w:rFonts w:ascii="Segoe UI" w:hAnsi="Segoe UI" w:cs="Segoe UI"/>
          <w:sz w:val="22"/>
          <w:szCs w:val="22"/>
        </w:rPr>
        <w:t>hapter 4 for review, Visa has the following initial observations.</w:t>
      </w:r>
    </w:p>
    <w:p w14:paraId="16E1542C" w14:textId="77777777" w:rsidR="00DF224C" w:rsidRDefault="00DF224C" w:rsidP="00DF224C">
      <w:pPr>
        <w:jc w:val="both"/>
        <w:rPr>
          <w:rFonts w:ascii="Segoe UI" w:hAnsi="Segoe UI" w:cs="Segoe UI"/>
          <w:sz w:val="22"/>
          <w:szCs w:val="22"/>
        </w:rPr>
      </w:pPr>
    </w:p>
    <w:p w14:paraId="5D66CCB0" w14:textId="77777777" w:rsidR="00DF224C" w:rsidRPr="002354BB" w:rsidRDefault="00DF224C" w:rsidP="00DF224C">
      <w:pPr>
        <w:jc w:val="both"/>
        <w:rPr>
          <w:rFonts w:ascii="Segoe UI" w:hAnsi="Segoe UI" w:cs="Segoe UI"/>
          <w:b/>
          <w:bCs/>
          <w:i/>
          <w:iCs/>
          <w:color w:val="4F81BD" w:themeColor="accent1"/>
          <w:sz w:val="22"/>
          <w:szCs w:val="22"/>
        </w:rPr>
      </w:pPr>
      <w:r w:rsidRPr="002354BB">
        <w:rPr>
          <w:rFonts w:ascii="Segoe UI" w:hAnsi="Segoe UI" w:cs="Segoe UI"/>
          <w:b/>
          <w:bCs/>
          <w:i/>
          <w:iCs/>
          <w:color w:val="4F81BD" w:themeColor="accent1"/>
          <w:sz w:val="22"/>
          <w:szCs w:val="22"/>
        </w:rPr>
        <w:t xml:space="preserve">The need for a visual and electronic identification of </w:t>
      </w:r>
      <w:r>
        <w:rPr>
          <w:rFonts w:ascii="Segoe UI" w:hAnsi="Segoe UI" w:cs="Segoe UI"/>
          <w:b/>
          <w:bCs/>
          <w:i/>
          <w:iCs/>
          <w:color w:val="4F81BD" w:themeColor="accent1"/>
          <w:sz w:val="22"/>
          <w:szCs w:val="22"/>
        </w:rPr>
        <w:t>C</w:t>
      </w:r>
      <w:r w:rsidRPr="002354BB">
        <w:rPr>
          <w:rFonts w:ascii="Segoe UI" w:hAnsi="Segoe UI" w:cs="Segoe UI"/>
          <w:b/>
          <w:bCs/>
          <w:i/>
          <w:iCs/>
          <w:color w:val="4F81BD" w:themeColor="accent1"/>
          <w:sz w:val="22"/>
          <w:szCs w:val="22"/>
        </w:rPr>
        <w:t xml:space="preserve">redit versus </w:t>
      </w:r>
      <w:r>
        <w:rPr>
          <w:rFonts w:ascii="Segoe UI" w:hAnsi="Segoe UI" w:cs="Segoe UI"/>
          <w:b/>
          <w:bCs/>
          <w:i/>
          <w:iCs/>
          <w:color w:val="4F81BD" w:themeColor="accent1"/>
          <w:sz w:val="22"/>
          <w:szCs w:val="22"/>
        </w:rPr>
        <w:t>D</w:t>
      </w:r>
      <w:r w:rsidRPr="002354BB">
        <w:rPr>
          <w:rFonts w:ascii="Segoe UI" w:hAnsi="Segoe UI" w:cs="Segoe UI"/>
          <w:b/>
          <w:bCs/>
          <w:i/>
          <w:iCs/>
          <w:color w:val="4F81BD" w:themeColor="accent1"/>
          <w:sz w:val="22"/>
          <w:szCs w:val="22"/>
        </w:rPr>
        <w:t>ebit cards</w:t>
      </w:r>
    </w:p>
    <w:p w14:paraId="4BC75853" w14:textId="77777777" w:rsidR="00DF224C" w:rsidRDefault="00DF224C" w:rsidP="00DF224C">
      <w:pPr>
        <w:pStyle w:val="ListParagraph"/>
        <w:jc w:val="both"/>
        <w:rPr>
          <w:rFonts w:ascii="Segoe UI" w:hAnsi="Segoe UI" w:cs="Segoe UI"/>
          <w:sz w:val="22"/>
          <w:szCs w:val="22"/>
        </w:rPr>
      </w:pPr>
    </w:p>
    <w:p w14:paraId="39944092" w14:textId="77777777" w:rsidR="00DF224C" w:rsidRPr="002354BB" w:rsidRDefault="00DF224C" w:rsidP="00DF224C">
      <w:pPr>
        <w:jc w:val="both"/>
        <w:rPr>
          <w:rFonts w:ascii="Segoe UI" w:hAnsi="Segoe UI" w:cs="Segoe UI"/>
          <w:sz w:val="22"/>
          <w:szCs w:val="22"/>
        </w:rPr>
      </w:pPr>
      <w:r w:rsidRPr="002354BB">
        <w:rPr>
          <w:rFonts w:ascii="Segoe UI" w:hAnsi="Segoe UI" w:cs="Segoe UI"/>
          <w:sz w:val="22"/>
          <w:szCs w:val="22"/>
        </w:rPr>
        <w:t xml:space="preserve">Visual identification </w:t>
      </w:r>
      <w:r>
        <w:rPr>
          <w:rFonts w:ascii="Segoe UI" w:hAnsi="Segoe UI" w:cs="Segoe UI"/>
          <w:sz w:val="22"/>
          <w:szCs w:val="22"/>
        </w:rPr>
        <w:t>that</w:t>
      </w:r>
      <w:r w:rsidRPr="002354BB">
        <w:rPr>
          <w:rFonts w:ascii="Segoe UI" w:hAnsi="Segoe UI" w:cs="Segoe UI"/>
          <w:sz w:val="22"/>
          <w:szCs w:val="22"/>
        </w:rPr>
        <w:t xml:space="preserve"> allows players to distinguish between </w:t>
      </w:r>
      <w:r>
        <w:rPr>
          <w:rFonts w:ascii="Segoe UI" w:hAnsi="Segoe UI" w:cs="Segoe UI"/>
          <w:sz w:val="22"/>
          <w:szCs w:val="22"/>
        </w:rPr>
        <w:t>D</w:t>
      </w:r>
      <w:r w:rsidRPr="002354BB">
        <w:rPr>
          <w:rFonts w:ascii="Segoe UI" w:hAnsi="Segoe UI" w:cs="Segoe UI"/>
          <w:sz w:val="22"/>
          <w:szCs w:val="22"/>
        </w:rPr>
        <w:t xml:space="preserve">ebit and </w:t>
      </w:r>
      <w:r>
        <w:rPr>
          <w:rFonts w:ascii="Segoe UI" w:hAnsi="Segoe UI" w:cs="Segoe UI"/>
          <w:sz w:val="22"/>
          <w:szCs w:val="22"/>
        </w:rPr>
        <w:t>C</w:t>
      </w:r>
      <w:r w:rsidRPr="002354BB">
        <w:rPr>
          <w:rFonts w:ascii="Segoe UI" w:hAnsi="Segoe UI" w:cs="Segoe UI"/>
          <w:sz w:val="22"/>
          <w:szCs w:val="22"/>
        </w:rPr>
        <w:t>redit cards is already widely implemented, offering useful</w:t>
      </w:r>
      <w:r>
        <w:rPr>
          <w:rFonts w:ascii="Segoe UI" w:hAnsi="Segoe UI" w:cs="Segoe UI"/>
          <w:sz w:val="22"/>
          <w:szCs w:val="22"/>
        </w:rPr>
        <w:t xml:space="preserve"> </w:t>
      </w:r>
      <w:r w:rsidRPr="002354BB">
        <w:rPr>
          <w:rFonts w:ascii="Segoe UI" w:hAnsi="Segoe UI" w:cs="Segoe UI"/>
          <w:sz w:val="22"/>
          <w:szCs w:val="22"/>
        </w:rPr>
        <w:t xml:space="preserve">disclosure to both cardholders and merchants. </w:t>
      </w:r>
    </w:p>
    <w:p w14:paraId="077DE168" w14:textId="77777777" w:rsidR="00DF224C" w:rsidRDefault="00DF224C" w:rsidP="00DF224C">
      <w:pPr>
        <w:jc w:val="both"/>
        <w:rPr>
          <w:rFonts w:ascii="Segoe UI" w:hAnsi="Segoe UI" w:cs="Segoe UI"/>
          <w:sz w:val="22"/>
          <w:szCs w:val="22"/>
        </w:rPr>
      </w:pPr>
    </w:p>
    <w:p w14:paraId="033D0763" w14:textId="77777777" w:rsidR="00DF224C" w:rsidRDefault="00DF224C" w:rsidP="00DF224C">
      <w:pPr>
        <w:jc w:val="both"/>
        <w:rPr>
          <w:rFonts w:ascii="Segoe UI" w:hAnsi="Segoe UI" w:cs="Segoe UI"/>
          <w:sz w:val="22"/>
          <w:szCs w:val="22"/>
        </w:rPr>
      </w:pPr>
      <w:r w:rsidRPr="002354BB">
        <w:rPr>
          <w:rFonts w:ascii="Segoe UI" w:hAnsi="Segoe UI" w:cs="Segoe UI"/>
          <w:sz w:val="22"/>
          <w:szCs w:val="22"/>
        </w:rPr>
        <w:t>Requiring by regulation that all cards be further identifiable both visually and electronically by exactly the level of interchange applying would impose a considerable regulatory burden on business with significant additional costs. In the majority of cases, especially in high volume commercial situations, neither merchants nor consumers are likely to be able to assess or benefit from detailed additional information on interchange rates at the point of sale.</w:t>
      </w:r>
    </w:p>
    <w:p w14:paraId="575101B5" w14:textId="77777777" w:rsidR="00DF224C" w:rsidRDefault="00DF224C" w:rsidP="00DF224C">
      <w:pPr>
        <w:jc w:val="both"/>
        <w:rPr>
          <w:rFonts w:ascii="Segoe UI" w:hAnsi="Segoe UI" w:cs="Segoe UI"/>
          <w:sz w:val="22"/>
          <w:szCs w:val="22"/>
        </w:rPr>
      </w:pPr>
    </w:p>
    <w:p w14:paraId="59BB650E" w14:textId="77777777" w:rsidR="00DF224C" w:rsidRDefault="00DF224C" w:rsidP="00DF224C">
      <w:pPr>
        <w:pStyle w:val="CommentText"/>
        <w:jc w:val="both"/>
        <w:rPr>
          <w:rFonts w:ascii="Segoe UI" w:hAnsi="Segoe UI" w:cs="Segoe UI"/>
          <w:sz w:val="22"/>
          <w:szCs w:val="22"/>
        </w:rPr>
      </w:pPr>
      <w:r>
        <w:rPr>
          <w:rFonts w:ascii="Segoe UI" w:hAnsi="Segoe UI" w:cs="Segoe UI"/>
          <w:sz w:val="22"/>
          <w:szCs w:val="22"/>
        </w:rPr>
        <w:t xml:space="preserve">Other technical issues further establish the unworkability of this proposal including the fact that </w:t>
      </w:r>
      <w:r w:rsidRPr="00196CB9">
        <w:rPr>
          <w:rFonts w:ascii="Segoe UI" w:hAnsi="Segoe UI" w:cs="Segoe UI"/>
          <w:sz w:val="22"/>
          <w:szCs w:val="22"/>
        </w:rPr>
        <w:t xml:space="preserve">the card duration of physical </w:t>
      </w:r>
      <w:r>
        <w:rPr>
          <w:rFonts w:ascii="Segoe UI" w:hAnsi="Segoe UI" w:cs="Segoe UI"/>
          <w:sz w:val="22"/>
          <w:szCs w:val="22"/>
        </w:rPr>
        <w:t>cards</w:t>
      </w:r>
      <w:r w:rsidRPr="00196CB9">
        <w:rPr>
          <w:rFonts w:ascii="Segoe UI" w:hAnsi="Segoe UI" w:cs="Segoe UI"/>
          <w:sz w:val="22"/>
          <w:szCs w:val="22"/>
        </w:rPr>
        <w:t xml:space="preserve">, based on expiry date, can overlap </w:t>
      </w:r>
      <w:r>
        <w:rPr>
          <w:rFonts w:ascii="Segoe UI" w:hAnsi="Segoe UI" w:cs="Segoe UI"/>
          <w:sz w:val="22"/>
          <w:szCs w:val="22"/>
        </w:rPr>
        <w:t xml:space="preserve">differently with </w:t>
      </w:r>
      <w:r w:rsidRPr="00196CB9">
        <w:rPr>
          <w:rFonts w:ascii="Segoe UI" w:hAnsi="Segoe UI" w:cs="Segoe UI"/>
          <w:sz w:val="22"/>
          <w:szCs w:val="22"/>
        </w:rPr>
        <w:t xml:space="preserve">interchange re-set periods hence it would be unfeasible to keep the relevant interchange cost current. </w:t>
      </w:r>
      <w:r>
        <w:rPr>
          <w:rFonts w:ascii="Segoe UI" w:hAnsi="Segoe UI" w:cs="Segoe UI"/>
          <w:sz w:val="22"/>
          <w:szCs w:val="22"/>
        </w:rPr>
        <w:t>Furthermore</w:t>
      </w:r>
      <w:r w:rsidRPr="00196CB9">
        <w:rPr>
          <w:rFonts w:ascii="Segoe UI" w:hAnsi="Segoe UI" w:cs="Segoe UI"/>
          <w:sz w:val="22"/>
          <w:szCs w:val="22"/>
        </w:rPr>
        <w:t xml:space="preserve">, interchange is only one component of the merchant service fee cost hence is not a straight line relationship. </w:t>
      </w:r>
    </w:p>
    <w:p w14:paraId="0520B4F0" w14:textId="77777777" w:rsidR="00DF224C" w:rsidRDefault="00DF224C" w:rsidP="00DF224C">
      <w:pPr>
        <w:pStyle w:val="CommentText"/>
        <w:jc w:val="both"/>
        <w:rPr>
          <w:rFonts w:ascii="Segoe UI" w:hAnsi="Segoe UI" w:cs="Segoe UI"/>
          <w:sz w:val="22"/>
          <w:szCs w:val="22"/>
        </w:rPr>
      </w:pPr>
    </w:p>
    <w:p w14:paraId="52CA0F69" w14:textId="77777777" w:rsidR="00DF224C" w:rsidRPr="00196CB9" w:rsidRDefault="00DF224C" w:rsidP="00DF224C">
      <w:pPr>
        <w:pStyle w:val="CommentText"/>
        <w:jc w:val="both"/>
        <w:rPr>
          <w:rFonts w:ascii="Segoe UI" w:hAnsi="Segoe UI" w:cs="Segoe UI"/>
          <w:sz w:val="22"/>
          <w:szCs w:val="22"/>
        </w:rPr>
      </w:pPr>
      <w:r w:rsidRPr="00196CB9">
        <w:rPr>
          <w:rFonts w:ascii="Segoe UI" w:hAnsi="Segoe UI" w:cs="Segoe UI"/>
          <w:sz w:val="22"/>
          <w:szCs w:val="22"/>
        </w:rPr>
        <w:t>Moreover, as form factors change</w:t>
      </w:r>
      <w:r>
        <w:rPr>
          <w:rFonts w:ascii="Segoe UI" w:hAnsi="Segoe UI" w:cs="Segoe UI"/>
          <w:sz w:val="22"/>
          <w:szCs w:val="22"/>
        </w:rPr>
        <w:t xml:space="preserve"> and we move towards new payment technologies such as mobile platforms</w:t>
      </w:r>
      <w:r w:rsidRPr="00196CB9">
        <w:rPr>
          <w:rFonts w:ascii="Segoe UI" w:hAnsi="Segoe UI" w:cs="Segoe UI"/>
          <w:sz w:val="22"/>
          <w:szCs w:val="22"/>
        </w:rPr>
        <w:t xml:space="preserve">, the visual display of </w:t>
      </w:r>
      <w:r>
        <w:rPr>
          <w:rFonts w:ascii="Segoe UI" w:hAnsi="Segoe UI" w:cs="Segoe UI"/>
          <w:sz w:val="22"/>
          <w:szCs w:val="22"/>
        </w:rPr>
        <w:t xml:space="preserve">plastic </w:t>
      </w:r>
      <w:r w:rsidRPr="00196CB9">
        <w:rPr>
          <w:rFonts w:ascii="Segoe UI" w:hAnsi="Segoe UI" w:cs="Segoe UI"/>
          <w:sz w:val="22"/>
          <w:szCs w:val="22"/>
        </w:rPr>
        <w:t>cards will increasingly become obsolete.</w:t>
      </w:r>
    </w:p>
    <w:p w14:paraId="14E3B543" w14:textId="77777777" w:rsidR="00DF224C" w:rsidRDefault="00DF224C" w:rsidP="00DF224C">
      <w:pPr>
        <w:jc w:val="both"/>
        <w:rPr>
          <w:rFonts w:ascii="Segoe UI" w:hAnsi="Segoe UI" w:cs="Segoe UI"/>
          <w:sz w:val="22"/>
          <w:szCs w:val="22"/>
        </w:rPr>
      </w:pPr>
    </w:p>
    <w:p w14:paraId="7EAD76F2" w14:textId="77777777" w:rsidR="00DF224C" w:rsidRPr="002354BB" w:rsidRDefault="00DF224C" w:rsidP="00DF224C">
      <w:pPr>
        <w:jc w:val="both"/>
        <w:rPr>
          <w:rFonts w:ascii="Segoe UI" w:hAnsi="Segoe UI" w:cs="Segoe UI"/>
          <w:b/>
          <w:i/>
          <w:color w:val="4F81BD" w:themeColor="accent1"/>
          <w:sz w:val="22"/>
          <w:szCs w:val="22"/>
        </w:rPr>
      </w:pPr>
      <w:r w:rsidRPr="002354BB">
        <w:rPr>
          <w:rFonts w:ascii="Segoe UI" w:hAnsi="Segoe UI" w:cs="Segoe UI"/>
          <w:b/>
          <w:i/>
          <w:color w:val="4F81BD" w:themeColor="accent1"/>
          <w:sz w:val="22"/>
          <w:szCs w:val="22"/>
        </w:rPr>
        <w:t xml:space="preserve">The ability for merchants to obtain reliable and timely lists of </w:t>
      </w:r>
      <w:r>
        <w:rPr>
          <w:rFonts w:ascii="Segoe UI" w:hAnsi="Segoe UI" w:cs="Segoe UI"/>
          <w:b/>
          <w:i/>
          <w:color w:val="4F81BD" w:themeColor="accent1"/>
          <w:sz w:val="22"/>
          <w:szCs w:val="22"/>
        </w:rPr>
        <w:t>D</w:t>
      </w:r>
      <w:r w:rsidRPr="002354BB">
        <w:rPr>
          <w:rFonts w:ascii="Segoe UI" w:hAnsi="Segoe UI" w:cs="Segoe UI"/>
          <w:b/>
          <w:i/>
          <w:color w:val="4F81BD" w:themeColor="accent1"/>
          <w:sz w:val="22"/>
          <w:szCs w:val="22"/>
        </w:rPr>
        <w:t xml:space="preserve">ebit and </w:t>
      </w:r>
      <w:r>
        <w:rPr>
          <w:rFonts w:ascii="Segoe UI" w:hAnsi="Segoe UI" w:cs="Segoe UI"/>
          <w:b/>
          <w:i/>
          <w:color w:val="4F81BD" w:themeColor="accent1"/>
          <w:sz w:val="22"/>
          <w:szCs w:val="22"/>
        </w:rPr>
        <w:t>C</w:t>
      </w:r>
      <w:r w:rsidRPr="002354BB">
        <w:rPr>
          <w:rFonts w:ascii="Segoe UI" w:hAnsi="Segoe UI" w:cs="Segoe UI"/>
          <w:b/>
          <w:i/>
          <w:color w:val="4F81BD" w:themeColor="accent1"/>
          <w:sz w:val="22"/>
          <w:szCs w:val="22"/>
        </w:rPr>
        <w:t xml:space="preserve">redit BINs from the international schemes </w:t>
      </w:r>
    </w:p>
    <w:p w14:paraId="5FB9172D" w14:textId="77777777" w:rsidR="00DF224C" w:rsidRDefault="00DF224C" w:rsidP="00DF224C">
      <w:pPr>
        <w:jc w:val="both"/>
        <w:rPr>
          <w:rFonts w:ascii="Segoe UI" w:hAnsi="Segoe UI" w:cs="Segoe UI"/>
          <w:sz w:val="22"/>
          <w:szCs w:val="22"/>
        </w:rPr>
      </w:pPr>
    </w:p>
    <w:p w14:paraId="5ABAFD87" w14:textId="77777777" w:rsidR="00DF224C" w:rsidRPr="002354BB" w:rsidRDefault="00DF224C" w:rsidP="00DF224C">
      <w:pPr>
        <w:jc w:val="both"/>
        <w:rPr>
          <w:rFonts w:ascii="Segoe UI" w:hAnsi="Segoe UI" w:cs="Segoe UI"/>
          <w:sz w:val="22"/>
          <w:szCs w:val="22"/>
        </w:rPr>
      </w:pPr>
      <w:r w:rsidRPr="002354BB">
        <w:rPr>
          <w:rFonts w:ascii="Segoe UI" w:hAnsi="Segoe UI" w:cs="Segoe UI"/>
          <w:sz w:val="22"/>
          <w:szCs w:val="22"/>
        </w:rPr>
        <w:t>Visa has made all BIN tables available not only to acquirers, but also directly to merchants. While Visa does not hold direct contractual relationships with merchants, we have developed tools for merchants who desire detailed BIN information to access this from Visa Online. Any merchant is entitled to access this information – they are able to obtain access to Visa Online by contacting their acquirer. Merchants could then choose to use this information to develop technical capabilities in their POS</w:t>
      </w:r>
      <w:r w:rsidR="003F6869">
        <w:rPr>
          <w:rFonts w:ascii="Segoe UI" w:hAnsi="Segoe UI" w:cs="Segoe UI"/>
          <w:sz w:val="22"/>
          <w:szCs w:val="22"/>
        </w:rPr>
        <w:t xml:space="preserve"> technology in order to recognis</w:t>
      </w:r>
      <w:r w:rsidRPr="002354BB">
        <w:rPr>
          <w:rFonts w:ascii="Segoe UI" w:hAnsi="Segoe UI" w:cs="Segoe UI"/>
          <w:sz w:val="22"/>
          <w:szCs w:val="22"/>
        </w:rPr>
        <w:t xml:space="preserve">e between Debit and Credit BINs on cards at the POS. </w:t>
      </w:r>
    </w:p>
    <w:p w14:paraId="529CF843" w14:textId="77777777" w:rsidR="00DF224C" w:rsidRDefault="00DF224C" w:rsidP="00DF224C">
      <w:pPr>
        <w:pStyle w:val="ListParagraph"/>
        <w:ind w:left="1080"/>
        <w:jc w:val="both"/>
        <w:rPr>
          <w:rFonts w:ascii="Segoe UI" w:hAnsi="Segoe UI" w:cs="Segoe UI"/>
          <w:sz w:val="22"/>
          <w:szCs w:val="22"/>
        </w:rPr>
      </w:pPr>
    </w:p>
    <w:p w14:paraId="6AED0278" w14:textId="77777777" w:rsidR="00DF224C" w:rsidRPr="002354BB" w:rsidRDefault="00DF224C" w:rsidP="00DF224C">
      <w:pPr>
        <w:jc w:val="both"/>
        <w:rPr>
          <w:rFonts w:ascii="Segoe UI" w:hAnsi="Segoe UI" w:cs="Segoe UI"/>
          <w:sz w:val="22"/>
          <w:szCs w:val="22"/>
        </w:rPr>
      </w:pPr>
      <w:r w:rsidRPr="002354BB">
        <w:rPr>
          <w:rFonts w:ascii="Segoe UI" w:hAnsi="Segoe UI" w:cs="Segoe UI"/>
          <w:sz w:val="22"/>
          <w:szCs w:val="22"/>
        </w:rPr>
        <w:t>Going forward, Visa is willing to assist industry through a more targeted communications campaign to ensure that both merchants and acquirers are aware of the availability of this tool.</w:t>
      </w:r>
    </w:p>
    <w:p w14:paraId="2184B786" w14:textId="77777777" w:rsidR="00DF224C" w:rsidRPr="00966E3C" w:rsidRDefault="00DF224C" w:rsidP="00DF224C">
      <w:pPr>
        <w:pStyle w:val="ListParagraph"/>
        <w:rPr>
          <w:rFonts w:ascii="Segoe UI" w:hAnsi="Segoe UI" w:cs="Segoe UI"/>
          <w:sz w:val="22"/>
          <w:szCs w:val="22"/>
        </w:rPr>
      </w:pPr>
    </w:p>
    <w:p w14:paraId="7B8141F4" w14:textId="77777777" w:rsidR="00DF224C" w:rsidRPr="002354BB" w:rsidRDefault="00DF224C" w:rsidP="00DF224C">
      <w:pPr>
        <w:jc w:val="both"/>
        <w:rPr>
          <w:rFonts w:ascii="Segoe UI" w:hAnsi="Segoe UI" w:cs="Segoe UI"/>
          <w:sz w:val="22"/>
          <w:szCs w:val="22"/>
        </w:rPr>
      </w:pPr>
      <w:r w:rsidRPr="002354BB">
        <w:rPr>
          <w:rFonts w:ascii="Segoe UI" w:hAnsi="Segoe UI" w:cs="Segoe UI"/>
          <w:sz w:val="22"/>
          <w:szCs w:val="22"/>
        </w:rPr>
        <w:lastRenderedPageBreak/>
        <w:t xml:space="preserve">We do not believe that this issue requires formal regulatory intervention.  </w:t>
      </w:r>
    </w:p>
    <w:p w14:paraId="28CC2946" w14:textId="77777777" w:rsidR="00DF224C" w:rsidRPr="00612D95" w:rsidRDefault="00DF224C" w:rsidP="00DF224C">
      <w:pPr>
        <w:jc w:val="both"/>
        <w:rPr>
          <w:rFonts w:ascii="Segoe UI" w:hAnsi="Segoe UI" w:cs="Segoe UI"/>
          <w:sz w:val="22"/>
          <w:szCs w:val="22"/>
        </w:rPr>
      </w:pPr>
    </w:p>
    <w:p w14:paraId="3B58312E" w14:textId="77777777" w:rsidR="00DF224C" w:rsidRPr="002354BB" w:rsidRDefault="00DF224C" w:rsidP="007D6D26">
      <w:pPr>
        <w:keepNext/>
        <w:rPr>
          <w:rFonts w:ascii="Segoe UI" w:hAnsi="Segoe UI" w:cs="Segoe UI"/>
          <w:b/>
          <w:i/>
          <w:color w:val="4F81BD" w:themeColor="accent1"/>
          <w:sz w:val="22"/>
          <w:szCs w:val="22"/>
        </w:rPr>
      </w:pPr>
      <w:r w:rsidRPr="002354BB">
        <w:rPr>
          <w:rFonts w:ascii="Segoe UI" w:hAnsi="Segoe UI" w:cs="Segoe UI"/>
          <w:b/>
          <w:i/>
          <w:color w:val="4F81BD" w:themeColor="accent1"/>
          <w:sz w:val="22"/>
          <w:szCs w:val="22"/>
        </w:rPr>
        <w:t>A requirement for acquirers to price their electronic payment services to merchants in a fully unbundled manner</w:t>
      </w:r>
    </w:p>
    <w:p w14:paraId="416387E1" w14:textId="77777777" w:rsidR="00DF224C" w:rsidRDefault="00DF224C" w:rsidP="00081067">
      <w:pPr>
        <w:keepNext/>
        <w:jc w:val="both"/>
        <w:rPr>
          <w:rFonts w:ascii="Segoe UI" w:hAnsi="Segoe UI" w:cs="Segoe UI"/>
          <w:sz w:val="22"/>
          <w:szCs w:val="22"/>
        </w:rPr>
      </w:pPr>
    </w:p>
    <w:p w14:paraId="2260983C" w14:textId="77777777" w:rsidR="00DF224C" w:rsidRPr="002354BB" w:rsidRDefault="00DF224C" w:rsidP="00081067">
      <w:pPr>
        <w:keepNext/>
        <w:jc w:val="both"/>
        <w:rPr>
          <w:rFonts w:ascii="Segoe UI" w:hAnsi="Segoe UI" w:cs="Segoe UI"/>
          <w:sz w:val="22"/>
          <w:szCs w:val="22"/>
        </w:rPr>
      </w:pPr>
      <w:r w:rsidRPr="002354BB">
        <w:rPr>
          <w:rFonts w:ascii="Segoe UI" w:hAnsi="Segoe UI" w:cs="Segoe UI"/>
          <w:sz w:val="22"/>
          <w:szCs w:val="22"/>
        </w:rPr>
        <w:t>Pricing is a commercial contractual matter between two entities, and, in our view, market based solutions are the most appropriate approach. Current market practice is that many acquirers offer merchants “interchange plus” pricing as well as a range of single payment fixed monthly charges to meet varying needs. We would also note, however that for many merchants a single, simple price might be preferable. Some merchants (such as small and medium enterprises in quick-service environments for e</w:t>
      </w:r>
      <w:r>
        <w:rPr>
          <w:rFonts w:ascii="Segoe UI" w:hAnsi="Segoe UI" w:cs="Segoe UI"/>
          <w:sz w:val="22"/>
          <w:szCs w:val="22"/>
        </w:rPr>
        <w:t xml:space="preserve">xample, </w:t>
      </w:r>
      <w:r w:rsidRPr="002354BB">
        <w:rPr>
          <w:rFonts w:ascii="Segoe UI" w:hAnsi="Segoe UI" w:cs="Segoe UI"/>
          <w:sz w:val="22"/>
          <w:szCs w:val="22"/>
        </w:rPr>
        <w:t xml:space="preserve">an independent coffee shop) might prefer obtaining a blended rate from their bank, to ensure quick service and ease of accounting when tallying up sales.  That, however, is a commercial matter. </w:t>
      </w:r>
    </w:p>
    <w:p w14:paraId="6EBCF2F0" w14:textId="77777777" w:rsidR="00DF224C" w:rsidRPr="00612D95" w:rsidRDefault="00DF224C" w:rsidP="00DF224C">
      <w:pPr>
        <w:pStyle w:val="Heading2"/>
        <w:numPr>
          <w:ilvl w:val="1"/>
          <w:numId w:val="14"/>
        </w:numPr>
        <w:ind w:left="567" w:hanging="567"/>
        <w:rPr>
          <w:rFonts w:ascii="Segoe UI" w:hAnsi="Segoe UI" w:cs="Segoe UI"/>
        </w:rPr>
      </w:pPr>
      <w:bookmarkStart w:id="57" w:name="_Toc289363572"/>
      <w:bookmarkStart w:id="58" w:name="_Toc417303943"/>
      <w:bookmarkStart w:id="59" w:name="_Toc417572700"/>
      <w:r w:rsidRPr="00612D95">
        <w:rPr>
          <w:rFonts w:ascii="Segoe UI" w:hAnsi="Segoe UI" w:cs="Segoe UI"/>
        </w:rPr>
        <w:t xml:space="preserve">Honour all </w:t>
      </w:r>
      <w:r>
        <w:rPr>
          <w:rFonts w:ascii="Segoe UI" w:hAnsi="Segoe UI" w:cs="Segoe UI"/>
        </w:rPr>
        <w:t>C</w:t>
      </w:r>
      <w:r w:rsidRPr="00612D95">
        <w:rPr>
          <w:rFonts w:ascii="Segoe UI" w:hAnsi="Segoe UI" w:cs="Segoe UI"/>
        </w:rPr>
        <w:t>ards</w:t>
      </w:r>
      <w:bookmarkEnd w:id="57"/>
      <w:bookmarkEnd w:id="58"/>
      <w:r>
        <w:rPr>
          <w:rFonts w:ascii="Segoe UI" w:hAnsi="Segoe UI" w:cs="Segoe UI"/>
        </w:rPr>
        <w:t xml:space="preserve"> Rule</w:t>
      </w:r>
      <w:bookmarkEnd w:id="59"/>
    </w:p>
    <w:p w14:paraId="61C0C36B" w14:textId="77777777" w:rsidR="00DF224C" w:rsidRPr="00612D95" w:rsidRDefault="00DF224C" w:rsidP="00DF224C">
      <w:pPr>
        <w:rPr>
          <w:rFonts w:ascii="Segoe UI" w:hAnsi="Segoe UI" w:cs="Segoe UI"/>
        </w:rPr>
      </w:pPr>
    </w:p>
    <w:p w14:paraId="3B15BECE" w14:textId="77777777" w:rsidR="00DF224C" w:rsidRDefault="00DF224C" w:rsidP="00DF224C">
      <w:pPr>
        <w:jc w:val="both"/>
        <w:rPr>
          <w:rFonts w:ascii="Segoe UI" w:hAnsi="Segoe UI" w:cs="Segoe UI"/>
          <w:sz w:val="22"/>
          <w:szCs w:val="22"/>
        </w:rPr>
      </w:pPr>
      <w:r w:rsidRPr="00612D95">
        <w:rPr>
          <w:rFonts w:ascii="Segoe UI" w:hAnsi="Segoe UI" w:cs="Segoe UI"/>
          <w:sz w:val="22"/>
          <w:szCs w:val="22"/>
        </w:rPr>
        <w:t xml:space="preserve">Honour All Cards </w:t>
      </w:r>
      <w:r>
        <w:rPr>
          <w:rFonts w:ascii="Segoe UI" w:hAnsi="Segoe UI" w:cs="Segoe UI"/>
          <w:sz w:val="22"/>
          <w:szCs w:val="22"/>
        </w:rPr>
        <w:t>r</w:t>
      </w:r>
      <w:r w:rsidRPr="00612D95">
        <w:rPr>
          <w:rFonts w:ascii="Segoe UI" w:hAnsi="Segoe UI" w:cs="Segoe UI"/>
          <w:sz w:val="22"/>
          <w:szCs w:val="22"/>
        </w:rPr>
        <w:t>ule (HAC</w:t>
      </w:r>
      <w:r>
        <w:rPr>
          <w:rFonts w:ascii="Segoe UI" w:hAnsi="Segoe UI" w:cs="Segoe UI"/>
          <w:sz w:val="22"/>
          <w:szCs w:val="22"/>
        </w:rPr>
        <w:t>R</w:t>
      </w:r>
      <w:r w:rsidRPr="00612D95">
        <w:rPr>
          <w:rFonts w:ascii="Segoe UI" w:hAnsi="Segoe UI" w:cs="Segoe UI"/>
          <w:sz w:val="22"/>
          <w:szCs w:val="22"/>
        </w:rPr>
        <w:t>) is a</w:t>
      </w:r>
      <w:r>
        <w:rPr>
          <w:rFonts w:ascii="Segoe UI" w:hAnsi="Segoe UI" w:cs="Segoe UI"/>
          <w:sz w:val="22"/>
          <w:szCs w:val="22"/>
        </w:rPr>
        <w:t>n</w:t>
      </w:r>
      <w:r w:rsidRPr="00612D95">
        <w:rPr>
          <w:rFonts w:ascii="Segoe UI" w:hAnsi="Segoe UI" w:cs="Segoe UI"/>
          <w:sz w:val="22"/>
          <w:szCs w:val="22"/>
        </w:rPr>
        <w:t xml:space="preserve"> </w:t>
      </w:r>
      <w:r>
        <w:rPr>
          <w:rFonts w:ascii="Segoe UI" w:hAnsi="Segoe UI" w:cs="Segoe UI"/>
          <w:sz w:val="22"/>
          <w:szCs w:val="22"/>
        </w:rPr>
        <w:t>international</w:t>
      </w:r>
      <w:r w:rsidRPr="00612D95">
        <w:rPr>
          <w:rFonts w:ascii="Segoe UI" w:hAnsi="Segoe UI" w:cs="Segoe UI"/>
          <w:sz w:val="22"/>
          <w:szCs w:val="22"/>
        </w:rPr>
        <w:t xml:space="preserve"> rule that forms the basis of Visa’s global value proposition. The policy ensures that a Visa </w:t>
      </w:r>
      <w:r>
        <w:rPr>
          <w:rFonts w:ascii="Segoe UI" w:hAnsi="Segoe UI" w:cs="Segoe UI"/>
          <w:sz w:val="22"/>
          <w:szCs w:val="22"/>
        </w:rPr>
        <w:t>c</w:t>
      </w:r>
      <w:r w:rsidRPr="00612D95">
        <w:rPr>
          <w:rFonts w:ascii="Segoe UI" w:hAnsi="Segoe UI" w:cs="Segoe UI"/>
          <w:sz w:val="22"/>
          <w:szCs w:val="22"/>
        </w:rPr>
        <w:t xml:space="preserve">ard issued in one </w:t>
      </w:r>
      <w:r>
        <w:rPr>
          <w:rFonts w:ascii="Segoe UI" w:hAnsi="Segoe UI" w:cs="Segoe UI"/>
          <w:sz w:val="22"/>
          <w:szCs w:val="22"/>
        </w:rPr>
        <w:t>market</w:t>
      </w:r>
      <w:r w:rsidRPr="00612D95">
        <w:rPr>
          <w:rFonts w:ascii="Segoe UI" w:hAnsi="Segoe UI" w:cs="Segoe UI"/>
          <w:sz w:val="22"/>
          <w:szCs w:val="22"/>
        </w:rPr>
        <w:t xml:space="preserve"> will be accepted anywhere that a Visa logo is displayed</w:t>
      </w:r>
      <w:r>
        <w:rPr>
          <w:rFonts w:ascii="Segoe UI" w:hAnsi="Segoe UI" w:cs="Segoe UI"/>
          <w:sz w:val="22"/>
          <w:szCs w:val="22"/>
        </w:rPr>
        <w:t xml:space="preserve"> around the world</w:t>
      </w:r>
      <w:r w:rsidRPr="00612D95">
        <w:rPr>
          <w:rFonts w:ascii="Segoe UI" w:hAnsi="Segoe UI" w:cs="Segoe UI"/>
          <w:sz w:val="22"/>
          <w:szCs w:val="22"/>
        </w:rPr>
        <w:t xml:space="preserve">. Most international payment systems, including proprietary systems (such as </w:t>
      </w:r>
      <w:r>
        <w:rPr>
          <w:rFonts w:ascii="Segoe UI" w:hAnsi="Segoe UI" w:cs="Segoe UI"/>
          <w:sz w:val="22"/>
          <w:szCs w:val="22"/>
        </w:rPr>
        <w:t>American Express</w:t>
      </w:r>
      <w:r w:rsidRPr="00612D95">
        <w:rPr>
          <w:rFonts w:ascii="Segoe UI" w:hAnsi="Segoe UI" w:cs="Segoe UI"/>
          <w:sz w:val="22"/>
          <w:szCs w:val="22"/>
        </w:rPr>
        <w:t xml:space="preserve"> and Diner’s</w:t>
      </w:r>
      <w:r>
        <w:rPr>
          <w:rFonts w:ascii="Segoe UI" w:hAnsi="Segoe UI" w:cs="Segoe UI"/>
          <w:sz w:val="22"/>
          <w:szCs w:val="22"/>
        </w:rPr>
        <w:t xml:space="preserve"> Card</w:t>
      </w:r>
      <w:r w:rsidRPr="00612D95">
        <w:rPr>
          <w:rFonts w:ascii="Segoe UI" w:hAnsi="Segoe UI" w:cs="Segoe UI"/>
          <w:sz w:val="22"/>
          <w:szCs w:val="22"/>
        </w:rPr>
        <w:t>)</w:t>
      </w:r>
      <w:r>
        <w:rPr>
          <w:rFonts w:ascii="Segoe UI" w:hAnsi="Segoe UI" w:cs="Segoe UI"/>
          <w:sz w:val="22"/>
          <w:szCs w:val="22"/>
        </w:rPr>
        <w:t xml:space="preserve">, along with </w:t>
      </w:r>
      <w:r w:rsidRPr="00612D95">
        <w:rPr>
          <w:rFonts w:ascii="Segoe UI" w:hAnsi="Segoe UI" w:cs="Segoe UI"/>
          <w:sz w:val="22"/>
          <w:szCs w:val="22"/>
        </w:rPr>
        <w:t xml:space="preserve">regional ATM networks </w:t>
      </w:r>
      <w:r>
        <w:rPr>
          <w:rFonts w:ascii="Segoe UI" w:hAnsi="Segoe UI" w:cs="Segoe UI"/>
          <w:sz w:val="22"/>
          <w:szCs w:val="22"/>
        </w:rPr>
        <w:t>all deploy</w:t>
      </w:r>
      <w:r w:rsidRPr="00612D95">
        <w:rPr>
          <w:rFonts w:ascii="Segoe UI" w:hAnsi="Segoe UI" w:cs="Segoe UI"/>
          <w:sz w:val="22"/>
          <w:szCs w:val="22"/>
        </w:rPr>
        <w:t xml:space="preserve"> similar policies</w:t>
      </w:r>
      <w:r>
        <w:rPr>
          <w:rFonts w:ascii="Segoe UI" w:hAnsi="Segoe UI" w:cs="Segoe UI"/>
          <w:sz w:val="22"/>
          <w:szCs w:val="22"/>
        </w:rPr>
        <w:t>, whether globally or regionally in the case of the latter example</w:t>
      </w:r>
      <w:r w:rsidRPr="00612D95">
        <w:rPr>
          <w:rFonts w:ascii="Segoe UI" w:hAnsi="Segoe UI" w:cs="Segoe UI"/>
          <w:sz w:val="22"/>
          <w:szCs w:val="22"/>
        </w:rPr>
        <w:t xml:space="preserve">. </w:t>
      </w:r>
    </w:p>
    <w:p w14:paraId="4C45C3FF" w14:textId="77777777" w:rsidR="00DF224C" w:rsidRDefault="00DF224C" w:rsidP="00DF224C">
      <w:pPr>
        <w:jc w:val="both"/>
        <w:rPr>
          <w:rFonts w:ascii="Segoe UI" w:hAnsi="Segoe UI" w:cs="Segoe UI"/>
          <w:sz w:val="22"/>
          <w:szCs w:val="22"/>
        </w:rPr>
      </w:pPr>
    </w:p>
    <w:p w14:paraId="2B7CDB57" w14:textId="77777777" w:rsidR="00DF224C" w:rsidRDefault="00DF224C" w:rsidP="00DF224C">
      <w:pPr>
        <w:autoSpaceDE w:val="0"/>
        <w:autoSpaceDN w:val="0"/>
        <w:adjustRightInd w:val="0"/>
        <w:jc w:val="both"/>
        <w:rPr>
          <w:rFonts w:ascii="Segoe UI" w:hAnsi="Segoe UI" w:cs="Segoe UI"/>
          <w:sz w:val="22"/>
          <w:szCs w:val="22"/>
        </w:rPr>
      </w:pPr>
      <w:r w:rsidRPr="00261F89">
        <w:rPr>
          <w:rFonts w:ascii="Segoe UI" w:hAnsi="Segoe UI" w:cs="Segoe UI"/>
          <w:sz w:val="22"/>
          <w:szCs w:val="22"/>
        </w:rPr>
        <w:t>The RBA Issue</w:t>
      </w:r>
      <w:r>
        <w:rPr>
          <w:rFonts w:ascii="Segoe UI" w:hAnsi="Segoe UI" w:cs="Segoe UI"/>
          <w:sz w:val="22"/>
          <w:szCs w:val="22"/>
        </w:rPr>
        <w:t>s</w:t>
      </w:r>
      <w:r w:rsidRPr="00261F89">
        <w:rPr>
          <w:rFonts w:ascii="Segoe UI" w:hAnsi="Segoe UI" w:cs="Segoe UI"/>
          <w:sz w:val="22"/>
          <w:szCs w:val="22"/>
        </w:rPr>
        <w:t xml:space="preserve"> Paper </w:t>
      </w:r>
      <w:r>
        <w:rPr>
          <w:rFonts w:ascii="Segoe UI" w:hAnsi="Segoe UI" w:cs="Segoe UI"/>
          <w:sz w:val="22"/>
          <w:szCs w:val="22"/>
        </w:rPr>
        <w:t>(p. 38) raises the question as to</w:t>
      </w:r>
      <w:r w:rsidRPr="00261F89">
        <w:rPr>
          <w:rFonts w:ascii="Segoe UI" w:hAnsi="Segoe UI" w:cs="Segoe UI"/>
          <w:sz w:val="22"/>
          <w:szCs w:val="22"/>
        </w:rPr>
        <w:t xml:space="preserve"> whether the HACR might be altered to allow merchants to decline to accept cards with “high” interchange rates, that is, schemes would effectively prevented from enforcing their HACR, except with respect to products below</w:t>
      </w:r>
      <w:r>
        <w:rPr>
          <w:rFonts w:ascii="Segoe UI" w:hAnsi="Segoe UI" w:cs="Segoe UI"/>
          <w:sz w:val="22"/>
          <w:szCs w:val="22"/>
        </w:rPr>
        <w:t xml:space="preserve"> a certain rate of interchange.</w:t>
      </w:r>
    </w:p>
    <w:p w14:paraId="6FF759F1" w14:textId="77777777" w:rsidR="00DF224C" w:rsidRDefault="00DF224C" w:rsidP="00DF224C">
      <w:pPr>
        <w:jc w:val="both"/>
        <w:rPr>
          <w:rFonts w:ascii="Segoe UI" w:hAnsi="Segoe UI" w:cs="Segoe UI"/>
          <w:sz w:val="22"/>
          <w:szCs w:val="22"/>
        </w:rPr>
      </w:pPr>
    </w:p>
    <w:p w14:paraId="7F425B5F" w14:textId="77777777" w:rsidR="00DF224C" w:rsidRDefault="00DF224C" w:rsidP="00DF224C">
      <w:pPr>
        <w:jc w:val="both"/>
        <w:rPr>
          <w:rFonts w:ascii="Segoe UI" w:hAnsi="Segoe UI" w:cs="Segoe UI"/>
          <w:sz w:val="22"/>
          <w:szCs w:val="22"/>
        </w:rPr>
      </w:pPr>
      <w:r w:rsidRPr="00261F89">
        <w:rPr>
          <w:rFonts w:ascii="Segoe UI" w:hAnsi="Segoe UI" w:cs="Segoe UI"/>
          <w:sz w:val="22"/>
          <w:szCs w:val="22"/>
        </w:rPr>
        <w:t xml:space="preserve">For the reasons </w:t>
      </w:r>
      <w:r>
        <w:rPr>
          <w:rFonts w:ascii="Segoe UI" w:hAnsi="Segoe UI" w:cs="Segoe UI"/>
          <w:sz w:val="22"/>
          <w:szCs w:val="22"/>
        </w:rPr>
        <w:t xml:space="preserve">below, Visa is of the view </w:t>
      </w:r>
      <w:r w:rsidRPr="00261F89">
        <w:rPr>
          <w:rFonts w:ascii="Segoe UI" w:hAnsi="Segoe UI" w:cs="Segoe UI"/>
          <w:sz w:val="22"/>
          <w:szCs w:val="22"/>
        </w:rPr>
        <w:t xml:space="preserve">that the RBA should not require that card schemes allow merchants to refuse acceptance of </w:t>
      </w:r>
      <w:r>
        <w:rPr>
          <w:rFonts w:ascii="Segoe UI" w:hAnsi="Segoe UI" w:cs="Segoe UI"/>
          <w:sz w:val="22"/>
          <w:szCs w:val="22"/>
        </w:rPr>
        <w:t>some cards.</w:t>
      </w:r>
    </w:p>
    <w:p w14:paraId="2FB85036" w14:textId="77777777" w:rsidR="00DF224C" w:rsidRPr="00612D95" w:rsidRDefault="00DF224C" w:rsidP="00DF224C">
      <w:pPr>
        <w:jc w:val="both"/>
        <w:rPr>
          <w:rFonts w:ascii="Segoe UI" w:hAnsi="Segoe UI" w:cs="Segoe UI"/>
          <w:sz w:val="22"/>
          <w:szCs w:val="22"/>
        </w:rPr>
      </w:pPr>
    </w:p>
    <w:p w14:paraId="4CE9F578" w14:textId="77777777" w:rsidR="00DF224C" w:rsidRDefault="00DF224C" w:rsidP="00DF224C">
      <w:pPr>
        <w:jc w:val="both"/>
        <w:rPr>
          <w:rFonts w:ascii="Segoe UI" w:hAnsi="Segoe UI" w:cs="Segoe UI"/>
          <w:bCs/>
          <w:sz w:val="22"/>
          <w:szCs w:val="22"/>
        </w:rPr>
      </w:pPr>
      <w:r w:rsidRPr="00612D95">
        <w:rPr>
          <w:rFonts w:ascii="Segoe UI" w:hAnsi="Segoe UI" w:cs="Segoe UI"/>
          <w:bCs/>
          <w:sz w:val="22"/>
          <w:szCs w:val="22"/>
        </w:rPr>
        <w:t>HAC</w:t>
      </w:r>
      <w:r>
        <w:rPr>
          <w:rFonts w:ascii="Segoe UI" w:hAnsi="Segoe UI" w:cs="Segoe UI"/>
          <w:bCs/>
          <w:sz w:val="22"/>
          <w:szCs w:val="22"/>
        </w:rPr>
        <w:t>R</w:t>
      </w:r>
      <w:r w:rsidRPr="00612D95">
        <w:rPr>
          <w:rFonts w:ascii="Segoe UI" w:hAnsi="Segoe UI" w:cs="Segoe UI"/>
          <w:bCs/>
          <w:sz w:val="22"/>
          <w:szCs w:val="22"/>
        </w:rPr>
        <w:t xml:space="preserve"> is pro-competitive and benefits all those along the value chain of a transaction, including consumers, merchants and the member financial institutions of </w:t>
      </w:r>
      <w:r>
        <w:rPr>
          <w:rFonts w:ascii="Segoe UI" w:hAnsi="Segoe UI" w:cs="Segoe UI"/>
          <w:bCs/>
          <w:sz w:val="22"/>
          <w:szCs w:val="22"/>
        </w:rPr>
        <w:t>the relevant scheme</w:t>
      </w:r>
      <w:r w:rsidRPr="00612D95">
        <w:rPr>
          <w:rFonts w:ascii="Segoe UI" w:hAnsi="Segoe UI" w:cs="Segoe UI"/>
          <w:bCs/>
          <w:sz w:val="22"/>
          <w:szCs w:val="22"/>
        </w:rPr>
        <w:t xml:space="preserve">. For consumers, the rule guarantees their card will be accepted anywhere at the </w:t>
      </w:r>
      <w:r>
        <w:rPr>
          <w:rFonts w:ascii="Segoe UI" w:hAnsi="Segoe UI" w:cs="Segoe UI"/>
          <w:bCs/>
          <w:sz w:val="22"/>
          <w:szCs w:val="22"/>
        </w:rPr>
        <w:t>35 million</w:t>
      </w:r>
      <w:r w:rsidRPr="00612D95">
        <w:rPr>
          <w:rFonts w:ascii="Segoe UI" w:hAnsi="Segoe UI" w:cs="Segoe UI"/>
          <w:bCs/>
          <w:sz w:val="22"/>
          <w:szCs w:val="22"/>
        </w:rPr>
        <w:t xml:space="preserve"> </w:t>
      </w:r>
      <w:r>
        <w:rPr>
          <w:rFonts w:ascii="Segoe UI" w:hAnsi="Segoe UI" w:cs="Segoe UI"/>
          <w:bCs/>
          <w:sz w:val="22"/>
          <w:szCs w:val="22"/>
        </w:rPr>
        <w:t xml:space="preserve">Visa </w:t>
      </w:r>
      <w:r w:rsidRPr="00612D95">
        <w:rPr>
          <w:rFonts w:ascii="Segoe UI" w:hAnsi="Segoe UI" w:cs="Segoe UI"/>
          <w:bCs/>
          <w:sz w:val="22"/>
          <w:szCs w:val="22"/>
        </w:rPr>
        <w:t xml:space="preserve">acceptance </w:t>
      </w:r>
      <w:r>
        <w:rPr>
          <w:rFonts w:ascii="Segoe UI" w:hAnsi="Segoe UI" w:cs="Segoe UI"/>
          <w:bCs/>
          <w:sz w:val="22"/>
          <w:szCs w:val="22"/>
        </w:rPr>
        <w:t>points</w:t>
      </w:r>
      <w:r w:rsidRPr="00612D95">
        <w:rPr>
          <w:rFonts w:ascii="Segoe UI" w:hAnsi="Segoe UI" w:cs="Segoe UI"/>
          <w:bCs/>
          <w:sz w:val="22"/>
          <w:szCs w:val="22"/>
        </w:rPr>
        <w:t xml:space="preserve"> globally, without worrying whether their card might be accepted regardless of the card’s issuing bank or product type.</w:t>
      </w:r>
      <w:r>
        <w:rPr>
          <w:rFonts w:ascii="Segoe UI" w:hAnsi="Segoe UI" w:cs="Segoe UI"/>
          <w:bCs/>
          <w:sz w:val="22"/>
          <w:szCs w:val="22"/>
        </w:rPr>
        <w:t xml:space="preserve"> This is critically important in an international environment where language and culture may be an issue.</w:t>
      </w:r>
      <w:r w:rsidRPr="00612D95">
        <w:rPr>
          <w:rFonts w:ascii="Segoe UI" w:hAnsi="Segoe UI" w:cs="Segoe UI"/>
          <w:bCs/>
          <w:sz w:val="22"/>
          <w:szCs w:val="22"/>
        </w:rPr>
        <w:t xml:space="preserve"> Consumers have the full ability to choose how they want to pay for what they are purchasing. </w:t>
      </w:r>
    </w:p>
    <w:p w14:paraId="467ACBDE" w14:textId="77777777" w:rsidR="00DF224C" w:rsidRDefault="00DF224C" w:rsidP="00DF224C">
      <w:pPr>
        <w:jc w:val="both"/>
        <w:rPr>
          <w:rFonts w:ascii="Segoe UI" w:hAnsi="Segoe UI" w:cs="Segoe UI"/>
          <w:bCs/>
          <w:sz w:val="22"/>
          <w:szCs w:val="22"/>
        </w:rPr>
      </w:pPr>
    </w:p>
    <w:p w14:paraId="6FEBE43A" w14:textId="77777777" w:rsidR="00DF224C" w:rsidRDefault="00DF224C" w:rsidP="00DF224C">
      <w:pPr>
        <w:jc w:val="both"/>
        <w:rPr>
          <w:rFonts w:ascii="Segoe UI" w:hAnsi="Segoe UI" w:cs="Segoe UI"/>
          <w:bCs/>
          <w:sz w:val="22"/>
          <w:szCs w:val="22"/>
        </w:rPr>
      </w:pPr>
      <w:r w:rsidRPr="00612D95">
        <w:rPr>
          <w:rFonts w:ascii="Segoe UI" w:hAnsi="Segoe UI" w:cs="Segoe UI"/>
          <w:bCs/>
          <w:sz w:val="22"/>
          <w:szCs w:val="22"/>
        </w:rPr>
        <w:t>For merchants, the rule is the basis of the guarantee that merchants will be paid when a transaction is authori</w:t>
      </w:r>
      <w:r>
        <w:rPr>
          <w:rFonts w:ascii="Segoe UI" w:hAnsi="Segoe UI" w:cs="Segoe UI"/>
          <w:bCs/>
          <w:sz w:val="22"/>
          <w:szCs w:val="22"/>
        </w:rPr>
        <w:t>s</w:t>
      </w:r>
      <w:r w:rsidRPr="00612D95">
        <w:rPr>
          <w:rFonts w:ascii="Segoe UI" w:hAnsi="Segoe UI" w:cs="Segoe UI"/>
          <w:bCs/>
          <w:sz w:val="22"/>
          <w:szCs w:val="22"/>
        </w:rPr>
        <w:t xml:space="preserve">ed and approved, no matter where the Visa-branded card comes from. It also guarantees that consumers have the broadest variety of methods available to them to pay, which has clear demonstrated benefits in terms of increasing merchants sales volumes. For their part, Visa’s banking partners benefit from the ability to issue cards knowing that they can be used with universal acceptance no matter where the consumer is making a transaction. </w:t>
      </w:r>
    </w:p>
    <w:p w14:paraId="479F8A71" w14:textId="77777777" w:rsidR="00DF224C" w:rsidRPr="00694118" w:rsidRDefault="00DF224C" w:rsidP="00DF224C">
      <w:pPr>
        <w:jc w:val="both"/>
        <w:rPr>
          <w:rFonts w:ascii="Segoe UI" w:hAnsi="Segoe UI" w:cs="Segoe UI"/>
          <w:bCs/>
          <w:sz w:val="22"/>
          <w:szCs w:val="22"/>
        </w:rPr>
      </w:pPr>
    </w:p>
    <w:p w14:paraId="4E8EF72D" w14:textId="77777777" w:rsidR="00DF224C" w:rsidRDefault="00DF224C" w:rsidP="00DF224C">
      <w:pPr>
        <w:jc w:val="both"/>
        <w:rPr>
          <w:rFonts w:ascii="Segoe UI" w:hAnsi="Segoe UI" w:cs="Segoe UI"/>
          <w:bCs/>
          <w:sz w:val="22"/>
          <w:szCs w:val="22"/>
        </w:rPr>
      </w:pPr>
      <w:r>
        <w:rPr>
          <w:rFonts w:ascii="Segoe UI" w:hAnsi="Segoe UI" w:cs="Segoe UI"/>
          <w:bCs/>
          <w:sz w:val="22"/>
          <w:szCs w:val="22"/>
        </w:rPr>
        <w:lastRenderedPageBreak/>
        <w:t xml:space="preserve">For consumers, modification of the existing HACR would have negative consequences. </w:t>
      </w:r>
      <w:r w:rsidRPr="00612D95">
        <w:rPr>
          <w:rFonts w:ascii="Segoe UI" w:hAnsi="Segoe UI" w:cs="Segoe UI"/>
          <w:bCs/>
          <w:sz w:val="22"/>
          <w:szCs w:val="22"/>
        </w:rPr>
        <w:t>Absent the assurance from HAC</w:t>
      </w:r>
      <w:r>
        <w:rPr>
          <w:rFonts w:ascii="Segoe UI" w:hAnsi="Segoe UI" w:cs="Segoe UI"/>
          <w:bCs/>
          <w:sz w:val="22"/>
          <w:szCs w:val="22"/>
        </w:rPr>
        <w:t>R</w:t>
      </w:r>
      <w:r w:rsidRPr="00612D95">
        <w:rPr>
          <w:rFonts w:ascii="Segoe UI" w:hAnsi="Segoe UI" w:cs="Segoe UI"/>
          <w:bCs/>
          <w:sz w:val="22"/>
          <w:szCs w:val="22"/>
        </w:rPr>
        <w:t>, the cardholder would incur significant inconvenience and uncertainty (and in some cases significant cost finding an alternative merchan</w:t>
      </w:r>
      <w:r w:rsidR="00BC722E">
        <w:rPr>
          <w:rFonts w:ascii="Segoe UI" w:hAnsi="Segoe UI" w:cs="Segoe UI"/>
          <w:bCs/>
          <w:sz w:val="22"/>
          <w:szCs w:val="22"/>
        </w:rPr>
        <w:t>t that accepted the card – for example</w:t>
      </w:r>
      <w:r w:rsidRPr="00612D95">
        <w:rPr>
          <w:rFonts w:ascii="Segoe UI" w:hAnsi="Segoe UI" w:cs="Segoe UI"/>
          <w:bCs/>
          <w:sz w:val="22"/>
          <w:szCs w:val="22"/>
        </w:rPr>
        <w:t>, if a hotel refused to accept a card at check-in), thereby diminishing the value of the card to the cardholder. Cardholders would have to incur significant inconvenience in determining if a merchant accepted his or her particular card.</w:t>
      </w:r>
    </w:p>
    <w:p w14:paraId="5DAD694A" w14:textId="77777777" w:rsidR="00DF224C" w:rsidRDefault="00DF224C" w:rsidP="00DF224C">
      <w:pPr>
        <w:jc w:val="both"/>
        <w:rPr>
          <w:rFonts w:ascii="Segoe UI" w:hAnsi="Segoe UI" w:cs="Segoe UI"/>
          <w:bCs/>
          <w:sz w:val="22"/>
          <w:szCs w:val="22"/>
        </w:rPr>
      </w:pPr>
    </w:p>
    <w:p w14:paraId="60AD23F5" w14:textId="77777777" w:rsidR="00DF224C" w:rsidRPr="00612D95" w:rsidRDefault="00DF224C" w:rsidP="00DF224C">
      <w:pPr>
        <w:jc w:val="both"/>
        <w:rPr>
          <w:rFonts w:ascii="Segoe UI" w:hAnsi="Segoe UI" w:cs="Segoe UI"/>
          <w:bCs/>
          <w:sz w:val="22"/>
          <w:szCs w:val="22"/>
        </w:rPr>
      </w:pPr>
      <w:r w:rsidRPr="00612D95">
        <w:rPr>
          <w:rFonts w:ascii="Segoe UI" w:hAnsi="Segoe UI" w:cs="Segoe UI"/>
          <w:bCs/>
          <w:sz w:val="22"/>
          <w:szCs w:val="22"/>
        </w:rPr>
        <w:t xml:space="preserve">These negative experiences </w:t>
      </w:r>
      <w:r>
        <w:rPr>
          <w:rFonts w:ascii="Segoe UI" w:hAnsi="Segoe UI" w:cs="Segoe UI"/>
          <w:bCs/>
          <w:sz w:val="22"/>
          <w:szCs w:val="22"/>
        </w:rPr>
        <w:t>c</w:t>
      </w:r>
      <w:r w:rsidRPr="00612D95">
        <w:rPr>
          <w:rFonts w:ascii="Segoe UI" w:hAnsi="Segoe UI" w:cs="Segoe UI"/>
          <w:bCs/>
          <w:sz w:val="22"/>
          <w:szCs w:val="22"/>
        </w:rPr>
        <w:t>ould also harm the</w:t>
      </w:r>
      <w:r>
        <w:rPr>
          <w:rFonts w:ascii="Segoe UI" w:hAnsi="Segoe UI" w:cs="Segoe UI"/>
          <w:bCs/>
          <w:sz w:val="22"/>
          <w:szCs w:val="22"/>
        </w:rPr>
        <w:t xml:space="preserve"> overall usage rates of electronic payments.</w:t>
      </w:r>
      <w:r w:rsidRPr="00612D95">
        <w:rPr>
          <w:rFonts w:ascii="Segoe UI" w:hAnsi="Segoe UI" w:cs="Segoe UI"/>
          <w:bCs/>
          <w:sz w:val="22"/>
          <w:szCs w:val="22"/>
        </w:rPr>
        <w:t xml:space="preserve"> Facing this increased inconvenience</w:t>
      </w:r>
      <w:r>
        <w:rPr>
          <w:rFonts w:ascii="Segoe UI" w:hAnsi="Segoe UI" w:cs="Segoe UI"/>
          <w:bCs/>
          <w:sz w:val="22"/>
          <w:szCs w:val="22"/>
        </w:rPr>
        <w:t xml:space="preserve"> outlined above</w:t>
      </w:r>
      <w:r w:rsidRPr="00612D95">
        <w:rPr>
          <w:rFonts w:ascii="Segoe UI" w:hAnsi="Segoe UI" w:cs="Segoe UI"/>
          <w:bCs/>
          <w:sz w:val="22"/>
          <w:szCs w:val="22"/>
        </w:rPr>
        <w:t xml:space="preserve">, fewer cardholders would carry the card, and those that did would use it less. As they did so, given the two-sided nature of this market, the card then would become less valuable to merchants and fewer merchants would accept the card, making it less valuable to cardholders and setting off another </w:t>
      </w:r>
      <w:r>
        <w:rPr>
          <w:rFonts w:ascii="Segoe UI" w:hAnsi="Segoe UI" w:cs="Segoe UI"/>
          <w:bCs/>
          <w:sz w:val="22"/>
          <w:szCs w:val="22"/>
        </w:rPr>
        <w:t>cycle</w:t>
      </w:r>
      <w:r w:rsidRPr="00612D95">
        <w:rPr>
          <w:rFonts w:ascii="Segoe UI" w:hAnsi="Segoe UI" w:cs="Segoe UI"/>
          <w:bCs/>
          <w:sz w:val="22"/>
          <w:szCs w:val="22"/>
        </w:rPr>
        <w:t xml:space="preserve"> of diminished use and acceptance.</w:t>
      </w:r>
    </w:p>
    <w:p w14:paraId="6D49534E" w14:textId="77777777" w:rsidR="00DF224C" w:rsidRPr="00612D95" w:rsidRDefault="00DF224C" w:rsidP="00DF224C">
      <w:pPr>
        <w:jc w:val="both"/>
        <w:rPr>
          <w:rFonts w:ascii="Segoe UI" w:hAnsi="Segoe UI" w:cs="Segoe UI"/>
          <w:bCs/>
          <w:sz w:val="22"/>
          <w:szCs w:val="22"/>
        </w:rPr>
      </w:pPr>
      <w:r w:rsidRPr="00612D95">
        <w:rPr>
          <w:rFonts w:ascii="Segoe UI" w:hAnsi="Segoe UI" w:cs="Segoe UI"/>
          <w:bCs/>
          <w:sz w:val="22"/>
          <w:szCs w:val="22"/>
        </w:rPr>
        <w:t xml:space="preserve"> </w:t>
      </w:r>
    </w:p>
    <w:p w14:paraId="310DC75B" w14:textId="77777777" w:rsidR="00DF224C" w:rsidRPr="00612D95" w:rsidRDefault="00DF224C" w:rsidP="00DF224C">
      <w:pPr>
        <w:jc w:val="both"/>
        <w:rPr>
          <w:rFonts w:ascii="Segoe UI" w:hAnsi="Segoe UI" w:cs="Segoe UI"/>
          <w:sz w:val="22"/>
          <w:szCs w:val="22"/>
        </w:rPr>
      </w:pPr>
      <w:r w:rsidRPr="00612D95">
        <w:rPr>
          <w:rFonts w:ascii="Segoe UI" w:hAnsi="Segoe UI" w:cs="Segoe UI"/>
          <w:sz w:val="22"/>
          <w:szCs w:val="22"/>
        </w:rPr>
        <w:t xml:space="preserve">Given the above, </w:t>
      </w:r>
      <w:r w:rsidRPr="002A576D">
        <w:rPr>
          <w:rFonts w:ascii="Segoe UI" w:hAnsi="Segoe UI" w:cs="Segoe UI"/>
          <w:sz w:val="22"/>
          <w:szCs w:val="22"/>
        </w:rPr>
        <w:t xml:space="preserve">Visa </w:t>
      </w:r>
      <w:r>
        <w:rPr>
          <w:rFonts w:ascii="Segoe UI" w:hAnsi="Segoe UI" w:cs="Segoe UI"/>
          <w:sz w:val="22"/>
          <w:szCs w:val="22"/>
        </w:rPr>
        <w:t>strongly opposes</w:t>
      </w:r>
      <w:r w:rsidRPr="002A576D">
        <w:rPr>
          <w:rFonts w:ascii="Segoe UI" w:hAnsi="Segoe UI" w:cs="Segoe UI"/>
          <w:sz w:val="22"/>
          <w:szCs w:val="22"/>
        </w:rPr>
        <w:t xml:space="preserve"> any</w:t>
      </w:r>
      <w:r>
        <w:rPr>
          <w:rFonts w:ascii="Segoe UI" w:hAnsi="Segoe UI" w:cs="Segoe UI"/>
          <w:sz w:val="22"/>
          <w:szCs w:val="22"/>
        </w:rPr>
        <w:t xml:space="preserve"> measure that would</w:t>
      </w:r>
      <w:r w:rsidRPr="002A576D">
        <w:rPr>
          <w:rFonts w:ascii="Segoe UI" w:hAnsi="Segoe UI" w:cs="Segoe UI"/>
          <w:sz w:val="22"/>
          <w:szCs w:val="22"/>
        </w:rPr>
        <w:t xml:space="preserve"> infring</w:t>
      </w:r>
      <w:r>
        <w:rPr>
          <w:rFonts w:ascii="Segoe UI" w:hAnsi="Segoe UI" w:cs="Segoe UI"/>
          <w:sz w:val="22"/>
          <w:szCs w:val="22"/>
        </w:rPr>
        <w:t>e</w:t>
      </w:r>
      <w:r w:rsidRPr="002A576D">
        <w:rPr>
          <w:rFonts w:ascii="Segoe UI" w:hAnsi="Segoe UI" w:cs="Segoe UI"/>
          <w:sz w:val="22"/>
          <w:szCs w:val="22"/>
        </w:rPr>
        <w:t xml:space="preserve"> or </w:t>
      </w:r>
      <w:r>
        <w:rPr>
          <w:rFonts w:ascii="Segoe UI" w:hAnsi="Segoe UI" w:cs="Segoe UI"/>
          <w:sz w:val="22"/>
          <w:szCs w:val="22"/>
        </w:rPr>
        <w:t xml:space="preserve">require the </w:t>
      </w:r>
      <w:r w:rsidRPr="002A576D">
        <w:rPr>
          <w:rFonts w:ascii="Segoe UI" w:hAnsi="Segoe UI" w:cs="Segoe UI"/>
          <w:sz w:val="22"/>
          <w:szCs w:val="22"/>
        </w:rPr>
        <w:t xml:space="preserve">‘easing’ of our global </w:t>
      </w:r>
      <w:r>
        <w:rPr>
          <w:rFonts w:ascii="Segoe UI" w:hAnsi="Segoe UI" w:cs="Segoe UI"/>
          <w:sz w:val="22"/>
          <w:szCs w:val="22"/>
        </w:rPr>
        <w:t>HACR</w:t>
      </w:r>
      <w:r w:rsidRPr="002A576D">
        <w:rPr>
          <w:rFonts w:ascii="Segoe UI" w:hAnsi="Segoe UI" w:cs="Segoe UI"/>
          <w:sz w:val="22"/>
          <w:szCs w:val="22"/>
        </w:rPr>
        <w:t xml:space="preserve"> to allow merchants </w:t>
      </w:r>
      <w:r>
        <w:rPr>
          <w:rFonts w:ascii="Segoe UI" w:hAnsi="Segoe UI" w:cs="Segoe UI"/>
          <w:sz w:val="22"/>
          <w:szCs w:val="22"/>
        </w:rPr>
        <w:t xml:space="preserve">the right not to </w:t>
      </w:r>
      <w:r w:rsidRPr="002A576D">
        <w:rPr>
          <w:rFonts w:ascii="Segoe UI" w:hAnsi="Segoe UI" w:cs="Segoe UI"/>
          <w:sz w:val="22"/>
          <w:szCs w:val="22"/>
        </w:rPr>
        <w:t>accept certain cards</w:t>
      </w:r>
      <w:r w:rsidRPr="00612D95">
        <w:rPr>
          <w:rFonts w:ascii="Segoe UI" w:hAnsi="Segoe UI" w:cs="Segoe UI"/>
          <w:sz w:val="22"/>
          <w:szCs w:val="22"/>
        </w:rPr>
        <w:t xml:space="preserve">. We would </w:t>
      </w:r>
      <w:r>
        <w:rPr>
          <w:rFonts w:ascii="Segoe UI" w:hAnsi="Segoe UI" w:cs="Segoe UI"/>
          <w:sz w:val="22"/>
          <w:szCs w:val="22"/>
        </w:rPr>
        <w:t xml:space="preserve">also </w:t>
      </w:r>
      <w:r w:rsidRPr="00612D95">
        <w:rPr>
          <w:rFonts w:ascii="Segoe UI" w:hAnsi="Segoe UI" w:cs="Segoe UI"/>
          <w:sz w:val="22"/>
          <w:szCs w:val="22"/>
        </w:rPr>
        <w:t>propose that the RBA treat merchant transparency and differential surcharging separately from the HAC</w:t>
      </w:r>
      <w:r>
        <w:rPr>
          <w:rFonts w:ascii="Segoe UI" w:hAnsi="Segoe UI" w:cs="Segoe UI"/>
          <w:sz w:val="22"/>
          <w:szCs w:val="22"/>
        </w:rPr>
        <w:t>R</w:t>
      </w:r>
      <w:r w:rsidRPr="00612D95">
        <w:rPr>
          <w:rFonts w:ascii="Segoe UI" w:hAnsi="Segoe UI" w:cs="Segoe UI"/>
          <w:sz w:val="22"/>
          <w:szCs w:val="22"/>
        </w:rPr>
        <w:t xml:space="preserve">. </w:t>
      </w:r>
    </w:p>
    <w:p w14:paraId="086331B7" w14:textId="77777777" w:rsidR="00DF224C" w:rsidRPr="00612D95" w:rsidRDefault="00DF224C" w:rsidP="00DF224C">
      <w:pPr>
        <w:pStyle w:val="Heading2"/>
        <w:numPr>
          <w:ilvl w:val="1"/>
          <w:numId w:val="14"/>
        </w:numPr>
        <w:ind w:left="567" w:hanging="567"/>
        <w:rPr>
          <w:rFonts w:ascii="Segoe UI" w:hAnsi="Segoe UI" w:cs="Segoe UI"/>
        </w:rPr>
      </w:pPr>
      <w:bookmarkStart w:id="60" w:name="_Toc289363573"/>
      <w:bookmarkStart w:id="61" w:name="_Toc417303944"/>
      <w:bookmarkStart w:id="62" w:name="_Toc417572701"/>
      <w:r w:rsidRPr="00612D95">
        <w:rPr>
          <w:rFonts w:ascii="Segoe UI" w:hAnsi="Segoe UI" w:cs="Segoe UI"/>
        </w:rPr>
        <w:t>Differential surcharging</w:t>
      </w:r>
      <w:bookmarkEnd w:id="60"/>
      <w:bookmarkEnd w:id="61"/>
      <w:bookmarkEnd w:id="62"/>
    </w:p>
    <w:p w14:paraId="6076FF89" w14:textId="77777777" w:rsidR="00DF224C" w:rsidRPr="00612D95" w:rsidRDefault="00DF224C" w:rsidP="00DF224C">
      <w:pPr>
        <w:rPr>
          <w:rFonts w:ascii="Segoe UI" w:hAnsi="Segoe UI" w:cs="Segoe UI"/>
        </w:rPr>
      </w:pPr>
    </w:p>
    <w:p w14:paraId="5036249A" w14:textId="77777777" w:rsidR="00DF224C" w:rsidRPr="00612D95" w:rsidRDefault="00DF224C" w:rsidP="00DF224C">
      <w:pPr>
        <w:jc w:val="both"/>
        <w:rPr>
          <w:rFonts w:ascii="Segoe UI" w:hAnsi="Segoe UI" w:cs="Segoe UI"/>
          <w:sz w:val="22"/>
          <w:szCs w:val="22"/>
        </w:rPr>
      </w:pPr>
      <w:r w:rsidRPr="00612D95">
        <w:rPr>
          <w:rFonts w:ascii="Segoe UI" w:hAnsi="Segoe UI" w:cs="Segoe UI"/>
          <w:sz w:val="22"/>
          <w:szCs w:val="22"/>
        </w:rPr>
        <w:t xml:space="preserve">Please refer to Chapter </w:t>
      </w:r>
      <w:r>
        <w:rPr>
          <w:rFonts w:ascii="Segoe UI" w:hAnsi="Segoe UI" w:cs="Segoe UI"/>
          <w:sz w:val="22"/>
          <w:szCs w:val="22"/>
        </w:rPr>
        <w:t>4</w:t>
      </w:r>
      <w:r w:rsidRPr="00612D95">
        <w:rPr>
          <w:rFonts w:ascii="Segoe UI" w:hAnsi="Segoe UI" w:cs="Segoe UI"/>
          <w:sz w:val="22"/>
          <w:szCs w:val="22"/>
        </w:rPr>
        <w:t xml:space="preserve"> on Surcharging for Visa’s views on differential surcharging as they relate to merchant transparency.</w:t>
      </w:r>
    </w:p>
    <w:p w14:paraId="1D7BF6AC" w14:textId="77777777" w:rsidR="00DF224C" w:rsidRPr="00612D95" w:rsidRDefault="00DF224C" w:rsidP="00DF224C">
      <w:pPr>
        <w:pStyle w:val="Heading2"/>
        <w:numPr>
          <w:ilvl w:val="1"/>
          <w:numId w:val="14"/>
        </w:numPr>
        <w:ind w:left="567" w:hanging="567"/>
        <w:rPr>
          <w:rFonts w:ascii="Segoe UI" w:hAnsi="Segoe UI" w:cs="Segoe UI"/>
        </w:rPr>
      </w:pPr>
      <w:bookmarkStart w:id="63" w:name="_Toc417303945"/>
      <w:bookmarkStart w:id="64" w:name="_Toc417572702"/>
      <w:r>
        <w:rPr>
          <w:rFonts w:ascii="Segoe UI" w:hAnsi="Segoe UI" w:cs="Segoe UI"/>
        </w:rPr>
        <w:t>Consumer choice and the routing of transactions</w:t>
      </w:r>
      <w:bookmarkEnd w:id="63"/>
      <w:bookmarkEnd w:id="64"/>
    </w:p>
    <w:p w14:paraId="37B2F93B" w14:textId="77777777" w:rsidR="00DF224C" w:rsidRDefault="00DF224C" w:rsidP="00DF224C">
      <w:pPr>
        <w:tabs>
          <w:tab w:val="left" w:pos="0"/>
        </w:tabs>
        <w:jc w:val="both"/>
        <w:rPr>
          <w:rFonts w:ascii="Segoe UI" w:hAnsi="Segoe UI" w:cs="Segoe UI"/>
          <w:sz w:val="22"/>
          <w:szCs w:val="22"/>
        </w:rPr>
      </w:pPr>
    </w:p>
    <w:p w14:paraId="6810109E" w14:textId="77777777" w:rsidR="00DF224C" w:rsidRDefault="00DF224C" w:rsidP="00DF224C">
      <w:pPr>
        <w:tabs>
          <w:tab w:val="left" w:pos="0"/>
        </w:tabs>
        <w:jc w:val="both"/>
        <w:rPr>
          <w:rFonts w:ascii="Segoe UI" w:hAnsi="Segoe UI" w:cs="Segoe UI"/>
          <w:sz w:val="22"/>
          <w:szCs w:val="22"/>
        </w:rPr>
      </w:pPr>
      <w:r>
        <w:rPr>
          <w:rFonts w:ascii="Segoe UI" w:hAnsi="Segoe UI" w:cs="Segoe UI"/>
          <w:sz w:val="22"/>
          <w:szCs w:val="22"/>
        </w:rPr>
        <w:t>Visa strongly supports the principle that consumers in Australia should have a choice of preferred payment options and channels. Any regulation which undermines that right would infringe consumer rights and underline the longer term viability of the electronic payments system.</w:t>
      </w:r>
    </w:p>
    <w:p w14:paraId="4B5A627A" w14:textId="77777777" w:rsidR="00DF224C" w:rsidRDefault="00DF224C" w:rsidP="00DF224C">
      <w:pPr>
        <w:tabs>
          <w:tab w:val="left" w:pos="0"/>
        </w:tabs>
        <w:jc w:val="both"/>
        <w:rPr>
          <w:rFonts w:ascii="Segoe UI" w:hAnsi="Segoe UI" w:cs="Segoe UI"/>
          <w:sz w:val="22"/>
          <w:szCs w:val="22"/>
        </w:rPr>
      </w:pPr>
    </w:p>
    <w:p w14:paraId="6580BD6E" w14:textId="77777777" w:rsidR="00DF224C" w:rsidRDefault="00DF224C" w:rsidP="00DF224C">
      <w:pPr>
        <w:tabs>
          <w:tab w:val="left" w:pos="0"/>
        </w:tabs>
        <w:jc w:val="both"/>
        <w:rPr>
          <w:rFonts w:ascii="Segoe UI" w:hAnsi="Segoe UI" w:cs="Segoe UI"/>
          <w:sz w:val="22"/>
          <w:szCs w:val="22"/>
        </w:rPr>
      </w:pPr>
      <w:r>
        <w:rPr>
          <w:rFonts w:ascii="Segoe UI" w:hAnsi="Segoe UI" w:cs="Segoe UI"/>
          <w:sz w:val="22"/>
          <w:szCs w:val="22"/>
        </w:rPr>
        <w:t>The introduction of mandated r</w:t>
      </w:r>
      <w:r w:rsidRPr="00866D3C">
        <w:rPr>
          <w:rFonts w:ascii="Segoe UI" w:hAnsi="Segoe UI" w:cs="Segoe UI"/>
          <w:sz w:val="22"/>
          <w:szCs w:val="22"/>
        </w:rPr>
        <w:t>outing and exclusivity requirements w</w:t>
      </w:r>
      <w:r>
        <w:rPr>
          <w:rFonts w:ascii="Segoe UI" w:hAnsi="Segoe UI" w:cs="Segoe UI"/>
          <w:sz w:val="22"/>
          <w:szCs w:val="22"/>
        </w:rPr>
        <w:t>ould</w:t>
      </w:r>
      <w:r w:rsidRPr="00866D3C">
        <w:rPr>
          <w:rFonts w:ascii="Segoe UI" w:hAnsi="Segoe UI" w:cs="Segoe UI"/>
          <w:sz w:val="22"/>
          <w:szCs w:val="22"/>
        </w:rPr>
        <w:t xml:space="preserve"> eliminate consumer choice and the ability </w:t>
      </w:r>
      <w:r>
        <w:rPr>
          <w:rFonts w:ascii="Segoe UI" w:hAnsi="Segoe UI" w:cs="Segoe UI"/>
          <w:sz w:val="22"/>
          <w:szCs w:val="22"/>
        </w:rPr>
        <w:t xml:space="preserve">of payments companies </w:t>
      </w:r>
      <w:r w:rsidRPr="00866D3C">
        <w:rPr>
          <w:rFonts w:ascii="Segoe UI" w:hAnsi="Segoe UI" w:cs="Segoe UI"/>
          <w:sz w:val="22"/>
          <w:szCs w:val="22"/>
        </w:rPr>
        <w:t>to deliver secure, reliable and innovative services to the consumer</w:t>
      </w:r>
      <w:r>
        <w:rPr>
          <w:rFonts w:ascii="Segoe UI" w:hAnsi="Segoe UI" w:cs="Segoe UI"/>
          <w:sz w:val="22"/>
          <w:szCs w:val="22"/>
        </w:rPr>
        <w:t>. Routing requirements would potentially</w:t>
      </w:r>
      <w:r w:rsidRPr="00866D3C">
        <w:rPr>
          <w:rFonts w:ascii="Segoe UI" w:hAnsi="Segoe UI" w:cs="Segoe UI"/>
          <w:sz w:val="22"/>
          <w:szCs w:val="22"/>
        </w:rPr>
        <w:t xml:space="preserve"> undermine data s</w:t>
      </w:r>
      <w:r w:rsidR="003F6869">
        <w:rPr>
          <w:rFonts w:ascii="Segoe UI" w:hAnsi="Segoe UI" w:cs="Segoe UI"/>
          <w:sz w:val="22"/>
          <w:szCs w:val="22"/>
        </w:rPr>
        <w:t>ecurity, innovation and customis</w:t>
      </w:r>
      <w:r w:rsidRPr="00866D3C">
        <w:rPr>
          <w:rFonts w:ascii="Segoe UI" w:hAnsi="Segoe UI" w:cs="Segoe UI"/>
          <w:sz w:val="22"/>
          <w:szCs w:val="22"/>
        </w:rPr>
        <w:t>ation, all in an effort to artificially drive down retailer costs and issuer revenue.</w:t>
      </w:r>
    </w:p>
    <w:p w14:paraId="16F0205F" w14:textId="77777777" w:rsidR="00DF224C" w:rsidRDefault="00DF224C" w:rsidP="00DF224C">
      <w:pPr>
        <w:tabs>
          <w:tab w:val="left" w:pos="0"/>
        </w:tabs>
        <w:jc w:val="both"/>
        <w:rPr>
          <w:rFonts w:ascii="Segoe UI" w:hAnsi="Segoe UI" w:cs="Segoe UI"/>
          <w:sz w:val="22"/>
          <w:szCs w:val="22"/>
        </w:rPr>
      </w:pPr>
    </w:p>
    <w:p w14:paraId="15169636" w14:textId="77777777" w:rsidR="00DF224C" w:rsidRPr="00D718F4" w:rsidRDefault="00DF224C" w:rsidP="00DF224C">
      <w:pPr>
        <w:tabs>
          <w:tab w:val="left" w:pos="0"/>
        </w:tabs>
        <w:jc w:val="both"/>
        <w:rPr>
          <w:rFonts w:ascii="Segoe UI" w:hAnsi="Segoe UI" w:cs="Segoe UI"/>
          <w:sz w:val="22"/>
          <w:szCs w:val="22"/>
        </w:rPr>
      </w:pPr>
      <w:r>
        <w:rPr>
          <w:rFonts w:ascii="Segoe UI" w:hAnsi="Segoe UI" w:cs="Segoe UI"/>
          <w:sz w:val="22"/>
          <w:szCs w:val="22"/>
        </w:rPr>
        <w:t>At present c</w:t>
      </w:r>
      <w:r w:rsidRPr="00D718F4">
        <w:rPr>
          <w:rFonts w:ascii="Segoe UI" w:hAnsi="Segoe UI" w:cs="Segoe UI"/>
          <w:sz w:val="22"/>
          <w:szCs w:val="22"/>
        </w:rPr>
        <w:t xml:space="preserve">onsumers </w:t>
      </w:r>
      <w:r>
        <w:rPr>
          <w:rFonts w:ascii="Segoe UI" w:hAnsi="Segoe UI" w:cs="Segoe UI"/>
          <w:sz w:val="22"/>
          <w:szCs w:val="22"/>
        </w:rPr>
        <w:t xml:space="preserve">in Australia </w:t>
      </w:r>
      <w:r w:rsidRPr="00D718F4">
        <w:rPr>
          <w:rFonts w:ascii="Segoe UI" w:hAnsi="Segoe UI" w:cs="Segoe UI"/>
          <w:sz w:val="22"/>
          <w:szCs w:val="22"/>
        </w:rPr>
        <w:t>can set up their Visa-eftpos Dual Network Debit cards (DNDCs) to access multiple accounts that are linked to the ‘Cheque’, ‘Savings’ and ‘Credit’ buttons on the POS terminal. This functionality is managed by the issuing bank and offers convenience to the consumer who can manage their usage of multiple trans</w:t>
      </w:r>
      <w:r w:rsidR="00BC722E">
        <w:rPr>
          <w:rFonts w:ascii="Segoe UI" w:hAnsi="Segoe UI" w:cs="Segoe UI"/>
          <w:sz w:val="22"/>
          <w:szCs w:val="22"/>
        </w:rPr>
        <w:t xml:space="preserve">action accounts on one card, for example, </w:t>
      </w:r>
      <w:r w:rsidRPr="00D718F4">
        <w:rPr>
          <w:rFonts w:ascii="Segoe UI" w:hAnsi="Segoe UI" w:cs="Segoe UI"/>
          <w:sz w:val="22"/>
          <w:szCs w:val="22"/>
        </w:rPr>
        <w:t xml:space="preserve">their transaction account and </w:t>
      </w:r>
      <w:r>
        <w:rPr>
          <w:rFonts w:ascii="Segoe UI" w:hAnsi="Segoe UI" w:cs="Segoe UI"/>
          <w:sz w:val="22"/>
          <w:szCs w:val="22"/>
        </w:rPr>
        <w:t xml:space="preserve">home loan </w:t>
      </w:r>
      <w:r w:rsidRPr="00D718F4">
        <w:rPr>
          <w:rFonts w:ascii="Segoe UI" w:hAnsi="Segoe UI" w:cs="Segoe UI"/>
          <w:sz w:val="22"/>
          <w:szCs w:val="22"/>
        </w:rPr>
        <w:t>offset account that is linked to one card. A consumer can choose which account funds are drawn from when they make a</w:t>
      </w:r>
      <w:r>
        <w:rPr>
          <w:rFonts w:ascii="Segoe UI" w:hAnsi="Segoe UI" w:cs="Segoe UI"/>
          <w:sz w:val="22"/>
          <w:szCs w:val="22"/>
        </w:rPr>
        <w:t>n EMV</w:t>
      </w:r>
      <w:r w:rsidRPr="00D718F4">
        <w:rPr>
          <w:rFonts w:ascii="Segoe UI" w:hAnsi="Segoe UI" w:cs="Segoe UI"/>
          <w:sz w:val="22"/>
          <w:szCs w:val="22"/>
        </w:rPr>
        <w:t xml:space="preserve"> contact transaction, therefore being able to manage their funds and overall liquidity position.   </w:t>
      </w:r>
    </w:p>
    <w:p w14:paraId="1E8D43DA" w14:textId="77777777" w:rsidR="00DF224C" w:rsidRPr="00D718F4" w:rsidRDefault="00DF224C" w:rsidP="00DF224C">
      <w:pPr>
        <w:tabs>
          <w:tab w:val="left" w:pos="0"/>
        </w:tabs>
        <w:jc w:val="both"/>
        <w:rPr>
          <w:rFonts w:ascii="Segoe UI" w:hAnsi="Segoe UI" w:cs="Segoe UI"/>
          <w:sz w:val="22"/>
          <w:szCs w:val="22"/>
        </w:rPr>
      </w:pPr>
    </w:p>
    <w:p w14:paraId="2C70B872" w14:textId="0D8BE4FE" w:rsidR="00DF224C" w:rsidRPr="00D718F4" w:rsidRDefault="00DF224C" w:rsidP="00DF224C">
      <w:pPr>
        <w:tabs>
          <w:tab w:val="left" w:pos="0"/>
        </w:tabs>
        <w:jc w:val="both"/>
        <w:rPr>
          <w:rFonts w:ascii="Segoe UI" w:hAnsi="Segoe UI" w:cs="Segoe UI"/>
          <w:sz w:val="22"/>
          <w:szCs w:val="22"/>
        </w:rPr>
      </w:pPr>
      <w:r w:rsidRPr="00D718F4">
        <w:rPr>
          <w:rFonts w:ascii="Segoe UI" w:hAnsi="Segoe UI" w:cs="Segoe UI"/>
          <w:sz w:val="22"/>
          <w:szCs w:val="22"/>
        </w:rPr>
        <w:lastRenderedPageBreak/>
        <w:t xml:space="preserve">Since 2009, </w:t>
      </w:r>
      <w:r>
        <w:rPr>
          <w:rFonts w:ascii="Segoe UI" w:hAnsi="Segoe UI" w:cs="Segoe UI"/>
          <w:sz w:val="22"/>
          <w:szCs w:val="22"/>
        </w:rPr>
        <w:t>i</w:t>
      </w:r>
      <w:r w:rsidRPr="00D718F4">
        <w:rPr>
          <w:rFonts w:ascii="Segoe UI" w:hAnsi="Segoe UI" w:cs="Segoe UI"/>
          <w:sz w:val="22"/>
          <w:szCs w:val="22"/>
        </w:rPr>
        <w:t xml:space="preserve">ssuers have had contactless cards </w:t>
      </w:r>
      <w:r>
        <w:rPr>
          <w:rFonts w:ascii="Segoe UI" w:hAnsi="Segoe UI" w:cs="Segoe UI"/>
          <w:sz w:val="22"/>
          <w:szCs w:val="22"/>
        </w:rPr>
        <w:t>available</w:t>
      </w:r>
      <w:r w:rsidRPr="00D718F4">
        <w:rPr>
          <w:rFonts w:ascii="Segoe UI" w:hAnsi="Segoe UI" w:cs="Segoe UI"/>
          <w:sz w:val="22"/>
          <w:szCs w:val="22"/>
        </w:rPr>
        <w:t>, and consumers have been adopting these transactions based on the convenience, security and control they expect from a Visa transaction. Customers have built expectations that their contactless transactions on a Visa Debit card will be debited from the same account the “Credit” button is linked to</w:t>
      </w:r>
      <w:r>
        <w:rPr>
          <w:rFonts w:ascii="Segoe UI" w:hAnsi="Segoe UI" w:cs="Segoe UI"/>
          <w:sz w:val="22"/>
          <w:szCs w:val="22"/>
        </w:rPr>
        <w:t>. In many cases this includes their mortgage offset account and i</w:t>
      </w:r>
      <w:r w:rsidR="00327632">
        <w:rPr>
          <w:rFonts w:ascii="Segoe UI" w:hAnsi="Segoe UI" w:cs="Segoe UI"/>
          <w:sz w:val="22"/>
          <w:szCs w:val="22"/>
        </w:rPr>
        <w:t>s</w:t>
      </w:r>
      <w:r>
        <w:rPr>
          <w:rFonts w:ascii="Segoe UI" w:hAnsi="Segoe UI" w:cs="Segoe UI"/>
          <w:sz w:val="22"/>
          <w:szCs w:val="22"/>
        </w:rPr>
        <w:t xml:space="preserve"> therefore vital to their financial management planning that this transaction mapping continues</w:t>
      </w:r>
      <w:r w:rsidRPr="00D718F4">
        <w:rPr>
          <w:rFonts w:ascii="Segoe UI" w:hAnsi="Segoe UI" w:cs="Segoe UI"/>
          <w:sz w:val="22"/>
          <w:szCs w:val="22"/>
        </w:rPr>
        <w:t xml:space="preserve">.  </w:t>
      </w:r>
    </w:p>
    <w:p w14:paraId="7B60B45E" w14:textId="77777777" w:rsidR="00DF224C" w:rsidRPr="00D718F4" w:rsidRDefault="00DF224C" w:rsidP="00DF224C">
      <w:pPr>
        <w:tabs>
          <w:tab w:val="left" w:pos="0"/>
        </w:tabs>
        <w:jc w:val="both"/>
        <w:rPr>
          <w:rFonts w:ascii="Segoe UI" w:hAnsi="Segoe UI" w:cs="Segoe UI"/>
          <w:sz w:val="22"/>
          <w:szCs w:val="22"/>
        </w:rPr>
      </w:pPr>
    </w:p>
    <w:p w14:paraId="47F47AE0" w14:textId="77777777" w:rsidR="00DF224C" w:rsidRPr="00D718F4" w:rsidRDefault="00DF224C" w:rsidP="00DF224C">
      <w:pPr>
        <w:tabs>
          <w:tab w:val="left" w:pos="0"/>
        </w:tabs>
        <w:jc w:val="both"/>
        <w:rPr>
          <w:rFonts w:ascii="Segoe UI" w:hAnsi="Segoe UI" w:cs="Segoe UI"/>
          <w:sz w:val="22"/>
          <w:szCs w:val="22"/>
        </w:rPr>
      </w:pPr>
      <w:r>
        <w:rPr>
          <w:rFonts w:ascii="Segoe UI" w:hAnsi="Segoe UI" w:cs="Segoe UI"/>
          <w:sz w:val="22"/>
          <w:szCs w:val="22"/>
        </w:rPr>
        <w:t>As an example, if</w:t>
      </w:r>
      <w:r w:rsidRPr="00D718F4">
        <w:rPr>
          <w:rFonts w:ascii="Segoe UI" w:hAnsi="Segoe UI" w:cs="Segoe UI"/>
          <w:sz w:val="22"/>
          <w:szCs w:val="22"/>
        </w:rPr>
        <w:t xml:space="preserve"> a merchant</w:t>
      </w:r>
      <w:r>
        <w:rPr>
          <w:rFonts w:ascii="Segoe UI" w:hAnsi="Segoe UI" w:cs="Segoe UI"/>
          <w:sz w:val="22"/>
          <w:szCs w:val="22"/>
        </w:rPr>
        <w:t xml:space="preserve"> was to</w:t>
      </w:r>
      <w:r w:rsidRPr="00D718F4">
        <w:rPr>
          <w:rFonts w:ascii="Segoe UI" w:hAnsi="Segoe UI" w:cs="Segoe UI"/>
          <w:sz w:val="22"/>
          <w:szCs w:val="22"/>
        </w:rPr>
        <w:t xml:space="preserve"> re-rout</w:t>
      </w:r>
      <w:r>
        <w:rPr>
          <w:rFonts w:ascii="Segoe UI" w:hAnsi="Segoe UI" w:cs="Segoe UI"/>
          <w:sz w:val="22"/>
          <w:szCs w:val="22"/>
        </w:rPr>
        <w:t>e</w:t>
      </w:r>
      <w:r w:rsidRPr="00D718F4">
        <w:rPr>
          <w:rFonts w:ascii="Segoe UI" w:hAnsi="Segoe UI" w:cs="Segoe UI"/>
          <w:sz w:val="22"/>
          <w:szCs w:val="22"/>
        </w:rPr>
        <w:t xml:space="preserve"> a contactless Visa Debit transaction without the consumer’s knowledge, funds could be drawn from another account that the customers did not expect or want, potentially impacting transactional account balances and the cu</w:t>
      </w:r>
      <w:r w:rsidR="00BC722E">
        <w:rPr>
          <w:rFonts w:ascii="Segoe UI" w:hAnsi="Segoe UI" w:cs="Segoe UI"/>
          <w:sz w:val="22"/>
          <w:szCs w:val="22"/>
        </w:rPr>
        <w:t>stomer’s liquidity position for example,</w:t>
      </w:r>
      <w:r w:rsidRPr="00D718F4">
        <w:rPr>
          <w:rFonts w:ascii="Segoe UI" w:hAnsi="Segoe UI" w:cs="Segoe UI"/>
          <w:sz w:val="22"/>
          <w:szCs w:val="22"/>
        </w:rPr>
        <w:t xml:space="preserve"> reducing the balance in an offset account.</w:t>
      </w:r>
    </w:p>
    <w:p w14:paraId="091ABF9E" w14:textId="77777777" w:rsidR="00DF224C" w:rsidRPr="00D718F4" w:rsidRDefault="00DF224C" w:rsidP="00DF224C">
      <w:pPr>
        <w:tabs>
          <w:tab w:val="left" w:pos="0"/>
        </w:tabs>
        <w:jc w:val="both"/>
        <w:rPr>
          <w:rFonts w:ascii="Segoe UI" w:hAnsi="Segoe UI" w:cs="Segoe UI"/>
          <w:sz w:val="22"/>
          <w:szCs w:val="22"/>
        </w:rPr>
      </w:pPr>
    </w:p>
    <w:p w14:paraId="6235B483" w14:textId="77777777" w:rsidR="00DF224C" w:rsidRDefault="00DF224C" w:rsidP="00DF224C">
      <w:pPr>
        <w:tabs>
          <w:tab w:val="left" w:pos="0"/>
        </w:tabs>
        <w:jc w:val="both"/>
        <w:rPr>
          <w:rFonts w:ascii="Segoe UI" w:hAnsi="Segoe UI" w:cs="Segoe UI"/>
          <w:sz w:val="22"/>
          <w:szCs w:val="22"/>
        </w:rPr>
      </w:pPr>
      <w:r w:rsidRPr="00D718F4">
        <w:rPr>
          <w:rFonts w:ascii="Segoe UI" w:hAnsi="Segoe UI" w:cs="Segoe UI"/>
          <w:sz w:val="22"/>
          <w:szCs w:val="22"/>
        </w:rPr>
        <w:t>There are further consequences that could occur if a Visa transaction was rerouted without the consumer’s knowledge or consent</w:t>
      </w:r>
      <w:r w:rsidR="00081067">
        <w:rPr>
          <w:rFonts w:ascii="Segoe UI" w:hAnsi="Segoe UI" w:cs="Segoe UI"/>
          <w:sz w:val="22"/>
          <w:szCs w:val="22"/>
        </w:rPr>
        <w:t xml:space="preserve"> (see following box).</w:t>
      </w:r>
    </w:p>
    <w:p w14:paraId="415AF48F" w14:textId="77777777" w:rsidR="00081067" w:rsidRDefault="00081067" w:rsidP="00DF224C">
      <w:pPr>
        <w:tabs>
          <w:tab w:val="left" w:pos="0"/>
        </w:tabs>
        <w:jc w:val="both"/>
        <w:rPr>
          <w:rFonts w:ascii="Segoe UI" w:hAnsi="Segoe UI" w:cs="Segoe UI"/>
          <w:sz w:val="22"/>
          <w:szCs w:val="22"/>
        </w:rPr>
      </w:pPr>
    </w:p>
    <w:tbl>
      <w:tblPr>
        <w:tblStyle w:val="TableGrid"/>
        <w:tblW w:w="0" w:type="auto"/>
        <w:tblBorders>
          <w:insideH w:val="none" w:sz="0" w:space="0" w:color="auto"/>
          <w:insideV w:val="none" w:sz="0" w:space="0" w:color="auto"/>
        </w:tblBorders>
        <w:shd w:val="clear" w:color="auto" w:fill="D9D9D9"/>
        <w:tblLook w:val="04A0" w:firstRow="1" w:lastRow="0" w:firstColumn="1" w:lastColumn="0" w:noHBand="0" w:noVBand="1"/>
      </w:tblPr>
      <w:tblGrid>
        <w:gridCol w:w="9243"/>
      </w:tblGrid>
      <w:tr w:rsidR="00081067" w14:paraId="275BADFD" w14:textId="77777777" w:rsidTr="00081067">
        <w:tc>
          <w:tcPr>
            <w:tcW w:w="9576" w:type="dxa"/>
            <w:shd w:val="clear" w:color="auto" w:fill="D9D9D9"/>
          </w:tcPr>
          <w:p w14:paraId="5964EC29" w14:textId="77777777" w:rsidR="00081067" w:rsidRPr="007D6D26" w:rsidRDefault="00081067" w:rsidP="00DF224C">
            <w:pPr>
              <w:tabs>
                <w:tab w:val="left" w:pos="0"/>
              </w:tabs>
              <w:jc w:val="both"/>
              <w:rPr>
                <w:rFonts w:ascii="Segoe UI" w:hAnsi="Segoe UI" w:cs="Segoe UI"/>
                <w:b/>
                <w:color w:val="4F81BD" w:themeColor="accent1"/>
                <w:sz w:val="22"/>
                <w:szCs w:val="22"/>
              </w:rPr>
            </w:pPr>
            <w:r w:rsidRPr="007D6D26">
              <w:rPr>
                <w:rFonts w:ascii="Segoe UI" w:hAnsi="Segoe UI" w:cs="Segoe UI"/>
                <w:b/>
                <w:color w:val="4F81BD" w:themeColor="accent1"/>
                <w:sz w:val="22"/>
                <w:szCs w:val="22"/>
              </w:rPr>
              <w:t>EFFECTS OF VISA TRANSACTION BEING REROUTED</w:t>
            </w:r>
          </w:p>
          <w:p w14:paraId="0FC4D569" w14:textId="77777777" w:rsidR="00081067" w:rsidRDefault="00081067" w:rsidP="00DF224C">
            <w:pPr>
              <w:tabs>
                <w:tab w:val="left" w:pos="0"/>
              </w:tabs>
              <w:jc w:val="both"/>
              <w:rPr>
                <w:rFonts w:ascii="Segoe UI" w:hAnsi="Segoe UI" w:cs="Segoe UI"/>
                <w:sz w:val="22"/>
                <w:szCs w:val="22"/>
              </w:rPr>
            </w:pPr>
          </w:p>
          <w:p w14:paraId="0D3BE1EF" w14:textId="77777777" w:rsidR="00081067" w:rsidRPr="00D718F4" w:rsidRDefault="00081067" w:rsidP="00C40454">
            <w:pPr>
              <w:numPr>
                <w:ilvl w:val="0"/>
                <w:numId w:val="13"/>
              </w:numPr>
              <w:tabs>
                <w:tab w:val="left" w:pos="567"/>
              </w:tabs>
              <w:ind w:left="567" w:right="477" w:hanging="567"/>
              <w:jc w:val="both"/>
              <w:rPr>
                <w:rFonts w:ascii="Segoe UI" w:hAnsi="Segoe UI" w:cs="Segoe UI"/>
                <w:sz w:val="22"/>
                <w:szCs w:val="22"/>
              </w:rPr>
            </w:pPr>
            <w:r w:rsidRPr="00D718F4">
              <w:rPr>
                <w:rFonts w:ascii="Segoe UI" w:hAnsi="Segoe UI" w:cs="Segoe UI"/>
                <w:sz w:val="22"/>
                <w:szCs w:val="22"/>
              </w:rPr>
              <w:t>A Visa transaction gives cardholders the following benefits that may not exist from another network:</w:t>
            </w:r>
          </w:p>
          <w:p w14:paraId="4D57378F" w14:textId="77777777" w:rsidR="00081067" w:rsidRPr="00D718F4" w:rsidRDefault="00081067" w:rsidP="00C40454">
            <w:pPr>
              <w:tabs>
                <w:tab w:val="left" w:pos="567"/>
              </w:tabs>
              <w:ind w:left="567" w:right="477" w:hanging="567"/>
              <w:jc w:val="both"/>
              <w:rPr>
                <w:rFonts w:ascii="Segoe UI" w:hAnsi="Segoe UI" w:cs="Segoe UI"/>
                <w:sz w:val="22"/>
                <w:szCs w:val="22"/>
              </w:rPr>
            </w:pPr>
          </w:p>
          <w:p w14:paraId="25FB4975" w14:textId="77777777" w:rsidR="00081067" w:rsidRPr="00D718F4" w:rsidRDefault="00081067" w:rsidP="0089281F">
            <w:pPr>
              <w:numPr>
                <w:ilvl w:val="1"/>
                <w:numId w:val="13"/>
              </w:numPr>
              <w:tabs>
                <w:tab w:val="left" w:pos="567"/>
              </w:tabs>
              <w:spacing w:after="120"/>
              <w:ind w:left="859" w:right="477" w:hanging="283"/>
              <w:jc w:val="both"/>
              <w:rPr>
                <w:rFonts w:ascii="Segoe UI" w:hAnsi="Segoe UI" w:cs="Segoe UI"/>
                <w:sz w:val="22"/>
                <w:szCs w:val="22"/>
              </w:rPr>
            </w:pPr>
            <w:r w:rsidRPr="00D718F4">
              <w:rPr>
                <w:rFonts w:ascii="Segoe UI" w:hAnsi="Segoe UI" w:cs="Segoe UI"/>
                <w:sz w:val="22"/>
                <w:szCs w:val="22"/>
              </w:rPr>
              <w:t>Visa Zero liability policy protects cardholders from fraudulen</w:t>
            </w:r>
            <w:r>
              <w:rPr>
                <w:rFonts w:ascii="Segoe UI" w:hAnsi="Segoe UI" w:cs="Segoe UI"/>
                <w:sz w:val="22"/>
                <w:szCs w:val="22"/>
              </w:rPr>
              <w:t>t charges or unauthoris</w:t>
            </w:r>
            <w:r w:rsidRPr="00D718F4">
              <w:rPr>
                <w:rFonts w:ascii="Segoe UI" w:hAnsi="Segoe UI" w:cs="Segoe UI"/>
                <w:sz w:val="22"/>
                <w:szCs w:val="22"/>
              </w:rPr>
              <w:t xml:space="preserve">ed purchases made through a Visa transaction.  Visa Zero Liability is a policy that all Visa issuers in Australia subscribe to and offer to their cardholders. </w:t>
            </w:r>
          </w:p>
          <w:p w14:paraId="343DE58C" w14:textId="4ADCA60F" w:rsidR="00081067" w:rsidRPr="00D718F4" w:rsidRDefault="00081067" w:rsidP="0089281F">
            <w:pPr>
              <w:numPr>
                <w:ilvl w:val="1"/>
                <w:numId w:val="13"/>
              </w:numPr>
              <w:tabs>
                <w:tab w:val="left" w:pos="567"/>
              </w:tabs>
              <w:spacing w:after="120"/>
              <w:ind w:left="859" w:right="477" w:hanging="283"/>
              <w:jc w:val="both"/>
              <w:rPr>
                <w:rFonts w:ascii="Segoe UI" w:hAnsi="Segoe UI" w:cs="Segoe UI"/>
                <w:sz w:val="22"/>
                <w:szCs w:val="22"/>
              </w:rPr>
            </w:pPr>
            <w:r w:rsidRPr="00D718F4">
              <w:rPr>
                <w:rFonts w:ascii="Segoe UI" w:hAnsi="Segoe UI" w:cs="Segoe UI"/>
                <w:sz w:val="22"/>
                <w:szCs w:val="22"/>
              </w:rPr>
              <w:t xml:space="preserve">Visa chargeback rights give cardholders </w:t>
            </w:r>
            <w:r w:rsidR="00327632">
              <w:rPr>
                <w:rFonts w:ascii="Segoe UI" w:hAnsi="Segoe UI" w:cs="Segoe UI"/>
                <w:sz w:val="22"/>
                <w:szCs w:val="22"/>
              </w:rPr>
              <w:t>a</w:t>
            </w:r>
            <w:r w:rsidRPr="00D718F4">
              <w:rPr>
                <w:rFonts w:ascii="Segoe UI" w:hAnsi="Segoe UI" w:cs="Segoe UI"/>
                <w:sz w:val="22"/>
                <w:szCs w:val="22"/>
              </w:rPr>
              <w:t xml:space="preserve"> framework to dispute erroneous transactions, for example when there is a clerical error and a transaction has been processed twice</w:t>
            </w:r>
            <w:r>
              <w:rPr>
                <w:rFonts w:ascii="Segoe UI" w:hAnsi="Segoe UI" w:cs="Segoe UI"/>
                <w:sz w:val="22"/>
                <w:szCs w:val="22"/>
              </w:rPr>
              <w:t>,</w:t>
            </w:r>
            <w:r w:rsidRPr="00D718F4">
              <w:rPr>
                <w:rFonts w:ascii="Segoe UI" w:hAnsi="Segoe UI" w:cs="Segoe UI"/>
                <w:sz w:val="22"/>
                <w:szCs w:val="22"/>
              </w:rPr>
              <w:t xml:space="preserve"> if goods purchased are not delivered and if the quality of the item is not as had been described. These chargeback rights have strict guidelines to protect the cardholder and merchant, and are proprietary to Visa.</w:t>
            </w:r>
          </w:p>
          <w:p w14:paraId="459BEFBF" w14:textId="77777777" w:rsidR="00081067" w:rsidRPr="00D718F4" w:rsidRDefault="00081067" w:rsidP="0089281F">
            <w:pPr>
              <w:numPr>
                <w:ilvl w:val="1"/>
                <w:numId w:val="13"/>
              </w:numPr>
              <w:tabs>
                <w:tab w:val="left" w:pos="567"/>
              </w:tabs>
              <w:spacing w:after="120"/>
              <w:ind w:left="859" w:right="477" w:hanging="283"/>
              <w:jc w:val="both"/>
              <w:rPr>
                <w:rFonts w:ascii="Segoe UI" w:hAnsi="Segoe UI" w:cs="Segoe UI"/>
                <w:sz w:val="22"/>
                <w:szCs w:val="22"/>
              </w:rPr>
            </w:pPr>
            <w:r w:rsidRPr="00D718F4">
              <w:rPr>
                <w:rFonts w:ascii="Segoe UI" w:hAnsi="Segoe UI" w:cs="Segoe UI"/>
                <w:sz w:val="22"/>
                <w:szCs w:val="22"/>
              </w:rPr>
              <w:t>Fraud monitoring from Visa systems that raises alerts to the issuer who can monitor and manage fraudulent transactions.</w:t>
            </w:r>
          </w:p>
          <w:p w14:paraId="0A493B98" w14:textId="77777777" w:rsidR="00081067" w:rsidRPr="00D718F4" w:rsidRDefault="00081067" w:rsidP="0089281F">
            <w:pPr>
              <w:numPr>
                <w:ilvl w:val="1"/>
                <w:numId w:val="13"/>
              </w:numPr>
              <w:tabs>
                <w:tab w:val="left" w:pos="567"/>
              </w:tabs>
              <w:spacing w:after="120"/>
              <w:ind w:left="859" w:right="477" w:hanging="283"/>
              <w:jc w:val="both"/>
              <w:rPr>
                <w:rFonts w:ascii="Segoe UI" w:hAnsi="Segoe UI" w:cs="Segoe UI"/>
                <w:sz w:val="22"/>
                <w:szCs w:val="22"/>
              </w:rPr>
            </w:pPr>
            <w:r w:rsidRPr="00D718F4">
              <w:rPr>
                <w:rFonts w:ascii="Segoe UI" w:hAnsi="Segoe UI" w:cs="Segoe UI"/>
                <w:sz w:val="22"/>
                <w:szCs w:val="22"/>
              </w:rPr>
              <w:t>The opportunity for cardholders to experience Visa marketing assets through participation in competitions through usage such as winning a trip to the Olympics, tickets to a concert or a trip overseas which are run regularly and on an annual basis</w:t>
            </w:r>
            <w:r>
              <w:rPr>
                <w:rFonts w:ascii="Segoe UI" w:hAnsi="Segoe UI" w:cs="Segoe UI"/>
                <w:sz w:val="22"/>
                <w:szCs w:val="22"/>
              </w:rPr>
              <w:t>.</w:t>
            </w:r>
          </w:p>
          <w:p w14:paraId="367FFB74" w14:textId="77777777" w:rsidR="00081067" w:rsidRPr="00D718F4" w:rsidRDefault="00081067" w:rsidP="00C40454">
            <w:pPr>
              <w:tabs>
                <w:tab w:val="left" w:pos="567"/>
              </w:tabs>
              <w:ind w:left="567" w:right="477" w:hanging="567"/>
              <w:jc w:val="both"/>
              <w:rPr>
                <w:rFonts w:ascii="Segoe UI" w:hAnsi="Segoe UI" w:cs="Segoe UI"/>
                <w:sz w:val="22"/>
                <w:szCs w:val="22"/>
              </w:rPr>
            </w:pPr>
          </w:p>
          <w:p w14:paraId="66DE64AF" w14:textId="77777777" w:rsidR="00081067" w:rsidRPr="001F01BB" w:rsidRDefault="00081067" w:rsidP="00C40454">
            <w:pPr>
              <w:numPr>
                <w:ilvl w:val="0"/>
                <w:numId w:val="13"/>
              </w:numPr>
              <w:tabs>
                <w:tab w:val="left" w:pos="567"/>
              </w:tabs>
              <w:ind w:left="567" w:right="477" w:hanging="567"/>
              <w:jc w:val="both"/>
              <w:rPr>
                <w:rFonts w:ascii="Segoe UI" w:hAnsi="Segoe UI" w:cs="Segoe UI"/>
                <w:sz w:val="22"/>
                <w:szCs w:val="22"/>
              </w:rPr>
            </w:pPr>
            <w:r w:rsidRPr="00D718F4">
              <w:rPr>
                <w:rFonts w:ascii="Segoe UI" w:hAnsi="Segoe UI" w:cs="Segoe UI"/>
                <w:sz w:val="22"/>
                <w:szCs w:val="22"/>
              </w:rPr>
              <w:t xml:space="preserve">Visa issuers attach </w:t>
            </w:r>
            <w:r>
              <w:rPr>
                <w:rFonts w:ascii="Segoe UI" w:hAnsi="Segoe UI" w:cs="Segoe UI"/>
                <w:sz w:val="22"/>
                <w:szCs w:val="22"/>
              </w:rPr>
              <w:t xml:space="preserve">various </w:t>
            </w:r>
            <w:r w:rsidRPr="00D718F4">
              <w:rPr>
                <w:rFonts w:ascii="Segoe UI" w:hAnsi="Segoe UI" w:cs="Segoe UI"/>
                <w:sz w:val="22"/>
                <w:szCs w:val="22"/>
              </w:rPr>
              <w:t>proposition benefits to Visa</w:t>
            </w:r>
            <w:r>
              <w:rPr>
                <w:rFonts w:ascii="Segoe UI" w:hAnsi="Segoe UI" w:cs="Segoe UI"/>
                <w:sz w:val="22"/>
                <w:szCs w:val="22"/>
              </w:rPr>
              <w:t>-</w:t>
            </w:r>
            <w:r w:rsidRPr="00D718F4">
              <w:rPr>
                <w:rFonts w:ascii="Segoe UI" w:hAnsi="Segoe UI" w:cs="Segoe UI"/>
                <w:sz w:val="22"/>
                <w:szCs w:val="22"/>
              </w:rPr>
              <w:t>only transactions.</w:t>
            </w:r>
            <w:r>
              <w:rPr>
                <w:rFonts w:ascii="Segoe UI" w:hAnsi="Segoe UI" w:cs="Segoe UI"/>
                <w:sz w:val="22"/>
                <w:szCs w:val="22"/>
              </w:rPr>
              <w:t xml:space="preserve"> One such example is where</w:t>
            </w:r>
            <w:r w:rsidRPr="00D718F4">
              <w:rPr>
                <w:rFonts w:ascii="Segoe UI" w:hAnsi="Segoe UI" w:cs="Segoe UI"/>
                <w:sz w:val="22"/>
                <w:szCs w:val="22"/>
              </w:rPr>
              <w:t xml:space="preserve"> </w:t>
            </w:r>
            <w:r>
              <w:rPr>
                <w:rFonts w:ascii="Segoe UI" w:hAnsi="Segoe UI" w:cs="Segoe UI"/>
                <w:sz w:val="22"/>
                <w:szCs w:val="22"/>
              </w:rPr>
              <w:t xml:space="preserve">that </w:t>
            </w:r>
            <w:r w:rsidRPr="00D718F4">
              <w:rPr>
                <w:rFonts w:ascii="Segoe UI" w:hAnsi="Segoe UI" w:cs="Segoe UI"/>
                <w:sz w:val="22"/>
                <w:szCs w:val="22"/>
              </w:rPr>
              <w:t>Visa Debit cards offer travel insurance, purchase protection and extended warranty. If a transaction is routed by a different network cardholders would no longer be eligible for these benefits without the cardholder knowledge at the point of sale</w:t>
            </w:r>
            <w:r>
              <w:rPr>
                <w:rFonts w:ascii="Segoe UI" w:hAnsi="Segoe UI" w:cs="Segoe UI"/>
                <w:sz w:val="22"/>
                <w:szCs w:val="22"/>
              </w:rPr>
              <w:t xml:space="preserve">. </w:t>
            </w:r>
            <w:r w:rsidRPr="00D718F4">
              <w:rPr>
                <w:rFonts w:ascii="Segoe UI" w:hAnsi="Segoe UI" w:cs="Segoe UI"/>
                <w:sz w:val="22"/>
                <w:szCs w:val="22"/>
              </w:rPr>
              <w:t>Routing via a different network will impact the consumer experience</w:t>
            </w:r>
            <w:r>
              <w:rPr>
                <w:rFonts w:ascii="Segoe UI" w:hAnsi="Segoe UI" w:cs="Segoe UI"/>
                <w:sz w:val="22"/>
                <w:szCs w:val="22"/>
              </w:rPr>
              <w:t xml:space="preserve"> by removing these expected benefits.</w:t>
            </w:r>
          </w:p>
          <w:p w14:paraId="7CC97BB7" w14:textId="77777777" w:rsidR="00081067" w:rsidRPr="00D718F4" w:rsidRDefault="00081067" w:rsidP="00C40454">
            <w:pPr>
              <w:tabs>
                <w:tab w:val="left" w:pos="567"/>
              </w:tabs>
              <w:ind w:left="567" w:right="477" w:hanging="567"/>
              <w:jc w:val="both"/>
              <w:rPr>
                <w:rFonts w:ascii="Segoe UI" w:hAnsi="Segoe UI" w:cs="Segoe UI"/>
                <w:sz w:val="22"/>
                <w:szCs w:val="22"/>
              </w:rPr>
            </w:pPr>
          </w:p>
          <w:p w14:paraId="589C1C22" w14:textId="0DDB79B9" w:rsidR="00081067" w:rsidRPr="00D718F4" w:rsidRDefault="00081067" w:rsidP="00C40454">
            <w:pPr>
              <w:numPr>
                <w:ilvl w:val="0"/>
                <w:numId w:val="13"/>
              </w:numPr>
              <w:tabs>
                <w:tab w:val="left" w:pos="567"/>
              </w:tabs>
              <w:ind w:left="567" w:right="477" w:hanging="567"/>
              <w:jc w:val="both"/>
              <w:rPr>
                <w:rFonts w:ascii="Segoe UI" w:hAnsi="Segoe UI" w:cs="Segoe UI"/>
                <w:sz w:val="22"/>
                <w:szCs w:val="22"/>
              </w:rPr>
            </w:pPr>
            <w:r w:rsidRPr="00D718F4">
              <w:rPr>
                <w:rFonts w:ascii="Segoe UI" w:hAnsi="Segoe UI" w:cs="Segoe UI"/>
                <w:sz w:val="22"/>
                <w:szCs w:val="22"/>
              </w:rPr>
              <w:t>Impact on issuer customer service</w:t>
            </w:r>
            <w:r w:rsidR="0089281F">
              <w:rPr>
                <w:rFonts w:ascii="Segoe UI" w:hAnsi="Segoe UI" w:cs="Segoe UI"/>
                <w:sz w:val="22"/>
                <w:szCs w:val="22"/>
              </w:rPr>
              <w:t>.</w:t>
            </w:r>
          </w:p>
          <w:p w14:paraId="77F0198B" w14:textId="77777777" w:rsidR="00081067" w:rsidRPr="00D718F4" w:rsidRDefault="00081067" w:rsidP="00C40454">
            <w:pPr>
              <w:tabs>
                <w:tab w:val="left" w:pos="567"/>
              </w:tabs>
              <w:ind w:left="567" w:right="477" w:hanging="567"/>
              <w:jc w:val="both"/>
              <w:rPr>
                <w:rFonts w:ascii="Segoe UI" w:hAnsi="Segoe UI" w:cs="Segoe UI"/>
                <w:sz w:val="22"/>
                <w:szCs w:val="22"/>
              </w:rPr>
            </w:pPr>
          </w:p>
          <w:p w14:paraId="5110D77D" w14:textId="77777777" w:rsidR="00081067" w:rsidRPr="00081067" w:rsidRDefault="00081067" w:rsidP="0089281F">
            <w:pPr>
              <w:numPr>
                <w:ilvl w:val="1"/>
                <w:numId w:val="13"/>
              </w:numPr>
              <w:tabs>
                <w:tab w:val="left" w:pos="567"/>
              </w:tabs>
              <w:spacing w:after="120"/>
              <w:ind w:left="859" w:right="477" w:hanging="283"/>
              <w:jc w:val="both"/>
              <w:rPr>
                <w:rFonts w:ascii="Segoe UI" w:hAnsi="Segoe UI" w:cs="Segoe UI"/>
                <w:sz w:val="22"/>
                <w:szCs w:val="22"/>
              </w:rPr>
            </w:pPr>
            <w:r w:rsidRPr="00D718F4">
              <w:rPr>
                <w:rFonts w:ascii="Segoe UI" w:hAnsi="Segoe UI" w:cs="Segoe UI"/>
                <w:sz w:val="22"/>
                <w:szCs w:val="22"/>
              </w:rPr>
              <w:lastRenderedPageBreak/>
              <w:t>Consideration should also be given to the impact on issuers dealing with customer queries and complaints in branches and contact centres relating to transactions being routed via another network. These could include transactions debiting wrong accounts, loss of consumer</w:t>
            </w:r>
            <w:r>
              <w:rPr>
                <w:rFonts w:ascii="Segoe UI" w:hAnsi="Segoe UI" w:cs="Segoe UI"/>
                <w:sz w:val="22"/>
                <w:szCs w:val="22"/>
              </w:rPr>
              <w:t xml:space="preserve"> benefits such as protection, for example,</w:t>
            </w:r>
            <w:r w:rsidRPr="00D718F4">
              <w:rPr>
                <w:rFonts w:ascii="Segoe UI" w:hAnsi="Segoe UI" w:cs="Segoe UI"/>
                <w:sz w:val="22"/>
                <w:szCs w:val="22"/>
              </w:rPr>
              <w:t xml:space="preserve"> zero liability and proposition benefits such rewards and marketing. </w:t>
            </w:r>
          </w:p>
          <w:p w14:paraId="0E27C921" w14:textId="77777777" w:rsidR="00081067" w:rsidRDefault="00081067" w:rsidP="00DF224C">
            <w:pPr>
              <w:tabs>
                <w:tab w:val="left" w:pos="0"/>
              </w:tabs>
              <w:jc w:val="both"/>
              <w:rPr>
                <w:rFonts w:ascii="Segoe UI" w:hAnsi="Segoe UI" w:cs="Segoe UI"/>
                <w:sz w:val="22"/>
                <w:szCs w:val="22"/>
              </w:rPr>
            </w:pPr>
          </w:p>
        </w:tc>
      </w:tr>
    </w:tbl>
    <w:p w14:paraId="032E82D4" w14:textId="77777777" w:rsidR="00DF224C" w:rsidRPr="00D718F4" w:rsidRDefault="00DF224C" w:rsidP="00DF224C">
      <w:pPr>
        <w:tabs>
          <w:tab w:val="left" w:pos="0"/>
        </w:tabs>
        <w:jc w:val="both"/>
        <w:rPr>
          <w:rFonts w:ascii="Segoe UI" w:hAnsi="Segoe UI" w:cs="Segoe UI"/>
          <w:sz w:val="22"/>
          <w:szCs w:val="22"/>
        </w:rPr>
      </w:pPr>
    </w:p>
    <w:p w14:paraId="673C4174" w14:textId="13B6A7D5" w:rsidR="00DF224C" w:rsidRDefault="00DF224C" w:rsidP="00DF224C">
      <w:pPr>
        <w:tabs>
          <w:tab w:val="left" w:pos="0"/>
        </w:tabs>
        <w:jc w:val="both"/>
        <w:rPr>
          <w:rFonts w:ascii="Segoe UI" w:hAnsi="Segoe UI" w:cs="Segoe UI"/>
          <w:sz w:val="22"/>
          <w:szCs w:val="22"/>
        </w:rPr>
      </w:pPr>
      <w:r>
        <w:rPr>
          <w:rFonts w:ascii="Segoe UI" w:hAnsi="Segoe UI" w:cs="Segoe UI"/>
          <w:sz w:val="22"/>
          <w:szCs w:val="22"/>
        </w:rPr>
        <w:t xml:space="preserve">These reforms would also negatively impact merchants through confusion over </w:t>
      </w:r>
      <w:r w:rsidR="00327632">
        <w:rPr>
          <w:rFonts w:ascii="Segoe UI" w:hAnsi="Segoe UI" w:cs="Segoe UI"/>
          <w:sz w:val="22"/>
          <w:szCs w:val="22"/>
        </w:rPr>
        <w:t xml:space="preserve">which </w:t>
      </w:r>
      <w:r>
        <w:rPr>
          <w:rFonts w:ascii="Segoe UI" w:hAnsi="Segoe UI" w:cs="Segoe UI"/>
          <w:sz w:val="22"/>
          <w:szCs w:val="22"/>
        </w:rPr>
        <w:t>scheme rules would govern each transaction and, therefore, when a merchant may or may not be liable for chargebacks.</w:t>
      </w:r>
    </w:p>
    <w:p w14:paraId="0DA7FC33" w14:textId="77777777" w:rsidR="00DF224C" w:rsidRDefault="00DF224C" w:rsidP="00DF224C">
      <w:pPr>
        <w:tabs>
          <w:tab w:val="left" w:pos="0"/>
        </w:tabs>
        <w:jc w:val="both"/>
        <w:rPr>
          <w:rFonts w:ascii="Segoe UI" w:hAnsi="Segoe UI" w:cs="Segoe UI"/>
          <w:sz w:val="22"/>
          <w:szCs w:val="22"/>
        </w:rPr>
      </w:pPr>
    </w:p>
    <w:p w14:paraId="0082EA14" w14:textId="77777777" w:rsidR="00DF224C" w:rsidRPr="00D718F4" w:rsidRDefault="00DF224C" w:rsidP="00DF224C">
      <w:pPr>
        <w:tabs>
          <w:tab w:val="left" w:pos="0"/>
        </w:tabs>
        <w:jc w:val="both"/>
        <w:rPr>
          <w:rFonts w:ascii="Segoe UI" w:hAnsi="Segoe UI" w:cs="Segoe UI"/>
          <w:sz w:val="22"/>
          <w:szCs w:val="22"/>
        </w:rPr>
      </w:pPr>
      <w:r w:rsidRPr="00D718F4">
        <w:rPr>
          <w:rFonts w:ascii="Segoe UI" w:hAnsi="Segoe UI" w:cs="Segoe UI"/>
          <w:sz w:val="22"/>
          <w:szCs w:val="22"/>
        </w:rPr>
        <w:t>Visa believes that the preservation of customer choice must be upheld in Australia, and that the experience of a potential re-routing of a transaction selected by a merchant would have a very negative impact for the customer and issuer as outlined above.</w:t>
      </w:r>
    </w:p>
    <w:p w14:paraId="395AA18F" w14:textId="77777777" w:rsidR="00DF224C" w:rsidRDefault="00DF224C" w:rsidP="00DF224C"/>
    <w:p w14:paraId="64F4CFCD" w14:textId="77777777" w:rsidR="000D35A8" w:rsidRDefault="000D35A8"/>
    <w:p w14:paraId="1ED4E383" w14:textId="77777777" w:rsidR="00DF224C" w:rsidRDefault="00DF224C"/>
    <w:p w14:paraId="6828CB9D" w14:textId="77777777" w:rsidR="001F01BB" w:rsidRDefault="001F01BB">
      <w:pPr>
        <w:spacing w:after="200" w:line="276" w:lineRule="auto"/>
        <w:rPr>
          <w:rFonts w:ascii="Segoe UI" w:eastAsiaTheme="majorEastAsia" w:hAnsi="Segoe UI" w:cs="Segoe UI"/>
          <w:b/>
          <w:bCs/>
          <w:color w:val="345A8A" w:themeColor="accent1" w:themeShade="B5"/>
          <w:sz w:val="32"/>
          <w:szCs w:val="32"/>
        </w:rPr>
      </w:pPr>
      <w:bookmarkStart w:id="65" w:name="_Toc417303946"/>
      <w:r>
        <w:rPr>
          <w:rFonts w:ascii="Segoe UI" w:hAnsi="Segoe UI" w:cs="Segoe UI"/>
        </w:rPr>
        <w:br w:type="page"/>
      </w:r>
    </w:p>
    <w:p w14:paraId="00183AA1" w14:textId="77777777" w:rsidR="00DF224C" w:rsidRPr="0089281F" w:rsidRDefault="00DF224C" w:rsidP="00DF224C">
      <w:pPr>
        <w:pStyle w:val="Heading1"/>
        <w:rPr>
          <w:rFonts w:ascii="Segoe UI" w:hAnsi="Segoe UI" w:cs="Segoe UI"/>
          <w:color w:val="002060"/>
        </w:rPr>
      </w:pPr>
      <w:bookmarkStart w:id="66" w:name="_Toc417572703"/>
      <w:r w:rsidRPr="0089281F">
        <w:rPr>
          <w:rFonts w:ascii="Segoe UI" w:hAnsi="Segoe UI" w:cs="Segoe UI"/>
          <w:color w:val="002060"/>
        </w:rPr>
        <w:lastRenderedPageBreak/>
        <w:t>Chapter 6: Dual Network Debit Cards</w:t>
      </w:r>
      <w:bookmarkEnd w:id="65"/>
      <w:bookmarkEnd w:id="66"/>
    </w:p>
    <w:p w14:paraId="3C8DD7E1" w14:textId="77777777" w:rsidR="00DF224C" w:rsidRPr="00612D95" w:rsidRDefault="00DF224C" w:rsidP="00DF224C">
      <w:pPr>
        <w:rPr>
          <w:rFonts w:ascii="Segoe UI" w:hAnsi="Segoe UI" w:cs="Segoe UI"/>
        </w:rPr>
      </w:pPr>
    </w:p>
    <w:tbl>
      <w:tblPr>
        <w:tblStyle w:val="TableGrid"/>
        <w:tblW w:w="0" w:type="auto"/>
        <w:tblBorders>
          <w:insideH w:val="none" w:sz="0" w:space="0" w:color="auto"/>
          <w:insideV w:val="none" w:sz="0" w:space="0" w:color="auto"/>
        </w:tblBorders>
        <w:shd w:val="clear" w:color="auto" w:fill="E0E0E0"/>
        <w:tblLook w:val="04A0" w:firstRow="1" w:lastRow="0" w:firstColumn="1" w:lastColumn="0" w:noHBand="0" w:noVBand="1"/>
      </w:tblPr>
      <w:tblGrid>
        <w:gridCol w:w="9243"/>
      </w:tblGrid>
      <w:tr w:rsidR="00DF224C" w:rsidRPr="00612D95" w14:paraId="09DBA027" w14:textId="77777777" w:rsidTr="00653966">
        <w:tc>
          <w:tcPr>
            <w:tcW w:w="9280" w:type="dxa"/>
            <w:shd w:val="clear" w:color="auto" w:fill="E0E0E0"/>
          </w:tcPr>
          <w:p w14:paraId="289F9EB8" w14:textId="77777777" w:rsidR="00DF224C" w:rsidRDefault="00DF224C" w:rsidP="00653966">
            <w:pPr>
              <w:pStyle w:val="Heading4"/>
              <w:outlineLvl w:val="3"/>
              <w:rPr>
                <w:rFonts w:ascii="Segoe UI" w:hAnsi="Segoe UI" w:cs="Segoe UI"/>
              </w:rPr>
            </w:pPr>
            <w:r w:rsidRPr="00612D95">
              <w:rPr>
                <w:rFonts w:ascii="Segoe UI" w:hAnsi="Segoe UI" w:cs="Segoe UI"/>
              </w:rPr>
              <w:t>Key points</w:t>
            </w:r>
          </w:p>
          <w:p w14:paraId="0E98C101" w14:textId="77777777" w:rsidR="00DF224C" w:rsidRPr="00BA0FCE" w:rsidRDefault="00DF224C" w:rsidP="0089281F">
            <w:pPr>
              <w:ind w:right="432"/>
              <w:jc w:val="both"/>
            </w:pPr>
          </w:p>
          <w:p w14:paraId="1530F3C5" w14:textId="77777777" w:rsidR="00DF224C" w:rsidRDefault="00DF224C" w:rsidP="0089281F">
            <w:pPr>
              <w:pStyle w:val="NoSpacing"/>
              <w:numPr>
                <w:ilvl w:val="0"/>
                <w:numId w:val="2"/>
              </w:numPr>
              <w:spacing w:after="120"/>
              <w:ind w:left="714" w:right="432" w:hanging="357"/>
              <w:jc w:val="both"/>
              <w:rPr>
                <w:rFonts w:ascii="Segoe UI" w:hAnsi="Segoe UI" w:cs="Segoe UI"/>
                <w:sz w:val="22"/>
                <w:szCs w:val="22"/>
              </w:rPr>
            </w:pPr>
            <w:r w:rsidRPr="00BA0FCE">
              <w:rPr>
                <w:rFonts w:ascii="Segoe UI" w:hAnsi="Segoe UI" w:cs="Segoe UI"/>
                <w:sz w:val="22"/>
                <w:szCs w:val="22"/>
              </w:rPr>
              <w:t>Visa remains committed to not prohibiting or inhibiting the issuance of Visa-eftpos Dual Network Debit Cards.</w:t>
            </w:r>
          </w:p>
          <w:p w14:paraId="12048D15" w14:textId="77777777" w:rsidR="00177299" w:rsidRPr="00BA0FCE" w:rsidRDefault="00177299" w:rsidP="0089281F">
            <w:pPr>
              <w:pStyle w:val="NoSpacing"/>
              <w:numPr>
                <w:ilvl w:val="0"/>
                <w:numId w:val="2"/>
              </w:numPr>
              <w:spacing w:after="120"/>
              <w:ind w:left="714" w:right="432" w:hanging="357"/>
              <w:jc w:val="both"/>
              <w:rPr>
                <w:rFonts w:ascii="Segoe UI" w:hAnsi="Segoe UI" w:cs="Segoe UI"/>
                <w:sz w:val="22"/>
                <w:szCs w:val="22"/>
              </w:rPr>
            </w:pPr>
            <w:r>
              <w:rPr>
                <w:rFonts w:ascii="Segoe UI" w:hAnsi="Segoe UI" w:cs="Segoe UI"/>
                <w:sz w:val="22"/>
                <w:szCs w:val="22"/>
              </w:rPr>
              <w:t>Visa does not support the mandating of dual issuance, believing the current sector-wide commitment not to prohibit dual issuance strikes the right balance.</w:t>
            </w:r>
          </w:p>
          <w:p w14:paraId="53A5212A" w14:textId="77777777" w:rsidR="00DF224C" w:rsidRPr="00BA0FCE" w:rsidRDefault="00DF224C" w:rsidP="0089281F">
            <w:pPr>
              <w:pStyle w:val="NoSpacing"/>
              <w:numPr>
                <w:ilvl w:val="0"/>
                <w:numId w:val="2"/>
              </w:numPr>
              <w:spacing w:after="120"/>
              <w:ind w:left="714" w:right="432" w:hanging="357"/>
              <w:jc w:val="both"/>
              <w:rPr>
                <w:rFonts w:ascii="Segoe UI" w:hAnsi="Segoe UI" w:cs="Segoe UI"/>
                <w:sz w:val="22"/>
                <w:szCs w:val="22"/>
              </w:rPr>
            </w:pPr>
            <w:r w:rsidRPr="00BA0FCE">
              <w:rPr>
                <w:rFonts w:ascii="Segoe UI" w:hAnsi="Segoe UI" w:cs="Segoe UI"/>
                <w:sz w:val="22"/>
                <w:szCs w:val="22"/>
              </w:rPr>
              <w:t>The industry Deed of Understanding signed by Visa, MasterCard and eftpos in 2013 and covering both contact and contactless DNDCs remains current and has proven to be effective. It stands as a successful example of a quasi-regulatory approach under which private parties reached agreements, in cooperation with the RBA, but in a manner that avoided the additional cost burdens of formal regulation. As such, we see no compelling case for the RBA to further regulate this area.</w:t>
            </w:r>
          </w:p>
          <w:p w14:paraId="00F62D7D" w14:textId="77777777" w:rsidR="00DF224C" w:rsidRPr="00BA0FCE" w:rsidRDefault="00DF224C" w:rsidP="0089281F">
            <w:pPr>
              <w:pStyle w:val="NoSpacing"/>
              <w:numPr>
                <w:ilvl w:val="0"/>
                <w:numId w:val="2"/>
              </w:numPr>
              <w:spacing w:after="120"/>
              <w:ind w:left="714" w:right="432" w:hanging="357"/>
              <w:jc w:val="both"/>
              <w:rPr>
                <w:rFonts w:ascii="Segoe UI" w:hAnsi="Segoe UI" w:cs="Segoe UI"/>
                <w:sz w:val="22"/>
                <w:szCs w:val="22"/>
              </w:rPr>
            </w:pPr>
            <w:r w:rsidRPr="00BA0FCE">
              <w:rPr>
                <w:rFonts w:ascii="Segoe UI" w:hAnsi="Segoe UI" w:cs="Segoe UI"/>
                <w:sz w:val="22"/>
                <w:szCs w:val="22"/>
              </w:rPr>
              <w:t>Visa believes that Deed strikes the right balance between promoting competition and innovation and protecting fair investments made by schemes in new technology, consumer education, infrastructure investment and legal rights.</w:t>
            </w:r>
          </w:p>
          <w:p w14:paraId="7F3BD718" w14:textId="77777777" w:rsidR="00DF224C" w:rsidRPr="00BA0FCE" w:rsidRDefault="00DF224C" w:rsidP="0089281F">
            <w:pPr>
              <w:pStyle w:val="NoSpacing"/>
              <w:numPr>
                <w:ilvl w:val="0"/>
                <w:numId w:val="2"/>
              </w:numPr>
              <w:spacing w:after="120"/>
              <w:ind w:left="714" w:right="432" w:hanging="357"/>
              <w:jc w:val="both"/>
              <w:rPr>
                <w:rFonts w:ascii="Segoe UI" w:hAnsi="Segoe UI" w:cs="Segoe UI"/>
                <w:sz w:val="22"/>
                <w:szCs w:val="22"/>
              </w:rPr>
            </w:pPr>
            <w:r w:rsidRPr="00BA0FCE">
              <w:rPr>
                <w:rFonts w:ascii="Segoe UI" w:hAnsi="Segoe UI" w:cs="Segoe UI"/>
                <w:sz w:val="22"/>
                <w:szCs w:val="22"/>
              </w:rPr>
              <w:t xml:space="preserve">Visa would be open to the publication of a summary of the content of the </w:t>
            </w:r>
            <w:r>
              <w:rPr>
                <w:rFonts w:ascii="Segoe UI" w:hAnsi="Segoe UI" w:cs="Segoe UI"/>
                <w:sz w:val="22"/>
                <w:szCs w:val="22"/>
              </w:rPr>
              <w:t xml:space="preserve">three </w:t>
            </w:r>
            <w:r w:rsidRPr="00BA0FCE">
              <w:rPr>
                <w:rFonts w:ascii="Segoe UI" w:hAnsi="Segoe UI" w:cs="Segoe UI"/>
                <w:sz w:val="22"/>
                <w:szCs w:val="22"/>
              </w:rPr>
              <w:t>Deeds should that be seen as in the public interest.</w:t>
            </w:r>
          </w:p>
          <w:p w14:paraId="35B7A6E3" w14:textId="77777777" w:rsidR="00DF224C" w:rsidRPr="00BA0FCE" w:rsidRDefault="00DF224C" w:rsidP="0089281F">
            <w:pPr>
              <w:pStyle w:val="NoSpacing"/>
              <w:numPr>
                <w:ilvl w:val="0"/>
                <w:numId w:val="2"/>
              </w:numPr>
              <w:spacing w:after="120"/>
              <w:ind w:left="714" w:right="432" w:hanging="357"/>
              <w:jc w:val="both"/>
              <w:rPr>
                <w:rFonts w:ascii="Segoe UI" w:hAnsi="Segoe UI" w:cs="Segoe UI"/>
                <w:sz w:val="22"/>
                <w:szCs w:val="22"/>
              </w:rPr>
            </w:pPr>
            <w:r w:rsidRPr="00BA0FCE">
              <w:rPr>
                <w:rFonts w:ascii="Segoe UI" w:hAnsi="Segoe UI" w:cs="Segoe UI"/>
                <w:sz w:val="22"/>
                <w:szCs w:val="22"/>
              </w:rPr>
              <w:t>Visa does not currently see the need for regulation in relation to payment wallets, although we remain open to constructive industry discussions in the same manner that achieved the DNDC Deed, should this be felt necessary and as the deployment of this technology evolves.</w:t>
            </w:r>
          </w:p>
          <w:p w14:paraId="618A1885" w14:textId="77777777" w:rsidR="00DF224C" w:rsidRPr="00BA0FCE" w:rsidRDefault="00DF224C" w:rsidP="00653966">
            <w:pPr>
              <w:spacing w:before="120" w:after="240" w:line="240" w:lineRule="exact"/>
              <w:ind w:left="360"/>
              <w:jc w:val="both"/>
              <w:rPr>
                <w:rFonts w:ascii="Segoe UI" w:hAnsi="Segoe UI" w:cs="Segoe UI"/>
                <w:sz w:val="22"/>
                <w:szCs w:val="22"/>
              </w:rPr>
            </w:pPr>
          </w:p>
        </w:tc>
      </w:tr>
    </w:tbl>
    <w:p w14:paraId="499BB8FB" w14:textId="77777777" w:rsidR="00DF224C" w:rsidRDefault="00DF224C" w:rsidP="00DF224C"/>
    <w:p w14:paraId="76145397" w14:textId="77777777" w:rsidR="00DF224C" w:rsidRPr="00612D95" w:rsidRDefault="00DF224C" w:rsidP="00DF224C">
      <w:pPr>
        <w:pStyle w:val="Heading2"/>
        <w:numPr>
          <w:ilvl w:val="1"/>
          <w:numId w:val="15"/>
        </w:numPr>
        <w:ind w:left="720" w:hanging="720"/>
        <w:rPr>
          <w:rFonts w:ascii="Segoe UI" w:hAnsi="Segoe UI" w:cs="Segoe UI"/>
        </w:rPr>
      </w:pPr>
      <w:bookmarkStart w:id="67" w:name="_Toc417303947"/>
      <w:bookmarkStart w:id="68" w:name="_Toc417572704"/>
      <w:r w:rsidRPr="00612D95">
        <w:rPr>
          <w:rFonts w:ascii="Segoe UI" w:hAnsi="Segoe UI" w:cs="Segoe UI"/>
        </w:rPr>
        <w:t>Introduction</w:t>
      </w:r>
      <w:bookmarkEnd w:id="67"/>
      <w:bookmarkEnd w:id="68"/>
    </w:p>
    <w:p w14:paraId="04D7C2F7" w14:textId="77777777" w:rsidR="00DF224C" w:rsidRPr="00BA0FCE" w:rsidRDefault="00DF224C" w:rsidP="00DF224C">
      <w:pPr>
        <w:pStyle w:val="NoSpacing"/>
        <w:rPr>
          <w:rFonts w:ascii="Segoe UI" w:hAnsi="Segoe UI" w:cs="Segoe UI"/>
          <w:sz w:val="22"/>
          <w:szCs w:val="22"/>
        </w:rPr>
      </w:pPr>
    </w:p>
    <w:p w14:paraId="645F41FD" w14:textId="77777777" w:rsidR="00DF224C" w:rsidRPr="00BA0FCE" w:rsidRDefault="00DF224C" w:rsidP="00DF224C">
      <w:pPr>
        <w:pStyle w:val="NoSpacing"/>
        <w:spacing w:line="276" w:lineRule="auto"/>
        <w:jc w:val="both"/>
        <w:rPr>
          <w:rFonts w:ascii="Segoe UI" w:hAnsi="Segoe UI" w:cs="Segoe UI"/>
          <w:sz w:val="22"/>
          <w:szCs w:val="22"/>
        </w:rPr>
      </w:pPr>
      <w:r w:rsidRPr="00BA0FCE">
        <w:rPr>
          <w:rFonts w:ascii="Segoe UI" w:hAnsi="Segoe UI" w:cs="Segoe UI"/>
          <w:sz w:val="22"/>
          <w:szCs w:val="22"/>
        </w:rPr>
        <w:t xml:space="preserve">In the Australian market, Visa has always maintained a position that </w:t>
      </w:r>
      <w:r>
        <w:rPr>
          <w:rFonts w:ascii="Segoe UI" w:hAnsi="Segoe UI" w:cs="Segoe UI"/>
          <w:sz w:val="22"/>
          <w:szCs w:val="22"/>
        </w:rPr>
        <w:t>it</w:t>
      </w:r>
      <w:r w:rsidRPr="00BA0FCE">
        <w:rPr>
          <w:rFonts w:ascii="Segoe UI" w:hAnsi="Segoe UI" w:cs="Segoe UI"/>
          <w:sz w:val="22"/>
          <w:szCs w:val="22"/>
        </w:rPr>
        <w:t xml:space="preserve"> would not prohibit through our Rules, or inhibit in any other way, the issuance of Visa-eftpos DNDCs on Visa-owned Bank Identification Numbers (BINs). </w:t>
      </w:r>
    </w:p>
    <w:p w14:paraId="357372F5" w14:textId="77777777" w:rsidR="00DF224C" w:rsidRPr="00BA0FCE" w:rsidRDefault="00DF224C" w:rsidP="00DF224C">
      <w:pPr>
        <w:pStyle w:val="NoSpacing"/>
        <w:spacing w:line="276" w:lineRule="auto"/>
        <w:jc w:val="both"/>
        <w:rPr>
          <w:rFonts w:ascii="Segoe UI" w:hAnsi="Segoe UI" w:cs="Segoe UI"/>
          <w:sz w:val="22"/>
          <w:szCs w:val="22"/>
        </w:rPr>
      </w:pPr>
    </w:p>
    <w:p w14:paraId="290DF7FF" w14:textId="77777777" w:rsidR="00DF224C" w:rsidRPr="00BA0FCE" w:rsidRDefault="00DF224C" w:rsidP="00DF224C">
      <w:pPr>
        <w:pStyle w:val="NoSpacing"/>
        <w:spacing w:line="276" w:lineRule="auto"/>
        <w:jc w:val="both"/>
        <w:rPr>
          <w:rFonts w:ascii="Segoe UI" w:hAnsi="Segoe UI" w:cs="Segoe UI"/>
          <w:sz w:val="22"/>
          <w:szCs w:val="22"/>
        </w:rPr>
      </w:pPr>
      <w:r w:rsidRPr="00BA0FCE">
        <w:rPr>
          <w:rFonts w:ascii="Segoe UI" w:hAnsi="Segoe UI" w:cs="Segoe UI"/>
          <w:sz w:val="22"/>
          <w:szCs w:val="22"/>
        </w:rPr>
        <w:t>During 2011-13,</w:t>
      </w:r>
      <w:r w:rsidR="00D72A1E">
        <w:rPr>
          <w:rFonts w:ascii="Segoe UI" w:hAnsi="Segoe UI" w:cs="Segoe UI"/>
          <w:sz w:val="22"/>
          <w:szCs w:val="22"/>
        </w:rPr>
        <w:t xml:space="preserve"> the RBA, Visa, MasterCard and E</w:t>
      </w:r>
      <w:r w:rsidRPr="00BA0FCE">
        <w:rPr>
          <w:rFonts w:ascii="Segoe UI" w:hAnsi="Segoe UI" w:cs="Segoe UI"/>
          <w:sz w:val="22"/>
          <w:szCs w:val="22"/>
        </w:rPr>
        <w:t>ftpos Payments Australia Ltd (EPAL) conducted a series of bilateral industry discussions on “rules” to govern the issuance of such cards, first in the contact environment, and then in relation to the nascent contactless card environment. These very detailed discussions culminated in at least three bilateral industry Deeds of Understanding signed by Visa, MasterCard and eftpos in August 2013 in favour of the RBA.</w:t>
      </w:r>
    </w:p>
    <w:p w14:paraId="17EFC70F" w14:textId="77777777" w:rsidR="00DF224C" w:rsidRPr="00BA0FCE" w:rsidRDefault="00DF224C" w:rsidP="00DF224C">
      <w:pPr>
        <w:pStyle w:val="NoSpacing"/>
        <w:spacing w:line="276" w:lineRule="auto"/>
        <w:jc w:val="both"/>
        <w:rPr>
          <w:rFonts w:ascii="Segoe UI" w:hAnsi="Segoe UI" w:cs="Segoe UI"/>
          <w:sz w:val="22"/>
          <w:szCs w:val="22"/>
        </w:rPr>
      </w:pPr>
    </w:p>
    <w:p w14:paraId="64B4409F" w14:textId="77777777" w:rsidR="00DF224C" w:rsidRPr="00BA0FCE" w:rsidRDefault="00DF224C" w:rsidP="00DF224C">
      <w:pPr>
        <w:pStyle w:val="NoSpacing"/>
        <w:spacing w:line="276" w:lineRule="auto"/>
        <w:jc w:val="both"/>
        <w:rPr>
          <w:rFonts w:ascii="Segoe UI" w:hAnsi="Segoe UI" w:cs="Segoe UI"/>
          <w:sz w:val="22"/>
          <w:szCs w:val="22"/>
        </w:rPr>
      </w:pPr>
      <w:r w:rsidRPr="00BA0FCE">
        <w:rPr>
          <w:rFonts w:ascii="Segoe UI" w:hAnsi="Segoe UI" w:cs="Segoe UI"/>
          <w:sz w:val="22"/>
          <w:szCs w:val="22"/>
        </w:rPr>
        <w:lastRenderedPageBreak/>
        <w:t>As mentioned, the respective Deeds cover both contact and contactless DNDCs. They outline very clearly a voluntary and agreed approach between the industry and the regulator covering the non-prevention of the issuance of DNDCs, the placement of competing brand marks, the management of data related to DNDC transactions, the process around technical application certification, acceptable application hierarchy arrangements for contactless DNDCs and the acknowledged rights of merchants by operation of Australian regulatory decisions.</w:t>
      </w:r>
    </w:p>
    <w:p w14:paraId="4FCB0905" w14:textId="77777777" w:rsidR="00DF224C" w:rsidRPr="00612D95" w:rsidRDefault="00DF224C" w:rsidP="00DF224C">
      <w:pPr>
        <w:pStyle w:val="Heading2"/>
        <w:numPr>
          <w:ilvl w:val="1"/>
          <w:numId w:val="15"/>
        </w:numPr>
        <w:ind w:left="720" w:hanging="720"/>
        <w:rPr>
          <w:rFonts w:ascii="Segoe UI" w:hAnsi="Segoe UI" w:cs="Segoe UI"/>
        </w:rPr>
      </w:pPr>
      <w:bookmarkStart w:id="69" w:name="_Toc417303948"/>
      <w:bookmarkStart w:id="70" w:name="_Toc417572705"/>
      <w:r>
        <w:rPr>
          <w:rFonts w:ascii="Segoe UI" w:hAnsi="Segoe UI" w:cs="Segoe UI"/>
        </w:rPr>
        <w:t>Current Situation</w:t>
      </w:r>
      <w:bookmarkEnd w:id="69"/>
      <w:bookmarkEnd w:id="70"/>
    </w:p>
    <w:p w14:paraId="3B25E09B" w14:textId="77777777" w:rsidR="00DF224C" w:rsidRPr="00BA0FCE" w:rsidRDefault="00DF224C" w:rsidP="00DF224C">
      <w:pPr>
        <w:pStyle w:val="NoSpacing"/>
        <w:jc w:val="both"/>
        <w:rPr>
          <w:rFonts w:ascii="Segoe UI" w:hAnsi="Segoe UI" w:cs="Segoe UI"/>
          <w:sz w:val="22"/>
          <w:szCs w:val="22"/>
        </w:rPr>
      </w:pPr>
    </w:p>
    <w:p w14:paraId="37266157" w14:textId="77777777" w:rsidR="00DF224C" w:rsidRPr="00BA0FCE" w:rsidRDefault="00DF224C" w:rsidP="00DF224C">
      <w:pPr>
        <w:pStyle w:val="NoSpacing"/>
        <w:spacing w:line="276" w:lineRule="auto"/>
        <w:jc w:val="both"/>
        <w:rPr>
          <w:rFonts w:ascii="Segoe UI" w:hAnsi="Segoe UI" w:cs="Segoe UI"/>
          <w:sz w:val="22"/>
          <w:szCs w:val="22"/>
        </w:rPr>
      </w:pPr>
      <w:r w:rsidRPr="00BA0FCE">
        <w:rPr>
          <w:rFonts w:ascii="Segoe UI" w:hAnsi="Segoe UI" w:cs="Segoe UI"/>
          <w:sz w:val="22"/>
          <w:szCs w:val="22"/>
        </w:rPr>
        <w:t>Since August 2013 when the Deeds were signed, Visa believes the parties to the Deeds have generally honoured their intent and content, something also acknowledged by the RBA in the current consultation paper where it is stated “the [DNDC] agreements are consistent with some principles set out by the [Payment System] Board and to date the Bank’s understanding is that the networks have worked constructively in relation to dual-network issues” (p34).</w:t>
      </w:r>
    </w:p>
    <w:p w14:paraId="567127F0" w14:textId="77777777" w:rsidR="00DF224C" w:rsidRPr="00BA0FCE" w:rsidRDefault="00DF224C" w:rsidP="00DF224C">
      <w:pPr>
        <w:pStyle w:val="NoSpacing"/>
        <w:spacing w:line="276" w:lineRule="auto"/>
        <w:jc w:val="both"/>
        <w:rPr>
          <w:rFonts w:ascii="Segoe UI" w:hAnsi="Segoe UI" w:cs="Segoe UI"/>
          <w:sz w:val="22"/>
          <w:szCs w:val="22"/>
        </w:rPr>
      </w:pPr>
    </w:p>
    <w:p w14:paraId="4E15FA27" w14:textId="77777777" w:rsidR="00DF224C" w:rsidRPr="00BA0FCE" w:rsidRDefault="00DF224C" w:rsidP="00DF224C">
      <w:pPr>
        <w:pStyle w:val="NoSpacing"/>
        <w:spacing w:line="276" w:lineRule="auto"/>
        <w:jc w:val="both"/>
        <w:rPr>
          <w:rFonts w:ascii="Segoe UI" w:hAnsi="Segoe UI" w:cs="Segoe UI"/>
          <w:sz w:val="22"/>
          <w:szCs w:val="22"/>
        </w:rPr>
      </w:pPr>
      <w:r w:rsidRPr="00BA0FCE">
        <w:rPr>
          <w:rFonts w:ascii="Segoe UI" w:hAnsi="Segoe UI" w:cs="Segoe UI"/>
          <w:sz w:val="22"/>
          <w:szCs w:val="22"/>
        </w:rPr>
        <w:t>It is Visa’s strong view that these Deeds remain current in terms of their content and have proven to be effective in their implementation. They stand as a successful example of a quasi-regulatory approach under which private parties have reached enduring agreements, in cooperation with the RBA, but in a manner that avoided the additional economic and system cost burdens of formal regulation. Furthermore, through the role of the RBA both in the negotiations and as the entity for which the Deed obligations are made, ensures the incorporation of broader RBA public policy principles of efficiency, competition and public interest. Importantly, the current arrangements strike the right balance between promoting competition and innovation and protecting fair investments made by schemes in new technology, consumer education, infrastructure investment and legal rights.</w:t>
      </w:r>
    </w:p>
    <w:p w14:paraId="3C2A8D73" w14:textId="77777777" w:rsidR="00DF224C" w:rsidRPr="00BA0FCE" w:rsidRDefault="00DF224C" w:rsidP="00DF224C">
      <w:pPr>
        <w:pStyle w:val="NoSpacing"/>
        <w:spacing w:line="276" w:lineRule="auto"/>
        <w:jc w:val="both"/>
        <w:rPr>
          <w:rFonts w:ascii="Segoe UI" w:hAnsi="Segoe UI" w:cs="Segoe UI"/>
          <w:sz w:val="22"/>
          <w:szCs w:val="22"/>
        </w:rPr>
      </w:pPr>
    </w:p>
    <w:p w14:paraId="4781421A" w14:textId="77777777" w:rsidR="00177299" w:rsidRDefault="00DF224C" w:rsidP="00C40454">
      <w:pPr>
        <w:pStyle w:val="NoSpacing"/>
        <w:spacing w:line="276" w:lineRule="auto"/>
        <w:jc w:val="both"/>
        <w:rPr>
          <w:rFonts w:ascii="Segoe UI" w:hAnsi="Segoe UI" w:cs="Segoe UI"/>
          <w:sz w:val="22"/>
          <w:szCs w:val="22"/>
        </w:rPr>
      </w:pPr>
      <w:r w:rsidRPr="00BA0FCE">
        <w:rPr>
          <w:rFonts w:ascii="Segoe UI" w:hAnsi="Segoe UI" w:cs="Segoe UI"/>
          <w:sz w:val="22"/>
          <w:szCs w:val="22"/>
        </w:rPr>
        <w:t>As such, we see no compelling case for the RBA to further regulate this area and propose the ongoing utilisation of the Deed approach. Should other impacted parties, such as issuing and acquiring financial institutions and/or merchants wish greater visibility into the terms of the Deeds, Visa would be open to the publication of a summary of the content of the Deeds should that be seen as in the public interest.</w:t>
      </w:r>
    </w:p>
    <w:p w14:paraId="44D1CAAB" w14:textId="77777777" w:rsidR="00177299" w:rsidRDefault="00177299" w:rsidP="00C40454">
      <w:pPr>
        <w:pStyle w:val="NoSpacing"/>
        <w:spacing w:line="276" w:lineRule="auto"/>
        <w:jc w:val="both"/>
        <w:rPr>
          <w:rFonts w:ascii="Segoe UI" w:hAnsi="Segoe UI" w:cs="Segoe UI"/>
          <w:sz w:val="22"/>
          <w:szCs w:val="22"/>
        </w:rPr>
      </w:pPr>
    </w:p>
    <w:p w14:paraId="3F58D930" w14:textId="77777777" w:rsidR="00177299" w:rsidRPr="00BA0FCE" w:rsidRDefault="00177299" w:rsidP="00DF224C">
      <w:pPr>
        <w:pStyle w:val="NoSpacing"/>
        <w:spacing w:line="276" w:lineRule="auto"/>
        <w:jc w:val="both"/>
        <w:rPr>
          <w:rFonts w:ascii="Segoe UI" w:hAnsi="Segoe UI" w:cs="Segoe UI"/>
          <w:sz w:val="22"/>
          <w:szCs w:val="22"/>
        </w:rPr>
      </w:pPr>
      <w:r w:rsidRPr="00177299">
        <w:rPr>
          <w:rFonts w:ascii="Segoe UI" w:hAnsi="Segoe UI" w:cs="Segoe UI"/>
          <w:sz w:val="22"/>
          <w:szCs w:val="22"/>
        </w:rPr>
        <w:t>Whilst we recognise that the RBA has not proposed mandating dual issuance in the RBA Issues Paper, Visa sees value in placing on the record that we not support the mandating of dual issuance, believing the current sector-wide commitment not to prohibit dual issuance strikes the right balance.</w:t>
      </w:r>
      <w:r w:rsidRPr="00C40454">
        <w:rPr>
          <w:rFonts w:ascii="Segoe UI" w:hAnsi="Segoe UI" w:cs="Segoe UI"/>
          <w:color w:val="000000"/>
          <w:sz w:val="22"/>
          <w:szCs w:val="22"/>
        </w:rPr>
        <w:t xml:space="preserve"> Visa and other networks should be free to invest in technology, form factor, POS and cardholder product innovation and compete healthily and vigorously with other networks to drive benefits to Australian consumers, merchants and banks. Requiring that networks reside side-by-side on the same card or payment device will impair network-level competition and differentiation and undermine what we feel should be the </w:t>
      </w:r>
      <w:r w:rsidRPr="00C40454">
        <w:rPr>
          <w:rFonts w:ascii="Segoe UI" w:hAnsi="Segoe UI" w:cs="Segoe UI"/>
          <w:color w:val="000000"/>
          <w:sz w:val="22"/>
          <w:szCs w:val="22"/>
        </w:rPr>
        <w:lastRenderedPageBreak/>
        <w:t>objectives of their payments regulation. The current industry agreed approach is a suitable middle way.</w:t>
      </w:r>
    </w:p>
    <w:p w14:paraId="4E90E2D3" w14:textId="77777777" w:rsidR="00DF224C" w:rsidRPr="00BA0FCE" w:rsidRDefault="00DF224C" w:rsidP="00DF224C">
      <w:pPr>
        <w:pStyle w:val="NoSpacing"/>
        <w:jc w:val="both"/>
        <w:rPr>
          <w:rFonts w:ascii="Segoe UI" w:hAnsi="Segoe UI" w:cs="Segoe UI"/>
          <w:sz w:val="22"/>
          <w:szCs w:val="22"/>
        </w:rPr>
      </w:pPr>
    </w:p>
    <w:p w14:paraId="275A9112" w14:textId="77777777" w:rsidR="00DF224C" w:rsidRPr="00612D95" w:rsidRDefault="00DF224C" w:rsidP="00DF224C">
      <w:pPr>
        <w:pStyle w:val="Heading2"/>
        <w:numPr>
          <w:ilvl w:val="1"/>
          <w:numId w:val="15"/>
        </w:numPr>
        <w:ind w:left="720" w:hanging="720"/>
        <w:rPr>
          <w:rFonts w:ascii="Segoe UI" w:hAnsi="Segoe UI" w:cs="Segoe UI"/>
        </w:rPr>
      </w:pPr>
      <w:bookmarkStart w:id="71" w:name="_Toc417303949"/>
      <w:bookmarkStart w:id="72" w:name="_Toc417572706"/>
      <w:r>
        <w:rPr>
          <w:rFonts w:ascii="Segoe UI" w:hAnsi="Segoe UI" w:cs="Segoe UI"/>
        </w:rPr>
        <w:t>The Industry Outlook</w:t>
      </w:r>
      <w:bookmarkEnd w:id="71"/>
      <w:bookmarkEnd w:id="72"/>
      <w:r>
        <w:rPr>
          <w:rFonts w:ascii="Segoe UI" w:hAnsi="Segoe UI" w:cs="Segoe UI"/>
        </w:rPr>
        <w:t xml:space="preserve"> </w:t>
      </w:r>
    </w:p>
    <w:p w14:paraId="587C1FE7" w14:textId="77777777" w:rsidR="00DF224C" w:rsidRPr="00BA0FCE" w:rsidRDefault="00DF224C" w:rsidP="00DF224C">
      <w:pPr>
        <w:pStyle w:val="NoSpacing"/>
        <w:rPr>
          <w:rFonts w:ascii="Segoe UI" w:hAnsi="Segoe UI" w:cs="Segoe UI"/>
          <w:sz w:val="22"/>
          <w:szCs w:val="22"/>
          <w:u w:val="single"/>
        </w:rPr>
      </w:pPr>
    </w:p>
    <w:p w14:paraId="2CE0BBE2" w14:textId="77777777" w:rsidR="00DF224C" w:rsidRPr="00BA0FCE" w:rsidRDefault="00DF224C" w:rsidP="00DF224C">
      <w:pPr>
        <w:pStyle w:val="NoSpacing"/>
        <w:spacing w:line="276" w:lineRule="auto"/>
        <w:jc w:val="both"/>
        <w:rPr>
          <w:rFonts w:ascii="Segoe UI" w:hAnsi="Segoe UI" w:cs="Segoe UI"/>
          <w:sz w:val="22"/>
          <w:szCs w:val="22"/>
        </w:rPr>
      </w:pPr>
      <w:r w:rsidRPr="00BA0FCE">
        <w:rPr>
          <w:rFonts w:ascii="Segoe UI" w:hAnsi="Segoe UI" w:cs="Segoe UI"/>
          <w:sz w:val="22"/>
          <w:szCs w:val="22"/>
        </w:rPr>
        <w:t xml:space="preserve">The RBA has also raised the emergence of wallet applications, both in the e-commerce and m-commerce environments, noting the latter includes contactless payment technologies. </w:t>
      </w:r>
    </w:p>
    <w:p w14:paraId="44949435" w14:textId="77777777" w:rsidR="00DF224C" w:rsidRPr="00BA0FCE" w:rsidRDefault="00DF224C" w:rsidP="00DF224C">
      <w:pPr>
        <w:pStyle w:val="NoSpacing"/>
        <w:spacing w:line="276" w:lineRule="auto"/>
        <w:jc w:val="both"/>
        <w:rPr>
          <w:rFonts w:ascii="Segoe UI" w:hAnsi="Segoe UI" w:cs="Segoe UI"/>
          <w:sz w:val="22"/>
          <w:szCs w:val="22"/>
        </w:rPr>
      </w:pPr>
    </w:p>
    <w:p w14:paraId="13069D8F" w14:textId="77777777" w:rsidR="00DF224C" w:rsidRPr="00BA0FCE" w:rsidRDefault="00DF224C" w:rsidP="00DF224C">
      <w:pPr>
        <w:pStyle w:val="NoSpacing"/>
        <w:spacing w:line="276" w:lineRule="auto"/>
        <w:jc w:val="both"/>
        <w:rPr>
          <w:rFonts w:ascii="Segoe UI" w:hAnsi="Segoe UI" w:cs="Segoe UI"/>
          <w:sz w:val="22"/>
          <w:szCs w:val="22"/>
        </w:rPr>
      </w:pPr>
      <w:r w:rsidRPr="00BA0FCE">
        <w:rPr>
          <w:rFonts w:ascii="Segoe UI" w:hAnsi="Segoe UI" w:cs="Segoe UI"/>
          <w:sz w:val="22"/>
          <w:szCs w:val="22"/>
        </w:rPr>
        <w:t xml:space="preserve">Visa does not currently see the need for </w:t>
      </w:r>
      <w:r w:rsidR="00081067" w:rsidRPr="00BA0FCE">
        <w:rPr>
          <w:rFonts w:ascii="Segoe UI" w:hAnsi="Segoe UI" w:cs="Segoe UI"/>
          <w:sz w:val="22"/>
          <w:szCs w:val="22"/>
        </w:rPr>
        <w:t xml:space="preserve">either a specific industry agreement </w:t>
      </w:r>
      <w:r w:rsidR="00081067">
        <w:rPr>
          <w:rFonts w:ascii="Segoe UI" w:hAnsi="Segoe UI" w:cs="Segoe UI"/>
          <w:sz w:val="22"/>
          <w:szCs w:val="22"/>
        </w:rPr>
        <w:t>or</w:t>
      </w:r>
      <w:r w:rsidR="001F01BB">
        <w:rPr>
          <w:rFonts w:ascii="Segoe UI" w:hAnsi="Segoe UI" w:cs="Segoe UI"/>
          <w:sz w:val="22"/>
          <w:szCs w:val="22"/>
        </w:rPr>
        <w:t xml:space="preserve"> any </w:t>
      </w:r>
      <w:r w:rsidRPr="00BA0FCE">
        <w:rPr>
          <w:rFonts w:ascii="Segoe UI" w:hAnsi="Segoe UI" w:cs="Segoe UI"/>
          <w:sz w:val="22"/>
          <w:szCs w:val="22"/>
        </w:rPr>
        <w:t>formal regulation in relation to payment wallet</w:t>
      </w:r>
      <w:r w:rsidR="00BC722E">
        <w:rPr>
          <w:rFonts w:ascii="Segoe UI" w:hAnsi="Segoe UI" w:cs="Segoe UI"/>
          <w:sz w:val="22"/>
          <w:szCs w:val="22"/>
        </w:rPr>
        <w:t>s, regardless of form factor (i.e.</w:t>
      </w:r>
      <w:r w:rsidRPr="00BA0FCE">
        <w:rPr>
          <w:rFonts w:ascii="Segoe UI" w:hAnsi="Segoe UI" w:cs="Segoe UI"/>
          <w:sz w:val="22"/>
          <w:szCs w:val="22"/>
        </w:rPr>
        <w:t xml:space="preserve"> e-commerce or m-commerce). In some cases these are emergi</w:t>
      </w:r>
      <w:r w:rsidR="00BC722E">
        <w:rPr>
          <w:rFonts w:ascii="Segoe UI" w:hAnsi="Segoe UI" w:cs="Segoe UI"/>
          <w:sz w:val="22"/>
          <w:szCs w:val="22"/>
        </w:rPr>
        <w:t>ng technological platforms (i.e.</w:t>
      </w:r>
      <w:r w:rsidRPr="00BA0FCE">
        <w:rPr>
          <w:rFonts w:ascii="Segoe UI" w:hAnsi="Segoe UI" w:cs="Segoe UI"/>
          <w:sz w:val="22"/>
          <w:szCs w:val="22"/>
        </w:rPr>
        <w:t xml:space="preserve"> Near Field Communication linked m-wallets) and no case for a regulatory step-in has been made. Further, due to their nascent nature, the risk of significant unintended consequences is particularly high and should be avoided. In relation to more established platforms such as e-commerce wallets, noting that several such concepts have been available to consumers for many years, we feel arrangements for access to and arrangements within such wallets are appropriately commercial issues to be determined by commercial parties. This approach has worked effectively to date and we see no reason it would not continue to do so.</w:t>
      </w:r>
    </w:p>
    <w:p w14:paraId="7FD7246D" w14:textId="77777777" w:rsidR="00DF224C" w:rsidRPr="00BA0FCE" w:rsidRDefault="00DF224C" w:rsidP="00DF224C">
      <w:pPr>
        <w:pStyle w:val="NoSpacing"/>
        <w:spacing w:line="276" w:lineRule="auto"/>
        <w:jc w:val="both"/>
        <w:rPr>
          <w:rFonts w:ascii="Segoe UI" w:hAnsi="Segoe UI" w:cs="Segoe UI"/>
          <w:sz w:val="22"/>
          <w:szCs w:val="22"/>
        </w:rPr>
      </w:pPr>
    </w:p>
    <w:p w14:paraId="7B9D739D" w14:textId="77777777" w:rsidR="00DF224C" w:rsidRPr="00BA0FCE" w:rsidRDefault="00DF224C" w:rsidP="00DF224C">
      <w:pPr>
        <w:pStyle w:val="NoSpacing"/>
        <w:spacing w:line="276" w:lineRule="auto"/>
        <w:jc w:val="both"/>
        <w:rPr>
          <w:rFonts w:ascii="Segoe UI" w:hAnsi="Segoe UI" w:cs="Segoe UI"/>
          <w:sz w:val="22"/>
          <w:szCs w:val="22"/>
        </w:rPr>
      </w:pPr>
      <w:r w:rsidRPr="00BA0FCE">
        <w:rPr>
          <w:rFonts w:ascii="Segoe UI" w:hAnsi="Segoe UI" w:cs="Segoe UI"/>
          <w:sz w:val="22"/>
          <w:szCs w:val="22"/>
        </w:rPr>
        <w:t>Visa remains open to constructive industry discussions in the same manner that achieved the DNDC Deed, should this be felt necessary at some stage in the future and as the deployment of these technologies evolves.</w:t>
      </w:r>
    </w:p>
    <w:p w14:paraId="62693E5A" w14:textId="77777777" w:rsidR="00081067" w:rsidRDefault="00081067">
      <w:pPr>
        <w:spacing w:after="200" w:line="276" w:lineRule="auto"/>
        <w:rPr>
          <w:rFonts w:ascii="Segoe UI" w:hAnsi="Segoe UI" w:cs="Segoe UI"/>
          <w:b/>
        </w:rPr>
      </w:pPr>
      <w:r>
        <w:rPr>
          <w:rFonts w:ascii="Segoe UI" w:hAnsi="Segoe UI" w:cs="Segoe UI"/>
          <w:b/>
        </w:rPr>
        <w:br w:type="page"/>
      </w:r>
    </w:p>
    <w:p w14:paraId="7A89E752" w14:textId="290682BD" w:rsidR="00F33E29" w:rsidRPr="0089281F" w:rsidRDefault="00F33E29" w:rsidP="00F33E29">
      <w:pPr>
        <w:pStyle w:val="Heading1"/>
        <w:rPr>
          <w:rFonts w:ascii="Segoe UI" w:hAnsi="Segoe UI" w:cs="Segoe UI"/>
          <w:color w:val="002060"/>
        </w:rPr>
      </w:pPr>
      <w:bookmarkStart w:id="73" w:name="_Toc417303950"/>
      <w:bookmarkStart w:id="74" w:name="_Toc417572707"/>
      <w:r w:rsidRPr="0089281F">
        <w:rPr>
          <w:rFonts w:ascii="Segoe UI" w:hAnsi="Segoe UI" w:cs="Segoe UI"/>
          <w:color w:val="002060"/>
        </w:rPr>
        <w:lastRenderedPageBreak/>
        <w:t xml:space="preserve">Chapter 7: Prepaid and </w:t>
      </w:r>
      <w:r w:rsidR="00242DDB">
        <w:rPr>
          <w:rFonts w:ascii="Segoe UI" w:hAnsi="Segoe UI" w:cs="Segoe UI"/>
          <w:color w:val="002060"/>
        </w:rPr>
        <w:t>C</w:t>
      </w:r>
      <w:r w:rsidRPr="0089281F">
        <w:rPr>
          <w:rFonts w:ascii="Segoe UI" w:hAnsi="Segoe UI" w:cs="Segoe UI"/>
          <w:color w:val="002060"/>
        </w:rPr>
        <w:t xml:space="preserve">ommercial </w:t>
      </w:r>
      <w:r w:rsidR="00242DDB">
        <w:rPr>
          <w:rFonts w:ascii="Segoe UI" w:hAnsi="Segoe UI" w:cs="Segoe UI"/>
          <w:color w:val="002060"/>
        </w:rPr>
        <w:t>C</w:t>
      </w:r>
      <w:r w:rsidRPr="0089281F">
        <w:rPr>
          <w:rFonts w:ascii="Segoe UI" w:hAnsi="Segoe UI" w:cs="Segoe UI"/>
          <w:color w:val="002060"/>
        </w:rPr>
        <w:t>ards</w:t>
      </w:r>
      <w:bookmarkEnd w:id="73"/>
      <w:bookmarkEnd w:id="74"/>
    </w:p>
    <w:p w14:paraId="177C32D2" w14:textId="77777777" w:rsidR="00F33E29" w:rsidRPr="00426E9B" w:rsidRDefault="00F33E29" w:rsidP="00F33E29">
      <w:pPr>
        <w:rPr>
          <w:rFonts w:ascii="Segoe UI" w:hAnsi="Segoe UI" w:cs="Segoe UI"/>
        </w:rPr>
      </w:pPr>
    </w:p>
    <w:tbl>
      <w:tblPr>
        <w:tblStyle w:val="TableGrid"/>
        <w:tblW w:w="0" w:type="auto"/>
        <w:tblBorders>
          <w:insideH w:val="none" w:sz="0" w:space="0" w:color="auto"/>
          <w:insideV w:val="none" w:sz="0" w:space="0" w:color="auto"/>
        </w:tblBorders>
        <w:shd w:val="clear" w:color="auto" w:fill="E0E0E0"/>
        <w:tblLook w:val="04A0" w:firstRow="1" w:lastRow="0" w:firstColumn="1" w:lastColumn="0" w:noHBand="0" w:noVBand="1"/>
      </w:tblPr>
      <w:tblGrid>
        <w:gridCol w:w="9017"/>
      </w:tblGrid>
      <w:tr w:rsidR="00F33E29" w:rsidRPr="00426E9B" w14:paraId="412A21FC" w14:textId="77777777" w:rsidTr="007D6D26">
        <w:tc>
          <w:tcPr>
            <w:tcW w:w="9017" w:type="dxa"/>
            <w:shd w:val="clear" w:color="auto" w:fill="E0E0E0"/>
          </w:tcPr>
          <w:p w14:paraId="7B076F36" w14:textId="77777777" w:rsidR="00F33E29" w:rsidRPr="00426E9B" w:rsidRDefault="00F33E29" w:rsidP="004B44C6">
            <w:pPr>
              <w:pStyle w:val="Heading4"/>
              <w:outlineLvl w:val="3"/>
              <w:rPr>
                <w:rFonts w:ascii="Segoe UI" w:hAnsi="Segoe UI" w:cs="Segoe UI"/>
              </w:rPr>
            </w:pPr>
            <w:r w:rsidRPr="00426E9B">
              <w:rPr>
                <w:rFonts w:ascii="Segoe UI" w:hAnsi="Segoe UI" w:cs="Segoe UI"/>
              </w:rPr>
              <w:t>Key points</w:t>
            </w:r>
          </w:p>
          <w:p w14:paraId="67427276" w14:textId="77777777" w:rsidR="00F33E29" w:rsidRPr="00426E9B" w:rsidRDefault="00F33E29" w:rsidP="0089281F">
            <w:pPr>
              <w:pStyle w:val="ListParagraph"/>
              <w:numPr>
                <w:ilvl w:val="0"/>
                <w:numId w:val="2"/>
              </w:numPr>
              <w:spacing w:before="120" w:after="240" w:line="240" w:lineRule="exact"/>
              <w:ind w:left="714" w:right="432" w:hanging="357"/>
              <w:contextualSpacing w:val="0"/>
              <w:jc w:val="both"/>
              <w:rPr>
                <w:rFonts w:ascii="Segoe UI" w:hAnsi="Segoe UI" w:cs="Segoe UI"/>
                <w:sz w:val="22"/>
                <w:szCs w:val="22"/>
              </w:rPr>
            </w:pPr>
            <w:r w:rsidRPr="00C42A50">
              <w:rPr>
                <w:rFonts w:ascii="Segoe UI" w:hAnsi="Segoe UI" w:cs="Segoe UI"/>
                <w:sz w:val="22"/>
                <w:szCs w:val="22"/>
              </w:rPr>
              <w:t>Prepaid</w:t>
            </w:r>
            <w:r w:rsidRPr="00067A50">
              <w:rPr>
                <w:rFonts w:ascii="Segoe UI" w:hAnsi="Segoe UI" w:cs="Segoe UI"/>
                <w:sz w:val="22"/>
                <w:szCs w:val="22"/>
              </w:rPr>
              <w:t xml:space="preserve"> should continue to be excluded from the regulatory framework as it comprises a small proportion of the market. To regulate it will stifle innovation and thereby competition in payments and financial services more generally.</w:t>
            </w:r>
          </w:p>
          <w:p w14:paraId="7B2DFED7" w14:textId="77777777" w:rsidR="00F33E29" w:rsidRPr="00426E9B" w:rsidRDefault="00F33E29" w:rsidP="0089281F">
            <w:pPr>
              <w:pStyle w:val="ListParagraph"/>
              <w:numPr>
                <w:ilvl w:val="0"/>
                <w:numId w:val="2"/>
              </w:numPr>
              <w:spacing w:before="120" w:after="240" w:line="240" w:lineRule="exact"/>
              <w:ind w:left="714" w:right="432" w:hanging="357"/>
              <w:jc w:val="both"/>
              <w:rPr>
                <w:rFonts w:ascii="Segoe UI" w:hAnsi="Segoe UI" w:cs="Segoe UI"/>
                <w:sz w:val="22"/>
                <w:szCs w:val="22"/>
              </w:rPr>
            </w:pPr>
            <w:r w:rsidRPr="00426E9B">
              <w:rPr>
                <w:rFonts w:ascii="Segoe UI" w:hAnsi="Segoe UI" w:cs="Segoe UI"/>
                <w:sz w:val="22"/>
                <w:szCs w:val="22"/>
              </w:rPr>
              <w:t xml:space="preserve">In relation to </w:t>
            </w:r>
            <w:r w:rsidRPr="00C42A50">
              <w:rPr>
                <w:rFonts w:ascii="Segoe UI" w:hAnsi="Segoe UI" w:cs="Segoe UI"/>
                <w:sz w:val="22"/>
                <w:szCs w:val="22"/>
              </w:rPr>
              <w:t>commercial cards</w:t>
            </w:r>
            <w:r w:rsidRPr="00426E9B">
              <w:rPr>
                <w:rFonts w:ascii="Segoe UI" w:hAnsi="Segoe UI" w:cs="Segoe UI"/>
                <w:sz w:val="22"/>
                <w:szCs w:val="22"/>
              </w:rPr>
              <w:t xml:space="preserve">, Visa strongly recommends that commercial cards should be removed from the interchange fee setting standard. Commercial cards are an efficient, low cost payment mechanism utilised in </w:t>
            </w:r>
            <w:r>
              <w:rPr>
                <w:rFonts w:ascii="Segoe UI" w:hAnsi="Segoe UI" w:cs="Segoe UI"/>
                <w:sz w:val="22"/>
                <w:szCs w:val="22"/>
              </w:rPr>
              <w:t>business-to-business (</w:t>
            </w:r>
            <w:r w:rsidRPr="00426E9B">
              <w:rPr>
                <w:rFonts w:ascii="Segoe UI" w:hAnsi="Segoe UI" w:cs="Segoe UI"/>
                <w:sz w:val="22"/>
                <w:szCs w:val="22"/>
              </w:rPr>
              <w:t>B2B</w:t>
            </w:r>
            <w:r>
              <w:rPr>
                <w:rFonts w:ascii="Segoe UI" w:hAnsi="Segoe UI" w:cs="Segoe UI"/>
                <w:sz w:val="22"/>
                <w:szCs w:val="22"/>
              </w:rPr>
              <w:t>)</w:t>
            </w:r>
            <w:r w:rsidRPr="00426E9B">
              <w:rPr>
                <w:rFonts w:ascii="Segoe UI" w:hAnsi="Segoe UI" w:cs="Segoe UI"/>
                <w:sz w:val="22"/>
                <w:szCs w:val="22"/>
              </w:rPr>
              <w:t xml:space="preserve"> and </w:t>
            </w:r>
            <w:r>
              <w:rPr>
                <w:rFonts w:ascii="Segoe UI" w:hAnsi="Segoe UI" w:cs="Segoe UI"/>
                <w:sz w:val="22"/>
                <w:szCs w:val="22"/>
              </w:rPr>
              <w:t>government-to-business (</w:t>
            </w:r>
            <w:r w:rsidRPr="00426E9B">
              <w:rPr>
                <w:rFonts w:ascii="Segoe UI" w:hAnsi="Segoe UI" w:cs="Segoe UI"/>
                <w:sz w:val="22"/>
                <w:szCs w:val="22"/>
              </w:rPr>
              <w:t>G2B</w:t>
            </w:r>
            <w:r>
              <w:rPr>
                <w:rFonts w:ascii="Segoe UI" w:hAnsi="Segoe UI" w:cs="Segoe UI"/>
                <w:sz w:val="22"/>
                <w:szCs w:val="22"/>
              </w:rPr>
              <w:t>)</w:t>
            </w:r>
            <w:r w:rsidRPr="00426E9B">
              <w:rPr>
                <w:rFonts w:ascii="Segoe UI" w:hAnsi="Segoe UI" w:cs="Segoe UI"/>
                <w:sz w:val="22"/>
                <w:szCs w:val="22"/>
              </w:rPr>
              <w:t xml:space="preserve"> transactions, where market mechanisms</w:t>
            </w:r>
            <w:r>
              <w:rPr>
                <w:rFonts w:ascii="Segoe UI" w:hAnsi="Segoe UI" w:cs="Segoe UI"/>
                <w:sz w:val="22"/>
                <w:szCs w:val="22"/>
              </w:rPr>
              <w:t>, more costly post-payment services</w:t>
            </w:r>
            <w:r w:rsidRPr="00426E9B">
              <w:rPr>
                <w:rFonts w:ascii="Segoe UI" w:hAnsi="Segoe UI" w:cs="Segoe UI"/>
                <w:sz w:val="22"/>
                <w:szCs w:val="22"/>
              </w:rPr>
              <w:t xml:space="preserve"> and pricing differ significantly from consumer cards, and where pricing regulation is less relevant and encroaches on the commercial arrangements and payment terms agreed to by the parties to a transaction.</w:t>
            </w:r>
          </w:p>
          <w:p w14:paraId="2E96867A" w14:textId="77777777" w:rsidR="00F33E29" w:rsidRPr="00426E9B" w:rsidRDefault="00F33E29" w:rsidP="0089281F">
            <w:pPr>
              <w:pStyle w:val="ListParagraph"/>
              <w:spacing w:before="120" w:after="240" w:line="240" w:lineRule="exact"/>
              <w:ind w:left="714" w:right="432"/>
              <w:jc w:val="both"/>
              <w:rPr>
                <w:rFonts w:ascii="Segoe UI" w:hAnsi="Segoe UI" w:cs="Segoe UI"/>
                <w:sz w:val="22"/>
                <w:szCs w:val="22"/>
              </w:rPr>
            </w:pPr>
          </w:p>
          <w:p w14:paraId="5FB1C046" w14:textId="77777777" w:rsidR="00F33E29" w:rsidRPr="00C020B5" w:rsidRDefault="00F33E29" w:rsidP="0089281F">
            <w:pPr>
              <w:pStyle w:val="ListParagraph"/>
              <w:numPr>
                <w:ilvl w:val="0"/>
                <w:numId w:val="2"/>
              </w:numPr>
              <w:spacing w:before="120" w:after="240" w:line="240" w:lineRule="exact"/>
              <w:ind w:left="714" w:right="432" w:hanging="357"/>
              <w:jc w:val="both"/>
              <w:rPr>
                <w:rFonts w:ascii="Segoe UI" w:hAnsi="Segoe UI" w:cs="Segoe UI"/>
              </w:rPr>
            </w:pPr>
            <w:r>
              <w:rPr>
                <w:rFonts w:ascii="Segoe UI" w:hAnsi="Segoe UI" w:cs="Segoe UI"/>
                <w:sz w:val="22"/>
                <w:szCs w:val="22"/>
              </w:rPr>
              <w:t>If Visa c</w:t>
            </w:r>
            <w:r w:rsidRPr="00426E9B">
              <w:rPr>
                <w:rFonts w:ascii="Segoe UI" w:hAnsi="Segoe UI" w:cs="Segoe UI"/>
                <w:sz w:val="22"/>
                <w:szCs w:val="22"/>
              </w:rPr>
              <w:t>ommercial products remain part of the standard and as part of a ‘hard cap’ then the disparity in regulation of three party proprietary schemes needs to be addressed to ensure continued competition in commercial payments.</w:t>
            </w:r>
            <w:r w:rsidRPr="00426E9B">
              <w:rPr>
                <w:rFonts w:ascii="Segoe UI" w:hAnsi="Segoe UI" w:cs="Segoe UI"/>
              </w:rPr>
              <w:t xml:space="preserve"> </w:t>
            </w:r>
          </w:p>
        </w:tc>
      </w:tr>
    </w:tbl>
    <w:p w14:paraId="7A065ECB" w14:textId="77777777" w:rsidR="00F33E29" w:rsidRPr="00C020B5" w:rsidRDefault="00F33E29" w:rsidP="00F33E29">
      <w:pPr>
        <w:pStyle w:val="Heading2"/>
        <w:numPr>
          <w:ilvl w:val="1"/>
          <w:numId w:val="21"/>
        </w:numPr>
        <w:ind w:left="567" w:hanging="567"/>
        <w:rPr>
          <w:rFonts w:ascii="Segoe UI" w:hAnsi="Segoe UI" w:cs="Segoe UI"/>
        </w:rPr>
      </w:pPr>
      <w:bookmarkStart w:id="75" w:name="_Toc417303951"/>
      <w:bookmarkStart w:id="76" w:name="_Toc417572708"/>
      <w:r w:rsidRPr="00C020B5">
        <w:rPr>
          <w:rFonts w:ascii="Segoe UI" w:hAnsi="Segoe UI" w:cs="Segoe UI"/>
        </w:rPr>
        <w:t>Prepaid Cards</w:t>
      </w:r>
      <w:bookmarkEnd w:id="75"/>
      <w:bookmarkEnd w:id="76"/>
    </w:p>
    <w:p w14:paraId="616F8B81" w14:textId="77777777" w:rsidR="00F33E29" w:rsidRDefault="00F33E29" w:rsidP="00F33E29">
      <w:pPr>
        <w:rPr>
          <w:rFonts w:ascii="Arial" w:hAnsi="Arial" w:cs="Arial"/>
          <w:sz w:val="22"/>
          <w:szCs w:val="22"/>
        </w:rPr>
      </w:pPr>
    </w:p>
    <w:p w14:paraId="0F47B426" w14:textId="77777777" w:rsidR="00F33E29" w:rsidRDefault="00F33E29" w:rsidP="00F33E29">
      <w:pPr>
        <w:spacing w:line="276" w:lineRule="auto"/>
        <w:jc w:val="both"/>
        <w:rPr>
          <w:rFonts w:ascii="Segoe UI" w:hAnsi="Segoe UI" w:cs="Segoe UI"/>
          <w:sz w:val="22"/>
          <w:szCs w:val="22"/>
        </w:rPr>
      </w:pPr>
      <w:r w:rsidRPr="00C42A50">
        <w:rPr>
          <w:rFonts w:ascii="Segoe UI" w:hAnsi="Segoe UI" w:cs="Segoe UI"/>
          <w:sz w:val="22"/>
          <w:szCs w:val="22"/>
        </w:rPr>
        <w:t xml:space="preserve">The PSB </w:t>
      </w:r>
      <w:r>
        <w:rPr>
          <w:rFonts w:ascii="Segoe UI" w:hAnsi="Segoe UI" w:cs="Segoe UI"/>
          <w:sz w:val="22"/>
          <w:szCs w:val="22"/>
        </w:rPr>
        <w:t xml:space="preserve">Issues paper </w:t>
      </w:r>
      <w:r w:rsidRPr="00C42A50">
        <w:rPr>
          <w:rFonts w:ascii="Segoe UI" w:hAnsi="Segoe UI" w:cs="Segoe UI"/>
          <w:sz w:val="22"/>
          <w:szCs w:val="22"/>
        </w:rPr>
        <w:t xml:space="preserve">sought views on the appropriate regulatory arrangements for prepaid cards. </w:t>
      </w:r>
    </w:p>
    <w:p w14:paraId="4CD6D8F1" w14:textId="77777777" w:rsidR="00C40454" w:rsidRPr="00C42A50" w:rsidRDefault="00C40454" w:rsidP="00F33E29">
      <w:pPr>
        <w:spacing w:line="276" w:lineRule="auto"/>
        <w:jc w:val="both"/>
        <w:rPr>
          <w:rFonts w:ascii="Segoe UI" w:hAnsi="Segoe UI" w:cs="Segoe UI"/>
          <w:sz w:val="22"/>
          <w:szCs w:val="22"/>
        </w:rPr>
      </w:pPr>
    </w:p>
    <w:p w14:paraId="694D65CC" w14:textId="1858D531" w:rsidR="00F33E29" w:rsidRPr="00C42A50" w:rsidRDefault="00F33E29" w:rsidP="00F33E29">
      <w:pPr>
        <w:spacing w:line="276" w:lineRule="auto"/>
        <w:jc w:val="both"/>
        <w:rPr>
          <w:rFonts w:ascii="Segoe UI" w:hAnsi="Segoe UI" w:cs="Segoe UI"/>
          <w:sz w:val="22"/>
          <w:szCs w:val="22"/>
        </w:rPr>
      </w:pPr>
      <w:r>
        <w:rPr>
          <w:rFonts w:ascii="Segoe UI" w:hAnsi="Segoe UI" w:cs="Segoe UI"/>
          <w:sz w:val="22"/>
          <w:szCs w:val="22"/>
        </w:rPr>
        <w:t xml:space="preserve">In Visa’s view, there is no case for the formal regulation of prepaid cards and, as such, they </w:t>
      </w:r>
      <w:r w:rsidRPr="00C42A50">
        <w:rPr>
          <w:rFonts w:ascii="Segoe UI" w:hAnsi="Segoe UI" w:cs="Segoe UI"/>
          <w:sz w:val="22"/>
          <w:szCs w:val="22"/>
        </w:rPr>
        <w:t>should continue to be excluded from the regulatory framework</w:t>
      </w:r>
      <w:r>
        <w:rPr>
          <w:rFonts w:ascii="Segoe UI" w:hAnsi="Segoe UI" w:cs="Segoe UI"/>
          <w:sz w:val="22"/>
          <w:szCs w:val="22"/>
        </w:rPr>
        <w:t>;</w:t>
      </w:r>
      <w:r w:rsidRPr="00C42A50">
        <w:rPr>
          <w:rFonts w:ascii="Segoe UI" w:hAnsi="Segoe UI" w:cs="Segoe UI"/>
          <w:sz w:val="22"/>
          <w:szCs w:val="22"/>
        </w:rPr>
        <w:t xml:space="preserve"> it comprises a small proportion of the market. To regulate it will stifle innovation and thereby competition in payments and financial services more generally. Prepaid is seen as the gateway to full participation in financial services </w:t>
      </w:r>
      <w:r>
        <w:rPr>
          <w:rFonts w:ascii="Segoe UI" w:hAnsi="Segoe UI" w:cs="Segoe UI"/>
          <w:sz w:val="22"/>
          <w:szCs w:val="22"/>
        </w:rPr>
        <w:t xml:space="preserve">by </w:t>
      </w:r>
      <w:r w:rsidRPr="00C42A50">
        <w:rPr>
          <w:rFonts w:ascii="Segoe UI" w:hAnsi="Segoe UI" w:cs="Segoe UI"/>
          <w:sz w:val="22"/>
          <w:szCs w:val="22"/>
        </w:rPr>
        <w:t xml:space="preserve">many non-traditional players globally. </w:t>
      </w:r>
    </w:p>
    <w:p w14:paraId="5947318D" w14:textId="77777777" w:rsidR="00F33E29" w:rsidRPr="00C42A50" w:rsidRDefault="00F33E29" w:rsidP="00F33E29">
      <w:pPr>
        <w:spacing w:line="276" w:lineRule="auto"/>
        <w:jc w:val="both"/>
        <w:rPr>
          <w:rFonts w:ascii="Segoe UI" w:hAnsi="Segoe UI" w:cs="Segoe UI"/>
          <w:sz w:val="22"/>
          <w:szCs w:val="22"/>
        </w:rPr>
      </w:pPr>
    </w:p>
    <w:p w14:paraId="1B44E463" w14:textId="77777777" w:rsidR="00F33E29" w:rsidRPr="00C42A50" w:rsidRDefault="00F33E29" w:rsidP="00F33E29">
      <w:pPr>
        <w:spacing w:line="276" w:lineRule="auto"/>
        <w:jc w:val="both"/>
        <w:rPr>
          <w:rFonts w:ascii="Segoe UI" w:hAnsi="Segoe UI" w:cs="Segoe UI"/>
          <w:sz w:val="22"/>
          <w:szCs w:val="22"/>
        </w:rPr>
      </w:pPr>
      <w:r w:rsidRPr="00C42A50">
        <w:rPr>
          <w:rFonts w:ascii="Segoe UI" w:hAnsi="Segoe UI" w:cs="Segoe UI"/>
          <w:sz w:val="22"/>
          <w:szCs w:val="22"/>
        </w:rPr>
        <w:t xml:space="preserve">Moreover, prepaid is not similar to debit given </w:t>
      </w:r>
      <w:r>
        <w:rPr>
          <w:rFonts w:ascii="Segoe UI" w:hAnsi="Segoe UI" w:cs="Segoe UI"/>
          <w:sz w:val="22"/>
          <w:szCs w:val="22"/>
        </w:rPr>
        <w:t>the cost of flexibility delivered by additional participants in the product’s delivery</w:t>
      </w:r>
      <w:r w:rsidRPr="00C42A50">
        <w:rPr>
          <w:rFonts w:ascii="Segoe UI" w:hAnsi="Segoe UI" w:cs="Segoe UI"/>
          <w:sz w:val="22"/>
          <w:szCs w:val="22"/>
        </w:rPr>
        <w:t xml:space="preserve">. The product set has a significantly different operating model to either debit or credit with more participants in the product value chain which provides the flexibility that is so highly valued by financial services start-ups and non-traditional providers. As such, any similarity in applying the debit interchange rates would not be suitable. </w:t>
      </w:r>
    </w:p>
    <w:p w14:paraId="3CFA6E9A" w14:textId="77777777" w:rsidR="00F33E29" w:rsidRPr="00C42A50" w:rsidRDefault="00F33E29" w:rsidP="00F33E29">
      <w:pPr>
        <w:spacing w:line="276" w:lineRule="auto"/>
        <w:jc w:val="both"/>
        <w:rPr>
          <w:rFonts w:ascii="Segoe UI" w:hAnsi="Segoe UI" w:cs="Segoe UI"/>
          <w:sz w:val="22"/>
          <w:szCs w:val="22"/>
        </w:rPr>
      </w:pPr>
    </w:p>
    <w:p w14:paraId="6E71CC1B" w14:textId="77777777" w:rsidR="00F33E29" w:rsidRDefault="00F33E29" w:rsidP="00F33E29">
      <w:pPr>
        <w:spacing w:line="276" w:lineRule="auto"/>
        <w:jc w:val="both"/>
        <w:rPr>
          <w:rFonts w:ascii="Segoe UI" w:hAnsi="Segoe UI" w:cs="Segoe UI"/>
          <w:sz w:val="22"/>
          <w:szCs w:val="22"/>
        </w:rPr>
      </w:pPr>
      <w:r>
        <w:rPr>
          <w:rFonts w:ascii="Segoe UI" w:hAnsi="Segoe UI" w:cs="Segoe UI"/>
          <w:sz w:val="22"/>
          <w:szCs w:val="22"/>
        </w:rPr>
        <w:t xml:space="preserve">Whilst the above sets out Visa’s preferred position in relation to prepaid cards, should the RBA genuinely wish to take another component of Australia’s card payments environment into formal regulation via a further Standard under the </w:t>
      </w:r>
      <w:r>
        <w:rPr>
          <w:rFonts w:ascii="Segoe UI" w:hAnsi="Segoe UI" w:cs="Segoe UI"/>
          <w:i/>
          <w:sz w:val="22"/>
          <w:szCs w:val="22"/>
        </w:rPr>
        <w:t>Payment System (Regulation) Act 1998</w:t>
      </w:r>
      <w:r>
        <w:rPr>
          <w:rFonts w:ascii="Segoe UI" w:hAnsi="Segoe UI" w:cs="Segoe UI"/>
          <w:sz w:val="22"/>
          <w:szCs w:val="22"/>
        </w:rPr>
        <w:t xml:space="preserve">, such a step would present a requirement to undertake a proper cost-based analysis of the prepaid card market, which we believe would actually highlight a different, and higher, economic cost base versus debit cards, for example. The establishment of a separate cost </w:t>
      </w:r>
      <w:r>
        <w:rPr>
          <w:rFonts w:ascii="Segoe UI" w:hAnsi="Segoe UI" w:cs="Segoe UI"/>
          <w:sz w:val="22"/>
          <w:szCs w:val="22"/>
        </w:rPr>
        <w:lastRenderedPageBreak/>
        <w:t>study would ensure the continued viability of the prepaid card product set in a regulated environment. Without this it is likely that prepaid and the innovation and competition that it fosters will be significantly hampered in Australia.</w:t>
      </w:r>
    </w:p>
    <w:p w14:paraId="63781564" w14:textId="77777777" w:rsidR="00F33E29" w:rsidRPr="00C42A50" w:rsidRDefault="00F33E29" w:rsidP="00F33E29">
      <w:pPr>
        <w:spacing w:line="276" w:lineRule="auto"/>
        <w:jc w:val="both"/>
        <w:rPr>
          <w:rFonts w:ascii="Segoe UI" w:hAnsi="Segoe UI" w:cs="Segoe UI"/>
          <w:sz w:val="22"/>
          <w:szCs w:val="22"/>
        </w:rPr>
      </w:pPr>
    </w:p>
    <w:tbl>
      <w:tblPr>
        <w:tblStyle w:val="TableGrid"/>
        <w:tblW w:w="0" w:type="auto"/>
        <w:tblLook w:val="04A0" w:firstRow="1" w:lastRow="0" w:firstColumn="1" w:lastColumn="0" w:noHBand="0" w:noVBand="1"/>
      </w:tblPr>
      <w:tblGrid>
        <w:gridCol w:w="9243"/>
      </w:tblGrid>
      <w:tr w:rsidR="00F33E29" w:rsidRPr="00C42A50" w14:paraId="574122B5" w14:textId="77777777" w:rsidTr="004B44C6">
        <w:tc>
          <w:tcPr>
            <w:tcW w:w="9280" w:type="dxa"/>
          </w:tcPr>
          <w:p w14:paraId="10D97632" w14:textId="77777777" w:rsidR="00F33E29" w:rsidRPr="00F33E29" w:rsidRDefault="00F33E29" w:rsidP="00F33E29">
            <w:pPr>
              <w:jc w:val="both"/>
              <w:rPr>
                <w:rFonts w:ascii="Segoe UI" w:hAnsi="Segoe UI" w:cs="Segoe UI"/>
                <w:b/>
                <w:i/>
                <w:color w:val="4F81BD" w:themeColor="accent1"/>
                <w:sz w:val="22"/>
                <w:szCs w:val="22"/>
              </w:rPr>
            </w:pPr>
            <w:r w:rsidRPr="00F33E29">
              <w:rPr>
                <w:rFonts w:ascii="Segoe UI" w:hAnsi="Segoe UI" w:cs="Segoe UI"/>
                <w:b/>
                <w:i/>
                <w:color w:val="4F81BD" w:themeColor="accent1"/>
                <w:sz w:val="22"/>
                <w:szCs w:val="22"/>
              </w:rPr>
              <w:t>Box 7.1: The economics of prepaid cards</w:t>
            </w:r>
          </w:p>
          <w:p w14:paraId="01981FFA" w14:textId="77777777" w:rsidR="00F33E29" w:rsidRPr="00C42A50" w:rsidRDefault="00F33E29" w:rsidP="004B44C6">
            <w:pPr>
              <w:rPr>
                <w:rFonts w:ascii="Segoe UI" w:hAnsi="Segoe UI" w:cs="Segoe UI"/>
                <w:sz w:val="22"/>
                <w:szCs w:val="22"/>
              </w:rPr>
            </w:pPr>
          </w:p>
          <w:p w14:paraId="440F7C0F" w14:textId="77777777" w:rsidR="00F33E29" w:rsidRPr="00C42A50" w:rsidRDefault="00F33E29" w:rsidP="004B44C6">
            <w:pPr>
              <w:spacing w:line="276" w:lineRule="auto"/>
              <w:jc w:val="both"/>
              <w:rPr>
                <w:rFonts w:ascii="Segoe UI" w:hAnsi="Segoe UI" w:cs="Segoe UI"/>
                <w:sz w:val="22"/>
                <w:szCs w:val="22"/>
              </w:rPr>
            </w:pPr>
            <w:r w:rsidRPr="00C42A50">
              <w:rPr>
                <w:rFonts w:ascii="Segoe UI" w:hAnsi="Segoe UI" w:cs="Segoe UI"/>
                <w:sz w:val="22"/>
                <w:szCs w:val="22"/>
              </w:rPr>
              <w:t xml:space="preserve">There are marked differences in the operating model and thereby economics of prepaid programs specifically relating to the number of participants required for the delivery of these products. The roles typically managed by a bank or </w:t>
            </w:r>
            <w:r>
              <w:rPr>
                <w:rFonts w:ascii="Segoe UI" w:hAnsi="Segoe UI" w:cs="Segoe UI"/>
                <w:sz w:val="22"/>
                <w:szCs w:val="22"/>
              </w:rPr>
              <w:t>f</w:t>
            </w:r>
            <w:r w:rsidRPr="00C42A50">
              <w:rPr>
                <w:rFonts w:ascii="Segoe UI" w:hAnsi="Segoe UI" w:cs="Segoe UI"/>
                <w:sz w:val="22"/>
                <w:szCs w:val="22"/>
              </w:rPr>
              <w:t xml:space="preserve">inancial </w:t>
            </w:r>
            <w:r>
              <w:rPr>
                <w:rFonts w:ascii="Segoe UI" w:hAnsi="Segoe UI" w:cs="Segoe UI"/>
                <w:sz w:val="22"/>
                <w:szCs w:val="22"/>
              </w:rPr>
              <w:t>i</w:t>
            </w:r>
            <w:r w:rsidRPr="00C42A50">
              <w:rPr>
                <w:rFonts w:ascii="Segoe UI" w:hAnsi="Segoe UI" w:cs="Segoe UI"/>
                <w:sz w:val="22"/>
                <w:szCs w:val="22"/>
              </w:rPr>
              <w:t xml:space="preserve">nstitution being program owner, BIN sponsor, processor and program management are typically managed by separate entities in a prepaid program (see </w:t>
            </w:r>
            <w:r>
              <w:rPr>
                <w:rFonts w:ascii="Segoe UI" w:hAnsi="Segoe UI" w:cs="Segoe UI"/>
                <w:sz w:val="22"/>
                <w:szCs w:val="22"/>
              </w:rPr>
              <w:t>below</w:t>
            </w:r>
            <w:r w:rsidRPr="00C42A50">
              <w:rPr>
                <w:rFonts w:ascii="Segoe UI" w:hAnsi="Segoe UI" w:cs="Segoe UI"/>
                <w:sz w:val="22"/>
                <w:szCs w:val="22"/>
              </w:rPr>
              <w:t>). Due to the number of participants, each with their own profit and loss requirements, the cost to provide a full prepaid program is higher than credit or debit.</w:t>
            </w:r>
          </w:p>
          <w:p w14:paraId="211714CF" w14:textId="77777777" w:rsidR="00F33E29" w:rsidRPr="00C42A50" w:rsidRDefault="00F33E29" w:rsidP="004B44C6">
            <w:pPr>
              <w:rPr>
                <w:rFonts w:ascii="Segoe UI" w:hAnsi="Segoe UI" w:cs="Segoe UI"/>
                <w:sz w:val="22"/>
                <w:szCs w:val="22"/>
              </w:rPr>
            </w:pPr>
          </w:p>
          <w:p w14:paraId="0D860179" w14:textId="77777777" w:rsidR="00F33E29" w:rsidRPr="00C42A50" w:rsidRDefault="00F33E29" w:rsidP="004B44C6">
            <w:pPr>
              <w:rPr>
                <w:rFonts w:ascii="Segoe UI" w:hAnsi="Segoe UI" w:cs="Segoe UI"/>
                <w:sz w:val="22"/>
                <w:szCs w:val="22"/>
              </w:rPr>
            </w:pPr>
            <w:r w:rsidRPr="00C42A50">
              <w:rPr>
                <w:rFonts w:ascii="Segoe UI" w:hAnsi="Segoe UI" w:cs="Segoe UI"/>
                <w:noProof/>
                <w:sz w:val="22"/>
                <w:szCs w:val="22"/>
                <w:lang w:val="en-AU" w:eastAsia="en-AU"/>
              </w:rPr>
              <w:drawing>
                <wp:inline distT="0" distB="0" distL="0" distR="0" wp14:anchorId="075E645A" wp14:editId="4B3C9269">
                  <wp:extent cx="5587472" cy="1868714"/>
                  <wp:effectExtent l="0" t="0" r="635" b="1143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612913" cy="1877223"/>
                          </a:xfrm>
                          <a:prstGeom prst="rect">
                            <a:avLst/>
                          </a:prstGeom>
                          <a:noFill/>
                        </pic:spPr>
                      </pic:pic>
                    </a:graphicData>
                  </a:graphic>
                </wp:inline>
              </w:drawing>
            </w:r>
          </w:p>
          <w:p w14:paraId="68F3423E" w14:textId="77777777" w:rsidR="00F33E29" w:rsidRPr="00C42A50" w:rsidRDefault="00F33E29" w:rsidP="004B44C6">
            <w:pPr>
              <w:spacing w:line="276" w:lineRule="auto"/>
              <w:jc w:val="both"/>
              <w:rPr>
                <w:rFonts w:ascii="Segoe UI" w:hAnsi="Segoe UI" w:cs="Segoe UI"/>
                <w:sz w:val="22"/>
                <w:szCs w:val="22"/>
              </w:rPr>
            </w:pPr>
          </w:p>
        </w:tc>
      </w:tr>
    </w:tbl>
    <w:p w14:paraId="78DD5FF4" w14:textId="77777777" w:rsidR="00F33E29" w:rsidRPr="00C42A50" w:rsidRDefault="00F33E29" w:rsidP="00F33E29">
      <w:pPr>
        <w:rPr>
          <w:rFonts w:ascii="Segoe UI" w:hAnsi="Segoe UI" w:cs="Segoe UI"/>
          <w:sz w:val="22"/>
          <w:szCs w:val="22"/>
        </w:rPr>
      </w:pPr>
    </w:p>
    <w:p w14:paraId="5FB70A8D" w14:textId="77777777" w:rsidR="00F33E29" w:rsidRPr="00F33E29" w:rsidRDefault="00F33E29" w:rsidP="00F33E29">
      <w:pPr>
        <w:jc w:val="both"/>
        <w:rPr>
          <w:rFonts w:ascii="Segoe UI" w:hAnsi="Segoe UI" w:cs="Segoe UI"/>
          <w:b/>
          <w:i/>
          <w:color w:val="4F81BD" w:themeColor="accent1"/>
          <w:sz w:val="22"/>
          <w:szCs w:val="22"/>
        </w:rPr>
      </w:pPr>
      <w:r w:rsidRPr="00F33E29">
        <w:rPr>
          <w:rFonts w:ascii="Segoe UI" w:hAnsi="Segoe UI" w:cs="Segoe UI"/>
          <w:b/>
          <w:i/>
          <w:color w:val="4F81BD" w:themeColor="accent1"/>
          <w:sz w:val="22"/>
          <w:szCs w:val="22"/>
        </w:rPr>
        <w:t>Competitive Position</w:t>
      </w:r>
    </w:p>
    <w:p w14:paraId="0C1CA741" w14:textId="10502741" w:rsidR="00F33E29" w:rsidRPr="00C42A50" w:rsidRDefault="00F33E29" w:rsidP="00F33E29">
      <w:pPr>
        <w:spacing w:line="276" w:lineRule="auto"/>
        <w:jc w:val="both"/>
        <w:rPr>
          <w:rFonts w:ascii="Segoe UI" w:hAnsi="Segoe UI" w:cs="Segoe UI"/>
          <w:sz w:val="22"/>
          <w:szCs w:val="22"/>
        </w:rPr>
      </w:pPr>
      <w:r w:rsidRPr="00C42A50">
        <w:rPr>
          <w:rFonts w:ascii="Segoe UI" w:hAnsi="Segoe UI" w:cs="Segoe UI"/>
          <w:sz w:val="22"/>
          <w:szCs w:val="22"/>
          <w:lang w:val="en-AU"/>
        </w:rPr>
        <w:br/>
      </w:r>
      <w:r w:rsidRPr="00C42A50">
        <w:rPr>
          <w:rFonts w:ascii="Segoe UI" w:hAnsi="Segoe UI" w:cs="Segoe UI"/>
          <w:sz w:val="22"/>
          <w:szCs w:val="22"/>
        </w:rPr>
        <w:t xml:space="preserve">Anecdotally, the prepaid landscape in Australia is dominated by closed loop and </w:t>
      </w:r>
      <w:r w:rsidR="00193F12">
        <w:rPr>
          <w:rFonts w:ascii="Segoe UI" w:hAnsi="Segoe UI" w:cs="Segoe UI"/>
          <w:sz w:val="22"/>
          <w:szCs w:val="22"/>
        </w:rPr>
        <w:t>eftpos</w:t>
      </w:r>
      <w:r w:rsidRPr="00C42A50">
        <w:rPr>
          <w:rFonts w:ascii="Segoe UI" w:hAnsi="Segoe UI" w:cs="Segoe UI"/>
          <w:sz w:val="22"/>
          <w:szCs w:val="22"/>
        </w:rPr>
        <w:t xml:space="preserve"> programs with open loop programs (Visa and MasterCard) only recently gaining </w:t>
      </w:r>
      <w:r w:rsidR="00115B27">
        <w:rPr>
          <w:rFonts w:ascii="Segoe UI" w:hAnsi="Segoe UI" w:cs="Segoe UI"/>
          <w:sz w:val="22"/>
          <w:szCs w:val="22"/>
        </w:rPr>
        <w:t>traction</w:t>
      </w:r>
      <w:r w:rsidRPr="00C42A50">
        <w:rPr>
          <w:rFonts w:ascii="Segoe UI" w:hAnsi="Segoe UI" w:cs="Segoe UI"/>
          <w:sz w:val="22"/>
          <w:szCs w:val="22"/>
        </w:rPr>
        <w:t xml:space="preserve"> mainly in the </w:t>
      </w:r>
      <w:r>
        <w:rPr>
          <w:rFonts w:ascii="Segoe UI" w:hAnsi="Segoe UI" w:cs="Segoe UI"/>
          <w:sz w:val="22"/>
          <w:szCs w:val="22"/>
        </w:rPr>
        <w:t xml:space="preserve">international </w:t>
      </w:r>
      <w:r w:rsidRPr="00C42A50">
        <w:rPr>
          <w:rFonts w:ascii="Segoe UI" w:hAnsi="Segoe UI" w:cs="Segoe UI"/>
          <w:sz w:val="22"/>
          <w:szCs w:val="22"/>
        </w:rPr>
        <w:t xml:space="preserve">travel segment. Market forces, especially costs for data processing and brand fees, ensure that there is choice of scheme depending on the use case of the cardholder. </w:t>
      </w:r>
      <w:r w:rsidRPr="008837A6">
        <w:rPr>
          <w:rFonts w:ascii="Segoe UI" w:hAnsi="Segoe UI" w:cs="Segoe UI"/>
          <w:sz w:val="22"/>
          <w:szCs w:val="22"/>
        </w:rPr>
        <w:t xml:space="preserve"> There is therefore already an efficient marketplace for prepaid as card holder use case will define which model or network is used by the issuer, be it closed loop, </w:t>
      </w:r>
      <w:r w:rsidR="00193F12">
        <w:rPr>
          <w:rFonts w:ascii="Segoe UI" w:hAnsi="Segoe UI" w:cs="Segoe UI"/>
          <w:sz w:val="22"/>
          <w:szCs w:val="22"/>
        </w:rPr>
        <w:t>eftpos</w:t>
      </w:r>
      <w:r w:rsidRPr="008837A6">
        <w:rPr>
          <w:rFonts w:ascii="Segoe UI" w:hAnsi="Segoe UI" w:cs="Segoe UI"/>
          <w:sz w:val="22"/>
          <w:szCs w:val="22"/>
        </w:rPr>
        <w:t xml:space="preserve"> or open loop.</w:t>
      </w:r>
      <w:r>
        <w:rPr>
          <w:rFonts w:ascii="Segoe UI" w:hAnsi="Segoe UI" w:cs="Segoe UI"/>
          <w:sz w:val="22"/>
          <w:szCs w:val="22"/>
        </w:rPr>
        <w:t xml:space="preserve"> If the RBA were to pursue regulation of prepaid as an additional product set, it would be important that all providers of said set were encompassed by that regulation, regardless of model or network type.</w:t>
      </w:r>
    </w:p>
    <w:p w14:paraId="42492EE5" w14:textId="77777777" w:rsidR="00F33E29" w:rsidRPr="00C42A50" w:rsidRDefault="00F33E29" w:rsidP="00F33E29">
      <w:pPr>
        <w:pStyle w:val="Heading2"/>
        <w:numPr>
          <w:ilvl w:val="1"/>
          <w:numId w:val="21"/>
        </w:numPr>
        <w:ind w:left="567" w:hanging="567"/>
        <w:rPr>
          <w:rFonts w:ascii="Segoe UI" w:hAnsi="Segoe UI" w:cs="Segoe UI"/>
          <w:sz w:val="22"/>
          <w:szCs w:val="22"/>
        </w:rPr>
      </w:pPr>
      <w:bookmarkStart w:id="77" w:name="_Toc417303952"/>
      <w:bookmarkStart w:id="78" w:name="_Toc417572709"/>
      <w:r w:rsidRPr="00C42A50">
        <w:rPr>
          <w:rFonts w:ascii="Segoe UI" w:hAnsi="Segoe UI" w:cs="Segoe UI"/>
          <w:sz w:val="22"/>
          <w:szCs w:val="22"/>
        </w:rPr>
        <w:t>Commercial cards</w:t>
      </w:r>
      <w:bookmarkEnd w:id="77"/>
      <w:bookmarkEnd w:id="78"/>
    </w:p>
    <w:p w14:paraId="0C98EF92" w14:textId="77777777" w:rsidR="00F33E29" w:rsidRPr="00C42A50" w:rsidRDefault="00F33E29" w:rsidP="00F33E29">
      <w:pPr>
        <w:rPr>
          <w:rFonts w:ascii="Segoe UI" w:hAnsi="Segoe UI" w:cs="Segoe UI"/>
          <w:sz w:val="22"/>
          <w:szCs w:val="22"/>
        </w:rPr>
      </w:pPr>
    </w:p>
    <w:p w14:paraId="622B687D" w14:textId="77777777" w:rsidR="00F33E29" w:rsidRPr="00C42A50" w:rsidRDefault="00F33E29" w:rsidP="00F33E29">
      <w:pPr>
        <w:spacing w:line="276" w:lineRule="auto"/>
        <w:jc w:val="both"/>
        <w:rPr>
          <w:rFonts w:ascii="Segoe UI" w:eastAsia="SimSun" w:hAnsi="Segoe UI" w:cs="Segoe UI"/>
          <w:sz w:val="22"/>
          <w:szCs w:val="22"/>
          <w:lang w:val="en-AU" w:eastAsia="zh-CN"/>
        </w:rPr>
      </w:pPr>
      <w:r w:rsidRPr="00C42A50">
        <w:rPr>
          <w:rFonts w:ascii="Segoe UI" w:hAnsi="Segoe UI" w:cs="Segoe UI"/>
          <w:sz w:val="22"/>
          <w:szCs w:val="22"/>
        </w:rPr>
        <w:t xml:space="preserve">This section considers the case for </w:t>
      </w:r>
      <w:r w:rsidRPr="00C42A50">
        <w:rPr>
          <w:rFonts w:ascii="Segoe UI" w:eastAsia="SimSun" w:hAnsi="Segoe UI" w:cs="Segoe UI"/>
          <w:sz w:val="22"/>
          <w:szCs w:val="22"/>
          <w:lang w:val="en-AU" w:eastAsia="zh-CN"/>
        </w:rPr>
        <w:t xml:space="preserve">removing of Commercial Credit Card transaction volumes from the RBA’s </w:t>
      </w:r>
      <w:r w:rsidRPr="00C42A50">
        <w:rPr>
          <w:rFonts w:ascii="Segoe UI" w:eastAsia="SimSun" w:hAnsi="Segoe UI" w:cs="Segoe UI"/>
          <w:i/>
          <w:sz w:val="22"/>
          <w:szCs w:val="22"/>
          <w:lang w:val="en-AU" w:eastAsia="zh-CN"/>
        </w:rPr>
        <w:t>Standard for The Setting of Wholesale (“Interchange”) Fees in the Designated Credit Card Schemes</w:t>
      </w:r>
      <w:r w:rsidRPr="00C42A50">
        <w:rPr>
          <w:rFonts w:ascii="Segoe UI" w:eastAsia="SimSun" w:hAnsi="Segoe UI" w:cs="Segoe UI"/>
          <w:sz w:val="22"/>
          <w:szCs w:val="22"/>
          <w:lang w:val="en-AU" w:eastAsia="zh-CN"/>
        </w:rPr>
        <w:t xml:space="preserve">.  </w:t>
      </w:r>
    </w:p>
    <w:p w14:paraId="365462F2" w14:textId="77777777" w:rsidR="00F33E29" w:rsidRDefault="00F33E29" w:rsidP="00F33E29">
      <w:pPr>
        <w:jc w:val="both"/>
        <w:rPr>
          <w:rFonts w:ascii="Segoe UI" w:hAnsi="Segoe UI" w:cs="Segoe UI"/>
          <w:b/>
          <w:i/>
          <w:color w:val="4F81BD" w:themeColor="accent1"/>
          <w:sz w:val="22"/>
          <w:szCs w:val="22"/>
        </w:rPr>
      </w:pPr>
    </w:p>
    <w:p w14:paraId="5E64A817" w14:textId="77777777" w:rsidR="00F33E29" w:rsidRPr="00F33E29" w:rsidRDefault="00F33E29" w:rsidP="00F33E29">
      <w:pPr>
        <w:jc w:val="both"/>
        <w:rPr>
          <w:rFonts w:ascii="Segoe UI" w:hAnsi="Segoe UI" w:cs="Segoe UI"/>
          <w:b/>
          <w:i/>
          <w:color w:val="4F81BD" w:themeColor="accent1"/>
          <w:sz w:val="22"/>
          <w:szCs w:val="22"/>
        </w:rPr>
      </w:pPr>
      <w:r w:rsidRPr="00F33E29">
        <w:rPr>
          <w:rFonts w:ascii="Segoe UI" w:hAnsi="Segoe UI" w:cs="Segoe UI"/>
          <w:b/>
          <w:i/>
          <w:color w:val="4F81BD" w:themeColor="accent1"/>
          <w:sz w:val="22"/>
          <w:szCs w:val="22"/>
        </w:rPr>
        <w:lastRenderedPageBreak/>
        <w:t>Regulatory Background</w:t>
      </w:r>
    </w:p>
    <w:p w14:paraId="569173D0" w14:textId="77777777" w:rsidR="00F33E29" w:rsidRPr="00C42A50" w:rsidRDefault="00F33E29" w:rsidP="00F33E29">
      <w:pPr>
        <w:rPr>
          <w:rFonts w:ascii="Segoe UI" w:hAnsi="Segoe UI" w:cs="Segoe UI"/>
          <w:sz w:val="22"/>
          <w:szCs w:val="22"/>
        </w:rPr>
      </w:pPr>
    </w:p>
    <w:p w14:paraId="2514DD43" w14:textId="77777777" w:rsidR="00F33E29" w:rsidRDefault="00F33E29" w:rsidP="00F33E29">
      <w:pPr>
        <w:spacing w:line="276" w:lineRule="auto"/>
        <w:jc w:val="both"/>
        <w:rPr>
          <w:rFonts w:ascii="Segoe UI" w:hAnsi="Segoe UI" w:cs="Segoe UI"/>
          <w:sz w:val="22"/>
          <w:szCs w:val="22"/>
        </w:rPr>
      </w:pPr>
      <w:r>
        <w:rPr>
          <w:rFonts w:ascii="Segoe UI" w:hAnsi="Segoe UI" w:cs="Segoe UI"/>
          <w:sz w:val="22"/>
          <w:szCs w:val="22"/>
        </w:rPr>
        <w:t>T</w:t>
      </w:r>
      <w:r w:rsidRPr="00C42A50">
        <w:rPr>
          <w:rFonts w:ascii="Segoe UI" w:hAnsi="Segoe UI" w:cs="Segoe UI"/>
          <w:sz w:val="22"/>
          <w:szCs w:val="22"/>
        </w:rPr>
        <w:t>he RBA’s Wholesale Interchange Fee Standard sets out the requirements for a cost-based methodology for the setting of interchange fees</w:t>
      </w:r>
      <w:r>
        <w:rPr>
          <w:rFonts w:ascii="Segoe UI" w:hAnsi="Segoe UI" w:cs="Segoe UI"/>
          <w:sz w:val="22"/>
          <w:szCs w:val="22"/>
        </w:rPr>
        <w:t xml:space="preserve"> by four party schemes only</w:t>
      </w:r>
      <w:r w:rsidRPr="00C42A50">
        <w:rPr>
          <w:rFonts w:ascii="Segoe UI" w:hAnsi="Segoe UI" w:cs="Segoe UI"/>
          <w:sz w:val="22"/>
          <w:szCs w:val="22"/>
        </w:rPr>
        <w:t xml:space="preserve">. The standard requires that the weighted average of a </w:t>
      </w:r>
      <w:r>
        <w:rPr>
          <w:rFonts w:ascii="Segoe UI" w:hAnsi="Segoe UI" w:cs="Segoe UI"/>
          <w:sz w:val="22"/>
          <w:szCs w:val="22"/>
        </w:rPr>
        <w:t xml:space="preserve">four-party </w:t>
      </w:r>
      <w:r w:rsidRPr="00C42A50">
        <w:rPr>
          <w:rFonts w:ascii="Segoe UI" w:hAnsi="Segoe UI" w:cs="Segoe UI"/>
          <w:sz w:val="22"/>
          <w:szCs w:val="22"/>
        </w:rPr>
        <w:t xml:space="preserve">scheme’s credit card interchange fees must not exceed the common benchmark set by the RBA, calculated as the weighted average of eligible Scheme participant’s costs. By inference all scheme credit card products are captured by the standard (including commercial cards), and therefore must be included in the scheme’s weighted average interchange fee calculation.  </w:t>
      </w:r>
    </w:p>
    <w:p w14:paraId="2C791FFE" w14:textId="77777777" w:rsidR="00F33E29" w:rsidRDefault="00F33E29" w:rsidP="00F33E29">
      <w:pPr>
        <w:spacing w:line="276" w:lineRule="auto"/>
        <w:jc w:val="both"/>
        <w:rPr>
          <w:rFonts w:ascii="Segoe UI" w:hAnsi="Segoe UI" w:cs="Segoe UI"/>
          <w:sz w:val="22"/>
          <w:szCs w:val="22"/>
        </w:rPr>
      </w:pPr>
    </w:p>
    <w:p w14:paraId="3DCD2625" w14:textId="77777777" w:rsidR="00F33E29" w:rsidRDefault="00F33E29" w:rsidP="00F33E29">
      <w:pPr>
        <w:spacing w:line="276" w:lineRule="auto"/>
        <w:jc w:val="both"/>
        <w:rPr>
          <w:rFonts w:ascii="Segoe UI" w:hAnsi="Segoe UI" w:cs="Segoe UI"/>
          <w:sz w:val="22"/>
          <w:szCs w:val="22"/>
        </w:rPr>
      </w:pPr>
      <w:r>
        <w:rPr>
          <w:rFonts w:ascii="Segoe UI" w:hAnsi="Segoe UI" w:cs="Segoe UI"/>
          <w:sz w:val="22"/>
          <w:szCs w:val="22"/>
        </w:rPr>
        <w:t>At present three-party schemes are not incorporated into the regulatory environment which has had a significant impact on the commercial credit card landscape. As detailed below, the different economic model and cost base for commercial credit has meant that three-party schemes have been able to gain significant market share through offering higher incentives (rebates) to corporate and government clients. This distortion in the marketplace would be further exacerbated under a ‘hard cap’ interchange regime for four-party schemes if three-party schemes are excluded.</w:t>
      </w:r>
    </w:p>
    <w:p w14:paraId="023D2F3D" w14:textId="77777777" w:rsidR="00F33E29" w:rsidRDefault="00F33E29" w:rsidP="00F33E29">
      <w:pPr>
        <w:spacing w:line="276" w:lineRule="auto"/>
        <w:jc w:val="both"/>
        <w:rPr>
          <w:rFonts w:ascii="Segoe UI" w:hAnsi="Segoe UI" w:cs="Segoe UI"/>
          <w:sz w:val="22"/>
          <w:szCs w:val="22"/>
        </w:rPr>
      </w:pPr>
    </w:p>
    <w:p w14:paraId="0049E9D1" w14:textId="5AFFADFC" w:rsidR="00F33E29" w:rsidRPr="00F33E29" w:rsidRDefault="00F33E29" w:rsidP="00F33E29">
      <w:pPr>
        <w:spacing w:line="276" w:lineRule="auto"/>
        <w:jc w:val="both"/>
        <w:rPr>
          <w:rFonts w:ascii="Segoe UI" w:hAnsi="Segoe UI" w:cs="Segoe UI"/>
          <w:sz w:val="22"/>
          <w:szCs w:val="22"/>
        </w:rPr>
      </w:pPr>
      <w:r w:rsidRPr="00F33E29">
        <w:rPr>
          <w:rFonts w:ascii="Segoe UI" w:hAnsi="Segoe UI" w:cs="Segoe UI"/>
          <w:sz w:val="22"/>
          <w:szCs w:val="22"/>
        </w:rPr>
        <w:t>In Europe it was deemed that capping the interchange fee for commercial cards would have significant unintended consequences, without any tangible benefit for merchants. On the contrary, businesses or governments would find themselves faced with more costly commercial cards and would have turned to less efficient forms of payment, leading to fewer cost savings and even greater expense. In addition, the argument was accepted that some issuers of commercial cards would have abandoned the business leading to more consolidation and less competition within commercial cards. Commercial cards should be excluded from the scope of proposed regulations for these reasons.</w:t>
      </w:r>
    </w:p>
    <w:p w14:paraId="2E9BA250" w14:textId="77777777" w:rsidR="00F33E29" w:rsidRPr="00C42A50" w:rsidRDefault="00F33E29" w:rsidP="00F33E29">
      <w:pPr>
        <w:spacing w:line="276" w:lineRule="auto"/>
        <w:jc w:val="both"/>
        <w:rPr>
          <w:rFonts w:ascii="Segoe UI" w:hAnsi="Segoe UI" w:cs="Segoe UI"/>
          <w:sz w:val="22"/>
          <w:szCs w:val="22"/>
        </w:rPr>
      </w:pPr>
    </w:p>
    <w:p w14:paraId="23AEA80E" w14:textId="77777777" w:rsidR="00F33E29" w:rsidRDefault="00F33E29" w:rsidP="00F33E29">
      <w:pPr>
        <w:rPr>
          <w:rFonts w:ascii="Segoe UI" w:hAnsi="Segoe UI" w:cs="Segoe UI"/>
          <w:b/>
          <w:i/>
          <w:color w:val="4F81BD" w:themeColor="accent1"/>
          <w:sz w:val="22"/>
          <w:szCs w:val="22"/>
        </w:rPr>
      </w:pPr>
      <w:r w:rsidRPr="00F33E29">
        <w:rPr>
          <w:rFonts w:ascii="Segoe UI" w:hAnsi="Segoe UI" w:cs="Segoe UI"/>
          <w:b/>
          <w:i/>
          <w:color w:val="4F81BD" w:themeColor="accent1"/>
          <w:sz w:val="22"/>
          <w:szCs w:val="22"/>
        </w:rPr>
        <w:t>The economics of commercial cards</w:t>
      </w:r>
    </w:p>
    <w:p w14:paraId="7E71F839" w14:textId="77777777" w:rsidR="00F33E29" w:rsidRPr="00C42A50" w:rsidRDefault="00F33E29" w:rsidP="00F33E29">
      <w:pPr>
        <w:rPr>
          <w:rFonts w:ascii="Segoe UI" w:hAnsi="Segoe UI" w:cs="Segoe UI"/>
          <w:sz w:val="22"/>
          <w:szCs w:val="22"/>
        </w:rPr>
      </w:pPr>
    </w:p>
    <w:p w14:paraId="754CAC6C" w14:textId="77777777" w:rsidR="00F33E29" w:rsidRPr="00C42A50" w:rsidRDefault="00F33E29" w:rsidP="00F33E29">
      <w:pPr>
        <w:spacing w:line="276" w:lineRule="auto"/>
        <w:jc w:val="both"/>
        <w:rPr>
          <w:rFonts w:ascii="Segoe UI" w:hAnsi="Segoe UI" w:cs="Segoe UI"/>
          <w:sz w:val="22"/>
          <w:szCs w:val="22"/>
        </w:rPr>
      </w:pPr>
      <w:r w:rsidRPr="00C42A50">
        <w:rPr>
          <w:rFonts w:ascii="Segoe UI" w:hAnsi="Segoe UI" w:cs="Segoe UI"/>
          <w:sz w:val="22"/>
          <w:szCs w:val="22"/>
        </w:rPr>
        <w:t>There are a number of factors that impact on the commercial cards issuing business model that are not relevant in a consumer cards model. These include:</w:t>
      </w:r>
    </w:p>
    <w:p w14:paraId="197FA60B" w14:textId="77777777" w:rsidR="00F33E29" w:rsidRPr="00C42A50" w:rsidRDefault="00F33E29" w:rsidP="00F33E29">
      <w:pPr>
        <w:rPr>
          <w:rFonts w:ascii="Segoe UI" w:hAnsi="Segoe UI" w:cs="Segoe UI"/>
          <w:sz w:val="22"/>
          <w:szCs w:val="22"/>
          <w:lang w:val="en-AU" w:eastAsia="zh-CN"/>
        </w:rPr>
      </w:pPr>
    </w:p>
    <w:p w14:paraId="5111C2BF" w14:textId="77777777" w:rsidR="00F33E29" w:rsidRDefault="00F33E29" w:rsidP="00F33E29">
      <w:pPr>
        <w:pStyle w:val="ListParagraph"/>
        <w:numPr>
          <w:ilvl w:val="0"/>
          <w:numId w:val="9"/>
        </w:numPr>
        <w:spacing w:after="200" w:line="276" w:lineRule="auto"/>
        <w:ind w:left="426" w:hanging="426"/>
        <w:jc w:val="both"/>
        <w:rPr>
          <w:rFonts w:ascii="Segoe UI" w:hAnsi="Segoe UI" w:cs="Segoe UI"/>
          <w:sz w:val="22"/>
          <w:szCs w:val="22"/>
          <w:lang w:val="en-AU" w:eastAsia="zh-CN"/>
        </w:rPr>
      </w:pPr>
      <w:r w:rsidRPr="00C42A50">
        <w:rPr>
          <w:rFonts w:ascii="Segoe UI" w:hAnsi="Segoe UI" w:cs="Segoe UI"/>
          <w:b/>
          <w:sz w:val="22"/>
          <w:szCs w:val="22"/>
          <w:lang w:val="en-AU" w:eastAsia="zh-CN"/>
        </w:rPr>
        <w:t>Cost of acquisition and servicing</w:t>
      </w:r>
      <w:r w:rsidRPr="00C42A50">
        <w:rPr>
          <w:rFonts w:ascii="Segoe UI" w:hAnsi="Segoe UI" w:cs="Segoe UI"/>
          <w:sz w:val="22"/>
          <w:szCs w:val="22"/>
          <w:lang w:val="en-AU" w:eastAsia="zh-CN"/>
        </w:rPr>
        <w:t xml:space="preserve"> – Business customers, from micro to large corporate and government, generally require face to face sales and account management by dedicated business bankers. </w:t>
      </w:r>
      <w:r>
        <w:rPr>
          <w:rFonts w:ascii="Segoe UI" w:hAnsi="Segoe UI" w:cs="Segoe UI"/>
          <w:sz w:val="22"/>
          <w:szCs w:val="22"/>
          <w:lang w:val="en-AU" w:eastAsia="zh-CN"/>
        </w:rPr>
        <w:t xml:space="preserve">The provision and management of data to help business and government more easily reconcile payments and the software to manage that data comes at significant cost to the network and the issuer that is unrecoverable. </w:t>
      </w:r>
      <w:r w:rsidRPr="00C42A50">
        <w:rPr>
          <w:rFonts w:ascii="Segoe UI" w:hAnsi="Segoe UI" w:cs="Segoe UI"/>
          <w:sz w:val="22"/>
          <w:szCs w:val="22"/>
          <w:lang w:val="en-AU" w:eastAsia="zh-CN"/>
        </w:rPr>
        <w:t xml:space="preserve">This significantly increases the cost of ongoing management of these accounts. </w:t>
      </w:r>
    </w:p>
    <w:p w14:paraId="3168EF8E" w14:textId="77777777" w:rsidR="00F33E29" w:rsidRDefault="00F33E29" w:rsidP="00F33E29">
      <w:pPr>
        <w:pStyle w:val="ListParagraph"/>
        <w:spacing w:after="200" w:line="276" w:lineRule="auto"/>
        <w:ind w:left="426"/>
        <w:jc w:val="both"/>
        <w:rPr>
          <w:rFonts w:ascii="Segoe UI" w:hAnsi="Segoe UI" w:cs="Segoe UI"/>
          <w:sz w:val="22"/>
          <w:szCs w:val="22"/>
          <w:lang w:val="en-AU" w:eastAsia="zh-CN"/>
        </w:rPr>
      </w:pPr>
    </w:p>
    <w:p w14:paraId="21BAF015" w14:textId="77777777" w:rsidR="00F33E29" w:rsidRPr="00C42A50" w:rsidRDefault="00F33E29" w:rsidP="00F33E29">
      <w:pPr>
        <w:pStyle w:val="ListParagraph"/>
        <w:numPr>
          <w:ilvl w:val="0"/>
          <w:numId w:val="9"/>
        </w:numPr>
        <w:spacing w:after="200" w:line="276" w:lineRule="auto"/>
        <w:ind w:left="426" w:hanging="426"/>
        <w:jc w:val="both"/>
        <w:rPr>
          <w:rFonts w:ascii="Segoe UI" w:hAnsi="Segoe UI" w:cs="Segoe UI"/>
          <w:sz w:val="22"/>
          <w:szCs w:val="22"/>
          <w:lang w:val="en-AU" w:eastAsia="zh-CN"/>
        </w:rPr>
      </w:pPr>
      <w:r>
        <w:rPr>
          <w:rFonts w:ascii="Segoe UI" w:hAnsi="Segoe UI" w:cs="Segoe UI"/>
          <w:b/>
          <w:sz w:val="22"/>
          <w:szCs w:val="22"/>
          <w:lang w:val="en-AU" w:eastAsia="zh-CN"/>
        </w:rPr>
        <w:t xml:space="preserve">Competitive market forces </w:t>
      </w:r>
      <w:r>
        <w:rPr>
          <w:rFonts w:ascii="Segoe UI" w:hAnsi="Segoe UI" w:cs="Segoe UI"/>
          <w:sz w:val="22"/>
          <w:szCs w:val="22"/>
          <w:lang w:val="en-AU" w:eastAsia="zh-CN"/>
        </w:rPr>
        <w:t xml:space="preserve">- In competitive tenders for large corporate and government programs there is an expectation of rebate to fund development of the program within the client organisation. </w:t>
      </w:r>
      <w:r w:rsidRPr="00C42A50">
        <w:rPr>
          <w:rFonts w:ascii="Segoe UI" w:hAnsi="Segoe UI" w:cs="Segoe UI"/>
          <w:sz w:val="22"/>
          <w:szCs w:val="22"/>
          <w:lang w:val="en-AU" w:eastAsia="zh-CN"/>
        </w:rPr>
        <w:t xml:space="preserve">Most large corporate and government programs </w:t>
      </w:r>
      <w:r w:rsidRPr="00C42A50">
        <w:rPr>
          <w:rFonts w:ascii="Segoe UI" w:hAnsi="Segoe UI" w:cs="Segoe UI"/>
          <w:sz w:val="22"/>
          <w:szCs w:val="22"/>
          <w:lang w:val="en-AU" w:eastAsia="zh-CN"/>
        </w:rPr>
        <w:lastRenderedPageBreak/>
        <w:t>also attract a rebate from the issuer at point of acquisition and throughout the program which is analogous to a rewards program on consumer but is generally higher due to market forces, competing with unregulated three party schemes.</w:t>
      </w:r>
    </w:p>
    <w:p w14:paraId="1B9912C6" w14:textId="77777777" w:rsidR="00F33E29" w:rsidRPr="00C42A50" w:rsidRDefault="00F33E29" w:rsidP="00F33E29">
      <w:pPr>
        <w:pStyle w:val="ListParagraph"/>
        <w:spacing w:after="200" w:line="276" w:lineRule="auto"/>
        <w:ind w:left="426"/>
        <w:jc w:val="both"/>
        <w:rPr>
          <w:rFonts w:ascii="Segoe UI" w:hAnsi="Segoe UI" w:cs="Segoe UI"/>
          <w:sz w:val="22"/>
          <w:szCs w:val="22"/>
          <w:lang w:val="en-AU" w:eastAsia="zh-CN"/>
        </w:rPr>
      </w:pPr>
    </w:p>
    <w:p w14:paraId="5A71F1CC" w14:textId="77777777" w:rsidR="00F33E29" w:rsidRDefault="00F33E29" w:rsidP="00F33E29">
      <w:pPr>
        <w:pStyle w:val="ListParagraph"/>
        <w:numPr>
          <w:ilvl w:val="0"/>
          <w:numId w:val="9"/>
        </w:numPr>
        <w:spacing w:after="200" w:line="276" w:lineRule="auto"/>
        <w:ind w:left="426" w:hanging="426"/>
        <w:jc w:val="both"/>
        <w:rPr>
          <w:rFonts w:ascii="Segoe UI" w:hAnsi="Segoe UI" w:cs="Segoe UI"/>
          <w:sz w:val="22"/>
          <w:szCs w:val="22"/>
          <w:lang w:val="en-AU" w:eastAsia="zh-CN"/>
        </w:rPr>
      </w:pPr>
      <w:r w:rsidRPr="00F33E29">
        <w:rPr>
          <w:rFonts w:ascii="Segoe UI" w:hAnsi="Segoe UI" w:cs="Segoe UI"/>
          <w:b/>
          <w:sz w:val="22"/>
          <w:szCs w:val="22"/>
          <w:lang w:val="en-AU" w:eastAsia="zh-CN"/>
        </w:rPr>
        <w:t>Credit scoring for business liability</w:t>
      </w:r>
      <w:r w:rsidRPr="00F33E29">
        <w:rPr>
          <w:rFonts w:ascii="Segoe UI" w:hAnsi="Segoe UI" w:cs="Segoe UI"/>
          <w:sz w:val="22"/>
          <w:szCs w:val="22"/>
          <w:lang w:val="en-AU" w:eastAsia="zh-CN"/>
        </w:rPr>
        <w:t xml:space="preserve"> – Most</w:t>
      </w:r>
      <w:r>
        <w:rPr>
          <w:rFonts w:ascii="Segoe UI" w:hAnsi="Segoe UI" w:cs="Segoe UI"/>
          <w:sz w:val="22"/>
          <w:szCs w:val="22"/>
          <w:lang w:val="en-AU" w:eastAsia="zh-CN"/>
        </w:rPr>
        <w:t>,</w:t>
      </w:r>
      <w:r w:rsidRPr="00F33E29">
        <w:rPr>
          <w:rFonts w:ascii="Segoe UI" w:hAnsi="Segoe UI" w:cs="Segoe UI"/>
          <w:sz w:val="22"/>
          <w:szCs w:val="22"/>
          <w:lang w:val="en-AU" w:eastAsia="zh-CN"/>
        </w:rPr>
        <w:t xml:space="preserve"> if not all</w:t>
      </w:r>
      <w:r>
        <w:rPr>
          <w:rFonts w:ascii="Segoe UI" w:hAnsi="Segoe UI" w:cs="Segoe UI"/>
          <w:sz w:val="22"/>
          <w:szCs w:val="22"/>
          <w:lang w:val="en-AU" w:eastAsia="zh-CN"/>
        </w:rPr>
        <w:t>,</w:t>
      </w:r>
      <w:r w:rsidRPr="00F33E29">
        <w:rPr>
          <w:rFonts w:ascii="Segoe UI" w:hAnsi="Segoe UI" w:cs="Segoe UI"/>
          <w:sz w:val="22"/>
          <w:szCs w:val="22"/>
          <w:lang w:val="en-AU" w:eastAsia="zh-CN"/>
        </w:rPr>
        <w:t xml:space="preserve"> business liability credit facilities are manually assessed. This is due to the complexity of business balance sheet assessment especially in small business. This adds significant cost to the acquisition process given the specialisation of the resources involved and the time taken to review the required level of detail for the assessment. To discount this difference in cost structure could significantly impact small business access to credit.</w:t>
      </w:r>
    </w:p>
    <w:p w14:paraId="6055FDF8" w14:textId="77777777" w:rsidR="00F33E29" w:rsidRPr="00F33E29" w:rsidRDefault="00F33E29" w:rsidP="00F33E29">
      <w:pPr>
        <w:pStyle w:val="ListParagraph"/>
        <w:rPr>
          <w:rFonts w:ascii="Segoe UI" w:hAnsi="Segoe UI" w:cs="Segoe UI"/>
          <w:sz w:val="22"/>
          <w:szCs w:val="22"/>
          <w:lang w:val="en-AU" w:eastAsia="zh-CN"/>
        </w:rPr>
      </w:pPr>
    </w:p>
    <w:p w14:paraId="5DFCEB48" w14:textId="77777777" w:rsidR="00F33E29" w:rsidRDefault="00F33E29" w:rsidP="00F33E29">
      <w:pPr>
        <w:pStyle w:val="ListParagraph"/>
        <w:numPr>
          <w:ilvl w:val="0"/>
          <w:numId w:val="9"/>
        </w:numPr>
        <w:spacing w:after="200" w:line="276" w:lineRule="auto"/>
        <w:ind w:left="450" w:hanging="450"/>
        <w:jc w:val="both"/>
        <w:rPr>
          <w:rFonts w:ascii="Segoe UI" w:hAnsi="Segoe UI" w:cs="Segoe UI"/>
          <w:sz w:val="22"/>
          <w:szCs w:val="22"/>
          <w:lang w:val="en-AU" w:eastAsia="zh-CN"/>
        </w:rPr>
      </w:pPr>
      <w:r w:rsidRPr="00F33E29">
        <w:rPr>
          <w:rFonts w:ascii="Segoe UI" w:hAnsi="Segoe UI" w:cs="Segoe UI"/>
          <w:b/>
          <w:sz w:val="22"/>
          <w:szCs w:val="22"/>
          <w:lang w:val="en-AU" w:eastAsia="zh-CN"/>
        </w:rPr>
        <w:t>Interchange revenue is a higher proportion of overall revenue</w:t>
      </w:r>
      <w:r w:rsidRPr="00F33E29">
        <w:rPr>
          <w:rFonts w:ascii="Segoe UI" w:hAnsi="Segoe UI" w:cs="Segoe UI"/>
          <w:sz w:val="22"/>
          <w:szCs w:val="22"/>
          <w:lang w:val="en-AU" w:eastAsia="zh-CN"/>
        </w:rPr>
        <w:t xml:space="preserve"> – in larger corporate deals for commercial cards revenue from interchange is estimated at 97% of total revenue based on discussions with Visa’s partner issuers of commercial products. These types of programs have a high cost of acquisition and credit underwriting, card fees are waived, there is an additional significant cost for data and reporting at no cost, and as charge cards there is no interest revenue. Even in smaller business programs there is a lower percentage of interest revenue as the credit card is not normally used as a longer term financing mechanism. This means that issuers rely more heavily on the interchange portion of revenue.</w:t>
      </w:r>
    </w:p>
    <w:p w14:paraId="4ADB2157" w14:textId="77777777" w:rsidR="00F33E29" w:rsidRPr="00F33E29" w:rsidRDefault="00F33E29" w:rsidP="00F33E29">
      <w:pPr>
        <w:pStyle w:val="ListParagraph"/>
        <w:rPr>
          <w:rFonts w:ascii="Segoe UI" w:hAnsi="Segoe UI" w:cs="Segoe UI"/>
          <w:b/>
          <w:sz w:val="22"/>
          <w:szCs w:val="22"/>
          <w:lang w:val="en-AU" w:eastAsia="zh-CN"/>
        </w:rPr>
      </w:pPr>
    </w:p>
    <w:p w14:paraId="539AEDEE" w14:textId="77777777" w:rsidR="00F33E29" w:rsidRPr="00C42A50" w:rsidRDefault="00F33E29" w:rsidP="00F33E29">
      <w:pPr>
        <w:pStyle w:val="ListParagraph"/>
        <w:numPr>
          <w:ilvl w:val="0"/>
          <w:numId w:val="9"/>
        </w:numPr>
        <w:spacing w:after="200" w:line="276" w:lineRule="auto"/>
        <w:ind w:left="426" w:hanging="426"/>
        <w:jc w:val="both"/>
        <w:rPr>
          <w:rFonts w:ascii="Segoe UI" w:hAnsi="Segoe UI" w:cs="Segoe UI"/>
          <w:sz w:val="22"/>
          <w:szCs w:val="22"/>
          <w:lang w:val="en-AU" w:eastAsia="zh-CN"/>
        </w:rPr>
      </w:pPr>
      <w:r w:rsidRPr="00C42A50">
        <w:rPr>
          <w:rFonts w:ascii="Segoe UI" w:hAnsi="Segoe UI" w:cs="Segoe UI"/>
          <w:b/>
          <w:sz w:val="22"/>
          <w:szCs w:val="22"/>
          <w:lang w:val="en-AU" w:eastAsia="zh-CN"/>
        </w:rPr>
        <w:t>Cost of funds for commercial issuers</w:t>
      </w:r>
      <w:r w:rsidRPr="00C42A50">
        <w:rPr>
          <w:rFonts w:ascii="Segoe UI" w:hAnsi="Segoe UI" w:cs="Segoe UI"/>
          <w:sz w:val="22"/>
          <w:szCs w:val="22"/>
          <w:lang w:val="en-AU" w:eastAsia="zh-CN"/>
        </w:rPr>
        <w:t xml:space="preserve"> – in large market commercial cards, issuers generally only issue charge card products with normal payment terms being greater than 14 days past statement date. This increases the cost of funds to a commercial card issuer as they may have double the exposure of the credit limit available on a charge card. These limits for commercial facilities are, in general, much higher than consumer cards regardless of whether the product is charge or a revolving line of credit.</w:t>
      </w:r>
    </w:p>
    <w:p w14:paraId="79A6AFCE" w14:textId="77777777" w:rsidR="00F33E29" w:rsidRPr="00F33E29" w:rsidRDefault="00F33E29" w:rsidP="00F33E29">
      <w:pPr>
        <w:rPr>
          <w:rFonts w:ascii="Segoe UI" w:hAnsi="Segoe UI" w:cs="Segoe UI"/>
          <w:b/>
          <w:i/>
          <w:color w:val="4F81BD" w:themeColor="accent1"/>
          <w:sz w:val="22"/>
          <w:szCs w:val="22"/>
        </w:rPr>
      </w:pPr>
      <w:r w:rsidRPr="00F33E29">
        <w:rPr>
          <w:rFonts w:ascii="Segoe UI" w:hAnsi="Segoe UI" w:cs="Segoe UI"/>
          <w:b/>
          <w:i/>
          <w:color w:val="4F81BD" w:themeColor="accent1"/>
          <w:sz w:val="22"/>
          <w:szCs w:val="22"/>
        </w:rPr>
        <w:t>Competitive Position</w:t>
      </w:r>
    </w:p>
    <w:p w14:paraId="0AB364B4" w14:textId="77777777" w:rsidR="00F33E29" w:rsidRDefault="00F33E29" w:rsidP="00F33E29"/>
    <w:p w14:paraId="1F2B1267" w14:textId="77777777" w:rsidR="00F33E29" w:rsidRDefault="00F33E29" w:rsidP="0089281F">
      <w:pPr>
        <w:jc w:val="both"/>
        <w:rPr>
          <w:rFonts w:ascii="Segoe UI" w:hAnsi="Segoe UI" w:cs="Segoe UI"/>
          <w:sz w:val="22"/>
          <w:szCs w:val="22"/>
          <w:lang w:val="en-AU"/>
        </w:rPr>
      </w:pPr>
      <w:r>
        <w:rPr>
          <w:rFonts w:ascii="Segoe UI" w:hAnsi="Segoe UI" w:cs="Segoe UI"/>
          <w:sz w:val="22"/>
          <w:szCs w:val="22"/>
          <w:lang w:val="en-AU"/>
        </w:rPr>
        <w:t xml:space="preserve">As discussed in </w:t>
      </w:r>
      <w:r w:rsidRPr="008837A6">
        <w:rPr>
          <w:rFonts w:ascii="Segoe UI" w:hAnsi="Segoe UI" w:cs="Segoe UI"/>
          <w:sz w:val="22"/>
          <w:szCs w:val="22"/>
          <w:lang w:val="en-AU"/>
        </w:rPr>
        <w:t>Chapter 2,</w:t>
      </w:r>
      <w:r>
        <w:rPr>
          <w:rFonts w:ascii="Segoe UI" w:hAnsi="Segoe UI" w:cs="Segoe UI"/>
          <w:sz w:val="22"/>
          <w:szCs w:val="22"/>
          <w:lang w:val="en-AU"/>
        </w:rPr>
        <w:t xml:space="preserve"> even under today’s regulatory arrangements there is a competitive imbalance afforded to the non-regulated schemes. Even if three-party schemes</w:t>
      </w:r>
      <w:r w:rsidRPr="00553DD0">
        <w:rPr>
          <w:rFonts w:ascii="Segoe UI" w:hAnsi="Segoe UI" w:cs="Segoe UI"/>
          <w:sz w:val="22"/>
          <w:szCs w:val="22"/>
          <w:lang w:val="en-AU"/>
        </w:rPr>
        <w:t xml:space="preserve"> </w:t>
      </w:r>
      <w:r>
        <w:rPr>
          <w:rFonts w:ascii="Segoe UI" w:hAnsi="Segoe UI" w:cs="Segoe UI"/>
          <w:sz w:val="22"/>
          <w:szCs w:val="22"/>
          <w:lang w:val="en-AU"/>
        </w:rPr>
        <w:t>were regulated on their offerings that resemble four-party cards, this uneven playing field would continue in relation to commercial cards.</w:t>
      </w:r>
    </w:p>
    <w:p w14:paraId="526DB80F" w14:textId="77777777" w:rsidR="00F33E29" w:rsidRDefault="00F33E29" w:rsidP="00F33E29">
      <w:pPr>
        <w:rPr>
          <w:rFonts w:ascii="Segoe UI" w:hAnsi="Segoe UI" w:cs="Segoe UI"/>
          <w:sz w:val="22"/>
          <w:szCs w:val="22"/>
          <w:lang w:val="en-AU"/>
        </w:rPr>
      </w:pPr>
    </w:p>
    <w:p w14:paraId="563AEB98" w14:textId="77777777" w:rsidR="00F33E29" w:rsidRDefault="00F33E29" w:rsidP="0089281F">
      <w:pPr>
        <w:jc w:val="both"/>
        <w:rPr>
          <w:rFonts w:ascii="Segoe UI" w:hAnsi="Segoe UI" w:cs="Segoe UI"/>
          <w:sz w:val="22"/>
          <w:szCs w:val="22"/>
          <w:lang w:val="en-AU"/>
        </w:rPr>
      </w:pPr>
      <w:r>
        <w:rPr>
          <w:rFonts w:ascii="Segoe UI" w:hAnsi="Segoe UI" w:cs="Segoe UI"/>
          <w:sz w:val="22"/>
          <w:szCs w:val="22"/>
          <w:lang w:val="en-AU"/>
        </w:rPr>
        <w:t>Furthermore, this imbalance would move from challenging to chronic if the regulated component of the Australian commercial card market was further limited through either a lower of the interchange basket averages and/or the limitation of the operation of that mechanism. Under such a scenario this exemption for closed loop schemes’ proprietary cards would have a number of consequences:</w:t>
      </w:r>
    </w:p>
    <w:p w14:paraId="2D6CFF63" w14:textId="77777777" w:rsidR="00F33E29" w:rsidRPr="008837A6" w:rsidRDefault="00F33E29" w:rsidP="00F33E29"/>
    <w:p w14:paraId="3E744F64" w14:textId="1DC2835A" w:rsidR="0089281F" w:rsidRDefault="00F33E29" w:rsidP="0089281F">
      <w:pPr>
        <w:pStyle w:val="ListParagraph"/>
        <w:numPr>
          <w:ilvl w:val="0"/>
          <w:numId w:val="19"/>
        </w:numPr>
        <w:spacing w:after="200" w:line="276" w:lineRule="auto"/>
        <w:ind w:left="426" w:hanging="426"/>
        <w:jc w:val="both"/>
        <w:rPr>
          <w:rFonts w:ascii="Segoe UI" w:hAnsi="Segoe UI" w:cs="Segoe UI"/>
          <w:sz w:val="22"/>
          <w:szCs w:val="22"/>
          <w:lang w:val="en-AU" w:eastAsia="zh-CN"/>
        </w:rPr>
      </w:pPr>
      <w:r w:rsidRPr="00C42A50">
        <w:rPr>
          <w:rFonts w:ascii="Segoe UI" w:hAnsi="Segoe UI" w:cs="Segoe UI"/>
          <w:b/>
          <w:sz w:val="22"/>
          <w:szCs w:val="22"/>
          <w:lang w:val="en-AU" w:eastAsia="zh-CN"/>
        </w:rPr>
        <w:t>Creating an uneven playing field</w:t>
      </w:r>
      <w:r w:rsidRPr="00C42A50">
        <w:rPr>
          <w:rFonts w:ascii="Segoe UI" w:hAnsi="Segoe UI" w:cs="Segoe UI"/>
          <w:sz w:val="22"/>
          <w:szCs w:val="22"/>
          <w:lang w:val="en-AU" w:eastAsia="zh-CN"/>
        </w:rPr>
        <w:t xml:space="preserve"> for four party issuers to compete on commercial terms for large corporate deals. As noted above, interchange is effectively the </w:t>
      </w:r>
      <w:r w:rsidR="00115B27">
        <w:rPr>
          <w:rFonts w:ascii="Segoe UI" w:hAnsi="Segoe UI" w:cs="Segoe UI"/>
          <w:sz w:val="22"/>
          <w:szCs w:val="22"/>
          <w:lang w:val="en-AU" w:eastAsia="zh-CN"/>
        </w:rPr>
        <w:t>primary</w:t>
      </w:r>
      <w:r w:rsidR="00115B27" w:rsidRPr="00C42A50">
        <w:rPr>
          <w:rFonts w:ascii="Segoe UI" w:hAnsi="Segoe UI" w:cs="Segoe UI"/>
          <w:sz w:val="22"/>
          <w:szCs w:val="22"/>
          <w:lang w:val="en-AU" w:eastAsia="zh-CN"/>
        </w:rPr>
        <w:t xml:space="preserve"> </w:t>
      </w:r>
      <w:r w:rsidRPr="00C42A50">
        <w:rPr>
          <w:rFonts w:ascii="Segoe UI" w:hAnsi="Segoe UI" w:cs="Segoe UI"/>
          <w:sz w:val="22"/>
          <w:szCs w:val="22"/>
          <w:lang w:val="en-AU" w:eastAsia="zh-CN"/>
        </w:rPr>
        <w:lastRenderedPageBreak/>
        <w:t>revenue source and through disparity of regulation, three party schemes are able to offer significantly better financial terms.</w:t>
      </w:r>
      <w:r w:rsidR="0089281F">
        <w:rPr>
          <w:rFonts w:ascii="Segoe UI" w:hAnsi="Segoe UI" w:cs="Segoe UI"/>
          <w:sz w:val="22"/>
          <w:szCs w:val="22"/>
          <w:lang w:val="en-AU" w:eastAsia="zh-CN"/>
        </w:rPr>
        <w:t xml:space="preserve"> </w:t>
      </w:r>
    </w:p>
    <w:p w14:paraId="498E3249" w14:textId="4A35CF43" w:rsidR="00F33E29" w:rsidRPr="00C42A50" w:rsidRDefault="00F33E29" w:rsidP="00464896">
      <w:pPr>
        <w:pStyle w:val="ListParagraph"/>
        <w:spacing w:after="200" w:line="276" w:lineRule="auto"/>
        <w:ind w:left="426"/>
        <w:jc w:val="both"/>
        <w:rPr>
          <w:rFonts w:ascii="Segoe UI" w:hAnsi="Segoe UI" w:cs="Segoe UI"/>
          <w:sz w:val="22"/>
          <w:szCs w:val="22"/>
          <w:lang w:val="en-AU" w:eastAsia="zh-CN"/>
        </w:rPr>
      </w:pPr>
    </w:p>
    <w:p w14:paraId="6F2BF2A2" w14:textId="77777777" w:rsidR="00F33E29" w:rsidRPr="00C42A50" w:rsidRDefault="00F33E29" w:rsidP="00F33E29">
      <w:pPr>
        <w:pStyle w:val="ListParagraph"/>
        <w:numPr>
          <w:ilvl w:val="0"/>
          <w:numId w:val="19"/>
        </w:numPr>
        <w:spacing w:after="200" w:line="276" w:lineRule="auto"/>
        <w:ind w:left="450" w:hanging="450"/>
        <w:jc w:val="both"/>
        <w:rPr>
          <w:rFonts w:ascii="Segoe UI" w:hAnsi="Segoe UI" w:cs="Segoe UI"/>
          <w:sz w:val="22"/>
          <w:szCs w:val="22"/>
          <w:lang w:val="en-AU" w:eastAsia="zh-CN"/>
        </w:rPr>
      </w:pPr>
      <w:r w:rsidRPr="00C42A50">
        <w:rPr>
          <w:rFonts w:ascii="Segoe UI" w:hAnsi="Segoe UI" w:cs="Segoe UI"/>
          <w:b/>
          <w:sz w:val="22"/>
          <w:szCs w:val="22"/>
          <w:lang w:val="en-AU"/>
        </w:rPr>
        <w:t>Reduced willingness for regulated commercial card issuers to pursue innovation in payments.</w:t>
      </w:r>
      <w:r w:rsidRPr="00C42A50">
        <w:rPr>
          <w:rFonts w:ascii="Segoe UI" w:hAnsi="Segoe UI" w:cs="Segoe UI"/>
          <w:sz w:val="22"/>
          <w:szCs w:val="22"/>
          <w:lang w:val="en-AU"/>
        </w:rPr>
        <w:t xml:space="preserve"> In other jurisdictions such as the United States, Canada and United Kingdom without regulated commercial interchange we have seen a movement to electronic payments that increase efficiency, both in process and working capital for businesses. Three party schemes have made developments in commercial data, especially GST reporting, due to their larger returns on investment in innovation. GST reporting was provided as a major factor in the decision by the Federal Government to award the 2011 travel cards tender to Diners International.</w:t>
      </w:r>
    </w:p>
    <w:p w14:paraId="04082212" w14:textId="77777777" w:rsidR="00F33E29" w:rsidRPr="00C42A50" w:rsidRDefault="00F33E29" w:rsidP="00F33E29">
      <w:pPr>
        <w:pStyle w:val="ListParagraph"/>
        <w:spacing w:after="200" w:line="276" w:lineRule="auto"/>
        <w:ind w:left="426"/>
        <w:jc w:val="both"/>
        <w:rPr>
          <w:rFonts w:ascii="Segoe UI" w:hAnsi="Segoe UI" w:cs="Segoe UI"/>
          <w:sz w:val="22"/>
          <w:szCs w:val="22"/>
          <w:lang w:val="en-AU" w:eastAsia="zh-CN"/>
        </w:rPr>
      </w:pPr>
    </w:p>
    <w:p w14:paraId="470FD1B3" w14:textId="77777777" w:rsidR="00F33E29" w:rsidRPr="00C42A50" w:rsidRDefault="00F33E29" w:rsidP="00F33E29">
      <w:pPr>
        <w:pStyle w:val="ListParagraph"/>
        <w:numPr>
          <w:ilvl w:val="0"/>
          <w:numId w:val="19"/>
        </w:numPr>
        <w:spacing w:after="200" w:line="276" w:lineRule="auto"/>
        <w:ind w:left="450" w:hanging="450"/>
        <w:jc w:val="both"/>
        <w:rPr>
          <w:rFonts w:ascii="Segoe UI" w:hAnsi="Segoe UI" w:cs="Segoe UI"/>
          <w:sz w:val="22"/>
          <w:szCs w:val="22"/>
          <w:lang w:val="en-AU" w:eastAsia="zh-CN"/>
        </w:rPr>
      </w:pPr>
      <w:r w:rsidRPr="00C42A50">
        <w:rPr>
          <w:rFonts w:ascii="Segoe UI" w:hAnsi="Segoe UI" w:cs="Segoe UI"/>
          <w:b/>
          <w:sz w:val="22"/>
          <w:szCs w:val="22"/>
          <w:lang w:val="en-AU"/>
        </w:rPr>
        <w:t xml:space="preserve">Increased </w:t>
      </w:r>
      <w:r>
        <w:rPr>
          <w:rFonts w:ascii="Segoe UI" w:hAnsi="Segoe UI" w:cs="Segoe UI"/>
          <w:b/>
          <w:sz w:val="22"/>
          <w:szCs w:val="22"/>
          <w:lang w:val="en-AU"/>
        </w:rPr>
        <w:t>B</w:t>
      </w:r>
      <w:r w:rsidRPr="00C42A50">
        <w:rPr>
          <w:rFonts w:ascii="Segoe UI" w:hAnsi="Segoe UI" w:cs="Segoe UI"/>
          <w:b/>
          <w:sz w:val="22"/>
          <w:szCs w:val="22"/>
          <w:lang w:val="en-AU"/>
        </w:rPr>
        <w:t>usiness-to-</w:t>
      </w:r>
      <w:r>
        <w:rPr>
          <w:rFonts w:ascii="Segoe UI" w:hAnsi="Segoe UI" w:cs="Segoe UI"/>
          <w:b/>
          <w:sz w:val="22"/>
          <w:szCs w:val="22"/>
          <w:lang w:val="en-AU"/>
        </w:rPr>
        <w:t>B</w:t>
      </w:r>
      <w:r w:rsidRPr="00C42A50">
        <w:rPr>
          <w:rFonts w:ascii="Segoe UI" w:hAnsi="Segoe UI" w:cs="Segoe UI"/>
          <w:b/>
          <w:sz w:val="22"/>
          <w:szCs w:val="22"/>
          <w:lang w:val="en-AU"/>
        </w:rPr>
        <w:t xml:space="preserve">usiness (B2B) and </w:t>
      </w:r>
      <w:r>
        <w:rPr>
          <w:rFonts w:ascii="Segoe UI" w:hAnsi="Segoe UI" w:cs="Segoe UI"/>
          <w:b/>
          <w:sz w:val="22"/>
          <w:szCs w:val="22"/>
          <w:lang w:val="en-AU"/>
        </w:rPr>
        <w:t>G</w:t>
      </w:r>
      <w:r w:rsidRPr="00C42A50">
        <w:rPr>
          <w:rFonts w:ascii="Segoe UI" w:hAnsi="Segoe UI" w:cs="Segoe UI"/>
          <w:b/>
          <w:sz w:val="22"/>
          <w:szCs w:val="22"/>
          <w:lang w:val="en-AU"/>
        </w:rPr>
        <w:t>overnment-to-</w:t>
      </w:r>
      <w:r>
        <w:rPr>
          <w:rFonts w:ascii="Segoe UI" w:hAnsi="Segoe UI" w:cs="Segoe UI"/>
          <w:b/>
          <w:sz w:val="22"/>
          <w:szCs w:val="22"/>
          <w:lang w:val="en-AU"/>
        </w:rPr>
        <w:t>B</w:t>
      </w:r>
      <w:r w:rsidRPr="00C42A50">
        <w:rPr>
          <w:rFonts w:ascii="Segoe UI" w:hAnsi="Segoe UI" w:cs="Segoe UI"/>
          <w:b/>
          <w:sz w:val="22"/>
          <w:szCs w:val="22"/>
          <w:lang w:val="en-AU"/>
        </w:rPr>
        <w:t>usiness (G2B) transaction and merchants’ costs</w:t>
      </w:r>
      <w:r w:rsidRPr="00C42A50">
        <w:rPr>
          <w:rFonts w:ascii="Segoe UI" w:hAnsi="Segoe UI" w:cs="Segoe UI"/>
          <w:sz w:val="22"/>
          <w:szCs w:val="22"/>
          <w:lang w:val="en-AU"/>
        </w:rPr>
        <w:t xml:space="preserve">. </w:t>
      </w:r>
      <w:r>
        <w:rPr>
          <w:rFonts w:ascii="Segoe UI" w:hAnsi="Segoe UI" w:cs="Segoe UI"/>
          <w:sz w:val="22"/>
          <w:szCs w:val="22"/>
          <w:lang w:val="en-AU"/>
        </w:rPr>
        <w:t xml:space="preserve">We have previously argued that there would be share shift to three-party schemes as an unintended consequence of the further exacerbation of the existing uneven playing field. </w:t>
      </w:r>
      <w:r w:rsidRPr="00C42A50">
        <w:rPr>
          <w:rFonts w:ascii="Segoe UI" w:hAnsi="Segoe UI" w:cs="Segoe UI"/>
          <w:sz w:val="22"/>
          <w:szCs w:val="22"/>
          <w:lang w:val="en-AU"/>
        </w:rPr>
        <w:t>Three party schemes generally operate on higher costs to the merchant / supplier. The most recent data on average costs for all schemes provided by the RBA as of December 2014 were:</w:t>
      </w:r>
    </w:p>
    <w:p w14:paraId="44EC8C9B" w14:textId="0D5D26B1" w:rsidR="00F33E29" w:rsidRPr="00C42A50" w:rsidRDefault="00F33E29" w:rsidP="00F33E29">
      <w:pPr>
        <w:pStyle w:val="ListParagraph"/>
        <w:numPr>
          <w:ilvl w:val="0"/>
          <w:numId w:val="20"/>
        </w:numPr>
        <w:spacing w:after="200" w:line="276" w:lineRule="auto"/>
        <w:ind w:left="1134" w:hanging="425"/>
        <w:rPr>
          <w:rFonts w:ascii="Segoe UI" w:hAnsi="Segoe UI" w:cs="Segoe UI"/>
          <w:sz w:val="22"/>
          <w:szCs w:val="22"/>
          <w:lang w:val="en-AU" w:eastAsia="zh-CN"/>
        </w:rPr>
      </w:pPr>
      <w:r w:rsidRPr="00C42A50">
        <w:rPr>
          <w:rFonts w:ascii="Segoe UI" w:hAnsi="Segoe UI" w:cs="Segoe UI"/>
          <w:sz w:val="22"/>
          <w:szCs w:val="22"/>
          <w:lang w:val="en-AU"/>
        </w:rPr>
        <w:t>American Express – 1.73</w:t>
      </w:r>
      <w:r w:rsidR="0089281F">
        <w:rPr>
          <w:rFonts w:ascii="Segoe UI" w:hAnsi="Segoe UI" w:cs="Segoe UI"/>
          <w:sz w:val="22"/>
          <w:szCs w:val="22"/>
          <w:lang w:val="en-AU"/>
        </w:rPr>
        <w:t xml:space="preserve"> percent</w:t>
      </w:r>
      <w:r w:rsidRPr="00C42A50">
        <w:rPr>
          <w:rFonts w:ascii="Segoe UI" w:hAnsi="Segoe UI" w:cs="Segoe UI"/>
          <w:sz w:val="22"/>
          <w:szCs w:val="22"/>
          <w:lang w:val="en-AU"/>
        </w:rPr>
        <w:t>;</w:t>
      </w:r>
    </w:p>
    <w:p w14:paraId="41DAE236" w14:textId="49A2169D" w:rsidR="00F33E29" w:rsidRPr="00C42A50" w:rsidRDefault="00F33E29" w:rsidP="00F33E29">
      <w:pPr>
        <w:pStyle w:val="ListParagraph"/>
        <w:numPr>
          <w:ilvl w:val="0"/>
          <w:numId w:val="20"/>
        </w:numPr>
        <w:spacing w:after="200" w:line="276" w:lineRule="auto"/>
        <w:ind w:left="1134" w:hanging="425"/>
        <w:rPr>
          <w:rFonts w:ascii="Segoe UI" w:hAnsi="Segoe UI" w:cs="Segoe UI"/>
          <w:sz w:val="22"/>
          <w:szCs w:val="22"/>
          <w:lang w:val="en-AU" w:eastAsia="zh-CN"/>
        </w:rPr>
      </w:pPr>
      <w:r w:rsidRPr="00C42A50">
        <w:rPr>
          <w:rFonts w:ascii="Segoe UI" w:hAnsi="Segoe UI" w:cs="Segoe UI"/>
          <w:sz w:val="22"/>
          <w:szCs w:val="22"/>
          <w:lang w:val="en-AU"/>
        </w:rPr>
        <w:t>Diners International – 2.11</w:t>
      </w:r>
      <w:r w:rsidR="0089281F">
        <w:rPr>
          <w:rFonts w:ascii="Segoe UI" w:hAnsi="Segoe UI" w:cs="Segoe UI"/>
          <w:sz w:val="22"/>
          <w:szCs w:val="22"/>
          <w:lang w:val="en-AU"/>
        </w:rPr>
        <w:t xml:space="preserve"> percent</w:t>
      </w:r>
      <w:r w:rsidRPr="00C42A50">
        <w:rPr>
          <w:rFonts w:ascii="Segoe UI" w:hAnsi="Segoe UI" w:cs="Segoe UI"/>
          <w:sz w:val="22"/>
          <w:szCs w:val="22"/>
          <w:lang w:val="en-AU"/>
        </w:rPr>
        <w:t>; and</w:t>
      </w:r>
    </w:p>
    <w:p w14:paraId="05250B89" w14:textId="6A4A555B" w:rsidR="00F33E29" w:rsidRPr="00C42A50" w:rsidRDefault="00F33E29" w:rsidP="00F33E29">
      <w:pPr>
        <w:pStyle w:val="ListParagraph"/>
        <w:numPr>
          <w:ilvl w:val="0"/>
          <w:numId w:val="20"/>
        </w:numPr>
        <w:spacing w:after="200" w:line="276" w:lineRule="auto"/>
        <w:ind w:left="1134" w:hanging="425"/>
        <w:rPr>
          <w:rFonts w:ascii="Segoe UI" w:hAnsi="Segoe UI" w:cs="Segoe UI"/>
          <w:sz w:val="22"/>
          <w:szCs w:val="22"/>
          <w:lang w:val="en-AU" w:eastAsia="zh-CN"/>
        </w:rPr>
      </w:pPr>
      <w:r w:rsidRPr="00C42A50">
        <w:rPr>
          <w:rFonts w:ascii="Segoe UI" w:hAnsi="Segoe UI" w:cs="Segoe UI"/>
          <w:sz w:val="22"/>
          <w:szCs w:val="22"/>
          <w:lang w:val="en-AU"/>
        </w:rPr>
        <w:t>Visa / MasterCard – 0.84</w:t>
      </w:r>
      <w:r w:rsidR="0089281F">
        <w:rPr>
          <w:rFonts w:ascii="Segoe UI" w:hAnsi="Segoe UI" w:cs="Segoe UI"/>
          <w:sz w:val="22"/>
          <w:szCs w:val="22"/>
          <w:lang w:val="en-AU"/>
        </w:rPr>
        <w:t xml:space="preserve"> percent</w:t>
      </w:r>
      <w:r w:rsidRPr="00C42A50">
        <w:rPr>
          <w:rFonts w:ascii="Segoe UI" w:hAnsi="Segoe UI" w:cs="Segoe UI"/>
          <w:sz w:val="22"/>
          <w:szCs w:val="22"/>
          <w:lang w:val="en-AU"/>
        </w:rPr>
        <w:t>.</w:t>
      </w:r>
      <w:r w:rsidRPr="00C42A50">
        <w:rPr>
          <w:rStyle w:val="FootnoteReference"/>
          <w:rFonts w:ascii="Segoe UI" w:hAnsi="Segoe UI" w:cs="Segoe UI"/>
          <w:sz w:val="22"/>
          <w:szCs w:val="22"/>
          <w:lang w:val="en-AU"/>
        </w:rPr>
        <w:footnoteReference w:id="23"/>
      </w:r>
    </w:p>
    <w:p w14:paraId="7938390B" w14:textId="77777777" w:rsidR="00F33E29" w:rsidRDefault="00F33E29" w:rsidP="0089281F">
      <w:pPr>
        <w:pStyle w:val="VisaBody"/>
        <w:spacing w:before="120"/>
        <w:jc w:val="both"/>
        <w:rPr>
          <w:rFonts w:ascii="Segoe UI" w:hAnsi="Segoe UI" w:cs="Segoe UI"/>
          <w:lang w:val="en-AU"/>
        </w:rPr>
      </w:pPr>
      <w:r>
        <w:rPr>
          <w:rFonts w:ascii="Segoe UI" w:hAnsi="Segoe UI" w:cs="Segoe UI"/>
          <w:lang w:val="en-AU"/>
        </w:rPr>
        <w:t>For all the reasons outlined above, Visa strongly recommends that commercial cards should be excluded from the interchange fee setting standard calculation for the following reasons:</w:t>
      </w:r>
    </w:p>
    <w:p w14:paraId="7CF156A0" w14:textId="77777777" w:rsidR="00F33E29" w:rsidRDefault="00F33E29" w:rsidP="0089281F">
      <w:pPr>
        <w:pStyle w:val="VisaBody"/>
        <w:numPr>
          <w:ilvl w:val="0"/>
          <w:numId w:val="22"/>
        </w:numPr>
        <w:spacing w:before="120"/>
        <w:ind w:left="567" w:hanging="567"/>
        <w:jc w:val="both"/>
        <w:rPr>
          <w:rFonts w:ascii="Segoe UI" w:hAnsi="Segoe UI" w:cs="Segoe UI"/>
          <w:b/>
          <w:lang w:val="en-AU"/>
        </w:rPr>
      </w:pPr>
      <w:r>
        <w:rPr>
          <w:rFonts w:ascii="Segoe UI" w:hAnsi="Segoe UI" w:cs="Segoe UI"/>
          <w:lang w:val="en-AU"/>
        </w:rPr>
        <w:t>Commercial cards are akin to invoice financing which is not subject to a regulatory pricing regime.</w:t>
      </w:r>
    </w:p>
    <w:p w14:paraId="51952D3D" w14:textId="77777777" w:rsidR="00F33E29" w:rsidRDefault="00F33E29" w:rsidP="0089281F">
      <w:pPr>
        <w:pStyle w:val="ListParagraph"/>
        <w:numPr>
          <w:ilvl w:val="0"/>
          <w:numId w:val="22"/>
        </w:numPr>
        <w:spacing w:after="200" w:line="276" w:lineRule="auto"/>
        <w:ind w:left="567" w:hanging="567"/>
        <w:jc w:val="both"/>
        <w:rPr>
          <w:rFonts w:ascii="Segoe UI" w:hAnsi="Segoe UI" w:cs="Segoe UI"/>
          <w:sz w:val="22"/>
          <w:szCs w:val="22"/>
          <w:lang w:val="en-AU"/>
        </w:rPr>
      </w:pPr>
      <w:r>
        <w:rPr>
          <w:rFonts w:ascii="Segoe UI" w:hAnsi="Segoe UI" w:cs="Segoe UI"/>
          <w:sz w:val="22"/>
          <w:szCs w:val="22"/>
          <w:lang w:val="en-AU"/>
        </w:rPr>
        <w:t xml:space="preserve">Product differentiation should be taken into account when considering the formation of the interchange basket. Commercial cards represent a B2B and G2B supplier payment relationship, and regulation of pricing is encroaching on the agreed commercial arrangements and payment terms between those parties.  </w:t>
      </w:r>
    </w:p>
    <w:p w14:paraId="62F55367" w14:textId="77777777" w:rsidR="00F33E29" w:rsidRDefault="00F33E29" w:rsidP="0089281F">
      <w:pPr>
        <w:pStyle w:val="VisaBody"/>
        <w:numPr>
          <w:ilvl w:val="0"/>
          <w:numId w:val="22"/>
        </w:numPr>
        <w:spacing w:before="120"/>
        <w:ind w:left="567" w:hanging="567"/>
        <w:jc w:val="both"/>
        <w:rPr>
          <w:rFonts w:ascii="Segoe UI" w:hAnsi="Segoe UI" w:cs="Segoe UI"/>
          <w:lang w:val="en-AU"/>
        </w:rPr>
      </w:pPr>
      <w:r>
        <w:rPr>
          <w:rFonts w:ascii="Segoe UI" w:hAnsi="Segoe UI" w:cs="Segoe UI"/>
          <w:lang w:val="en-AU"/>
        </w:rPr>
        <w:t>Price signals are not relevant to a commercial cardholder in the same way they may be to a consumer. The decision to utilize a commercial card for payment is an organisational one, based on company policy and an agreed commercial arrangement with the card provider.</w:t>
      </w:r>
    </w:p>
    <w:p w14:paraId="657D011F" w14:textId="7A7608C0" w:rsidR="00DF224C" w:rsidRPr="007D6D26" w:rsidRDefault="00F33E29" w:rsidP="00D74806">
      <w:pPr>
        <w:pStyle w:val="VisaBody"/>
        <w:numPr>
          <w:ilvl w:val="0"/>
          <w:numId w:val="22"/>
        </w:numPr>
        <w:spacing w:before="120"/>
        <w:ind w:left="567" w:hanging="567"/>
        <w:jc w:val="both"/>
        <w:rPr>
          <w:rFonts w:ascii="Segoe UI" w:eastAsiaTheme="majorEastAsia" w:hAnsi="Segoe UI" w:cs="Segoe UI"/>
          <w:b/>
          <w:bCs/>
          <w:color w:val="345A8A" w:themeColor="accent1" w:themeShade="B5"/>
          <w:sz w:val="32"/>
          <w:szCs w:val="32"/>
        </w:rPr>
      </w:pPr>
      <w:r w:rsidRPr="007D6D26">
        <w:rPr>
          <w:rFonts w:ascii="Segoe UI" w:hAnsi="Segoe UI" w:cs="Segoe UI"/>
          <w:lang w:val="en-AU"/>
        </w:rPr>
        <w:t>A commercial card is a more efficient and cost effective payment mechanism than alternative payment methods available in the commercial segment. Pricing regulation is impeding the innovation and growth of the product, and so is impacting overall market efficiency.</w:t>
      </w:r>
    </w:p>
    <w:p w14:paraId="07A0E4F2" w14:textId="77777777" w:rsidR="00DF224C" w:rsidRPr="0089281F" w:rsidRDefault="00DF224C" w:rsidP="00DF224C">
      <w:pPr>
        <w:pStyle w:val="Heading1"/>
        <w:rPr>
          <w:rFonts w:ascii="Segoe UI" w:hAnsi="Segoe UI" w:cs="Segoe UI"/>
          <w:color w:val="002060"/>
        </w:rPr>
      </w:pPr>
      <w:bookmarkStart w:id="79" w:name="_Toc416805088"/>
      <w:bookmarkStart w:id="80" w:name="_Toc417303953"/>
      <w:bookmarkStart w:id="81" w:name="_Toc417572710"/>
      <w:r w:rsidRPr="0089281F">
        <w:rPr>
          <w:rFonts w:ascii="Segoe UI" w:hAnsi="Segoe UI" w:cs="Segoe UI"/>
          <w:color w:val="002060"/>
        </w:rPr>
        <w:lastRenderedPageBreak/>
        <w:t>Chapter 8: Other matters</w:t>
      </w:r>
      <w:bookmarkEnd w:id="79"/>
      <w:bookmarkEnd w:id="80"/>
      <w:bookmarkEnd w:id="81"/>
    </w:p>
    <w:p w14:paraId="427BD3DB" w14:textId="77777777" w:rsidR="00DF224C" w:rsidRPr="00426E9B" w:rsidRDefault="00DF224C" w:rsidP="00DF224C">
      <w:pPr>
        <w:rPr>
          <w:rFonts w:ascii="Segoe UI" w:hAnsi="Segoe UI" w:cs="Segoe UI"/>
        </w:rPr>
      </w:pPr>
    </w:p>
    <w:tbl>
      <w:tblPr>
        <w:tblStyle w:val="TableGrid"/>
        <w:tblW w:w="0" w:type="auto"/>
        <w:tblBorders>
          <w:insideH w:val="none" w:sz="0" w:space="0" w:color="auto"/>
          <w:insideV w:val="none" w:sz="0" w:space="0" w:color="auto"/>
        </w:tblBorders>
        <w:shd w:val="clear" w:color="auto" w:fill="E0E0E0"/>
        <w:tblLook w:val="04A0" w:firstRow="1" w:lastRow="0" w:firstColumn="1" w:lastColumn="0" w:noHBand="0" w:noVBand="1"/>
      </w:tblPr>
      <w:tblGrid>
        <w:gridCol w:w="9017"/>
      </w:tblGrid>
      <w:tr w:rsidR="00DF224C" w:rsidRPr="00426E9B" w14:paraId="44477D8B" w14:textId="77777777" w:rsidTr="007D6D26">
        <w:tc>
          <w:tcPr>
            <w:tcW w:w="9017" w:type="dxa"/>
            <w:shd w:val="clear" w:color="auto" w:fill="E0E0E0"/>
          </w:tcPr>
          <w:p w14:paraId="4EE0D009" w14:textId="77777777" w:rsidR="00DF224C" w:rsidRPr="00426E9B" w:rsidRDefault="00DF224C" w:rsidP="00653966">
            <w:pPr>
              <w:pStyle w:val="Heading4"/>
              <w:outlineLvl w:val="3"/>
              <w:rPr>
                <w:rFonts w:ascii="Segoe UI" w:hAnsi="Segoe UI" w:cs="Segoe UI"/>
              </w:rPr>
            </w:pPr>
            <w:r w:rsidRPr="00426E9B">
              <w:rPr>
                <w:rFonts w:ascii="Segoe UI" w:hAnsi="Segoe UI" w:cs="Segoe UI"/>
              </w:rPr>
              <w:t>Key points</w:t>
            </w:r>
          </w:p>
          <w:p w14:paraId="2199BB78" w14:textId="77777777" w:rsidR="00DF224C" w:rsidRPr="00FF5AD0" w:rsidRDefault="00DF224C" w:rsidP="0089281F">
            <w:pPr>
              <w:pStyle w:val="ListParagraph"/>
              <w:numPr>
                <w:ilvl w:val="0"/>
                <w:numId w:val="2"/>
              </w:numPr>
              <w:spacing w:before="120" w:after="240" w:line="240" w:lineRule="exact"/>
              <w:ind w:left="714" w:right="432" w:hanging="357"/>
              <w:contextualSpacing w:val="0"/>
              <w:jc w:val="both"/>
              <w:rPr>
                <w:rFonts w:ascii="Segoe UI" w:hAnsi="Segoe UI" w:cs="Segoe UI"/>
                <w:sz w:val="22"/>
                <w:szCs w:val="22"/>
              </w:rPr>
            </w:pPr>
            <w:r>
              <w:rPr>
                <w:rFonts w:ascii="Segoe UI" w:hAnsi="Segoe UI" w:cs="Segoe UI"/>
                <w:sz w:val="22"/>
                <w:szCs w:val="22"/>
              </w:rPr>
              <w:t xml:space="preserve">Any suggestion of mandating the forced </w:t>
            </w:r>
            <w:r w:rsidRPr="00EB5547">
              <w:rPr>
                <w:rFonts w:ascii="Segoe UI" w:hAnsi="Segoe UI" w:cs="Segoe UI"/>
                <w:sz w:val="22"/>
                <w:szCs w:val="22"/>
              </w:rPr>
              <w:t>separation of payment card scheme and processing entities is unwarranted and potentially detrimental to ongoing innovations in the payments industry</w:t>
            </w:r>
            <w:r>
              <w:rPr>
                <w:rFonts w:ascii="Segoe UI" w:hAnsi="Segoe UI" w:cs="Segoe UI"/>
                <w:sz w:val="22"/>
                <w:szCs w:val="22"/>
              </w:rPr>
              <w:t>.</w:t>
            </w:r>
          </w:p>
          <w:p w14:paraId="21B9A80A" w14:textId="77777777" w:rsidR="00DF224C" w:rsidRPr="00FF5AD0" w:rsidRDefault="00DF224C" w:rsidP="0089281F">
            <w:pPr>
              <w:pStyle w:val="ListParagraph"/>
              <w:numPr>
                <w:ilvl w:val="0"/>
                <w:numId w:val="2"/>
              </w:numPr>
              <w:spacing w:before="120" w:after="240" w:line="240" w:lineRule="exact"/>
              <w:ind w:left="714" w:right="432" w:hanging="357"/>
              <w:contextualSpacing w:val="0"/>
              <w:jc w:val="both"/>
              <w:rPr>
                <w:rFonts w:ascii="Segoe UI" w:hAnsi="Segoe UI" w:cs="Segoe UI"/>
                <w:sz w:val="22"/>
                <w:szCs w:val="22"/>
              </w:rPr>
            </w:pPr>
            <w:r w:rsidRPr="00FF5AD0">
              <w:rPr>
                <w:rFonts w:ascii="Segoe UI" w:hAnsi="Segoe UI" w:cs="Segoe UI"/>
                <w:sz w:val="22"/>
                <w:szCs w:val="22"/>
              </w:rPr>
              <w:t>We welcome the commitments made by the PSB to recogni</w:t>
            </w:r>
            <w:r>
              <w:rPr>
                <w:rFonts w:ascii="Segoe UI" w:hAnsi="Segoe UI" w:cs="Segoe UI"/>
                <w:sz w:val="22"/>
                <w:szCs w:val="22"/>
              </w:rPr>
              <w:t>s</w:t>
            </w:r>
            <w:r w:rsidRPr="00FF5AD0">
              <w:rPr>
                <w:rFonts w:ascii="Segoe UI" w:hAnsi="Segoe UI" w:cs="Segoe UI"/>
                <w:sz w:val="22"/>
                <w:szCs w:val="22"/>
              </w:rPr>
              <w:t xml:space="preserve">e the significant changes that may </w:t>
            </w:r>
            <w:r>
              <w:rPr>
                <w:rFonts w:ascii="Segoe UI" w:hAnsi="Segoe UI" w:cs="Segoe UI"/>
                <w:sz w:val="22"/>
                <w:szCs w:val="22"/>
              </w:rPr>
              <w:t xml:space="preserve">need to </w:t>
            </w:r>
            <w:r w:rsidRPr="00FF5AD0">
              <w:rPr>
                <w:rFonts w:ascii="Segoe UI" w:hAnsi="Segoe UI" w:cs="Segoe UI"/>
                <w:sz w:val="22"/>
                <w:szCs w:val="22"/>
              </w:rPr>
              <w:t xml:space="preserve">take place to business models in the </w:t>
            </w:r>
            <w:r>
              <w:rPr>
                <w:rFonts w:ascii="Segoe UI" w:hAnsi="Segoe UI" w:cs="Segoe UI"/>
                <w:sz w:val="22"/>
                <w:szCs w:val="22"/>
              </w:rPr>
              <w:t xml:space="preserve">payments </w:t>
            </w:r>
            <w:r w:rsidRPr="00FF5AD0">
              <w:rPr>
                <w:rFonts w:ascii="Segoe UI" w:hAnsi="Segoe UI" w:cs="Segoe UI"/>
                <w:sz w:val="22"/>
                <w:szCs w:val="22"/>
              </w:rPr>
              <w:t xml:space="preserve">industry </w:t>
            </w:r>
            <w:r>
              <w:rPr>
                <w:rFonts w:ascii="Segoe UI" w:hAnsi="Segoe UI" w:cs="Segoe UI"/>
                <w:sz w:val="22"/>
                <w:szCs w:val="22"/>
              </w:rPr>
              <w:t xml:space="preserve">should any number of the reforms under review actually be implemented </w:t>
            </w:r>
            <w:r w:rsidRPr="00FF5AD0">
              <w:rPr>
                <w:rFonts w:ascii="Segoe UI" w:hAnsi="Segoe UI" w:cs="Segoe UI"/>
                <w:sz w:val="22"/>
                <w:szCs w:val="22"/>
              </w:rPr>
              <w:t xml:space="preserve">and </w:t>
            </w:r>
            <w:r>
              <w:rPr>
                <w:rFonts w:ascii="Segoe UI" w:hAnsi="Segoe UI" w:cs="Segoe UI"/>
                <w:sz w:val="22"/>
                <w:szCs w:val="22"/>
              </w:rPr>
              <w:t>your</w:t>
            </w:r>
            <w:r w:rsidRPr="00FF5AD0">
              <w:rPr>
                <w:rFonts w:ascii="Segoe UI" w:hAnsi="Segoe UI" w:cs="Segoe UI"/>
                <w:sz w:val="22"/>
                <w:szCs w:val="22"/>
              </w:rPr>
              <w:t xml:space="preserve"> </w:t>
            </w:r>
            <w:r>
              <w:rPr>
                <w:rFonts w:ascii="Segoe UI" w:hAnsi="Segoe UI" w:cs="Segoe UI"/>
                <w:sz w:val="22"/>
                <w:szCs w:val="22"/>
              </w:rPr>
              <w:t xml:space="preserve">assurance there will be </w:t>
            </w:r>
            <w:r w:rsidRPr="00FF5AD0">
              <w:rPr>
                <w:rFonts w:ascii="Segoe UI" w:hAnsi="Segoe UI" w:cs="Segoe UI"/>
                <w:sz w:val="22"/>
                <w:szCs w:val="22"/>
              </w:rPr>
              <w:t>appropriate consultation period</w:t>
            </w:r>
            <w:r>
              <w:rPr>
                <w:rFonts w:ascii="Segoe UI" w:hAnsi="Segoe UI" w:cs="Segoe UI"/>
                <w:sz w:val="22"/>
                <w:szCs w:val="22"/>
              </w:rPr>
              <w:t>s</w:t>
            </w:r>
            <w:r w:rsidRPr="00FF5AD0">
              <w:rPr>
                <w:rFonts w:ascii="Segoe UI" w:hAnsi="Segoe UI" w:cs="Segoe UI"/>
                <w:sz w:val="22"/>
                <w:szCs w:val="22"/>
              </w:rPr>
              <w:t xml:space="preserve"> and timeframe</w:t>
            </w:r>
            <w:r>
              <w:rPr>
                <w:rFonts w:ascii="Segoe UI" w:hAnsi="Segoe UI" w:cs="Segoe UI"/>
                <w:sz w:val="22"/>
                <w:szCs w:val="22"/>
              </w:rPr>
              <w:t>s</w:t>
            </w:r>
            <w:r w:rsidRPr="00FF5AD0">
              <w:rPr>
                <w:rFonts w:ascii="Segoe UI" w:hAnsi="Segoe UI" w:cs="Segoe UI"/>
                <w:sz w:val="22"/>
                <w:szCs w:val="22"/>
              </w:rPr>
              <w:t xml:space="preserve"> for implementation. </w:t>
            </w:r>
          </w:p>
          <w:p w14:paraId="6A703902" w14:textId="77777777" w:rsidR="00DF224C" w:rsidRPr="00B57003" w:rsidRDefault="00DF224C" w:rsidP="0089281F">
            <w:pPr>
              <w:pStyle w:val="ListParagraph"/>
              <w:numPr>
                <w:ilvl w:val="0"/>
                <w:numId w:val="2"/>
              </w:numPr>
              <w:spacing w:before="120" w:after="240" w:line="240" w:lineRule="exact"/>
              <w:ind w:left="714" w:right="432" w:hanging="357"/>
              <w:contextualSpacing w:val="0"/>
              <w:jc w:val="both"/>
              <w:rPr>
                <w:rFonts w:ascii="Segoe UI" w:hAnsi="Segoe UI" w:cs="Segoe UI"/>
                <w:sz w:val="22"/>
                <w:szCs w:val="22"/>
              </w:rPr>
            </w:pPr>
            <w:r w:rsidRPr="0044107F">
              <w:rPr>
                <w:rFonts w:ascii="Segoe UI" w:hAnsi="Segoe UI" w:cs="Segoe UI"/>
                <w:sz w:val="22"/>
                <w:szCs w:val="22"/>
              </w:rPr>
              <w:t xml:space="preserve">Visa considers that any reforms (such as surcharging) implemented independently of other options being considered by the PSB </w:t>
            </w:r>
            <w:r>
              <w:rPr>
                <w:rFonts w:ascii="Segoe UI" w:hAnsi="Segoe UI" w:cs="Segoe UI"/>
                <w:sz w:val="22"/>
                <w:szCs w:val="22"/>
              </w:rPr>
              <w:t>c</w:t>
            </w:r>
            <w:r w:rsidRPr="0044107F">
              <w:rPr>
                <w:rFonts w:ascii="Segoe UI" w:hAnsi="Segoe UI" w:cs="Segoe UI"/>
                <w:sz w:val="22"/>
                <w:szCs w:val="22"/>
              </w:rPr>
              <w:t xml:space="preserve">ould undermine the overall intent of the PSB’s review given the interconnections and dependencies between various aspects of the reforms. </w:t>
            </w:r>
          </w:p>
          <w:p w14:paraId="59C70CEB" w14:textId="23E2B0E4" w:rsidR="00DF224C" w:rsidRPr="007D6D26" w:rsidRDefault="00DF224C" w:rsidP="0089281F">
            <w:pPr>
              <w:pStyle w:val="ListParagraph"/>
              <w:numPr>
                <w:ilvl w:val="0"/>
                <w:numId w:val="2"/>
              </w:numPr>
              <w:spacing w:before="120" w:after="240" w:line="240" w:lineRule="exact"/>
              <w:ind w:left="714" w:right="432" w:hanging="357"/>
              <w:contextualSpacing w:val="0"/>
              <w:jc w:val="both"/>
              <w:rPr>
                <w:rFonts w:ascii="Segoe UI" w:hAnsi="Segoe UI" w:cs="Segoe UI"/>
                <w:sz w:val="22"/>
                <w:szCs w:val="22"/>
              </w:rPr>
            </w:pPr>
            <w:r w:rsidRPr="0044107F">
              <w:rPr>
                <w:rFonts w:ascii="Segoe UI" w:hAnsi="Segoe UI" w:cs="Segoe UI"/>
                <w:sz w:val="22"/>
                <w:szCs w:val="22"/>
              </w:rPr>
              <w:t>Further</w:t>
            </w:r>
            <w:r>
              <w:rPr>
                <w:rFonts w:ascii="Segoe UI" w:hAnsi="Segoe UI" w:cs="Segoe UI"/>
                <w:sz w:val="22"/>
                <w:szCs w:val="22"/>
              </w:rPr>
              <w:t>,</w:t>
            </w:r>
            <w:r w:rsidRPr="0044107F">
              <w:rPr>
                <w:rFonts w:ascii="Segoe UI" w:hAnsi="Segoe UI" w:cs="Segoe UI"/>
                <w:sz w:val="22"/>
                <w:szCs w:val="22"/>
              </w:rPr>
              <w:t xml:space="preserve"> to account for system freeze periods and development lead times required to coordinate both Visa and Australian banks development efforts, structural interchange changes in the Visa system can take up to</w:t>
            </w:r>
            <w:r>
              <w:rPr>
                <w:rFonts w:ascii="Segoe UI" w:hAnsi="Segoe UI" w:cs="Segoe UI"/>
                <w:sz w:val="22"/>
                <w:szCs w:val="22"/>
              </w:rPr>
              <w:t xml:space="preserve"> nine </w:t>
            </w:r>
            <w:r w:rsidRPr="0044107F">
              <w:rPr>
                <w:rFonts w:ascii="Segoe UI" w:hAnsi="Segoe UI" w:cs="Segoe UI"/>
                <w:sz w:val="22"/>
                <w:szCs w:val="22"/>
              </w:rPr>
              <w:t xml:space="preserve"> months to </w:t>
            </w:r>
            <w:r>
              <w:rPr>
                <w:rFonts w:ascii="Segoe UI" w:hAnsi="Segoe UI" w:cs="Segoe UI"/>
                <w:sz w:val="22"/>
                <w:szCs w:val="22"/>
              </w:rPr>
              <w:t>occur</w:t>
            </w:r>
            <w:r w:rsidRPr="0044107F">
              <w:rPr>
                <w:rFonts w:ascii="Segoe UI" w:hAnsi="Segoe UI" w:cs="Segoe UI"/>
                <w:sz w:val="22"/>
                <w:szCs w:val="22"/>
              </w:rPr>
              <w:t xml:space="preserve">. Sufficient time will be needed </w:t>
            </w:r>
            <w:r>
              <w:rPr>
                <w:rFonts w:ascii="Segoe UI" w:hAnsi="Segoe UI" w:cs="Segoe UI"/>
                <w:sz w:val="22"/>
                <w:szCs w:val="22"/>
              </w:rPr>
              <w:t xml:space="preserve">so that all stakeholders can </w:t>
            </w:r>
            <w:r w:rsidRPr="0044107F">
              <w:rPr>
                <w:rFonts w:ascii="Segoe UI" w:hAnsi="Segoe UI" w:cs="Segoe UI"/>
                <w:sz w:val="22"/>
                <w:szCs w:val="22"/>
              </w:rPr>
              <w:t xml:space="preserve">make the necessary changes. </w:t>
            </w:r>
          </w:p>
        </w:tc>
      </w:tr>
    </w:tbl>
    <w:p w14:paraId="1ECA5670" w14:textId="77777777" w:rsidR="00DF224C" w:rsidRPr="003646AA" w:rsidRDefault="00DF224C" w:rsidP="00081067">
      <w:pPr>
        <w:pStyle w:val="Heading2"/>
        <w:numPr>
          <w:ilvl w:val="1"/>
          <w:numId w:val="17"/>
        </w:numPr>
        <w:ind w:left="567" w:hanging="567"/>
        <w:rPr>
          <w:rFonts w:ascii="Segoe UI" w:hAnsi="Segoe UI" w:cs="Segoe UI"/>
        </w:rPr>
      </w:pPr>
      <w:bookmarkStart w:id="82" w:name="_Toc416805089"/>
      <w:bookmarkStart w:id="83" w:name="_Toc417303954"/>
      <w:bookmarkStart w:id="84" w:name="_Toc417572711"/>
      <w:r w:rsidRPr="00426E9B">
        <w:rPr>
          <w:rFonts w:ascii="Segoe UI" w:hAnsi="Segoe UI" w:cs="Segoe UI"/>
        </w:rPr>
        <w:t>Introduction</w:t>
      </w:r>
      <w:bookmarkEnd w:id="82"/>
      <w:bookmarkEnd w:id="83"/>
      <w:bookmarkEnd w:id="84"/>
    </w:p>
    <w:p w14:paraId="5362D9DB" w14:textId="77777777" w:rsidR="00DF224C" w:rsidRPr="00426E9B" w:rsidRDefault="00DF224C" w:rsidP="00DF224C">
      <w:pPr>
        <w:rPr>
          <w:rFonts w:ascii="Segoe UI" w:hAnsi="Segoe UI" w:cs="Segoe UI"/>
          <w:sz w:val="22"/>
          <w:szCs w:val="22"/>
        </w:rPr>
      </w:pPr>
    </w:p>
    <w:p w14:paraId="124C983A" w14:textId="77777777" w:rsidR="00DF224C" w:rsidRPr="00426E9B" w:rsidRDefault="00DF224C" w:rsidP="00DF224C">
      <w:pPr>
        <w:rPr>
          <w:rFonts w:ascii="Segoe UI" w:hAnsi="Segoe UI" w:cs="Segoe UI"/>
          <w:sz w:val="22"/>
          <w:szCs w:val="22"/>
        </w:rPr>
      </w:pPr>
      <w:r>
        <w:rPr>
          <w:rFonts w:ascii="Segoe UI" w:hAnsi="Segoe UI" w:cs="Segoe UI"/>
          <w:sz w:val="22"/>
          <w:szCs w:val="22"/>
        </w:rPr>
        <w:t>This chapter seeks to address the following matters</w:t>
      </w:r>
      <w:r w:rsidRPr="00426E9B">
        <w:rPr>
          <w:rFonts w:ascii="Segoe UI" w:hAnsi="Segoe UI" w:cs="Segoe UI"/>
          <w:sz w:val="22"/>
          <w:szCs w:val="22"/>
        </w:rPr>
        <w:t>:</w:t>
      </w:r>
    </w:p>
    <w:p w14:paraId="1F78B19A" w14:textId="77777777" w:rsidR="00DF224C" w:rsidRDefault="00DF224C" w:rsidP="00DF224C">
      <w:pPr>
        <w:pStyle w:val="ListParagraph"/>
        <w:numPr>
          <w:ilvl w:val="0"/>
          <w:numId w:val="2"/>
        </w:numPr>
        <w:rPr>
          <w:rFonts w:ascii="Segoe UI" w:hAnsi="Segoe UI" w:cs="Segoe UI"/>
          <w:sz w:val="22"/>
          <w:szCs w:val="22"/>
        </w:rPr>
      </w:pPr>
      <w:r>
        <w:rPr>
          <w:rFonts w:ascii="Segoe UI" w:hAnsi="Segoe UI" w:cs="Segoe UI"/>
          <w:sz w:val="22"/>
          <w:szCs w:val="22"/>
        </w:rPr>
        <w:t>scheme and processing entity separation; and</w:t>
      </w:r>
    </w:p>
    <w:p w14:paraId="74423430" w14:textId="77777777" w:rsidR="00DF224C" w:rsidRPr="00B21569" w:rsidRDefault="00DF224C" w:rsidP="00DF224C">
      <w:pPr>
        <w:pStyle w:val="ListParagraph"/>
        <w:numPr>
          <w:ilvl w:val="0"/>
          <w:numId w:val="2"/>
        </w:numPr>
        <w:rPr>
          <w:rFonts w:ascii="Segoe UI" w:hAnsi="Segoe UI" w:cs="Segoe UI"/>
          <w:sz w:val="22"/>
          <w:szCs w:val="22"/>
        </w:rPr>
      </w:pPr>
      <w:r w:rsidRPr="00426E9B">
        <w:rPr>
          <w:rFonts w:ascii="Segoe UI" w:hAnsi="Segoe UI" w:cs="Segoe UI"/>
          <w:sz w:val="22"/>
          <w:szCs w:val="22"/>
        </w:rPr>
        <w:t>transitional and implementation arrangements</w:t>
      </w:r>
    </w:p>
    <w:p w14:paraId="2AD90E13" w14:textId="77777777" w:rsidR="00DF224C" w:rsidRPr="003646AA" w:rsidRDefault="00DF224C" w:rsidP="00081067">
      <w:pPr>
        <w:pStyle w:val="Heading2"/>
        <w:numPr>
          <w:ilvl w:val="1"/>
          <w:numId w:val="17"/>
        </w:numPr>
        <w:ind w:left="567" w:hanging="567"/>
        <w:rPr>
          <w:rFonts w:ascii="Segoe UI" w:hAnsi="Segoe UI" w:cs="Segoe UI"/>
        </w:rPr>
      </w:pPr>
      <w:bookmarkStart w:id="85" w:name="_Toc417303955"/>
      <w:bookmarkStart w:id="86" w:name="_Toc417572712"/>
      <w:r>
        <w:rPr>
          <w:rFonts w:ascii="Segoe UI" w:hAnsi="Segoe UI" w:cs="Segoe UI"/>
        </w:rPr>
        <w:t>Entity separation</w:t>
      </w:r>
      <w:bookmarkEnd w:id="85"/>
      <w:bookmarkEnd w:id="86"/>
    </w:p>
    <w:p w14:paraId="63FDB376" w14:textId="77777777" w:rsidR="00DF224C" w:rsidRDefault="00DF224C" w:rsidP="00DF224C">
      <w:pPr>
        <w:jc w:val="both"/>
        <w:rPr>
          <w:rFonts w:ascii="Segoe UI" w:hAnsi="Segoe UI" w:cs="Segoe UI"/>
          <w:sz w:val="22"/>
          <w:szCs w:val="22"/>
        </w:rPr>
      </w:pPr>
    </w:p>
    <w:p w14:paraId="16DA976D" w14:textId="77777777" w:rsidR="00DF224C" w:rsidRDefault="00DF224C" w:rsidP="00DF224C">
      <w:pPr>
        <w:jc w:val="both"/>
        <w:rPr>
          <w:rFonts w:ascii="Segoe UI" w:hAnsi="Segoe UI" w:cs="Segoe UI"/>
          <w:sz w:val="22"/>
          <w:szCs w:val="22"/>
        </w:rPr>
      </w:pPr>
      <w:r w:rsidRPr="0044107F">
        <w:rPr>
          <w:rFonts w:ascii="Segoe UI" w:hAnsi="Segoe UI" w:cs="Segoe UI"/>
          <w:sz w:val="22"/>
          <w:szCs w:val="22"/>
        </w:rPr>
        <w:t>Visa</w:t>
      </w:r>
      <w:r>
        <w:rPr>
          <w:rFonts w:ascii="Segoe UI" w:hAnsi="Segoe UI" w:cs="Segoe UI"/>
          <w:sz w:val="22"/>
          <w:szCs w:val="22"/>
        </w:rPr>
        <w:t xml:space="preserve"> </w:t>
      </w:r>
      <w:r w:rsidRPr="0044107F">
        <w:rPr>
          <w:rFonts w:ascii="Segoe UI" w:hAnsi="Segoe UI" w:cs="Segoe UI"/>
          <w:sz w:val="22"/>
          <w:szCs w:val="22"/>
        </w:rPr>
        <w:t xml:space="preserve">believes that </w:t>
      </w:r>
      <w:r w:rsidRPr="00B56D0B">
        <w:rPr>
          <w:rFonts w:ascii="Segoe UI" w:hAnsi="Segoe UI" w:cs="Segoe UI"/>
          <w:sz w:val="22"/>
          <w:szCs w:val="22"/>
        </w:rPr>
        <w:t>any</w:t>
      </w:r>
      <w:r w:rsidRPr="0044107F">
        <w:rPr>
          <w:rFonts w:ascii="Segoe UI" w:hAnsi="Segoe UI" w:cs="Segoe UI"/>
          <w:sz w:val="22"/>
          <w:szCs w:val="22"/>
        </w:rPr>
        <w:t xml:space="preserve"> </w:t>
      </w:r>
      <w:r w:rsidRPr="00B56D0B">
        <w:rPr>
          <w:rFonts w:ascii="Segoe UI" w:hAnsi="Segoe UI" w:cs="Segoe UI"/>
          <w:i/>
          <w:sz w:val="22"/>
          <w:szCs w:val="22"/>
        </w:rPr>
        <w:t>forced</w:t>
      </w:r>
      <w:r w:rsidRPr="0044107F">
        <w:rPr>
          <w:rFonts w:ascii="Segoe UI" w:hAnsi="Segoe UI" w:cs="Segoe UI"/>
          <w:sz w:val="22"/>
          <w:szCs w:val="22"/>
        </w:rPr>
        <w:t xml:space="preserve"> separation of payment card scheme and processing entities is unwarranted and potentially detrimental to ongoing innovations</w:t>
      </w:r>
      <w:r w:rsidRPr="003646AA">
        <w:rPr>
          <w:rFonts w:ascii="Segoe UI" w:hAnsi="Segoe UI" w:cs="Segoe UI"/>
          <w:sz w:val="22"/>
          <w:szCs w:val="22"/>
        </w:rPr>
        <w:t xml:space="preserve"> in the payments industry </w:t>
      </w:r>
      <w:r>
        <w:rPr>
          <w:rFonts w:ascii="Segoe UI" w:hAnsi="Segoe UI" w:cs="Segoe UI"/>
          <w:sz w:val="22"/>
          <w:szCs w:val="22"/>
        </w:rPr>
        <w:t xml:space="preserve">in Australia, with no apparent </w:t>
      </w:r>
      <w:r w:rsidRPr="0044107F">
        <w:rPr>
          <w:rFonts w:ascii="Segoe UI" w:hAnsi="Segoe UI" w:cs="Segoe UI"/>
          <w:sz w:val="22"/>
          <w:szCs w:val="22"/>
        </w:rPr>
        <w:t xml:space="preserve">consumer </w:t>
      </w:r>
      <w:r>
        <w:rPr>
          <w:rFonts w:ascii="Segoe UI" w:hAnsi="Segoe UI" w:cs="Segoe UI"/>
          <w:sz w:val="22"/>
          <w:szCs w:val="22"/>
        </w:rPr>
        <w:t xml:space="preserve">or system </w:t>
      </w:r>
      <w:r w:rsidRPr="0044107F">
        <w:rPr>
          <w:rFonts w:ascii="Segoe UI" w:hAnsi="Segoe UI" w:cs="Segoe UI"/>
          <w:sz w:val="22"/>
          <w:szCs w:val="22"/>
        </w:rPr>
        <w:t xml:space="preserve">welfare enhancing benefits </w:t>
      </w:r>
      <w:r w:rsidRPr="003646AA">
        <w:rPr>
          <w:rFonts w:ascii="Segoe UI" w:hAnsi="Segoe UI" w:cs="Segoe UI"/>
          <w:sz w:val="22"/>
          <w:szCs w:val="22"/>
        </w:rPr>
        <w:t>from</w:t>
      </w:r>
      <w:r w:rsidRPr="0044107F">
        <w:rPr>
          <w:rFonts w:ascii="Segoe UI" w:hAnsi="Segoe UI" w:cs="Segoe UI"/>
          <w:sz w:val="22"/>
          <w:szCs w:val="22"/>
        </w:rPr>
        <w:t xml:space="preserve"> any forced separation.</w:t>
      </w:r>
    </w:p>
    <w:p w14:paraId="5AEFF71B" w14:textId="77777777" w:rsidR="00DF224C" w:rsidRPr="0044107F" w:rsidRDefault="00DF224C" w:rsidP="00DF224C">
      <w:pPr>
        <w:jc w:val="both"/>
        <w:rPr>
          <w:rFonts w:ascii="Segoe UI" w:hAnsi="Segoe UI" w:cs="Segoe UI"/>
          <w:sz w:val="22"/>
          <w:szCs w:val="22"/>
        </w:rPr>
      </w:pPr>
    </w:p>
    <w:p w14:paraId="42E79DBA" w14:textId="77777777" w:rsidR="00DF224C" w:rsidRDefault="00DF224C" w:rsidP="00DF224C">
      <w:pPr>
        <w:jc w:val="both"/>
        <w:rPr>
          <w:rFonts w:ascii="Segoe UI" w:hAnsi="Segoe UI" w:cs="Segoe UI"/>
          <w:sz w:val="22"/>
          <w:szCs w:val="22"/>
        </w:rPr>
      </w:pPr>
      <w:r w:rsidRPr="0044107F">
        <w:rPr>
          <w:rFonts w:ascii="Segoe UI" w:hAnsi="Segoe UI" w:cs="Segoe UI"/>
          <w:sz w:val="22"/>
          <w:szCs w:val="22"/>
        </w:rPr>
        <w:t>Visa would like to reiterate its strong belief in the benefits of an integrated</w:t>
      </w:r>
      <w:r w:rsidRPr="003646AA">
        <w:rPr>
          <w:rFonts w:ascii="Segoe UI" w:hAnsi="Segoe UI" w:cs="Segoe UI"/>
          <w:sz w:val="22"/>
          <w:szCs w:val="22"/>
        </w:rPr>
        <w:t xml:space="preserve"> scheme and processing service.</w:t>
      </w:r>
      <w:r w:rsidRPr="0044107F">
        <w:rPr>
          <w:rFonts w:ascii="Segoe UI" w:hAnsi="Segoe UI" w:cs="Segoe UI"/>
          <w:sz w:val="22"/>
          <w:szCs w:val="22"/>
        </w:rPr>
        <w:t xml:space="preserve"> Indeed, we do not see the brand and its processing services as distinct elements th</w:t>
      </w:r>
      <w:r w:rsidRPr="003646AA">
        <w:rPr>
          <w:rFonts w:ascii="Segoe UI" w:hAnsi="Segoe UI" w:cs="Segoe UI"/>
          <w:sz w:val="22"/>
          <w:szCs w:val="22"/>
        </w:rPr>
        <w:t>at can be effectively separated</w:t>
      </w:r>
      <w:r w:rsidR="00F33E29">
        <w:rPr>
          <w:rFonts w:ascii="Segoe UI" w:hAnsi="Segoe UI" w:cs="Segoe UI"/>
          <w:sz w:val="22"/>
          <w:szCs w:val="22"/>
        </w:rPr>
        <w:t>. R</w:t>
      </w:r>
      <w:r w:rsidRPr="0044107F">
        <w:rPr>
          <w:rFonts w:ascii="Segoe UI" w:hAnsi="Segoe UI" w:cs="Segoe UI"/>
          <w:sz w:val="22"/>
          <w:szCs w:val="22"/>
        </w:rPr>
        <w:t xml:space="preserve">ather, Visa’s ability to process its transactions is a fundamental pre-requisite to the delivery of our brand promise to financial institutions, cardholders and merchants.  </w:t>
      </w:r>
    </w:p>
    <w:p w14:paraId="4A9AB705" w14:textId="77777777" w:rsidR="00DF224C" w:rsidRDefault="00DF224C" w:rsidP="00DF224C">
      <w:pPr>
        <w:jc w:val="both"/>
        <w:rPr>
          <w:rFonts w:ascii="Segoe UI" w:hAnsi="Segoe UI" w:cs="Segoe UI"/>
          <w:sz w:val="22"/>
          <w:szCs w:val="22"/>
        </w:rPr>
      </w:pPr>
    </w:p>
    <w:p w14:paraId="2C6C1B7A" w14:textId="77777777" w:rsidR="00DF224C" w:rsidRDefault="00DF224C" w:rsidP="00DF224C">
      <w:pPr>
        <w:jc w:val="both"/>
        <w:rPr>
          <w:rFonts w:ascii="Segoe UI" w:hAnsi="Segoe UI" w:cs="Segoe UI"/>
          <w:sz w:val="22"/>
          <w:szCs w:val="22"/>
        </w:rPr>
      </w:pPr>
      <w:r w:rsidRPr="0044107F">
        <w:rPr>
          <w:rFonts w:ascii="Segoe UI" w:hAnsi="Segoe UI" w:cs="Segoe UI"/>
          <w:sz w:val="22"/>
          <w:szCs w:val="22"/>
        </w:rPr>
        <w:t>Allowing a legal and decision-making linkage between a scheme and processor enable</w:t>
      </w:r>
      <w:r>
        <w:rPr>
          <w:rFonts w:ascii="Segoe UI" w:hAnsi="Segoe UI" w:cs="Segoe UI"/>
          <w:sz w:val="22"/>
          <w:szCs w:val="22"/>
        </w:rPr>
        <w:t>s</w:t>
      </w:r>
      <w:r w:rsidRPr="0044107F">
        <w:rPr>
          <w:rFonts w:ascii="Segoe UI" w:hAnsi="Segoe UI" w:cs="Segoe UI"/>
          <w:sz w:val="22"/>
          <w:szCs w:val="22"/>
        </w:rPr>
        <w:t xml:space="preserve"> the reliable delivery of network-based innovations t</w:t>
      </w:r>
      <w:r w:rsidRPr="003646AA">
        <w:rPr>
          <w:rFonts w:ascii="Segoe UI" w:hAnsi="Segoe UI" w:cs="Segoe UI"/>
          <w:sz w:val="22"/>
          <w:szCs w:val="22"/>
        </w:rPr>
        <w:t xml:space="preserve">o consumers. </w:t>
      </w:r>
      <w:r w:rsidRPr="0044107F">
        <w:rPr>
          <w:rFonts w:ascii="Segoe UI" w:hAnsi="Segoe UI" w:cs="Segoe UI"/>
          <w:sz w:val="22"/>
          <w:szCs w:val="22"/>
        </w:rPr>
        <w:t>For example, innovations such as mobile alerts, or real time point of sale redemption, or even advanced fraud detection technologies would not be reliably available to a consumer if the processor is not operationally and legally associated wi</w:t>
      </w:r>
      <w:r w:rsidRPr="003646AA">
        <w:rPr>
          <w:rFonts w:ascii="Segoe UI" w:hAnsi="Segoe UI" w:cs="Segoe UI"/>
          <w:sz w:val="22"/>
          <w:szCs w:val="22"/>
        </w:rPr>
        <w:t xml:space="preserve">th a transaction. </w:t>
      </w:r>
      <w:r w:rsidRPr="0044107F">
        <w:rPr>
          <w:rFonts w:ascii="Segoe UI" w:hAnsi="Segoe UI" w:cs="Segoe UI"/>
          <w:sz w:val="22"/>
          <w:szCs w:val="22"/>
        </w:rPr>
        <w:t xml:space="preserve">A scheme would have no incentive to </w:t>
      </w:r>
      <w:r w:rsidRPr="0044107F">
        <w:rPr>
          <w:rFonts w:ascii="Segoe UI" w:hAnsi="Segoe UI" w:cs="Segoe UI"/>
          <w:sz w:val="22"/>
          <w:szCs w:val="22"/>
        </w:rPr>
        <w:lastRenderedPageBreak/>
        <w:t>develop and provide new network driven innovations given it would not be able to reliably provide these to cardholders, and the processor would not have an incentive to develop consumer driven benefits given a lack of ability to control whether it is chosen to process a given transaction, along with the reality that the consumer may well simply blame the brand for any transaction difficulties.</w:t>
      </w:r>
    </w:p>
    <w:p w14:paraId="4A66D6EF" w14:textId="77777777" w:rsidR="00DF224C" w:rsidRPr="00426E9B" w:rsidRDefault="00DF224C" w:rsidP="00081067">
      <w:pPr>
        <w:pStyle w:val="Heading2"/>
        <w:numPr>
          <w:ilvl w:val="1"/>
          <w:numId w:val="17"/>
        </w:numPr>
        <w:ind w:left="567" w:hanging="567"/>
        <w:rPr>
          <w:rFonts w:ascii="Segoe UI" w:hAnsi="Segoe UI" w:cs="Segoe UI"/>
        </w:rPr>
      </w:pPr>
      <w:bookmarkStart w:id="87" w:name="_Toc416805090"/>
      <w:bookmarkStart w:id="88" w:name="_Toc417303956"/>
      <w:bookmarkStart w:id="89" w:name="_Toc417572713"/>
      <w:r w:rsidRPr="00426E9B">
        <w:rPr>
          <w:rFonts w:ascii="Segoe UI" w:hAnsi="Segoe UI" w:cs="Segoe UI"/>
        </w:rPr>
        <w:t>Implementation timeframe</w:t>
      </w:r>
      <w:bookmarkEnd w:id="87"/>
      <w:bookmarkEnd w:id="88"/>
      <w:bookmarkEnd w:id="89"/>
    </w:p>
    <w:p w14:paraId="665070D4" w14:textId="77777777" w:rsidR="00DF224C" w:rsidRPr="00426E9B" w:rsidRDefault="00DF224C" w:rsidP="00DF224C">
      <w:pPr>
        <w:rPr>
          <w:rFonts w:ascii="Segoe UI" w:hAnsi="Segoe UI" w:cs="Segoe UI"/>
        </w:rPr>
      </w:pPr>
    </w:p>
    <w:p w14:paraId="37056556" w14:textId="77777777" w:rsidR="00DF224C" w:rsidRPr="0044107F" w:rsidRDefault="00DF224C" w:rsidP="00DF224C">
      <w:pPr>
        <w:jc w:val="both"/>
        <w:rPr>
          <w:rFonts w:ascii="Segoe UI" w:hAnsi="Segoe UI" w:cs="Segoe UI"/>
          <w:sz w:val="22"/>
          <w:szCs w:val="22"/>
        </w:rPr>
      </w:pPr>
      <w:r w:rsidRPr="0044107F">
        <w:rPr>
          <w:rFonts w:ascii="Segoe UI" w:hAnsi="Segoe UI" w:cs="Segoe UI"/>
          <w:sz w:val="22"/>
          <w:szCs w:val="22"/>
        </w:rPr>
        <w:t>The PSB notes that a review of card regulation involves complex issues with some potential reforms needing an extended period of consultation and implementation. Moreover, the PSB recogni</w:t>
      </w:r>
      <w:r>
        <w:rPr>
          <w:rFonts w:ascii="Segoe UI" w:hAnsi="Segoe UI" w:cs="Segoe UI"/>
          <w:sz w:val="22"/>
          <w:szCs w:val="22"/>
        </w:rPr>
        <w:t>s</w:t>
      </w:r>
      <w:r w:rsidRPr="0044107F">
        <w:rPr>
          <w:rFonts w:ascii="Segoe UI" w:hAnsi="Segoe UI" w:cs="Segoe UI"/>
          <w:sz w:val="22"/>
          <w:szCs w:val="22"/>
        </w:rPr>
        <w:t xml:space="preserve">es that some of the reforms may involve significant changes to business models in the </w:t>
      </w:r>
      <w:r>
        <w:rPr>
          <w:rFonts w:ascii="Segoe UI" w:hAnsi="Segoe UI" w:cs="Segoe UI"/>
          <w:sz w:val="22"/>
          <w:szCs w:val="22"/>
        </w:rPr>
        <w:t>payments</w:t>
      </w:r>
      <w:r w:rsidRPr="0044107F">
        <w:rPr>
          <w:rFonts w:ascii="Segoe UI" w:hAnsi="Segoe UI" w:cs="Segoe UI"/>
          <w:sz w:val="22"/>
          <w:szCs w:val="22"/>
        </w:rPr>
        <w:t xml:space="preserve"> industry, while other changes may include significant systems changes by schemes</w:t>
      </w:r>
      <w:r>
        <w:rPr>
          <w:rFonts w:ascii="Segoe UI" w:hAnsi="Segoe UI" w:cs="Segoe UI"/>
          <w:sz w:val="22"/>
          <w:szCs w:val="22"/>
        </w:rPr>
        <w:t xml:space="preserve">, issuers, </w:t>
      </w:r>
      <w:r w:rsidRPr="0044107F">
        <w:rPr>
          <w:rFonts w:ascii="Segoe UI" w:hAnsi="Segoe UI" w:cs="Segoe UI"/>
          <w:sz w:val="22"/>
          <w:szCs w:val="22"/>
        </w:rPr>
        <w:t>acquirers</w:t>
      </w:r>
      <w:r>
        <w:rPr>
          <w:rFonts w:ascii="Segoe UI" w:hAnsi="Segoe UI" w:cs="Segoe UI"/>
          <w:sz w:val="22"/>
          <w:szCs w:val="22"/>
        </w:rPr>
        <w:t xml:space="preserve"> and merchants</w:t>
      </w:r>
      <w:r w:rsidRPr="0044107F">
        <w:rPr>
          <w:rFonts w:ascii="Segoe UI" w:hAnsi="Segoe UI" w:cs="Segoe UI"/>
          <w:sz w:val="22"/>
          <w:szCs w:val="22"/>
        </w:rPr>
        <w:t xml:space="preserve">. Importantly, the PSB will consider these issues as the Review proceeds so as to minimise adjustment costs for the industry (RBA review, p. 39). </w:t>
      </w:r>
    </w:p>
    <w:p w14:paraId="650D526E" w14:textId="77777777" w:rsidR="00DF224C" w:rsidRPr="0044107F" w:rsidRDefault="00DF224C" w:rsidP="00DF224C">
      <w:pPr>
        <w:jc w:val="both"/>
        <w:rPr>
          <w:rFonts w:ascii="Segoe UI" w:hAnsi="Segoe UI" w:cs="Segoe UI"/>
          <w:sz w:val="22"/>
          <w:szCs w:val="22"/>
        </w:rPr>
      </w:pPr>
    </w:p>
    <w:p w14:paraId="4B203D06" w14:textId="77777777" w:rsidR="00DF224C" w:rsidRPr="0044107F" w:rsidRDefault="00DF224C" w:rsidP="00DF224C">
      <w:pPr>
        <w:jc w:val="both"/>
        <w:rPr>
          <w:rFonts w:ascii="Segoe UI" w:hAnsi="Segoe UI" w:cs="Segoe UI"/>
          <w:sz w:val="22"/>
          <w:szCs w:val="22"/>
        </w:rPr>
      </w:pPr>
      <w:r w:rsidRPr="0044107F">
        <w:rPr>
          <w:rFonts w:ascii="Segoe UI" w:hAnsi="Segoe UI" w:cs="Segoe UI"/>
          <w:sz w:val="22"/>
          <w:szCs w:val="22"/>
        </w:rPr>
        <w:t xml:space="preserve">These commitments are a welcome and realistic intent by the PSB to ensure that all participants, not just schemes, have sufficient time to consider the new business environment, to prepare systems and to ensure minimal disruption to existing structures. </w:t>
      </w:r>
    </w:p>
    <w:p w14:paraId="2ED1DAB5" w14:textId="77777777" w:rsidR="00DF224C" w:rsidRPr="0044107F" w:rsidRDefault="00DF224C" w:rsidP="00DF224C">
      <w:pPr>
        <w:jc w:val="both"/>
        <w:rPr>
          <w:rFonts w:ascii="Segoe UI" w:hAnsi="Segoe UI" w:cs="Segoe UI"/>
          <w:sz w:val="22"/>
          <w:szCs w:val="22"/>
        </w:rPr>
      </w:pPr>
    </w:p>
    <w:p w14:paraId="43C02F31" w14:textId="77777777" w:rsidR="00DF224C" w:rsidRPr="0044107F" w:rsidRDefault="00DF224C" w:rsidP="00DF224C">
      <w:pPr>
        <w:jc w:val="both"/>
        <w:rPr>
          <w:rFonts w:ascii="Segoe UI" w:hAnsi="Segoe UI" w:cs="Segoe UI"/>
          <w:sz w:val="22"/>
          <w:szCs w:val="22"/>
        </w:rPr>
      </w:pPr>
      <w:r w:rsidRPr="0044107F">
        <w:rPr>
          <w:rFonts w:ascii="Segoe UI" w:hAnsi="Segoe UI" w:cs="Segoe UI"/>
          <w:sz w:val="22"/>
          <w:szCs w:val="22"/>
        </w:rPr>
        <w:t xml:space="preserve">Although the PSB wishes to implement surcharging on a faster timeline, Visa considers that the reforms implemented independently of other options being considered by the PSB </w:t>
      </w:r>
      <w:r>
        <w:rPr>
          <w:rFonts w:ascii="Segoe UI" w:hAnsi="Segoe UI" w:cs="Segoe UI"/>
          <w:sz w:val="22"/>
          <w:szCs w:val="22"/>
        </w:rPr>
        <w:t>c</w:t>
      </w:r>
      <w:r w:rsidRPr="0044107F">
        <w:rPr>
          <w:rFonts w:ascii="Segoe UI" w:hAnsi="Segoe UI" w:cs="Segoe UI"/>
          <w:sz w:val="22"/>
          <w:szCs w:val="22"/>
        </w:rPr>
        <w:t xml:space="preserve">ould undermine the overall intent of the PSB’s review. Visa believes that the reforms may be enhanced by ensuring that all aspects of the reforms are considered holistically given the interconnections between various issues. For example, any changes to surcharging would be deeply connected to any changes to the interchange rate structure, which in turn, in Visa’s view, is deeply connected to levelling the playing field by bringing </w:t>
      </w:r>
      <w:r>
        <w:rPr>
          <w:rFonts w:ascii="Segoe UI" w:hAnsi="Segoe UI" w:cs="Segoe UI"/>
          <w:sz w:val="22"/>
          <w:szCs w:val="22"/>
        </w:rPr>
        <w:t>non-regulated</w:t>
      </w:r>
      <w:r w:rsidRPr="0044107F">
        <w:rPr>
          <w:rFonts w:ascii="Segoe UI" w:hAnsi="Segoe UI" w:cs="Segoe UI"/>
          <w:sz w:val="22"/>
          <w:szCs w:val="22"/>
        </w:rPr>
        <w:t xml:space="preserve"> schemes into the regulatory regime. </w:t>
      </w:r>
    </w:p>
    <w:p w14:paraId="3EDF31AF" w14:textId="77777777" w:rsidR="00DF224C" w:rsidRPr="0044107F" w:rsidRDefault="00DF224C" w:rsidP="00DF224C">
      <w:pPr>
        <w:jc w:val="both"/>
        <w:rPr>
          <w:rFonts w:ascii="Segoe UI" w:hAnsi="Segoe UI" w:cs="Segoe UI"/>
          <w:sz w:val="22"/>
          <w:szCs w:val="22"/>
        </w:rPr>
      </w:pPr>
    </w:p>
    <w:p w14:paraId="1381D9F9" w14:textId="77777777" w:rsidR="00DF224C" w:rsidRPr="0044107F" w:rsidRDefault="00DF224C" w:rsidP="00DF224C">
      <w:pPr>
        <w:jc w:val="both"/>
        <w:rPr>
          <w:rFonts w:ascii="Segoe UI" w:hAnsi="Segoe UI" w:cs="Segoe UI"/>
          <w:sz w:val="22"/>
          <w:szCs w:val="22"/>
        </w:rPr>
      </w:pPr>
      <w:r>
        <w:rPr>
          <w:rFonts w:ascii="Segoe UI" w:hAnsi="Segoe UI" w:cs="Segoe UI"/>
          <w:sz w:val="22"/>
          <w:szCs w:val="22"/>
        </w:rPr>
        <w:t>Any</w:t>
      </w:r>
      <w:r w:rsidRPr="0044107F">
        <w:rPr>
          <w:rFonts w:ascii="Segoe UI" w:hAnsi="Segoe UI" w:cs="Segoe UI"/>
          <w:sz w:val="22"/>
          <w:szCs w:val="22"/>
        </w:rPr>
        <w:t xml:space="preserve"> final reform package may not be released by the PSB until later in 2015 (at the earliest). Implementation of changes in the Visa system cannot begin until all of the details are known and the final requirements are published. Further to account for system freeze periods and development lead times required to coordinate both Visa and Australian banks development efforts, structural interchange changes in the Visa system can take up to </w:t>
      </w:r>
      <w:r>
        <w:rPr>
          <w:rFonts w:ascii="Segoe UI" w:hAnsi="Segoe UI" w:cs="Segoe UI"/>
          <w:sz w:val="22"/>
          <w:szCs w:val="22"/>
        </w:rPr>
        <w:t>nine</w:t>
      </w:r>
      <w:r w:rsidRPr="0044107F">
        <w:rPr>
          <w:rFonts w:ascii="Segoe UI" w:hAnsi="Segoe UI" w:cs="Segoe UI"/>
          <w:sz w:val="22"/>
          <w:szCs w:val="22"/>
        </w:rPr>
        <w:t xml:space="preserve"> months to implement. Sufficient time will be needed to ensure </w:t>
      </w:r>
      <w:r>
        <w:rPr>
          <w:rFonts w:ascii="Segoe UI" w:hAnsi="Segoe UI" w:cs="Segoe UI"/>
          <w:sz w:val="22"/>
          <w:szCs w:val="22"/>
        </w:rPr>
        <w:t xml:space="preserve">that all stakeholders can </w:t>
      </w:r>
      <w:r w:rsidRPr="0044107F">
        <w:rPr>
          <w:rFonts w:ascii="Segoe UI" w:hAnsi="Segoe UI" w:cs="Segoe UI"/>
          <w:sz w:val="22"/>
          <w:szCs w:val="22"/>
        </w:rPr>
        <w:t xml:space="preserve">make the necessary changes. </w:t>
      </w:r>
    </w:p>
    <w:p w14:paraId="7793DF4C" w14:textId="77777777" w:rsidR="00DF224C" w:rsidRPr="00FF5AD0" w:rsidRDefault="00DF224C" w:rsidP="00DF224C">
      <w:pPr>
        <w:jc w:val="both"/>
        <w:rPr>
          <w:rFonts w:ascii="Segoe UI" w:hAnsi="Segoe UI" w:cs="Segoe UI"/>
          <w:sz w:val="22"/>
          <w:szCs w:val="22"/>
        </w:rPr>
      </w:pPr>
    </w:p>
    <w:p w14:paraId="7EEA6F80" w14:textId="77777777" w:rsidR="00DF224C" w:rsidRDefault="00DF224C" w:rsidP="00DF224C"/>
    <w:p w14:paraId="4AA8D3D9" w14:textId="77777777" w:rsidR="007D6D26" w:rsidRDefault="007D6D26" w:rsidP="00DF224C"/>
    <w:p w14:paraId="52FF6221" w14:textId="77777777" w:rsidR="007D6D26" w:rsidRDefault="007D6D26" w:rsidP="00DF224C"/>
    <w:p w14:paraId="2A645FAF" w14:textId="77777777" w:rsidR="007D6D26" w:rsidRDefault="007D6D26" w:rsidP="00DF224C"/>
    <w:p w14:paraId="67B7924A" w14:textId="77777777" w:rsidR="007D6D26" w:rsidRDefault="007D6D26" w:rsidP="00DF224C"/>
    <w:p w14:paraId="0874194C" w14:textId="77777777" w:rsidR="007D6D26" w:rsidRDefault="007D6D26" w:rsidP="00DF224C"/>
    <w:p w14:paraId="5EFB4558" w14:textId="77777777" w:rsidR="00B738E6" w:rsidRDefault="00B738E6" w:rsidP="00DF224C">
      <w:pPr>
        <w:sectPr w:rsidR="00B738E6" w:rsidSect="00B21569">
          <w:headerReference w:type="even" r:id="rId17"/>
          <w:headerReference w:type="default" r:id="rId18"/>
          <w:footerReference w:type="default" r:id="rId19"/>
          <w:type w:val="continuous"/>
          <w:pgSz w:w="11907" w:h="16839" w:code="9"/>
          <w:pgMar w:top="1440" w:right="1440" w:bottom="1440" w:left="1440" w:header="720" w:footer="720" w:gutter="0"/>
          <w:pgNumType w:start="1"/>
          <w:cols w:space="720"/>
          <w:docGrid w:linePitch="360"/>
        </w:sectPr>
      </w:pPr>
    </w:p>
    <w:p w14:paraId="120C1355" w14:textId="3EFE5515" w:rsidR="007D6D26" w:rsidRDefault="00137587" w:rsidP="00DF224C">
      <w:r w:rsidRPr="00426E9B">
        <w:rPr>
          <w:rFonts w:ascii="Segoe UI" w:hAnsi="Segoe UI" w:cs="Segoe UI"/>
          <w:noProof/>
          <w:lang w:val="en-AU" w:eastAsia="en-AU"/>
        </w:rPr>
        <w:lastRenderedPageBreak/>
        <w:drawing>
          <wp:anchor distT="0" distB="0" distL="114300" distR="114300" simplePos="0" relativeHeight="251665408" behindDoc="0" locked="0" layoutInCell="1" allowOverlap="1" wp14:anchorId="567E5542" wp14:editId="07247F4E">
            <wp:simplePos x="0" y="0"/>
            <wp:positionH relativeFrom="column">
              <wp:posOffset>4306957</wp:posOffset>
            </wp:positionH>
            <wp:positionV relativeFrom="paragraph">
              <wp:posOffset>359</wp:posOffset>
            </wp:positionV>
            <wp:extent cx="1592580" cy="742950"/>
            <wp:effectExtent l="0" t="0" r="762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t="36781" r="23376"/>
                    <a:stretch>
                      <a:fillRect/>
                    </a:stretch>
                  </pic:blipFill>
                  <pic:spPr bwMode="auto">
                    <a:xfrm>
                      <a:off x="0" y="0"/>
                      <a:ext cx="1592580" cy="7429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44E6E34" w14:textId="558DE105" w:rsidR="007D6D26" w:rsidRDefault="007D6D26" w:rsidP="00DF224C"/>
    <w:p w14:paraId="02C47C50" w14:textId="0475E1EC" w:rsidR="00DF224C" w:rsidRDefault="00DF224C"/>
    <w:sectPr w:rsidR="00DF224C" w:rsidSect="00B738E6">
      <w:pgSz w:w="11907" w:h="16839" w:code="9"/>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BFFE35" w14:textId="77777777" w:rsidR="00D74806" w:rsidRDefault="00D74806" w:rsidP="00DF224C">
      <w:r>
        <w:separator/>
      </w:r>
    </w:p>
  </w:endnote>
  <w:endnote w:type="continuationSeparator" w:id="0">
    <w:p w14:paraId="1CE57B58" w14:textId="77777777" w:rsidR="00D74806" w:rsidRDefault="00D74806" w:rsidP="00DF22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FC8D30" w14:textId="77777777" w:rsidR="00D74806" w:rsidRDefault="00D74806" w:rsidP="004F139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7C126D4" w14:textId="77777777" w:rsidR="00D74806" w:rsidRDefault="00D74806" w:rsidP="004F139D">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DC0498" w14:textId="77777777" w:rsidR="00D74806" w:rsidRDefault="00D74806" w:rsidP="004F139D">
    <w:pPr>
      <w:pStyle w:val="Footer"/>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0AFDA6" w14:textId="77777777" w:rsidR="00D74806" w:rsidRDefault="00D74806" w:rsidP="004F139D">
    <w:pPr>
      <w:pStyle w:val="Footer"/>
      <w:jc w:val="righ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52776F" w14:textId="3EE7AE7C" w:rsidR="00D74806" w:rsidRPr="00B21569" w:rsidRDefault="00D74806" w:rsidP="004F139D">
    <w:pPr>
      <w:pStyle w:val="Footer"/>
      <w:framePr w:wrap="around" w:vAnchor="text" w:hAnchor="margin" w:xAlign="right" w:y="1"/>
      <w:rPr>
        <w:rStyle w:val="PageNumber"/>
        <w:rFonts w:ascii="Segoe UI" w:hAnsi="Segoe UI" w:cs="Segoe UI"/>
        <w:sz w:val="20"/>
        <w:szCs w:val="20"/>
      </w:rPr>
    </w:pPr>
  </w:p>
  <w:p w14:paraId="78BCC133" w14:textId="77777777" w:rsidR="00D74806" w:rsidRPr="004F139D" w:rsidRDefault="00D74806" w:rsidP="004F139D">
    <w:pPr>
      <w:ind w:right="360"/>
      <w:jc w:val="right"/>
      <w:rPr>
        <w:rFonts w:ascii="Segoe UI" w:hAnsi="Segoe UI" w:cs="Segoe UI"/>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FB9FA3" w14:textId="77777777" w:rsidR="00D74806" w:rsidRDefault="00D74806" w:rsidP="00DF224C">
      <w:r>
        <w:separator/>
      </w:r>
    </w:p>
  </w:footnote>
  <w:footnote w:type="continuationSeparator" w:id="0">
    <w:p w14:paraId="248FF55E" w14:textId="77777777" w:rsidR="00D74806" w:rsidRDefault="00D74806" w:rsidP="00DF224C">
      <w:r>
        <w:continuationSeparator/>
      </w:r>
    </w:p>
  </w:footnote>
  <w:footnote w:id="1">
    <w:p w14:paraId="4A859AAA" w14:textId="77777777" w:rsidR="00D74806" w:rsidRDefault="00D74806">
      <w:pPr>
        <w:pStyle w:val="FootnoteText"/>
      </w:pPr>
      <w:r>
        <w:rPr>
          <w:rStyle w:val="FootnoteReference"/>
        </w:rPr>
        <w:footnoteRef/>
      </w:r>
      <w:r>
        <w:t xml:space="preserve"> </w:t>
      </w:r>
      <w:r w:rsidRPr="00DE7F36">
        <w:rPr>
          <w:rFonts w:ascii="Segoe UI" w:hAnsi="Segoe UI" w:cs="Segoe UI"/>
          <w:sz w:val="20"/>
          <w:szCs w:val="20"/>
        </w:rPr>
        <w:t>For the year ended December 2014</w:t>
      </w:r>
      <w:r>
        <w:t>.</w:t>
      </w:r>
    </w:p>
  </w:footnote>
  <w:footnote w:id="2">
    <w:p w14:paraId="028B594F" w14:textId="77777777" w:rsidR="00D74806" w:rsidRPr="008E0A43" w:rsidRDefault="00D74806" w:rsidP="00DF224C">
      <w:pPr>
        <w:pStyle w:val="FootnoteText"/>
        <w:rPr>
          <w:rFonts w:ascii="Segoe UI" w:hAnsi="Segoe UI" w:cs="Segoe UI"/>
          <w:sz w:val="20"/>
          <w:szCs w:val="20"/>
        </w:rPr>
      </w:pPr>
      <w:r>
        <w:rPr>
          <w:rStyle w:val="FootnoteReference"/>
        </w:rPr>
        <w:footnoteRef/>
      </w:r>
      <w:r>
        <w:rPr>
          <w:rFonts w:ascii="Segoe UI" w:hAnsi="Segoe UI" w:cs="Segoe UI"/>
          <w:sz w:val="20"/>
          <w:szCs w:val="20"/>
        </w:rPr>
        <w:t xml:space="preserve"> See various submissions at rba.gov.au </w:t>
      </w:r>
    </w:p>
  </w:footnote>
  <w:footnote w:id="3">
    <w:p w14:paraId="36EDCE3E" w14:textId="77777777" w:rsidR="00D74806" w:rsidRPr="008E0A43" w:rsidRDefault="00D74806" w:rsidP="00DF224C">
      <w:pPr>
        <w:pStyle w:val="FootnoteText"/>
        <w:rPr>
          <w:rFonts w:ascii="Segoe UI" w:hAnsi="Segoe UI" w:cs="Segoe UI"/>
          <w:sz w:val="20"/>
          <w:szCs w:val="20"/>
        </w:rPr>
      </w:pPr>
      <w:r w:rsidRPr="008E0A43">
        <w:rPr>
          <w:rStyle w:val="FootnoteReference"/>
          <w:rFonts w:ascii="Segoe UI" w:hAnsi="Segoe UI" w:cs="Segoe UI"/>
          <w:sz w:val="20"/>
          <w:szCs w:val="20"/>
        </w:rPr>
        <w:footnoteRef/>
      </w:r>
      <w:r w:rsidRPr="008E0A43">
        <w:rPr>
          <w:rFonts w:ascii="Segoe UI" w:hAnsi="Segoe UI" w:cs="Segoe UI"/>
          <w:sz w:val="20"/>
          <w:szCs w:val="20"/>
        </w:rPr>
        <w:t xml:space="preserve"> Visa’s two submissions to the FSI (dated 31 March 2014 and 26 August 2014) can be found at: fsi.gov.au. Visa’s submission to the Treasury’s review of the FSI report (dated 31 March 2015) can be found at: treasury.gov.au.</w:t>
      </w:r>
    </w:p>
  </w:footnote>
  <w:footnote w:id="4">
    <w:p w14:paraId="5C0DF040" w14:textId="2ABB854B" w:rsidR="00D74806" w:rsidRPr="0089281F" w:rsidRDefault="00D74806" w:rsidP="00DF224C">
      <w:pPr>
        <w:pStyle w:val="FootnoteText"/>
        <w:rPr>
          <w:rFonts w:ascii="Segoe UI" w:hAnsi="Segoe UI" w:cs="Segoe UI"/>
          <w:sz w:val="20"/>
          <w:szCs w:val="20"/>
        </w:rPr>
      </w:pPr>
      <w:r w:rsidRPr="0089281F">
        <w:rPr>
          <w:rStyle w:val="FootnoteReference"/>
          <w:rFonts w:ascii="Segoe UI" w:hAnsi="Segoe UI" w:cs="Segoe UI"/>
          <w:sz w:val="20"/>
          <w:szCs w:val="20"/>
        </w:rPr>
        <w:footnoteRef/>
      </w:r>
      <w:r w:rsidRPr="0089281F">
        <w:rPr>
          <w:rFonts w:ascii="Segoe UI" w:hAnsi="Segoe UI" w:cs="Segoe UI"/>
          <w:sz w:val="20"/>
          <w:szCs w:val="20"/>
        </w:rPr>
        <w:t xml:space="preserve"> End</w:t>
      </w:r>
      <w:r>
        <w:rPr>
          <w:rFonts w:ascii="Segoe UI" w:hAnsi="Segoe UI" w:cs="Segoe UI"/>
          <w:sz w:val="20"/>
          <w:szCs w:val="20"/>
        </w:rPr>
        <w:t>-</w:t>
      </w:r>
      <w:r w:rsidRPr="0089281F">
        <w:rPr>
          <w:rFonts w:ascii="Segoe UI" w:hAnsi="Segoe UI" w:cs="Segoe UI"/>
          <w:sz w:val="20"/>
          <w:szCs w:val="20"/>
        </w:rPr>
        <w:t xml:space="preserve">users include both consumers and merchants. </w:t>
      </w:r>
      <w:r w:rsidRPr="00D45F7B">
        <w:rPr>
          <w:rFonts w:ascii="Segoe UI" w:hAnsi="Segoe UI" w:cs="Segoe UI"/>
          <w:sz w:val="20"/>
          <w:szCs w:val="20"/>
        </w:rPr>
        <w:t>Deloitte Access Economics Report is the Attachment to Visa’s second submission. Available at http://fsi.gov.au/files/2014/08/VISA_Attachment_A.pdf</w:t>
      </w:r>
    </w:p>
  </w:footnote>
  <w:footnote w:id="5">
    <w:p w14:paraId="1DC69BEC" w14:textId="77777777" w:rsidR="00D74806" w:rsidRPr="00D30139" w:rsidRDefault="00D74806" w:rsidP="00DF224C">
      <w:pPr>
        <w:pStyle w:val="FootnoteText"/>
        <w:rPr>
          <w:rFonts w:ascii="Segoe UI" w:hAnsi="Segoe UI" w:cs="Segoe UI"/>
          <w:sz w:val="20"/>
          <w:szCs w:val="20"/>
        </w:rPr>
      </w:pPr>
      <w:r>
        <w:rPr>
          <w:rStyle w:val="FootnoteReference"/>
        </w:rPr>
        <w:footnoteRef/>
      </w:r>
      <w:r>
        <w:t xml:space="preserve"> </w:t>
      </w:r>
      <w:r w:rsidRPr="00D30139">
        <w:rPr>
          <w:rFonts w:ascii="Segoe UI" w:hAnsi="Segoe UI" w:cs="Segoe UI"/>
          <w:sz w:val="20"/>
          <w:szCs w:val="20"/>
        </w:rPr>
        <w:t>BI Intelligence ,The Wearable Computing Market Report, November 2014 (http://www.businessinsider.com/the-wearable-computing-market-report-2014-10)</w:t>
      </w:r>
    </w:p>
  </w:footnote>
  <w:footnote w:id="6">
    <w:p w14:paraId="675869F3" w14:textId="2587C6E0" w:rsidR="00D74806" w:rsidRPr="00D30139" w:rsidRDefault="00D74806" w:rsidP="00DF224C">
      <w:pPr>
        <w:pStyle w:val="FootnoteText"/>
        <w:rPr>
          <w:rFonts w:ascii="Segoe UI" w:hAnsi="Segoe UI" w:cs="Segoe UI"/>
          <w:sz w:val="20"/>
          <w:szCs w:val="20"/>
        </w:rPr>
      </w:pPr>
      <w:r w:rsidRPr="00D30139">
        <w:rPr>
          <w:rStyle w:val="FootnoteReference"/>
          <w:rFonts w:ascii="Segoe UI" w:hAnsi="Segoe UI" w:cs="Segoe UI"/>
          <w:sz w:val="20"/>
          <w:szCs w:val="20"/>
        </w:rPr>
        <w:footnoteRef/>
      </w:r>
      <w:r w:rsidRPr="00D30139">
        <w:rPr>
          <w:rFonts w:ascii="Segoe UI" w:hAnsi="Segoe UI" w:cs="Segoe UI"/>
          <w:sz w:val="20"/>
          <w:szCs w:val="20"/>
        </w:rPr>
        <w:t xml:space="preserve"> Tokenisation: Why Australia, Why Now white paper, February 2015 pages 21-22 </w:t>
      </w:r>
      <w:r w:rsidRPr="00BE7058">
        <w:rPr>
          <w:rFonts w:ascii="Segoe UI" w:hAnsi="Segoe UI" w:cs="Segoe UI"/>
          <w:sz w:val="20"/>
          <w:szCs w:val="20"/>
        </w:rPr>
        <w:t>http://www.visa.com.au/aboutvisa/research/include/Tokenisation_Why_Australia_Why_Now_FINAL.pdf</w:t>
      </w:r>
      <w:r w:rsidRPr="00D30139">
        <w:rPr>
          <w:rFonts w:ascii="Segoe UI" w:hAnsi="Segoe UI" w:cs="Segoe UI"/>
          <w:sz w:val="20"/>
          <w:szCs w:val="20"/>
        </w:rPr>
        <w:t xml:space="preserve"> </w:t>
      </w:r>
    </w:p>
  </w:footnote>
  <w:footnote w:id="7">
    <w:p w14:paraId="45E5787A" w14:textId="77777777" w:rsidR="00D74806" w:rsidRPr="00D30139" w:rsidRDefault="00D74806" w:rsidP="00DF224C">
      <w:pPr>
        <w:pStyle w:val="FootnoteText"/>
        <w:rPr>
          <w:rFonts w:ascii="Segoe UI" w:hAnsi="Segoe UI" w:cs="Segoe UI"/>
          <w:sz w:val="20"/>
          <w:szCs w:val="20"/>
        </w:rPr>
      </w:pPr>
      <w:r w:rsidRPr="00D30139">
        <w:rPr>
          <w:rStyle w:val="FootnoteReference"/>
          <w:rFonts w:ascii="Segoe UI" w:hAnsi="Segoe UI" w:cs="Segoe UI"/>
          <w:sz w:val="20"/>
          <w:szCs w:val="20"/>
        </w:rPr>
        <w:footnoteRef/>
      </w:r>
      <w:r w:rsidRPr="00D30139">
        <w:rPr>
          <w:rFonts w:ascii="Segoe UI" w:hAnsi="Segoe UI" w:cs="Segoe UI"/>
          <w:sz w:val="20"/>
          <w:szCs w:val="20"/>
        </w:rPr>
        <w:t xml:space="preserve"> VisaNet (January, 2015)</w:t>
      </w:r>
    </w:p>
  </w:footnote>
  <w:footnote w:id="8">
    <w:p w14:paraId="0F4BBB10" w14:textId="0FB310C2" w:rsidR="00D74806" w:rsidRPr="00D30139" w:rsidRDefault="00D74806" w:rsidP="00DF224C">
      <w:pPr>
        <w:pStyle w:val="FootnoteText"/>
        <w:rPr>
          <w:rFonts w:ascii="Segoe UI" w:hAnsi="Segoe UI" w:cs="Segoe UI"/>
          <w:sz w:val="20"/>
          <w:szCs w:val="20"/>
        </w:rPr>
      </w:pPr>
      <w:r w:rsidRPr="00D30139">
        <w:rPr>
          <w:rStyle w:val="FootnoteReference"/>
          <w:rFonts w:ascii="Segoe UI" w:hAnsi="Segoe UI" w:cs="Segoe UI"/>
          <w:sz w:val="20"/>
          <w:szCs w:val="20"/>
        </w:rPr>
        <w:footnoteRef/>
      </w:r>
      <w:r w:rsidRPr="00D30139">
        <w:rPr>
          <w:rFonts w:ascii="Segoe UI" w:hAnsi="Segoe UI" w:cs="Segoe UI"/>
          <w:sz w:val="20"/>
          <w:szCs w:val="20"/>
        </w:rPr>
        <w:t xml:space="preserve"> </w:t>
      </w:r>
      <w:r w:rsidRPr="00BE7058">
        <w:rPr>
          <w:rFonts w:ascii="Segoe UI" w:hAnsi="Segoe UI" w:cs="Segoe UI"/>
          <w:sz w:val="20"/>
          <w:szCs w:val="20"/>
        </w:rPr>
        <w:t>http://pressreleases.visa.com/phoenix.zhtml?c=215693&amp;p=irol-newsarticlePR&amp;ID=1958165</w:t>
      </w:r>
    </w:p>
  </w:footnote>
  <w:footnote w:id="9">
    <w:p w14:paraId="67540703" w14:textId="4D8E054C" w:rsidR="00D74806" w:rsidRPr="00D30139" w:rsidRDefault="00D74806" w:rsidP="00DF224C">
      <w:pPr>
        <w:pStyle w:val="FootnoteText"/>
        <w:rPr>
          <w:rFonts w:ascii="Segoe UI" w:hAnsi="Segoe UI" w:cs="Segoe UI"/>
          <w:sz w:val="22"/>
          <w:szCs w:val="22"/>
        </w:rPr>
      </w:pPr>
      <w:r w:rsidRPr="00D30139">
        <w:rPr>
          <w:rStyle w:val="FootnoteReference"/>
          <w:rFonts w:ascii="Segoe UI" w:hAnsi="Segoe UI" w:cs="Segoe UI"/>
          <w:sz w:val="20"/>
          <w:szCs w:val="20"/>
        </w:rPr>
        <w:footnoteRef/>
      </w:r>
      <w:r w:rsidRPr="00D30139">
        <w:rPr>
          <w:rFonts w:ascii="Segoe UI" w:hAnsi="Segoe UI" w:cs="Segoe UI"/>
          <w:sz w:val="20"/>
          <w:szCs w:val="20"/>
        </w:rPr>
        <w:t xml:space="preserve"> Angel List start-up web portal, 2014 (</w:t>
      </w:r>
      <w:r w:rsidRPr="00BE7058">
        <w:rPr>
          <w:rFonts w:ascii="Segoe UI" w:hAnsi="Segoe UI" w:cs="Segoe UI"/>
          <w:sz w:val="20"/>
          <w:szCs w:val="20"/>
        </w:rPr>
        <w:t>https://angel.co/payments</w:t>
      </w:r>
      <w:r w:rsidRPr="00D30139">
        <w:rPr>
          <w:rFonts w:ascii="Segoe UI" w:hAnsi="Segoe UI" w:cs="Segoe UI"/>
          <w:sz w:val="20"/>
          <w:szCs w:val="20"/>
        </w:rPr>
        <w:t>)</w:t>
      </w:r>
    </w:p>
  </w:footnote>
  <w:footnote w:id="10">
    <w:p w14:paraId="1D9DF2C1" w14:textId="77777777" w:rsidR="00D74806" w:rsidRPr="00D30139" w:rsidRDefault="00D74806" w:rsidP="00DF224C">
      <w:pPr>
        <w:rPr>
          <w:rFonts w:ascii="Segoe UI" w:hAnsi="Segoe UI" w:cs="Segoe UI"/>
          <w:sz w:val="20"/>
          <w:szCs w:val="20"/>
        </w:rPr>
      </w:pPr>
      <w:r w:rsidRPr="00ED03FF">
        <w:rPr>
          <w:rStyle w:val="FootnoteReference"/>
          <w:rFonts w:ascii="Segoe UI" w:hAnsi="Segoe UI" w:cs="Segoe UI"/>
        </w:rPr>
        <w:footnoteRef/>
      </w:r>
      <w:r w:rsidRPr="00ED03FF">
        <w:rPr>
          <w:rFonts w:ascii="Segoe UI" w:hAnsi="Segoe UI" w:cs="Segoe UI"/>
        </w:rPr>
        <w:t xml:space="preserve"> </w:t>
      </w:r>
      <w:r w:rsidRPr="00D30139">
        <w:rPr>
          <w:rFonts w:ascii="Segoe UI" w:hAnsi="Segoe UI" w:cs="Segoe UI"/>
          <w:sz w:val="20"/>
          <w:szCs w:val="20"/>
        </w:rPr>
        <w:t>Visa/UMR Strategic study, February 2015. The research was conducted by UMR</w:t>
      </w:r>
      <w:r>
        <w:rPr>
          <w:rFonts w:ascii="Segoe UI" w:hAnsi="Segoe UI" w:cs="Segoe UI"/>
          <w:sz w:val="20"/>
          <w:szCs w:val="20"/>
        </w:rPr>
        <w:t xml:space="preserve"> </w:t>
      </w:r>
      <w:r w:rsidRPr="00D30139">
        <w:rPr>
          <w:rFonts w:ascii="Segoe UI" w:hAnsi="Segoe UI" w:cs="Segoe UI"/>
          <w:sz w:val="20"/>
          <w:szCs w:val="20"/>
        </w:rPr>
        <w:t xml:space="preserve">Strategic Research Pty Ltd. Fieldwork was carried out between 21 November and 15 December 2014. A nationally representative sample of 1,000 consumers and 200 merchants were interviewed online, all aged 18 years and over. </w:t>
      </w:r>
    </w:p>
  </w:footnote>
  <w:footnote w:id="11">
    <w:p w14:paraId="4F76A8D5" w14:textId="77777777" w:rsidR="00D74806" w:rsidRPr="00D30139" w:rsidRDefault="00D74806" w:rsidP="00DF224C">
      <w:pPr>
        <w:pStyle w:val="FootnoteText"/>
        <w:rPr>
          <w:rFonts w:ascii="Segoe UI" w:hAnsi="Segoe UI" w:cs="Segoe UI"/>
          <w:sz w:val="20"/>
          <w:szCs w:val="20"/>
        </w:rPr>
      </w:pPr>
      <w:r w:rsidRPr="00D30139">
        <w:rPr>
          <w:rStyle w:val="FootnoteReference"/>
          <w:rFonts w:ascii="Segoe UI" w:hAnsi="Segoe UI" w:cs="Segoe UI"/>
          <w:sz w:val="20"/>
          <w:szCs w:val="20"/>
        </w:rPr>
        <w:footnoteRef/>
      </w:r>
      <w:r w:rsidRPr="00D30139">
        <w:rPr>
          <w:rFonts w:ascii="Segoe UI" w:hAnsi="Segoe UI" w:cs="Segoe UI"/>
          <w:sz w:val="20"/>
          <w:szCs w:val="20"/>
        </w:rPr>
        <w:t xml:space="preserve"> Visa/UMR Strategic study, February 2015 (see appendix for more details)</w:t>
      </w:r>
    </w:p>
  </w:footnote>
  <w:footnote w:id="12">
    <w:p w14:paraId="1637E19A" w14:textId="77777777" w:rsidR="00D74806" w:rsidRPr="00D30139" w:rsidRDefault="00D74806" w:rsidP="00DF224C">
      <w:pPr>
        <w:pStyle w:val="FootnoteText"/>
        <w:rPr>
          <w:rFonts w:ascii="Segoe UI" w:hAnsi="Segoe UI" w:cs="Segoe UI"/>
          <w:sz w:val="20"/>
          <w:szCs w:val="20"/>
        </w:rPr>
      </w:pPr>
      <w:r w:rsidRPr="00D30139">
        <w:rPr>
          <w:rStyle w:val="FootnoteReference"/>
          <w:rFonts w:ascii="Segoe UI" w:hAnsi="Segoe UI" w:cs="Segoe UI"/>
          <w:sz w:val="20"/>
          <w:szCs w:val="20"/>
        </w:rPr>
        <w:footnoteRef/>
      </w:r>
      <w:r w:rsidRPr="00D30139">
        <w:rPr>
          <w:rFonts w:ascii="Segoe UI" w:hAnsi="Segoe UI" w:cs="Segoe UI"/>
          <w:sz w:val="20"/>
          <w:szCs w:val="20"/>
        </w:rPr>
        <w:t xml:space="preserve"> The Australian Government Competition Policy Review</w:t>
      </w:r>
    </w:p>
  </w:footnote>
  <w:footnote w:id="13">
    <w:p w14:paraId="78D68BD6" w14:textId="77777777" w:rsidR="00D74806" w:rsidRDefault="00D74806" w:rsidP="00DF224C">
      <w:pPr>
        <w:pStyle w:val="FootnoteText"/>
      </w:pPr>
      <w:r>
        <w:rPr>
          <w:rStyle w:val="FootnoteReference"/>
        </w:rPr>
        <w:footnoteRef/>
      </w:r>
      <w:r>
        <w:t xml:space="preserve"> </w:t>
      </w:r>
      <w:r w:rsidRPr="008E0A43">
        <w:rPr>
          <w:rFonts w:ascii="Segoe UI" w:hAnsi="Segoe UI" w:cs="Segoe UI"/>
          <w:sz w:val="20"/>
          <w:szCs w:val="20"/>
        </w:rPr>
        <w:t xml:space="preserve">Visa’s submission to the Treasury’s review of the FSI report (dated 31 March 2015) can be found at: </w:t>
      </w:r>
      <w:r>
        <w:rPr>
          <w:rFonts w:ascii="Segoe UI" w:hAnsi="Segoe UI" w:cs="Segoe UI"/>
          <w:sz w:val="20"/>
          <w:szCs w:val="20"/>
        </w:rPr>
        <w:t>http://www.</w:t>
      </w:r>
      <w:r w:rsidRPr="008E0A43">
        <w:rPr>
          <w:rFonts w:ascii="Segoe UI" w:hAnsi="Segoe UI" w:cs="Segoe UI"/>
          <w:sz w:val="20"/>
          <w:szCs w:val="20"/>
        </w:rPr>
        <w:t>treasury.gov.au.</w:t>
      </w:r>
    </w:p>
  </w:footnote>
  <w:footnote w:id="14">
    <w:p w14:paraId="59BF881A" w14:textId="77777777" w:rsidR="00D74806" w:rsidRPr="007C0AFE" w:rsidRDefault="00D74806" w:rsidP="00DF224C">
      <w:pPr>
        <w:pStyle w:val="FootnoteText"/>
        <w:rPr>
          <w:rFonts w:ascii="Segoe UI" w:hAnsi="Segoe UI" w:cs="Segoe UI"/>
          <w:sz w:val="20"/>
          <w:szCs w:val="20"/>
        </w:rPr>
      </w:pPr>
      <w:r w:rsidRPr="00234275">
        <w:rPr>
          <w:rStyle w:val="FootnoteReference"/>
          <w:rFonts w:ascii="Segoe UI" w:hAnsi="Segoe UI" w:cs="Segoe UI"/>
        </w:rPr>
        <w:footnoteRef/>
      </w:r>
      <w:r w:rsidRPr="00234275">
        <w:rPr>
          <w:rFonts w:ascii="Segoe UI" w:hAnsi="Segoe UI" w:cs="Segoe UI"/>
        </w:rPr>
        <w:t xml:space="preserve"> </w:t>
      </w:r>
      <w:r w:rsidRPr="007C0AFE">
        <w:rPr>
          <w:rFonts w:ascii="Segoe UI" w:hAnsi="Segoe UI" w:cs="Segoe UI"/>
          <w:sz w:val="20"/>
          <w:szCs w:val="20"/>
        </w:rPr>
        <w:t xml:space="preserve">Deloitte Access Economics Report as the Attachment to Visa’s second submission. </w:t>
      </w:r>
      <w:r>
        <w:rPr>
          <w:rFonts w:ascii="Segoe UI" w:hAnsi="Segoe UI" w:cs="Segoe UI"/>
          <w:sz w:val="20"/>
          <w:szCs w:val="20"/>
        </w:rPr>
        <w:t xml:space="preserve">Available at </w:t>
      </w:r>
      <w:r w:rsidRPr="00D914E6">
        <w:rPr>
          <w:rFonts w:ascii="Segoe UI" w:hAnsi="Segoe UI" w:cs="Segoe UI"/>
          <w:sz w:val="20"/>
          <w:szCs w:val="20"/>
        </w:rPr>
        <w:t>http://fsi.gov.au/files/2014/08/VISA_Attachment_A.pdf</w:t>
      </w:r>
    </w:p>
  </w:footnote>
  <w:footnote w:id="15">
    <w:p w14:paraId="23D534EC" w14:textId="77777777" w:rsidR="00D74806" w:rsidRDefault="00D74806" w:rsidP="00DF224C">
      <w:pPr>
        <w:pStyle w:val="FootnoteText"/>
      </w:pPr>
      <w:r>
        <w:rPr>
          <w:rStyle w:val="FootnoteReference"/>
        </w:rPr>
        <w:footnoteRef/>
      </w:r>
      <w:r>
        <w:t xml:space="preserve"> </w:t>
      </w:r>
      <w:r w:rsidRPr="009056F2">
        <w:rPr>
          <w:rFonts w:ascii="Segoe UI" w:hAnsi="Segoe UI" w:cs="Segoe UI"/>
          <w:sz w:val="20"/>
          <w:szCs w:val="20"/>
        </w:rPr>
        <w:t>http://papers.ssrn.com/sol3/papers.cfm?abstract_id=2446080</w:t>
      </w:r>
    </w:p>
  </w:footnote>
  <w:footnote w:id="16">
    <w:p w14:paraId="455C15A7" w14:textId="77777777" w:rsidR="00D74806" w:rsidRPr="00961476" w:rsidRDefault="00D74806" w:rsidP="00DF224C">
      <w:pPr>
        <w:pStyle w:val="FootnoteText"/>
        <w:rPr>
          <w:rFonts w:ascii="Segoe UI" w:hAnsi="Segoe UI" w:cs="Segoe UI"/>
          <w:sz w:val="20"/>
          <w:szCs w:val="20"/>
        </w:rPr>
      </w:pPr>
      <w:r>
        <w:rPr>
          <w:rStyle w:val="FootnoteReference"/>
        </w:rPr>
        <w:footnoteRef/>
      </w:r>
      <w:r>
        <w:t xml:space="preserve"> </w:t>
      </w:r>
      <w:r w:rsidRPr="001F01BB">
        <w:rPr>
          <w:rFonts w:ascii="Segoe UI" w:hAnsi="Segoe UI" w:cs="Segoe UI"/>
          <w:sz w:val="20"/>
          <w:szCs w:val="20"/>
        </w:rPr>
        <w:t>All Australian credit providers are expected to lend responsibly as a consequence of having an Australian Financial Services licence issued by the Australian Securities and Investment Commission (ASIC) as set out in the National Consumer Credit Protection Act. See http://asic.gov.au/regulatory-resources/credit/</w:t>
      </w:r>
    </w:p>
  </w:footnote>
  <w:footnote w:id="17">
    <w:p w14:paraId="78B7924A" w14:textId="24E0ADD9" w:rsidR="00D74806" w:rsidRPr="00BE7058" w:rsidRDefault="00D74806" w:rsidP="00DF224C">
      <w:pPr>
        <w:pStyle w:val="FootnoteText"/>
        <w:rPr>
          <w:rFonts w:ascii="Segoe UI" w:hAnsi="Segoe UI" w:cs="Segoe UI"/>
        </w:rPr>
      </w:pPr>
      <w:r w:rsidRPr="00BE7058">
        <w:rPr>
          <w:rStyle w:val="FootnoteReference"/>
          <w:rFonts w:ascii="Segoe UI" w:hAnsi="Segoe UI" w:cs="Segoe UI"/>
        </w:rPr>
        <w:footnoteRef/>
      </w:r>
      <w:r w:rsidRPr="00BE7058">
        <w:rPr>
          <w:rFonts w:ascii="Segoe UI" w:hAnsi="Segoe UI" w:cs="Segoe UI"/>
        </w:rPr>
        <w:t xml:space="preserve"> </w:t>
      </w:r>
      <w:r w:rsidRPr="00BE7058">
        <w:rPr>
          <w:rFonts w:ascii="Segoe UI" w:hAnsi="Segoe UI" w:cs="Segoe UI"/>
          <w:sz w:val="20"/>
          <w:szCs w:val="20"/>
        </w:rPr>
        <w:t>See most recent RBA Chart Pack and Monetary Policy Meeting of the RBA Board at</w:t>
      </w:r>
      <w:r w:rsidRPr="00BE7058">
        <w:rPr>
          <w:rFonts w:ascii="Segoe UI" w:hAnsi="Segoe UI" w:cs="Segoe UI"/>
          <w:sz w:val="22"/>
          <w:szCs w:val="22"/>
        </w:rPr>
        <w:t xml:space="preserve"> http://rba.gov.au</w:t>
      </w:r>
      <w:r w:rsidRPr="00BE7058">
        <w:rPr>
          <w:rFonts w:ascii="Segoe UI" w:hAnsi="Segoe UI" w:cs="Segoe UI"/>
        </w:rPr>
        <w:t xml:space="preserve"> </w:t>
      </w:r>
    </w:p>
  </w:footnote>
  <w:footnote w:id="18">
    <w:p w14:paraId="35740CEE" w14:textId="76F555E0" w:rsidR="00D74806" w:rsidRDefault="00D74806" w:rsidP="00B359B5">
      <w:pPr>
        <w:pStyle w:val="FootnoteText"/>
      </w:pPr>
      <w:r>
        <w:rPr>
          <w:rStyle w:val="FootnoteReference"/>
        </w:rPr>
        <w:footnoteRef/>
      </w:r>
      <w:r>
        <w:t xml:space="preserve"> </w:t>
      </w:r>
      <w:r w:rsidRPr="00427F9C">
        <w:rPr>
          <w:rFonts w:ascii="Segoe UI" w:hAnsi="Segoe UI" w:cs="Segoe UI"/>
          <w:sz w:val="22"/>
          <w:szCs w:val="22"/>
        </w:rPr>
        <w:t>If we turn to the United States, the Durbin Amendment enacted on July 21, 2010 as part of the Dodd-Frank Act, required the Federal Reserve Boar</w:t>
      </w:r>
      <w:r>
        <w:rPr>
          <w:rFonts w:ascii="Segoe UI" w:hAnsi="Segoe UI" w:cs="Segoe UI"/>
          <w:sz w:val="22"/>
          <w:szCs w:val="22"/>
        </w:rPr>
        <w:t>d to develop a set of rules on D</w:t>
      </w:r>
      <w:r w:rsidRPr="00427F9C">
        <w:rPr>
          <w:rFonts w:ascii="Segoe UI" w:hAnsi="Segoe UI" w:cs="Segoe UI"/>
          <w:sz w:val="22"/>
          <w:szCs w:val="22"/>
        </w:rPr>
        <w:t xml:space="preserve">ebit card interchange fees and to regulate </w:t>
      </w:r>
      <w:r>
        <w:rPr>
          <w:rFonts w:ascii="Segoe UI" w:hAnsi="Segoe UI" w:cs="Segoe UI"/>
          <w:sz w:val="22"/>
          <w:szCs w:val="22"/>
        </w:rPr>
        <w:t xml:space="preserve">network </w:t>
      </w:r>
      <w:r w:rsidRPr="00427F9C">
        <w:rPr>
          <w:rFonts w:ascii="Segoe UI" w:hAnsi="Segoe UI" w:cs="Segoe UI"/>
          <w:sz w:val="22"/>
          <w:szCs w:val="22"/>
        </w:rPr>
        <w:t xml:space="preserve">exclusivity and routing arrangements of card networks and banks. The new rules limit the size of the interchange fee that can be received by large banks. </w:t>
      </w:r>
      <w:r w:rsidRPr="001F01BB">
        <w:rPr>
          <w:rFonts w:ascii="Segoe UI" w:hAnsi="Segoe UI" w:cs="Segoe UI"/>
          <w:sz w:val="20"/>
          <w:szCs w:val="20"/>
        </w:rPr>
        <w:t>Available at http://www.gpo.gov/fdsys/pkg/FR-2012-08-03/pdf/2012-18726.pdf</w:t>
      </w:r>
    </w:p>
  </w:footnote>
  <w:footnote w:id="19">
    <w:p w14:paraId="4020DD9A" w14:textId="77777777" w:rsidR="00D74806" w:rsidRPr="007C0AFE" w:rsidRDefault="00D74806" w:rsidP="00DF224C">
      <w:pPr>
        <w:pStyle w:val="FootnoteText"/>
        <w:rPr>
          <w:rFonts w:ascii="Segoe UI" w:hAnsi="Segoe UI" w:cs="Segoe UI"/>
          <w:sz w:val="20"/>
          <w:szCs w:val="20"/>
        </w:rPr>
      </w:pPr>
      <w:r>
        <w:rPr>
          <w:rStyle w:val="FootnoteReference"/>
        </w:rPr>
        <w:footnoteRef/>
      </w:r>
      <w:r>
        <w:t xml:space="preserve"> </w:t>
      </w:r>
      <w:r w:rsidRPr="007C0AFE">
        <w:rPr>
          <w:rFonts w:ascii="Segoe UI" w:hAnsi="Segoe UI" w:cs="Segoe UI"/>
          <w:sz w:val="20"/>
          <w:szCs w:val="20"/>
        </w:rPr>
        <w:t xml:space="preserve">David Evans, </w:t>
      </w:r>
      <w:r w:rsidRPr="007C0AFE">
        <w:rPr>
          <w:rFonts w:ascii="Segoe UI" w:hAnsi="Segoe UI" w:cs="Segoe UI"/>
          <w:i/>
          <w:sz w:val="20"/>
          <w:szCs w:val="20"/>
        </w:rPr>
        <w:t xml:space="preserve">Payments Innovation and Interchange Fee Regulation: How Inverting the Merchant-Pays Business Model Would Affect the Extent and Direction of Innovation </w:t>
      </w:r>
      <w:r w:rsidRPr="007C0AFE">
        <w:rPr>
          <w:rFonts w:ascii="Segoe UI" w:hAnsi="Segoe UI" w:cs="Segoe UI"/>
          <w:sz w:val="20"/>
          <w:szCs w:val="20"/>
        </w:rPr>
        <w:t>(June 27, 2011).</w:t>
      </w:r>
    </w:p>
  </w:footnote>
  <w:footnote w:id="20">
    <w:p w14:paraId="47E2404D" w14:textId="77777777" w:rsidR="00D74806" w:rsidRPr="00DA1D20" w:rsidRDefault="00D74806" w:rsidP="00DF224C">
      <w:pPr>
        <w:pStyle w:val="FootnoteText"/>
      </w:pPr>
      <w:r w:rsidRPr="007C0AFE">
        <w:rPr>
          <w:rStyle w:val="FootnoteReference"/>
          <w:rFonts w:ascii="Segoe UI" w:hAnsi="Segoe UI" w:cs="Segoe UI"/>
          <w:sz w:val="20"/>
          <w:szCs w:val="20"/>
        </w:rPr>
        <w:footnoteRef/>
      </w:r>
      <w:r w:rsidRPr="007C0AFE">
        <w:rPr>
          <w:rFonts w:ascii="Segoe UI" w:hAnsi="Segoe UI" w:cs="Segoe UI"/>
          <w:sz w:val="20"/>
          <w:szCs w:val="20"/>
        </w:rPr>
        <w:t xml:space="preserve"> </w:t>
      </w:r>
      <w:r>
        <w:rPr>
          <w:rFonts w:ascii="Segoe UI" w:hAnsi="Segoe UI" w:cs="Segoe UI"/>
          <w:sz w:val="20"/>
          <w:szCs w:val="20"/>
        </w:rPr>
        <w:t xml:space="preserve">See </w:t>
      </w:r>
      <w:r w:rsidRPr="007C0AFE">
        <w:rPr>
          <w:rFonts w:ascii="Segoe UI" w:hAnsi="Segoe UI" w:cs="Segoe UI"/>
          <w:sz w:val="20"/>
          <w:szCs w:val="20"/>
        </w:rPr>
        <w:t xml:space="preserve">Ian Lee, Geoffrey A. Manne, Jilian Morris and Todd Zywicki </w:t>
      </w:r>
      <w:r w:rsidRPr="007C0AFE">
        <w:rPr>
          <w:rFonts w:ascii="Segoe UI" w:hAnsi="Segoe UI" w:cs="Segoe UI"/>
          <w:i/>
          <w:sz w:val="20"/>
          <w:szCs w:val="20"/>
        </w:rPr>
        <w:t>Credit Where It’s Due</w:t>
      </w:r>
      <w:r w:rsidRPr="007C0AFE">
        <w:rPr>
          <w:rFonts w:ascii="Segoe UI" w:hAnsi="Segoe UI" w:cs="Segoe UI"/>
          <w:sz w:val="20"/>
          <w:szCs w:val="20"/>
        </w:rPr>
        <w:t>, (2013)</w:t>
      </w:r>
      <w:r>
        <w:rPr>
          <w:rFonts w:ascii="Segoe UI" w:hAnsi="Segoe UI" w:cs="Segoe UI"/>
          <w:sz w:val="20"/>
          <w:szCs w:val="20"/>
        </w:rPr>
        <w:t xml:space="preserve"> for more detailed account</w:t>
      </w:r>
      <w:r w:rsidRPr="007C0AFE">
        <w:rPr>
          <w:rFonts w:ascii="Segoe UI" w:hAnsi="Segoe UI" w:cs="Segoe UI"/>
          <w:sz w:val="20"/>
          <w:szCs w:val="20"/>
        </w:rPr>
        <w:t>.</w:t>
      </w:r>
    </w:p>
  </w:footnote>
  <w:footnote w:id="21">
    <w:p w14:paraId="4DC99E44" w14:textId="37BAE7BB" w:rsidR="00D74806" w:rsidRPr="007C0AFE" w:rsidRDefault="00D74806" w:rsidP="00DF224C">
      <w:pPr>
        <w:pStyle w:val="FootnoteText"/>
        <w:rPr>
          <w:rFonts w:ascii="Segoe UI" w:hAnsi="Segoe UI" w:cs="Segoe UI"/>
          <w:sz w:val="20"/>
          <w:szCs w:val="20"/>
        </w:rPr>
      </w:pPr>
      <w:r w:rsidRPr="007C0AFE">
        <w:rPr>
          <w:rStyle w:val="FootnoteReference"/>
          <w:rFonts w:ascii="Segoe UI" w:hAnsi="Segoe UI" w:cs="Segoe UI"/>
          <w:sz w:val="20"/>
          <w:szCs w:val="20"/>
        </w:rPr>
        <w:footnoteRef/>
      </w:r>
      <w:r w:rsidRPr="007C0AFE">
        <w:rPr>
          <w:rFonts w:ascii="Segoe UI" w:hAnsi="Segoe UI" w:cs="Segoe UI"/>
          <w:sz w:val="20"/>
          <w:szCs w:val="20"/>
        </w:rPr>
        <w:t xml:space="preserve"> ASIC, </w:t>
      </w:r>
      <w:r w:rsidRPr="007C0AFE">
        <w:rPr>
          <w:rFonts w:ascii="Segoe UI" w:hAnsi="Segoe UI" w:cs="Segoe UI"/>
          <w:i/>
          <w:sz w:val="20"/>
          <w:szCs w:val="20"/>
        </w:rPr>
        <w:t>Payday lenders and the new small amount lending provisions</w:t>
      </w:r>
      <w:r w:rsidRPr="007C0AFE">
        <w:rPr>
          <w:rFonts w:ascii="Segoe UI" w:hAnsi="Segoe UI" w:cs="Segoe UI"/>
          <w:sz w:val="20"/>
          <w:szCs w:val="20"/>
        </w:rPr>
        <w:t xml:space="preserve">, (March 2015), p. 7 available at </w:t>
      </w:r>
      <w:r w:rsidRPr="007C0AFE">
        <w:rPr>
          <w:rFonts w:ascii="Segoe UI" w:hAnsi="Segoe UI" w:cs="Segoe UI"/>
          <w:sz w:val="20"/>
          <w:szCs w:val="20"/>
          <w:u w:val="single"/>
        </w:rPr>
        <w:t>http://download.asic.gov.au/media/3038267/rep</w:t>
      </w:r>
      <w:r>
        <w:rPr>
          <w:rFonts w:ascii="Segoe UI" w:hAnsi="Segoe UI" w:cs="Segoe UI"/>
          <w:sz w:val="20"/>
          <w:szCs w:val="20"/>
          <w:u w:val="single"/>
        </w:rPr>
        <w:t>-426-published-17-march-2015.pdf</w:t>
      </w:r>
    </w:p>
  </w:footnote>
  <w:footnote w:id="22">
    <w:p w14:paraId="4AC97DCE" w14:textId="77777777" w:rsidR="00D74806" w:rsidRPr="007C0AFE" w:rsidRDefault="00D74806" w:rsidP="00DF224C">
      <w:pPr>
        <w:pStyle w:val="FootnoteText"/>
        <w:rPr>
          <w:sz w:val="20"/>
          <w:szCs w:val="20"/>
        </w:rPr>
      </w:pPr>
      <w:r>
        <w:rPr>
          <w:rStyle w:val="FootnoteReference"/>
        </w:rPr>
        <w:footnoteRef/>
      </w:r>
      <w:r>
        <w:t xml:space="preserve"> </w:t>
      </w:r>
      <w:r w:rsidRPr="007C0AFE">
        <w:rPr>
          <w:rFonts w:ascii="Segoe UI" w:hAnsi="Segoe UI" w:cs="Segoe UI"/>
          <w:sz w:val="20"/>
          <w:szCs w:val="20"/>
        </w:rPr>
        <w:t xml:space="preserve">See: “Plastic stochastic - Capping fees on card transactions has not worked out as planned” </w:t>
      </w:r>
      <w:r w:rsidRPr="007C0AFE">
        <w:rPr>
          <w:rFonts w:ascii="Segoe UI" w:hAnsi="Segoe UI" w:cs="Segoe UI"/>
          <w:i/>
          <w:sz w:val="20"/>
          <w:szCs w:val="20"/>
        </w:rPr>
        <w:t>Economist</w:t>
      </w:r>
      <w:r w:rsidRPr="007C0AFE">
        <w:rPr>
          <w:rFonts w:ascii="Segoe UI" w:hAnsi="Segoe UI" w:cs="Segoe UI"/>
          <w:sz w:val="20"/>
          <w:szCs w:val="20"/>
        </w:rPr>
        <w:t xml:space="preserve"> 4 Oct 2014 http://www.economist.com/news/finance-and-economics/21621882-capping-fees-card-transactions-has-not-worked-out-planned-plastic-stochastic</w:t>
      </w:r>
    </w:p>
  </w:footnote>
  <w:footnote w:id="23">
    <w:p w14:paraId="2EEC1F47" w14:textId="09356F24" w:rsidR="00D74806" w:rsidRPr="007C0AFE" w:rsidRDefault="00D74806" w:rsidP="00F33E29">
      <w:pPr>
        <w:pStyle w:val="FootnoteText"/>
        <w:rPr>
          <w:sz w:val="20"/>
          <w:szCs w:val="20"/>
        </w:rPr>
      </w:pPr>
      <w:r>
        <w:rPr>
          <w:rStyle w:val="FootnoteReference"/>
        </w:rPr>
        <w:footnoteRef/>
      </w:r>
      <w:r>
        <w:t xml:space="preserve"> </w:t>
      </w:r>
      <w:r w:rsidRPr="00BE7058">
        <w:rPr>
          <w:rFonts w:ascii="Segoe UI" w:hAnsi="Segoe UI" w:cs="Segoe UI"/>
          <w:sz w:val="20"/>
          <w:szCs w:val="20"/>
        </w:rPr>
        <w:t>http://www.rba.gov.au/payments-system/resources/statistics/index.html – Table C3</w:t>
      </w:r>
      <w:r w:rsidRPr="00F33E29">
        <w:rPr>
          <w:rFonts w:ascii="Segoe UI" w:hAnsi="Segoe UI" w:cs="Segoe UI"/>
          <w:sz w:val="20"/>
          <w:szCs w:val="20"/>
        </w:rPr>
        <w:t>, Average Merchant Fees for Debit, Credit and Charge Cards.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34667A" w14:textId="77777777" w:rsidR="00D74806" w:rsidRDefault="00D7480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44D69B" w14:textId="77777777" w:rsidR="00D74806" w:rsidRDefault="00D7480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27706"/>
    <w:multiLevelType w:val="hybridMultilevel"/>
    <w:tmpl w:val="510CC4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5E36FC"/>
    <w:multiLevelType w:val="hybridMultilevel"/>
    <w:tmpl w:val="9CD6414A"/>
    <w:lvl w:ilvl="0" w:tplc="B2E6C802">
      <w:numFmt w:val="bullet"/>
      <w:lvlText w:val="-"/>
      <w:lvlJc w:val="left"/>
      <w:pPr>
        <w:ind w:left="720" w:hanging="360"/>
      </w:pPr>
      <w:rPr>
        <w:rFonts w:ascii="Cambria" w:eastAsia="Calibri" w:hAnsi="Cambria" w:cs="Segoe UI" w:hint="default"/>
        <w:color w:val="1F497D" w:themeColor="text2"/>
        <w:sz w:val="27"/>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0F06C6"/>
    <w:multiLevelType w:val="hybridMultilevel"/>
    <w:tmpl w:val="B7BC302A"/>
    <w:lvl w:ilvl="0" w:tplc="04090001">
      <w:start w:val="1"/>
      <w:numFmt w:val="bullet"/>
      <w:lvlText w:val=""/>
      <w:lvlJc w:val="left"/>
      <w:pPr>
        <w:ind w:left="720" w:hanging="360"/>
      </w:pPr>
      <w:rPr>
        <w:rFonts w:ascii="Symbol" w:hAnsi="Symbol" w:hint="default"/>
      </w:rPr>
    </w:lvl>
    <w:lvl w:ilvl="1" w:tplc="31365C78">
      <w:numFmt w:val="bullet"/>
      <w:lvlText w:val="·"/>
      <w:lvlJc w:val="left"/>
      <w:pPr>
        <w:ind w:left="1665" w:hanging="585"/>
      </w:pPr>
      <w:rPr>
        <w:rFonts w:ascii="Segoe UI" w:eastAsiaTheme="minorEastAsia" w:hAnsi="Segoe UI" w:cs="Segoe U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53558B3"/>
    <w:multiLevelType w:val="multilevel"/>
    <w:tmpl w:val="3FF2ADA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nsid w:val="26D2063B"/>
    <w:multiLevelType w:val="hybridMultilevel"/>
    <w:tmpl w:val="4D16D4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EE54C19"/>
    <w:multiLevelType w:val="hybridMultilevel"/>
    <w:tmpl w:val="AE405D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348F0906"/>
    <w:multiLevelType w:val="hybridMultilevel"/>
    <w:tmpl w:val="C7B04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B0F6984"/>
    <w:multiLevelType w:val="multilevel"/>
    <w:tmpl w:val="848ED04E"/>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nsid w:val="3FB66D55"/>
    <w:multiLevelType w:val="multilevel"/>
    <w:tmpl w:val="5DD2B3A8"/>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43171C76"/>
    <w:multiLevelType w:val="multilevel"/>
    <w:tmpl w:val="0BA04B3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nsid w:val="510B65AB"/>
    <w:multiLevelType w:val="multilevel"/>
    <w:tmpl w:val="3AAAE4AA"/>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nsid w:val="520E1C05"/>
    <w:multiLevelType w:val="multilevel"/>
    <w:tmpl w:val="3B00F04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52D44E4F"/>
    <w:multiLevelType w:val="multilevel"/>
    <w:tmpl w:val="D1148A2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nsid w:val="565953A8"/>
    <w:multiLevelType w:val="hybridMultilevel"/>
    <w:tmpl w:val="2872EE4E"/>
    <w:lvl w:ilvl="0" w:tplc="0C090001">
      <w:start w:val="1"/>
      <w:numFmt w:val="bullet"/>
      <w:lvlText w:val=""/>
      <w:lvlJc w:val="left"/>
      <w:pPr>
        <w:ind w:left="1784" w:hanging="360"/>
      </w:pPr>
      <w:rPr>
        <w:rFonts w:ascii="Symbol" w:hAnsi="Symbol" w:hint="default"/>
      </w:rPr>
    </w:lvl>
    <w:lvl w:ilvl="1" w:tplc="04090003" w:tentative="1">
      <w:start w:val="1"/>
      <w:numFmt w:val="bullet"/>
      <w:lvlText w:val="o"/>
      <w:lvlJc w:val="left"/>
      <w:pPr>
        <w:ind w:left="1724" w:hanging="360"/>
      </w:pPr>
      <w:rPr>
        <w:rFonts w:ascii="Courier New" w:hAnsi="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4">
    <w:nsid w:val="5CBF42EE"/>
    <w:multiLevelType w:val="multilevel"/>
    <w:tmpl w:val="E508E94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5CD46E8B"/>
    <w:multiLevelType w:val="hybridMultilevel"/>
    <w:tmpl w:val="3B0E1AFA"/>
    <w:lvl w:ilvl="0" w:tplc="20C0B78A">
      <w:numFmt w:val="bullet"/>
      <w:lvlText w:val="-"/>
      <w:lvlJc w:val="left"/>
      <w:pPr>
        <w:ind w:left="1860" w:hanging="360"/>
      </w:pPr>
      <w:rPr>
        <w:rFonts w:ascii="Arial" w:eastAsia="SimSun" w:hAnsi="Arial" w:cs="Arial" w:hint="default"/>
      </w:rPr>
    </w:lvl>
    <w:lvl w:ilvl="1" w:tplc="04090003" w:tentative="1">
      <w:start w:val="1"/>
      <w:numFmt w:val="bullet"/>
      <w:lvlText w:val="o"/>
      <w:lvlJc w:val="left"/>
      <w:pPr>
        <w:ind w:left="2580" w:hanging="360"/>
      </w:pPr>
      <w:rPr>
        <w:rFonts w:ascii="Courier New" w:hAnsi="Courier New" w:hint="default"/>
      </w:rPr>
    </w:lvl>
    <w:lvl w:ilvl="2" w:tplc="04090005" w:tentative="1">
      <w:start w:val="1"/>
      <w:numFmt w:val="bullet"/>
      <w:lvlText w:val=""/>
      <w:lvlJc w:val="left"/>
      <w:pPr>
        <w:ind w:left="3300" w:hanging="360"/>
      </w:pPr>
      <w:rPr>
        <w:rFonts w:ascii="Wingdings" w:hAnsi="Wingdings" w:hint="default"/>
      </w:rPr>
    </w:lvl>
    <w:lvl w:ilvl="3" w:tplc="04090001" w:tentative="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16">
    <w:nsid w:val="5E536796"/>
    <w:multiLevelType w:val="hybridMultilevel"/>
    <w:tmpl w:val="4DE6D300"/>
    <w:lvl w:ilvl="0" w:tplc="04090001">
      <w:start w:val="1"/>
      <w:numFmt w:val="bullet"/>
      <w:lvlText w:val=""/>
      <w:lvlJc w:val="left"/>
      <w:pPr>
        <w:ind w:left="766" w:hanging="360"/>
      </w:pPr>
      <w:rPr>
        <w:rFonts w:ascii="Symbol" w:hAnsi="Symbol" w:hint="default"/>
      </w:rPr>
    </w:lvl>
    <w:lvl w:ilvl="1" w:tplc="04090003" w:tentative="1">
      <w:start w:val="1"/>
      <w:numFmt w:val="bullet"/>
      <w:lvlText w:val="o"/>
      <w:lvlJc w:val="left"/>
      <w:pPr>
        <w:ind w:left="1486" w:hanging="360"/>
      </w:pPr>
      <w:rPr>
        <w:rFonts w:ascii="Courier New" w:hAnsi="Courier New" w:hint="default"/>
      </w:rPr>
    </w:lvl>
    <w:lvl w:ilvl="2" w:tplc="04090005" w:tentative="1">
      <w:start w:val="1"/>
      <w:numFmt w:val="bullet"/>
      <w:lvlText w:val=""/>
      <w:lvlJc w:val="left"/>
      <w:pPr>
        <w:ind w:left="2206" w:hanging="360"/>
      </w:pPr>
      <w:rPr>
        <w:rFonts w:ascii="Wingdings" w:hAnsi="Wingdings" w:hint="default"/>
      </w:rPr>
    </w:lvl>
    <w:lvl w:ilvl="3" w:tplc="04090001" w:tentative="1">
      <w:start w:val="1"/>
      <w:numFmt w:val="bullet"/>
      <w:lvlText w:val=""/>
      <w:lvlJc w:val="left"/>
      <w:pPr>
        <w:ind w:left="2926" w:hanging="360"/>
      </w:pPr>
      <w:rPr>
        <w:rFonts w:ascii="Symbol" w:hAnsi="Symbol" w:hint="default"/>
      </w:rPr>
    </w:lvl>
    <w:lvl w:ilvl="4" w:tplc="04090003" w:tentative="1">
      <w:start w:val="1"/>
      <w:numFmt w:val="bullet"/>
      <w:lvlText w:val="o"/>
      <w:lvlJc w:val="left"/>
      <w:pPr>
        <w:ind w:left="3646" w:hanging="360"/>
      </w:pPr>
      <w:rPr>
        <w:rFonts w:ascii="Courier New" w:hAnsi="Courier New" w:hint="default"/>
      </w:rPr>
    </w:lvl>
    <w:lvl w:ilvl="5" w:tplc="04090005" w:tentative="1">
      <w:start w:val="1"/>
      <w:numFmt w:val="bullet"/>
      <w:lvlText w:val=""/>
      <w:lvlJc w:val="left"/>
      <w:pPr>
        <w:ind w:left="4366" w:hanging="360"/>
      </w:pPr>
      <w:rPr>
        <w:rFonts w:ascii="Wingdings" w:hAnsi="Wingdings" w:hint="default"/>
      </w:rPr>
    </w:lvl>
    <w:lvl w:ilvl="6" w:tplc="04090001" w:tentative="1">
      <w:start w:val="1"/>
      <w:numFmt w:val="bullet"/>
      <w:lvlText w:val=""/>
      <w:lvlJc w:val="left"/>
      <w:pPr>
        <w:ind w:left="5086" w:hanging="360"/>
      </w:pPr>
      <w:rPr>
        <w:rFonts w:ascii="Symbol" w:hAnsi="Symbol" w:hint="default"/>
      </w:rPr>
    </w:lvl>
    <w:lvl w:ilvl="7" w:tplc="04090003" w:tentative="1">
      <w:start w:val="1"/>
      <w:numFmt w:val="bullet"/>
      <w:lvlText w:val="o"/>
      <w:lvlJc w:val="left"/>
      <w:pPr>
        <w:ind w:left="5806" w:hanging="360"/>
      </w:pPr>
      <w:rPr>
        <w:rFonts w:ascii="Courier New" w:hAnsi="Courier New" w:hint="default"/>
      </w:rPr>
    </w:lvl>
    <w:lvl w:ilvl="8" w:tplc="04090005" w:tentative="1">
      <w:start w:val="1"/>
      <w:numFmt w:val="bullet"/>
      <w:lvlText w:val=""/>
      <w:lvlJc w:val="left"/>
      <w:pPr>
        <w:ind w:left="6526" w:hanging="360"/>
      </w:pPr>
      <w:rPr>
        <w:rFonts w:ascii="Wingdings" w:hAnsi="Wingdings" w:hint="default"/>
      </w:rPr>
    </w:lvl>
  </w:abstractNum>
  <w:abstractNum w:abstractNumId="17">
    <w:nsid w:val="678A780E"/>
    <w:multiLevelType w:val="hybridMultilevel"/>
    <w:tmpl w:val="123E5588"/>
    <w:lvl w:ilvl="0" w:tplc="4BD6B36E">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9D30DE7"/>
    <w:multiLevelType w:val="hybridMultilevel"/>
    <w:tmpl w:val="374E30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762947C5"/>
    <w:multiLevelType w:val="multilevel"/>
    <w:tmpl w:val="35488D0E"/>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nsid w:val="76C52E0F"/>
    <w:multiLevelType w:val="hybridMultilevel"/>
    <w:tmpl w:val="405468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665" w:hanging="585"/>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E026D20"/>
    <w:multiLevelType w:val="hybridMultilevel"/>
    <w:tmpl w:val="66CC3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2"/>
  </w:num>
  <w:num w:numId="4">
    <w:abstractNumId w:val="20"/>
  </w:num>
  <w:num w:numId="5">
    <w:abstractNumId w:val="3"/>
  </w:num>
  <w:num w:numId="6">
    <w:abstractNumId w:val="1"/>
  </w:num>
  <w:num w:numId="7">
    <w:abstractNumId w:val="21"/>
  </w:num>
  <w:num w:numId="8">
    <w:abstractNumId w:val="16"/>
  </w:num>
  <w:num w:numId="9">
    <w:abstractNumId w:val="5"/>
  </w:num>
  <w:num w:numId="10">
    <w:abstractNumId w:val="8"/>
  </w:num>
  <w:num w:numId="11">
    <w:abstractNumId w:val="4"/>
  </w:num>
  <w:num w:numId="12">
    <w:abstractNumId w:val="14"/>
  </w:num>
  <w:num w:numId="13">
    <w:abstractNumId w:val="17"/>
  </w:num>
  <w:num w:numId="14">
    <w:abstractNumId w:val="11"/>
  </w:num>
  <w:num w:numId="15">
    <w:abstractNumId w:val="7"/>
  </w:num>
  <w:num w:numId="16">
    <w:abstractNumId w:val="10"/>
  </w:num>
  <w:num w:numId="17">
    <w:abstractNumId w:val="9"/>
  </w:num>
  <w:num w:numId="18">
    <w:abstractNumId w:val="6"/>
  </w:num>
  <w:num w:numId="19">
    <w:abstractNumId w:val="13"/>
  </w:num>
  <w:num w:numId="20">
    <w:abstractNumId w:val="15"/>
  </w:num>
  <w:num w:numId="21">
    <w:abstractNumId w:val="19"/>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248B"/>
    <w:rsid w:val="000710FE"/>
    <w:rsid w:val="00081067"/>
    <w:rsid w:val="00092AEF"/>
    <w:rsid w:val="000D35A8"/>
    <w:rsid w:val="000F396B"/>
    <w:rsid w:val="00115B27"/>
    <w:rsid w:val="00137587"/>
    <w:rsid w:val="00170243"/>
    <w:rsid w:val="0017057B"/>
    <w:rsid w:val="00177299"/>
    <w:rsid w:val="00193F12"/>
    <w:rsid w:val="001F01BB"/>
    <w:rsid w:val="00224432"/>
    <w:rsid w:val="00242DDB"/>
    <w:rsid w:val="00287A8C"/>
    <w:rsid w:val="002E77CF"/>
    <w:rsid w:val="0031410D"/>
    <w:rsid w:val="00327632"/>
    <w:rsid w:val="00384C1D"/>
    <w:rsid w:val="003E7BC5"/>
    <w:rsid w:val="003F6869"/>
    <w:rsid w:val="004050ED"/>
    <w:rsid w:val="00430734"/>
    <w:rsid w:val="00464896"/>
    <w:rsid w:val="00477C91"/>
    <w:rsid w:val="004B2C1D"/>
    <w:rsid w:val="004B44C6"/>
    <w:rsid w:val="004E28CA"/>
    <w:rsid w:val="004E5ECB"/>
    <w:rsid w:val="004E738E"/>
    <w:rsid w:val="004F139D"/>
    <w:rsid w:val="00506FE8"/>
    <w:rsid w:val="00530D8F"/>
    <w:rsid w:val="005504CA"/>
    <w:rsid w:val="005F12D3"/>
    <w:rsid w:val="00620818"/>
    <w:rsid w:val="00653966"/>
    <w:rsid w:val="006745B9"/>
    <w:rsid w:val="0071412E"/>
    <w:rsid w:val="00720F64"/>
    <w:rsid w:val="00746CBC"/>
    <w:rsid w:val="00766C5C"/>
    <w:rsid w:val="007D6D26"/>
    <w:rsid w:val="007E035E"/>
    <w:rsid w:val="007E7E16"/>
    <w:rsid w:val="008260B6"/>
    <w:rsid w:val="00864142"/>
    <w:rsid w:val="0089281F"/>
    <w:rsid w:val="008B248B"/>
    <w:rsid w:val="008B578E"/>
    <w:rsid w:val="008B5AA1"/>
    <w:rsid w:val="008E5378"/>
    <w:rsid w:val="008F2E6B"/>
    <w:rsid w:val="009348B7"/>
    <w:rsid w:val="00965724"/>
    <w:rsid w:val="009A3FB0"/>
    <w:rsid w:val="00A17D90"/>
    <w:rsid w:val="00A23067"/>
    <w:rsid w:val="00A25A0A"/>
    <w:rsid w:val="00A61994"/>
    <w:rsid w:val="00AA7CF4"/>
    <w:rsid w:val="00AE7961"/>
    <w:rsid w:val="00B21569"/>
    <w:rsid w:val="00B359B5"/>
    <w:rsid w:val="00B56604"/>
    <w:rsid w:val="00B738E6"/>
    <w:rsid w:val="00BC722E"/>
    <w:rsid w:val="00BE7058"/>
    <w:rsid w:val="00C40454"/>
    <w:rsid w:val="00C52748"/>
    <w:rsid w:val="00CC17D5"/>
    <w:rsid w:val="00CC6881"/>
    <w:rsid w:val="00D15990"/>
    <w:rsid w:val="00D15DA3"/>
    <w:rsid w:val="00D45F7B"/>
    <w:rsid w:val="00D55A30"/>
    <w:rsid w:val="00D72A1E"/>
    <w:rsid w:val="00D74806"/>
    <w:rsid w:val="00DD46F3"/>
    <w:rsid w:val="00DE7F36"/>
    <w:rsid w:val="00DF224C"/>
    <w:rsid w:val="00E62544"/>
    <w:rsid w:val="00E708C8"/>
    <w:rsid w:val="00E86F46"/>
    <w:rsid w:val="00ED2004"/>
    <w:rsid w:val="00F33E29"/>
    <w:rsid w:val="00F57C32"/>
    <w:rsid w:val="00FD26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F260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248B"/>
    <w:pPr>
      <w:spacing w:after="0" w:line="240" w:lineRule="auto"/>
    </w:pPr>
    <w:rPr>
      <w:rFonts w:eastAsiaTheme="minorEastAsia"/>
      <w:sz w:val="24"/>
      <w:szCs w:val="24"/>
    </w:rPr>
  </w:style>
  <w:style w:type="paragraph" w:styleId="Heading1">
    <w:name w:val="heading 1"/>
    <w:basedOn w:val="Normal"/>
    <w:next w:val="Normal"/>
    <w:link w:val="Heading1Char"/>
    <w:uiPriority w:val="9"/>
    <w:qFormat/>
    <w:rsid w:val="00DF224C"/>
    <w:pPr>
      <w:keepNext/>
      <w:keepLines/>
      <w:spacing w:before="480"/>
      <w:outlineLvl w:val="0"/>
    </w:pPr>
    <w:rPr>
      <w:rFonts w:ascii="Arial" w:eastAsiaTheme="majorEastAsia" w:hAnsi="Arial" w:cs="Arial"/>
      <w:b/>
      <w:bCs/>
      <w:color w:val="345A8A" w:themeColor="accent1" w:themeShade="B5"/>
      <w:sz w:val="32"/>
      <w:szCs w:val="32"/>
    </w:rPr>
  </w:style>
  <w:style w:type="paragraph" w:styleId="Heading2">
    <w:name w:val="heading 2"/>
    <w:basedOn w:val="Normal"/>
    <w:next w:val="Normal"/>
    <w:link w:val="Heading2Char"/>
    <w:uiPriority w:val="9"/>
    <w:semiHidden/>
    <w:unhideWhenUsed/>
    <w:qFormat/>
    <w:rsid w:val="00DF224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F33E29"/>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DF224C"/>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B248B"/>
    <w:rPr>
      <w:color w:val="0000FF" w:themeColor="hyperlink"/>
      <w:u w:val="single"/>
    </w:rPr>
  </w:style>
  <w:style w:type="paragraph" w:styleId="NoSpacing">
    <w:name w:val="No Spacing"/>
    <w:link w:val="NoSpacingChar"/>
    <w:qFormat/>
    <w:rsid w:val="008B248B"/>
    <w:pPr>
      <w:spacing w:after="0" w:line="240" w:lineRule="auto"/>
    </w:pPr>
    <w:rPr>
      <w:rFonts w:eastAsiaTheme="minorEastAsia"/>
      <w:sz w:val="24"/>
      <w:szCs w:val="24"/>
    </w:rPr>
  </w:style>
  <w:style w:type="character" w:customStyle="1" w:styleId="Heading1Char">
    <w:name w:val="Heading 1 Char"/>
    <w:basedOn w:val="DefaultParagraphFont"/>
    <w:link w:val="Heading1"/>
    <w:uiPriority w:val="9"/>
    <w:rsid w:val="00DF224C"/>
    <w:rPr>
      <w:rFonts w:ascii="Arial" w:eastAsiaTheme="majorEastAsia" w:hAnsi="Arial" w:cs="Arial"/>
      <w:b/>
      <w:bCs/>
      <w:color w:val="345A8A" w:themeColor="accent1" w:themeShade="B5"/>
      <w:sz w:val="32"/>
      <w:szCs w:val="32"/>
    </w:rPr>
  </w:style>
  <w:style w:type="paragraph" w:styleId="ListParagraph">
    <w:name w:val="List Paragraph"/>
    <w:basedOn w:val="Normal"/>
    <w:uiPriority w:val="34"/>
    <w:qFormat/>
    <w:rsid w:val="00DF224C"/>
    <w:pPr>
      <w:ind w:left="720"/>
      <w:contextualSpacing/>
    </w:pPr>
  </w:style>
  <w:style w:type="table" w:styleId="TableGrid">
    <w:name w:val="Table Grid"/>
    <w:basedOn w:val="TableNormal"/>
    <w:uiPriority w:val="59"/>
    <w:rsid w:val="00DF224C"/>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DF224C"/>
  </w:style>
  <w:style w:type="character" w:customStyle="1" w:styleId="FootnoteTextChar">
    <w:name w:val="Footnote Text Char"/>
    <w:basedOn w:val="DefaultParagraphFont"/>
    <w:link w:val="FootnoteText"/>
    <w:uiPriority w:val="99"/>
    <w:rsid w:val="00DF224C"/>
    <w:rPr>
      <w:rFonts w:eastAsiaTheme="minorEastAsia"/>
      <w:sz w:val="24"/>
      <w:szCs w:val="24"/>
    </w:rPr>
  </w:style>
  <w:style w:type="character" w:styleId="FootnoteReference">
    <w:name w:val="footnote reference"/>
    <w:basedOn w:val="DefaultParagraphFont"/>
    <w:uiPriority w:val="99"/>
    <w:unhideWhenUsed/>
    <w:rsid w:val="00DF224C"/>
    <w:rPr>
      <w:vertAlign w:val="superscript"/>
    </w:rPr>
  </w:style>
  <w:style w:type="character" w:styleId="CommentReference">
    <w:name w:val="annotation reference"/>
    <w:basedOn w:val="DefaultParagraphFont"/>
    <w:uiPriority w:val="99"/>
    <w:semiHidden/>
    <w:unhideWhenUsed/>
    <w:rsid w:val="00DF224C"/>
    <w:rPr>
      <w:sz w:val="16"/>
      <w:szCs w:val="16"/>
    </w:rPr>
  </w:style>
  <w:style w:type="paragraph" w:styleId="CommentText">
    <w:name w:val="annotation text"/>
    <w:basedOn w:val="Normal"/>
    <w:link w:val="CommentTextChar"/>
    <w:uiPriority w:val="99"/>
    <w:unhideWhenUsed/>
    <w:rsid w:val="00DF224C"/>
    <w:rPr>
      <w:sz w:val="20"/>
      <w:szCs w:val="20"/>
    </w:rPr>
  </w:style>
  <w:style w:type="character" w:customStyle="1" w:styleId="CommentTextChar">
    <w:name w:val="Comment Text Char"/>
    <w:basedOn w:val="DefaultParagraphFont"/>
    <w:link w:val="CommentText"/>
    <w:uiPriority w:val="99"/>
    <w:rsid w:val="00DF224C"/>
    <w:rPr>
      <w:rFonts w:eastAsiaTheme="minorEastAsia"/>
      <w:sz w:val="20"/>
      <w:szCs w:val="20"/>
    </w:rPr>
  </w:style>
  <w:style w:type="paragraph" w:styleId="BalloonText">
    <w:name w:val="Balloon Text"/>
    <w:basedOn w:val="Normal"/>
    <w:link w:val="BalloonTextChar"/>
    <w:uiPriority w:val="99"/>
    <w:semiHidden/>
    <w:unhideWhenUsed/>
    <w:rsid w:val="00DF224C"/>
    <w:rPr>
      <w:rFonts w:ascii="Tahoma" w:hAnsi="Tahoma" w:cs="Tahoma"/>
      <w:sz w:val="16"/>
      <w:szCs w:val="16"/>
    </w:rPr>
  </w:style>
  <w:style w:type="character" w:customStyle="1" w:styleId="BalloonTextChar">
    <w:name w:val="Balloon Text Char"/>
    <w:basedOn w:val="DefaultParagraphFont"/>
    <w:link w:val="BalloonText"/>
    <w:uiPriority w:val="99"/>
    <w:semiHidden/>
    <w:rsid w:val="00DF224C"/>
    <w:rPr>
      <w:rFonts w:ascii="Tahoma" w:eastAsiaTheme="minorEastAsia" w:hAnsi="Tahoma" w:cs="Tahoma"/>
      <w:sz w:val="16"/>
      <w:szCs w:val="16"/>
    </w:rPr>
  </w:style>
  <w:style w:type="character" w:customStyle="1" w:styleId="Heading2Char">
    <w:name w:val="Heading 2 Char"/>
    <w:basedOn w:val="DefaultParagraphFont"/>
    <w:link w:val="Heading2"/>
    <w:uiPriority w:val="9"/>
    <w:semiHidden/>
    <w:rsid w:val="00DF224C"/>
    <w:rPr>
      <w:rFonts w:asciiTheme="majorHAnsi" w:eastAsiaTheme="majorEastAsia" w:hAnsiTheme="majorHAnsi" w:cstheme="majorBidi"/>
      <w:b/>
      <w:bCs/>
      <w:color w:val="4F81BD" w:themeColor="accent1"/>
      <w:sz w:val="26"/>
      <w:szCs w:val="26"/>
    </w:rPr>
  </w:style>
  <w:style w:type="character" w:customStyle="1" w:styleId="Heading4Char">
    <w:name w:val="Heading 4 Char"/>
    <w:basedOn w:val="DefaultParagraphFont"/>
    <w:link w:val="Heading4"/>
    <w:uiPriority w:val="9"/>
    <w:rsid w:val="00DF224C"/>
    <w:rPr>
      <w:rFonts w:asciiTheme="majorHAnsi" w:eastAsiaTheme="majorEastAsia" w:hAnsiTheme="majorHAnsi" w:cstheme="majorBidi"/>
      <w:b/>
      <w:bCs/>
      <w:i/>
      <w:iCs/>
      <w:color w:val="4F81BD" w:themeColor="accent1"/>
      <w:sz w:val="24"/>
      <w:szCs w:val="24"/>
    </w:rPr>
  </w:style>
  <w:style w:type="paragraph" w:styleId="DocumentMap">
    <w:name w:val="Document Map"/>
    <w:basedOn w:val="Normal"/>
    <w:link w:val="DocumentMapChar"/>
    <w:uiPriority w:val="99"/>
    <w:semiHidden/>
    <w:unhideWhenUsed/>
    <w:rsid w:val="001F01BB"/>
    <w:rPr>
      <w:rFonts w:ascii="Lucida Grande" w:hAnsi="Lucida Grande" w:cs="Lucida Grande"/>
    </w:rPr>
  </w:style>
  <w:style w:type="character" w:customStyle="1" w:styleId="DocumentMapChar">
    <w:name w:val="Document Map Char"/>
    <w:basedOn w:val="DefaultParagraphFont"/>
    <w:link w:val="DocumentMap"/>
    <w:uiPriority w:val="99"/>
    <w:semiHidden/>
    <w:rsid w:val="001F01BB"/>
    <w:rPr>
      <w:rFonts w:ascii="Lucida Grande" w:eastAsiaTheme="minorEastAsia" w:hAnsi="Lucida Grande" w:cs="Lucida Grande"/>
      <w:sz w:val="24"/>
      <w:szCs w:val="24"/>
    </w:rPr>
  </w:style>
  <w:style w:type="paragraph" w:styleId="Revision">
    <w:name w:val="Revision"/>
    <w:hidden/>
    <w:uiPriority w:val="99"/>
    <w:semiHidden/>
    <w:rsid w:val="00506FE8"/>
    <w:pPr>
      <w:spacing w:after="0" w:line="240" w:lineRule="auto"/>
    </w:pPr>
    <w:rPr>
      <w:rFonts w:eastAsiaTheme="minorEastAsia"/>
      <w:sz w:val="24"/>
      <w:szCs w:val="24"/>
    </w:rPr>
  </w:style>
  <w:style w:type="paragraph" w:styleId="Header">
    <w:name w:val="header"/>
    <w:basedOn w:val="Normal"/>
    <w:link w:val="HeaderChar"/>
    <w:uiPriority w:val="99"/>
    <w:unhideWhenUsed/>
    <w:rsid w:val="00864142"/>
    <w:pPr>
      <w:tabs>
        <w:tab w:val="center" w:pos="4320"/>
        <w:tab w:val="right" w:pos="8640"/>
      </w:tabs>
    </w:pPr>
  </w:style>
  <w:style w:type="character" w:customStyle="1" w:styleId="HeaderChar">
    <w:name w:val="Header Char"/>
    <w:basedOn w:val="DefaultParagraphFont"/>
    <w:link w:val="Header"/>
    <w:uiPriority w:val="99"/>
    <w:rsid w:val="00864142"/>
    <w:rPr>
      <w:rFonts w:eastAsiaTheme="minorEastAsia"/>
      <w:sz w:val="24"/>
      <w:szCs w:val="24"/>
    </w:rPr>
  </w:style>
  <w:style w:type="paragraph" w:styleId="Footer">
    <w:name w:val="footer"/>
    <w:basedOn w:val="Normal"/>
    <w:link w:val="FooterChar"/>
    <w:uiPriority w:val="99"/>
    <w:unhideWhenUsed/>
    <w:rsid w:val="00864142"/>
    <w:pPr>
      <w:tabs>
        <w:tab w:val="center" w:pos="4320"/>
        <w:tab w:val="right" w:pos="8640"/>
      </w:tabs>
    </w:pPr>
  </w:style>
  <w:style w:type="character" w:customStyle="1" w:styleId="FooterChar">
    <w:name w:val="Footer Char"/>
    <w:basedOn w:val="DefaultParagraphFont"/>
    <w:link w:val="Footer"/>
    <w:uiPriority w:val="99"/>
    <w:rsid w:val="00864142"/>
    <w:rPr>
      <w:rFonts w:eastAsiaTheme="minorEastAsia"/>
      <w:sz w:val="24"/>
      <w:szCs w:val="24"/>
    </w:rPr>
  </w:style>
  <w:style w:type="character" w:styleId="PageNumber">
    <w:name w:val="page number"/>
    <w:basedOn w:val="DefaultParagraphFont"/>
    <w:uiPriority w:val="99"/>
    <w:semiHidden/>
    <w:unhideWhenUsed/>
    <w:rsid w:val="00864142"/>
  </w:style>
  <w:style w:type="character" w:customStyle="1" w:styleId="NoSpacingChar">
    <w:name w:val="No Spacing Char"/>
    <w:basedOn w:val="DefaultParagraphFont"/>
    <w:link w:val="NoSpacing"/>
    <w:rsid w:val="004F139D"/>
    <w:rPr>
      <w:rFonts w:eastAsiaTheme="minorEastAsia"/>
      <w:sz w:val="24"/>
      <w:szCs w:val="24"/>
    </w:rPr>
  </w:style>
  <w:style w:type="paragraph" w:styleId="TOCHeading">
    <w:name w:val="TOC Heading"/>
    <w:basedOn w:val="Heading1"/>
    <w:next w:val="Normal"/>
    <w:uiPriority w:val="39"/>
    <w:unhideWhenUsed/>
    <w:qFormat/>
    <w:rsid w:val="00224432"/>
    <w:pPr>
      <w:spacing w:line="276" w:lineRule="auto"/>
      <w:outlineLvl w:val="9"/>
    </w:pPr>
    <w:rPr>
      <w:rFonts w:asciiTheme="majorHAnsi" w:hAnsiTheme="majorHAnsi" w:cstheme="majorBidi"/>
      <w:color w:val="365F91" w:themeColor="accent1" w:themeShade="BF"/>
      <w:sz w:val="28"/>
      <w:szCs w:val="28"/>
    </w:rPr>
  </w:style>
  <w:style w:type="paragraph" w:styleId="TOC1">
    <w:name w:val="toc 1"/>
    <w:basedOn w:val="Normal"/>
    <w:next w:val="Normal"/>
    <w:autoRedefine/>
    <w:uiPriority w:val="39"/>
    <w:unhideWhenUsed/>
    <w:rsid w:val="00224432"/>
    <w:pPr>
      <w:spacing w:before="120"/>
    </w:pPr>
    <w:rPr>
      <w:rFonts w:asciiTheme="majorHAnsi" w:hAnsiTheme="majorHAnsi"/>
      <w:b/>
      <w:color w:val="548DD4"/>
    </w:rPr>
  </w:style>
  <w:style w:type="paragraph" w:styleId="TOC2">
    <w:name w:val="toc 2"/>
    <w:basedOn w:val="Normal"/>
    <w:next w:val="Normal"/>
    <w:autoRedefine/>
    <w:uiPriority w:val="39"/>
    <w:unhideWhenUsed/>
    <w:rsid w:val="00224432"/>
    <w:rPr>
      <w:sz w:val="22"/>
      <w:szCs w:val="22"/>
    </w:rPr>
  </w:style>
  <w:style w:type="paragraph" w:styleId="TOC3">
    <w:name w:val="toc 3"/>
    <w:basedOn w:val="Normal"/>
    <w:next w:val="Normal"/>
    <w:autoRedefine/>
    <w:uiPriority w:val="39"/>
    <w:unhideWhenUsed/>
    <w:rsid w:val="00224432"/>
    <w:pPr>
      <w:ind w:left="240"/>
    </w:pPr>
    <w:rPr>
      <w:i/>
      <w:sz w:val="22"/>
      <w:szCs w:val="22"/>
    </w:rPr>
  </w:style>
  <w:style w:type="paragraph" w:styleId="TOC4">
    <w:name w:val="toc 4"/>
    <w:basedOn w:val="Normal"/>
    <w:next w:val="Normal"/>
    <w:autoRedefine/>
    <w:uiPriority w:val="39"/>
    <w:semiHidden/>
    <w:unhideWhenUsed/>
    <w:rsid w:val="00224432"/>
    <w:pPr>
      <w:pBdr>
        <w:between w:val="double" w:sz="6" w:space="0" w:color="auto"/>
      </w:pBdr>
      <w:ind w:left="480"/>
    </w:pPr>
    <w:rPr>
      <w:sz w:val="20"/>
      <w:szCs w:val="20"/>
    </w:rPr>
  </w:style>
  <w:style w:type="paragraph" w:styleId="TOC5">
    <w:name w:val="toc 5"/>
    <w:basedOn w:val="Normal"/>
    <w:next w:val="Normal"/>
    <w:autoRedefine/>
    <w:uiPriority w:val="39"/>
    <w:semiHidden/>
    <w:unhideWhenUsed/>
    <w:rsid w:val="00224432"/>
    <w:pPr>
      <w:pBdr>
        <w:between w:val="double" w:sz="6" w:space="0" w:color="auto"/>
      </w:pBdr>
      <w:ind w:left="720"/>
    </w:pPr>
    <w:rPr>
      <w:sz w:val="20"/>
      <w:szCs w:val="20"/>
    </w:rPr>
  </w:style>
  <w:style w:type="paragraph" w:styleId="TOC6">
    <w:name w:val="toc 6"/>
    <w:basedOn w:val="Normal"/>
    <w:next w:val="Normal"/>
    <w:autoRedefine/>
    <w:uiPriority w:val="39"/>
    <w:semiHidden/>
    <w:unhideWhenUsed/>
    <w:rsid w:val="00224432"/>
    <w:pPr>
      <w:pBdr>
        <w:between w:val="double" w:sz="6" w:space="0" w:color="auto"/>
      </w:pBdr>
      <w:ind w:left="960"/>
    </w:pPr>
    <w:rPr>
      <w:sz w:val="20"/>
      <w:szCs w:val="20"/>
    </w:rPr>
  </w:style>
  <w:style w:type="paragraph" w:styleId="TOC7">
    <w:name w:val="toc 7"/>
    <w:basedOn w:val="Normal"/>
    <w:next w:val="Normal"/>
    <w:autoRedefine/>
    <w:uiPriority w:val="39"/>
    <w:semiHidden/>
    <w:unhideWhenUsed/>
    <w:rsid w:val="00224432"/>
    <w:pPr>
      <w:pBdr>
        <w:between w:val="double" w:sz="6" w:space="0" w:color="auto"/>
      </w:pBdr>
      <w:ind w:left="1200"/>
    </w:pPr>
    <w:rPr>
      <w:sz w:val="20"/>
      <w:szCs w:val="20"/>
    </w:rPr>
  </w:style>
  <w:style w:type="paragraph" w:styleId="TOC8">
    <w:name w:val="toc 8"/>
    <w:basedOn w:val="Normal"/>
    <w:next w:val="Normal"/>
    <w:autoRedefine/>
    <w:uiPriority w:val="39"/>
    <w:semiHidden/>
    <w:unhideWhenUsed/>
    <w:rsid w:val="00224432"/>
    <w:pPr>
      <w:pBdr>
        <w:between w:val="double" w:sz="6" w:space="0" w:color="auto"/>
      </w:pBdr>
      <w:ind w:left="1440"/>
    </w:pPr>
    <w:rPr>
      <w:sz w:val="20"/>
      <w:szCs w:val="20"/>
    </w:rPr>
  </w:style>
  <w:style w:type="paragraph" w:styleId="TOC9">
    <w:name w:val="toc 9"/>
    <w:basedOn w:val="Normal"/>
    <w:next w:val="Normal"/>
    <w:autoRedefine/>
    <w:uiPriority w:val="39"/>
    <w:semiHidden/>
    <w:unhideWhenUsed/>
    <w:rsid w:val="00224432"/>
    <w:pPr>
      <w:pBdr>
        <w:between w:val="double" w:sz="6" w:space="0" w:color="auto"/>
      </w:pBdr>
      <w:ind w:left="1680"/>
    </w:pPr>
    <w:rPr>
      <w:sz w:val="20"/>
      <w:szCs w:val="20"/>
    </w:rPr>
  </w:style>
  <w:style w:type="character" w:customStyle="1" w:styleId="Heading3Char">
    <w:name w:val="Heading 3 Char"/>
    <w:basedOn w:val="DefaultParagraphFont"/>
    <w:link w:val="Heading3"/>
    <w:uiPriority w:val="9"/>
    <w:semiHidden/>
    <w:rsid w:val="00F33E29"/>
    <w:rPr>
      <w:rFonts w:asciiTheme="majorHAnsi" w:eastAsiaTheme="majorEastAsia" w:hAnsiTheme="majorHAnsi" w:cstheme="majorBidi"/>
      <w:b/>
      <w:bCs/>
      <w:color w:val="4F81BD" w:themeColor="accent1"/>
      <w:sz w:val="24"/>
      <w:szCs w:val="24"/>
    </w:rPr>
  </w:style>
  <w:style w:type="character" w:customStyle="1" w:styleId="VisaBodyChar">
    <w:name w:val="Visa Body Char"/>
    <w:basedOn w:val="DefaultParagraphFont"/>
    <w:link w:val="VisaBody"/>
    <w:rsid w:val="00F33E29"/>
    <w:rPr>
      <w:rFonts w:ascii="Arial" w:hAnsi="Arial" w:cs="Arial"/>
    </w:rPr>
  </w:style>
  <w:style w:type="paragraph" w:customStyle="1" w:styleId="VisaBody">
    <w:name w:val="Visa Body"/>
    <w:link w:val="VisaBodyChar"/>
    <w:rsid w:val="00F33E29"/>
    <w:pPr>
      <w:spacing w:after="160" w:line="280" w:lineRule="exact"/>
    </w:pPr>
    <w:rPr>
      <w:rFonts w:ascii="Arial" w:hAnsi="Arial" w:cs="Arial"/>
    </w:rPr>
  </w:style>
  <w:style w:type="paragraph" w:styleId="CommentSubject">
    <w:name w:val="annotation subject"/>
    <w:basedOn w:val="CommentText"/>
    <w:next w:val="CommentText"/>
    <w:link w:val="CommentSubjectChar"/>
    <w:uiPriority w:val="99"/>
    <w:semiHidden/>
    <w:unhideWhenUsed/>
    <w:rsid w:val="003E7BC5"/>
    <w:rPr>
      <w:b/>
      <w:bCs/>
    </w:rPr>
  </w:style>
  <w:style w:type="character" w:customStyle="1" w:styleId="CommentSubjectChar">
    <w:name w:val="Comment Subject Char"/>
    <w:basedOn w:val="CommentTextChar"/>
    <w:link w:val="CommentSubject"/>
    <w:uiPriority w:val="99"/>
    <w:semiHidden/>
    <w:rsid w:val="003E7BC5"/>
    <w:rPr>
      <w:rFonts w:eastAsiaTheme="minorEastAsia"/>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248B"/>
    <w:pPr>
      <w:spacing w:after="0" w:line="240" w:lineRule="auto"/>
    </w:pPr>
    <w:rPr>
      <w:rFonts w:eastAsiaTheme="minorEastAsia"/>
      <w:sz w:val="24"/>
      <w:szCs w:val="24"/>
    </w:rPr>
  </w:style>
  <w:style w:type="paragraph" w:styleId="Heading1">
    <w:name w:val="heading 1"/>
    <w:basedOn w:val="Normal"/>
    <w:next w:val="Normal"/>
    <w:link w:val="Heading1Char"/>
    <w:uiPriority w:val="9"/>
    <w:qFormat/>
    <w:rsid w:val="00DF224C"/>
    <w:pPr>
      <w:keepNext/>
      <w:keepLines/>
      <w:spacing w:before="480"/>
      <w:outlineLvl w:val="0"/>
    </w:pPr>
    <w:rPr>
      <w:rFonts w:ascii="Arial" w:eastAsiaTheme="majorEastAsia" w:hAnsi="Arial" w:cs="Arial"/>
      <w:b/>
      <w:bCs/>
      <w:color w:val="345A8A" w:themeColor="accent1" w:themeShade="B5"/>
      <w:sz w:val="32"/>
      <w:szCs w:val="32"/>
    </w:rPr>
  </w:style>
  <w:style w:type="paragraph" w:styleId="Heading2">
    <w:name w:val="heading 2"/>
    <w:basedOn w:val="Normal"/>
    <w:next w:val="Normal"/>
    <w:link w:val="Heading2Char"/>
    <w:uiPriority w:val="9"/>
    <w:semiHidden/>
    <w:unhideWhenUsed/>
    <w:qFormat/>
    <w:rsid w:val="00DF224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F33E29"/>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DF224C"/>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B248B"/>
    <w:rPr>
      <w:color w:val="0000FF" w:themeColor="hyperlink"/>
      <w:u w:val="single"/>
    </w:rPr>
  </w:style>
  <w:style w:type="paragraph" w:styleId="NoSpacing">
    <w:name w:val="No Spacing"/>
    <w:link w:val="NoSpacingChar"/>
    <w:qFormat/>
    <w:rsid w:val="008B248B"/>
    <w:pPr>
      <w:spacing w:after="0" w:line="240" w:lineRule="auto"/>
    </w:pPr>
    <w:rPr>
      <w:rFonts w:eastAsiaTheme="minorEastAsia"/>
      <w:sz w:val="24"/>
      <w:szCs w:val="24"/>
    </w:rPr>
  </w:style>
  <w:style w:type="character" w:customStyle="1" w:styleId="Heading1Char">
    <w:name w:val="Heading 1 Char"/>
    <w:basedOn w:val="DefaultParagraphFont"/>
    <w:link w:val="Heading1"/>
    <w:uiPriority w:val="9"/>
    <w:rsid w:val="00DF224C"/>
    <w:rPr>
      <w:rFonts w:ascii="Arial" w:eastAsiaTheme="majorEastAsia" w:hAnsi="Arial" w:cs="Arial"/>
      <w:b/>
      <w:bCs/>
      <w:color w:val="345A8A" w:themeColor="accent1" w:themeShade="B5"/>
      <w:sz w:val="32"/>
      <w:szCs w:val="32"/>
    </w:rPr>
  </w:style>
  <w:style w:type="paragraph" w:styleId="ListParagraph">
    <w:name w:val="List Paragraph"/>
    <w:basedOn w:val="Normal"/>
    <w:uiPriority w:val="34"/>
    <w:qFormat/>
    <w:rsid w:val="00DF224C"/>
    <w:pPr>
      <w:ind w:left="720"/>
      <w:contextualSpacing/>
    </w:pPr>
  </w:style>
  <w:style w:type="table" w:styleId="TableGrid">
    <w:name w:val="Table Grid"/>
    <w:basedOn w:val="TableNormal"/>
    <w:uiPriority w:val="59"/>
    <w:rsid w:val="00DF224C"/>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DF224C"/>
  </w:style>
  <w:style w:type="character" w:customStyle="1" w:styleId="FootnoteTextChar">
    <w:name w:val="Footnote Text Char"/>
    <w:basedOn w:val="DefaultParagraphFont"/>
    <w:link w:val="FootnoteText"/>
    <w:uiPriority w:val="99"/>
    <w:rsid w:val="00DF224C"/>
    <w:rPr>
      <w:rFonts w:eastAsiaTheme="minorEastAsia"/>
      <w:sz w:val="24"/>
      <w:szCs w:val="24"/>
    </w:rPr>
  </w:style>
  <w:style w:type="character" w:styleId="FootnoteReference">
    <w:name w:val="footnote reference"/>
    <w:basedOn w:val="DefaultParagraphFont"/>
    <w:uiPriority w:val="99"/>
    <w:unhideWhenUsed/>
    <w:rsid w:val="00DF224C"/>
    <w:rPr>
      <w:vertAlign w:val="superscript"/>
    </w:rPr>
  </w:style>
  <w:style w:type="character" w:styleId="CommentReference">
    <w:name w:val="annotation reference"/>
    <w:basedOn w:val="DefaultParagraphFont"/>
    <w:uiPriority w:val="99"/>
    <w:semiHidden/>
    <w:unhideWhenUsed/>
    <w:rsid w:val="00DF224C"/>
    <w:rPr>
      <w:sz w:val="16"/>
      <w:szCs w:val="16"/>
    </w:rPr>
  </w:style>
  <w:style w:type="paragraph" w:styleId="CommentText">
    <w:name w:val="annotation text"/>
    <w:basedOn w:val="Normal"/>
    <w:link w:val="CommentTextChar"/>
    <w:uiPriority w:val="99"/>
    <w:unhideWhenUsed/>
    <w:rsid w:val="00DF224C"/>
    <w:rPr>
      <w:sz w:val="20"/>
      <w:szCs w:val="20"/>
    </w:rPr>
  </w:style>
  <w:style w:type="character" w:customStyle="1" w:styleId="CommentTextChar">
    <w:name w:val="Comment Text Char"/>
    <w:basedOn w:val="DefaultParagraphFont"/>
    <w:link w:val="CommentText"/>
    <w:uiPriority w:val="99"/>
    <w:rsid w:val="00DF224C"/>
    <w:rPr>
      <w:rFonts w:eastAsiaTheme="minorEastAsia"/>
      <w:sz w:val="20"/>
      <w:szCs w:val="20"/>
    </w:rPr>
  </w:style>
  <w:style w:type="paragraph" w:styleId="BalloonText">
    <w:name w:val="Balloon Text"/>
    <w:basedOn w:val="Normal"/>
    <w:link w:val="BalloonTextChar"/>
    <w:uiPriority w:val="99"/>
    <w:semiHidden/>
    <w:unhideWhenUsed/>
    <w:rsid w:val="00DF224C"/>
    <w:rPr>
      <w:rFonts w:ascii="Tahoma" w:hAnsi="Tahoma" w:cs="Tahoma"/>
      <w:sz w:val="16"/>
      <w:szCs w:val="16"/>
    </w:rPr>
  </w:style>
  <w:style w:type="character" w:customStyle="1" w:styleId="BalloonTextChar">
    <w:name w:val="Balloon Text Char"/>
    <w:basedOn w:val="DefaultParagraphFont"/>
    <w:link w:val="BalloonText"/>
    <w:uiPriority w:val="99"/>
    <w:semiHidden/>
    <w:rsid w:val="00DF224C"/>
    <w:rPr>
      <w:rFonts w:ascii="Tahoma" w:eastAsiaTheme="minorEastAsia" w:hAnsi="Tahoma" w:cs="Tahoma"/>
      <w:sz w:val="16"/>
      <w:szCs w:val="16"/>
    </w:rPr>
  </w:style>
  <w:style w:type="character" w:customStyle="1" w:styleId="Heading2Char">
    <w:name w:val="Heading 2 Char"/>
    <w:basedOn w:val="DefaultParagraphFont"/>
    <w:link w:val="Heading2"/>
    <w:uiPriority w:val="9"/>
    <w:semiHidden/>
    <w:rsid w:val="00DF224C"/>
    <w:rPr>
      <w:rFonts w:asciiTheme="majorHAnsi" w:eastAsiaTheme="majorEastAsia" w:hAnsiTheme="majorHAnsi" w:cstheme="majorBidi"/>
      <w:b/>
      <w:bCs/>
      <w:color w:val="4F81BD" w:themeColor="accent1"/>
      <w:sz w:val="26"/>
      <w:szCs w:val="26"/>
    </w:rPr>
  </w:style>
  <w:style w:type="character" w:customStyle="1" w:styleId="Heading4Char">
    <w:name w:val="Heading 4 Char"/>
    <w:basedOn w:val="DefaultParagraphFont"/>
    <w:link w:val="Heading4"/>
    <w:uiPriority w:val="9"/>
    <w:rsid w:val="00DF224C"/>
    <w:rPr>
      <w:rFonts w:asciiTheme="majorHAnsi" w:eastAsiaTheme="majorEastAsia" w:hAnsiTheme="majorHAnsi" w:cstheme="majorBidi"/>
      <w:b/>
      <w:bCs/>
      <w:i/>
      <w:iCs/>
      <w:color w:val="4F81BD" w:themeColor="accent1"/>
      <w:sz w:val="24"/>
      <w:szCs w:val="24"/>
    </w:rPr>
  </w:style>
  <w:style w:type="paragraph" w:styleId="DocumentMap">
    <w:name w:val="Document Map"/>
    <w:basedOn w:val="Normal"/>
    <w:link w:val="DocumentMapChar"/>
    <w:uiPriority w:val="99"/>
    <w:semiHidden/>
    <w:unhideWhenUsed/>
    <w:rsid w:val="001F01BB"/>
    <w:rPr>
      <w:rFonts w:ascii="Lucida Grande" w:hAnsi="Lucida Grande" w:cs="Lucida Grande"/>
    </w:rPr>
  </w:style>
  <w:style w:type="character" w:customStyle="1" w:styleId="DocumentMapChar">
    <w:name w:val="Document Map Char"/>
    <w:basedOn w:val="DefaultParagraphFont"/>
    <w:link w:val="DocumentMap"/>
    <w:uiPriority w:val="99"/>
    <w:semiHidden/>
    <w:rsid w:val="001F01BB"/>
    <w:rPr>
      <w:rFonts w:ascii="Lucida Grande" w:eastAsiaTheme="minorEastAsia" w:hAnsi="Lucida Grande" w:cs="Lucida Grande"/>
      <w:sz w:val="24"/>
      <w:szCs w:val="24"/>
    </w:rPr>
  </w:style>
  <w:style w:type="paragraph" w:styleId="Revision">
    <w:name w:val="Revision"/>
    <w:hidden/>
    <w:uiPriority w:val="99"/>
    <w:semiHidden/>
    <w:rsid w:val="00506FE8"/>
    <w:pPr>
      <w:spacing w:after="0" w:line="240" w:lineRule="auto"/>
    </w:pPr>
    <w:rPr>
      <w:rFonts w:eastAsiaTheme="minorEastAsia"/>
      <w:sz w:val="24"/>
      <w:szCs w:val="24"/>
    </w:rPr>
  </w:style>
  <w:style w:type="paragraph" w:styleId="Header">
    <w:name w:val="header"/>
    <w:basedOn w:val="Normal"/>
    <w:link w:val="HeaderChar"/>
    <w:uiPriority w:val="99"/>
    <w:unhideWhenUsed/>
    <w:rsid w:val="00864142"/>
    <w:pPr>
      <w:tabs>
        <w:tab w:val="center" w:pos="4320"/>
        <w:tab w:val="right" w:pos="8640"/>
      </w:tabs>
    </w:pPr>
  </w:style>
  <w:style w:type="character" w:customStyle="1" w:styleId="HeaderChar">
    <w:name w:val="Header Char"/>
    <w:basedOn w:val="DefaultParagraphFont"/>
    <w:link w:val="Header"/>
    <w:uiPriority w:val="99"/>
    <w:rsid w:val="00864142"/>
    <w:rPr>
      <w:rFonts w:eastAsiaTheme="minorEastAsia"/>
      <w:sz w:val="24"/>
      <w:szCs w:val="24"/>
    </w:rPr>
  </w:style>
  <w:style w:type="paragraph" w:styleId="Footer">
    <w:name w:val="footer"/>
    <w:basedOn w:val="Normal"/>
    <w:link w:val="FooterChar"/>
    <w:uiPriority w:val="99"/>
    <w:unhideWhenUsed/>
    <w:rsid w:val="00864142"/>
    <w:pPr>
      <w:tabs>
        <w:tab w:val="center" w:pos="4320"/>
        <w:tab w:val="right" w:pos="8640"/>
      </w:tabs>
    </w:pPr>
  </w:style>
  <w:style w:type="character" w:customStyle="1" w:styleId="FooterChar">
    <w:name w:val="Footer Char"/>
    <w:basedOn w:val="DefaultParagraphFont"/>
    <w:link w:val="Footer"/>
    <w:uiPriority w:val="99"/>
    <w:rsid w:val="00864142"/>
    <w:rPr>
      <w:rFonts w:eastAsiaTheme="minorEastAsia"/>
      <w:sz w:val="24"/>
      <w:szCs w:val="24"/>
    </w:rPr>
  </w:style>
  <w:style w:type="character" w:styleId="PageNumber">
    <w:name w:val="page number"/>
    <w:basedOn w:val="DefaultParagraphFont"/>
    <w:uiPriority w:val="99"/>
    <w:semiHidden/>
    <w:unhideWhenUsed/>
    <w:rsid w:val="00864142"/>
  </w:style>
  <w:style w:type="character" w:customStyle="1" w:styleId="NoSpacingChar">
    <w:name w:val="No Spacing Char"/>
    <w:basedOn w:val="DefaultParagraphFont"/>
    <w:link w:val="NoSpacing"/>
    <w:rsid w:val="004F139D"/>
    <w:rPr>
      <w:rFonts w:eastAsiaTheme="minorEastAsia"/>
      <w:sz w:val="24"/>
      <w:szCs w:val="24"/>
    </w:rPr>
  </w:style>
  <w:style w:type="paragraph" w:styleId="TOCHeading">
    <w:name w:val="TOC Heading"/>
    <w:basedOn w:val="Heading1"/>
    <w:next w:val="Normal"/>
    <w:uiPriority w:val="39"/>
    <w:unhideWhenUsed/>
    <w:qFormat/>
    <w:rsid w:val="00224432"/>
    <w:pPr>
      <w:spacing w:line="276" w:lineRule="auto"/>
      <w:outlineLvl w:val="9"/>
    </w:pPr>
    <w:rPr>
      <w:rFonts w:asciiTheme="majorHAnsi" w:hAnsiTheme="majorHAnsi" w:cstheme="majorBidi"/>
      <w:color w:val="365F91" w:themeColor="accent1" w:themeShade="BF"/>
      <w:sz w:val="28"/>
      <w:szCs w:val="28"/>
    </w:rPr>
  </w:style>
  <w:style w:type="paragraph" w:styleId="TOC1">
    <w:name w:val="toc 1"/>
    <w:basedOn w:val="Normal"/>
    <w:next w:val="Normal"/>
    <w:autoRedefine/>
    <w:uiPriority w:val="39"/>
    <w:unhideWhenUsed/>
    <w:rsid w:val="00224432"/>
    <w:pPr>
      <w:spacing w:before="120"/>
    </w:pPr>
    <w:rPr>
      <w:rFonts w:asciiTheme="majorHAnsi" w:hAnsiTheme="majorHAnsi"/>
      <w:b/>
      <w:color w:val="548DD4"/>
    </w:rPr>
  </w:style>
  <w:style w:type="paragraph" w:styleId="TOC2">
    <w:name w:val="toc 2"/>
    <w:basedOn w:val="Normal"/>
    <w:next w:val="Normal"/>
    <w:autoRedefine/>
    <w:uiPriority w:val="39"/>
    <w:unhideWhenUsed/>
    <w:rsid w:val="00224432"/>
    <w:rPr>
      <w:sz w:val="22"/>
      <w:szCs w:val="22"/>
    </w:rPr>
  </w:style>
  <w:style w:type="paragraph" w:styleId="TOC3">
    <w:name w:val="toc 3"/>
    <w:basedOn w:val="Normal"/>
    <w:next w:val="Normal"/>
    <w:autoRedefine/>
    <w:uiPriority w:val="39"/>
    <w:unhideWhenUsed/>
    <w:rsid w:val="00224432"/>
    <w:pPr>
      <w:ind w:left="240"/>
    </w:pPr>
    <w:rPr>
      <w:i/>
      <w:sz w:val="22"/>
      <w:szCs w:val="22"/>
    </w:rPr>
  </w:style>
  <w:style w:type="paragraph" w:styleId="TOC4">
    <w:name w:val="toc 4"/>
    <w:basedOn w:val="Normal"/>
    <w:next w:val="Normal"/>
    <w:autoRedefine/>
    <w:uiPriority w:val="39"/>
    <w:semiHidden/>
    <w:unhideWhenUsed/>
    <w:rsid w:val="00224432"/>
    <w:pPr>
      <w:pBdr>
        <w:between w:val="double" w:sz="6" w:space="0" w:color="auto"/>
      </w:pBdr>
      <w:ind w:left="480"/>
    </w:pPr>
    <w:rPr>
      <w:sz w:val="20"/>
      <w:szCs w:val="20"/>
    </w:rPr>
  </w:style>
  <w:style w:type="paragraph" w:styleId="TOC5">
    <w:name w:val="toc 5"/>
    <w:basedOn w:val="Normal"/>
    <w:next w:val="Normal"/>
    <w:autoRedefine/>
    <w:uiPriority w:val="39"/>
    <w:semiHidden/>
    <w:unhideWhenUsed/>
    <w:rsid w:val="00224432"/>
    <w:pPr>
      <w:pBdr>
        <w:between w:val="double" w:sz="6" w:space="0" w:color="auto"/>
      </w:pBdr>
      <w:ind w:left="720"/>
    </w:pPr>
    <w:rPr>
      <w:sz w:val="20"/>
      <w:szCs w:val="20"/>
    </w:rPr>
  </w:style>
  <w:style w:type="paragraph" w:styleId="TOC6">
    <w:name w:val="toc 6"/>
    <w:basedOn w:val="Normal"/>
    <w:next w:val="Normal"/>
    <w:autoRedefine/>
    <w:uiPriority w:val="39"/>
    <w:semiHidden/>
    <w:unhideWhenUsed/>
    <w:rsid w:val="00224432"/>
    <w:pPr>
      <w:pBdr>
        <w:between w:val="double" w:sz="6" w:space="0" w:color="auto"/>
      </w:pBdr>
      <w:ind w:left="960"/>
    </w:pPr>
    <w:rPr>
      <w:sz w:val="20"/>
      <w:szCs w:val="20"/>
    </w:rPr>
  </w:style>
  <w:style w:type="paragraph" w:styleId="TOC7">
    <w:name w:val="toc 7"/>
    <w:basedOn w:val="Normal"/>
    <w:next w:val="Normal"/>
    <w:autoRedefine/>
    <w:uiPriority w:val="39"/>
    <w:semiHidden/>
    <w:unhideWhenUsed/>
    <w:rsid w:val="00224432"/>
    <w:pPr>
      <w:pBdr>
        <w:between w:val="double" w:sz="6" w:space="0" w:color="auto"/>
      </w:pBdr>
      <w:ind w:left="1200"/>
    </w:pPr>
    <w:rPr>
      <w:sz w:val="20"/>
      <w:szCs w:val="20"/>
    </w:rPr>
  </w:style>
  <w:style w:type="paragraph" w:styleId="TOC8">
    <w:name w:val="toc 8"/>
    <w:basedOn w:val="Normal"/>
    <w:next w:val="Normal"/>
    <w:autoRedefine/>
    <w:uiPriority w:val="39"/>
    <w:semiHidden/>
    <w:unhideWhenUsed/>
    <w:rsid w:val="00224432"/>
    <w:pPr>
      <w:pBdr>
        <w:between w:val="double" w:sz="6" w:space="0" w:color="auto"/>
      </w:pBdr>
      <w:ind w:left="1440"/>
    </w:pPr>
    <w:rPr>
      <w:sz w:val="20"/>
      <w:szCs w:val="20"/>
    </w:rPr>
  </w:style>
  <w:style w:type="paragraph" w:styleId="TOC9">
    <w:name w:val="toc 9"/>
    <w:basedOn w:val="Normal"/>
    <w:next w:val="Normal"/>
    <w:autoRedefine/>
    <w:uiPriority w:val="39"/>
    <w:semiHidden/>
    <w:unhideWhenUsed/>
    <w:rsid w:val="00224432"/>
    <w:pPr>
      <w:pBdr>
        <w:between w:val="double" w:sz="6" w:space="0" w:color="auto"/>
      </w:pBdr>
      <w:ind w:left="1680"/>
    </w:pPr>
    <w:rPr>
      <w:sz w:val="20"/>
      <w:szCs w:val="20"/>
    </w:rPr>
  </w:style>
  <w:style w:type="character" w:customStyle="1" w:styleId="Heading3Char">
    <w:name w:val="Heading 3 Char"/>
    <w:basedOn w:val="DefaultParagraphFont"/>
    <w:link w:val="Heading3"/>
    <w:uiPriority w:val="9"/>
    <w:semiHidden/>
    <w:rsid w:val="00F33E29"/>
    <w:rPr>
      <w:rFonts w:asciiTheme="majorHAnsi" w:eastAsiaTheme="majorEastAsia" w:hAnsiTheme="majorHAnsi" w:cstheme="majorBidi"/>
      <w:b/>
      <w:bCs/>
      <w:color w:val="4F81BD" w:themeColor="accent1"/>
      <w:sz w:val="24"/>
      <w:szCs w:val="24"/>
    </w:rPr>
  </w:style>
  <w:style w:type="character" w:customStyle="1" w:styleId="VisaBodyChar">
    <w:name w:val="Visa Body Char"/>
    <w:basedOn w:val="DefaultParagraphFont"/>
    <w:link w:val="VisaBody"/>
    <w:rsid w:val="00F33E29"/>
    <w:rPr>
      <w:rFonts w:ascii="Arial" w:hAnsi="Arial" w:cs="Arial"/>
    </w:rPr>
  </w:style>
  <w:style w:type="paragraph" w:customStyle="1" w:styleId="VisaBody">
    <w:name w:val="Visa Body"/>
    <w:link w:val="VisaBodyChar"/>
    <w:rsid w:val="00F33E29"/>
    <w:pPr>
      <w:spacing w:after="160" w:line="280" w:lineRule="exact"/>
    </w:pPr>
    <w:rPr>
      <w:rFonts w:ascii="Arial" w:hAnsi="Arial" w:cs="Arial"/>
    </w:rPr>
  </w:style>
  <w:style w:type="paragraph" w:styleId="CommentSubject">
    <w:name w:val="annotation subject"/>
    <w:basedOn w:val="CommentText"/>
    <w:next w:val="CommentText"/>
    <w:link w:val="CommentSubjectChar"/>
    <w:uiPriority w:val="99"/>
    <w:semiHidden/>
    <w:unhideWhenUsed/>
    <w:rsid w:val="003E7BC5"/>
    <w:rPr>
      <w:b/>
      <w:bCs/>
    </w:rPr>
  </w:style>
  <w:style w:type="character" w:customStyle="1" w:styleId="CommentSubjectChar">
    <w:name w:val="Comment Subject Char"/>
    <w:basedOn w:val="CommentTextChar"/>
    <w:link w:val="CommentSubject"/>
    <w:uiPriority w:val="99"/>
    <w:semiHidden/>
    <w:rsid w:val="003E7BC5"/>
    <w:rPr>
      <w:rFonts w:eastAsiaTheme="minorEastAsi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8821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4.PNG"/><Relationship Id="rId10" Type="http://schemas.openxmlformats.org/officeDocument/2006/relationships/footer" Target="footer1.xml"/><Relationship Id="rId19" Type="http://schemas.openxmlformats.org/officeDocument/2006/relationships/footer" Target="footer4.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B9973E-7A46-4180-B48C-E5E3D78916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27191816.dotm</Template>
  <TotalTime>0</TotalTime>
  <Pages>50</Pages>
  <Words>16112</Words>
  <Characters>89373</Characters>
  <Application>Microsoft Office Word</Application>
  <DocSecurity>4</DocSecurity>
  <Lines>1744</Lines>
  <Paragraphs>419</Paragraphs>
  <ScaleCrop>false</ScaleCrop>
  <HeadingPairs>
    <vt:vector size="2" baseType="variant">
      <vt:variant>
        <vt:lpstr>Title</vt:lpstr>
      </vt:variant>
      <vt:variant>
        <vt:i4>1</vt:i4>
      </vt:variant>
    </vt:vector>
  </HeadingPairs>
  <TitlesOfParts>
    <vt:vector size="1" baseType="lpstr">
      <vt:lpstr/>
    </vt:vector>
  </TitlesOfParts>
  <Company>Visa Inc.</Company>
  <LinksUpToDate>false</LinksUpToDate>
  <CharactersWithSpaces>105318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Shamlian, Taleen</dc:creator>
  <cp:lastModifiedBy>JIMENEZ, Ivan</cp:lastModifiedBy>
  <cp:revision>2</cp:revision>
  <cp:lastPrinted>2015-04-24T06:18:00Z</cp:lastPrinted>
  <dcterms:created xsi:type="dcterms:W3CDTF">2015-05-06T05:01:00Z</dcterms:created>
  <dcterms:modified xsi:type="dcterms:W3CDTF">2015-05-06T05:01:00Z</dcterms:modified>
</cp:coreProperties>
</file>