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3907" w:rsidRDefault="00C7220E" w:rsidP="002D26D7">
      <w:pPr>
        <w:spacing w:line="240" w:lineRule="auto"/>
      </w:pPr>
      <w:bookmarkStart w:id="0" w:name="_GoBack"/>
      <w:bookmarkEnd w:id="0"/>
      <w:r>
        <w:rPr>
          <w:noProof/>
          <w:lang w:eastAsia="en-AU"/>
        </w:rPr>
        <w:drawing>
          <wp:anchor distT="0" distB="0" distL="114300" distR="114300" simplePos="0" relativeHeight="251658240" behindDoc="0" locked="0" layoutInCell="1" allowOverlap="1">
            <wp:simplePos x="0" y="0"/>
            <wp:positionH relativeFrom="column">
              <wp:posOffset>2139462</wp:posOffset>
            </wp:positionH>
            <wp:positionV relativeFrom="paragraph">
              <wp:posOffset>195</wp:posOffset>
            </wp:positionV>
            <wp:extent cx="1276710" cy="1073789"/>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X LOGO Red.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76710" cy="1073789"/>
                    </a:xfrm>
                    <a:prstGeom prst="rect">
                      <a:avLst/>
                    </a:prstGeom>
                  </pic:spPr>
                </pic:pic>
              </a:graphicData>
            </a:graphic>
          </wp:anchor>
        </w:drawing>
      </w:r>
    </w:p>
    <w:p w:rsidR="00C7220E" w:rsidRPr="00FC7E25" w:rsidRDefault="00C7220E" w:rsidP="00C7220E">
      <w:pPr>
        <w:spacing w:after="60"/>
        <w:rPr>
          <w:color w:val="C60C30"/>
          <w:sz w:val="16"/>
          <w:szCs w:val="16"/>
        </w:rPr>
      </w:pPr>
      <w:r w:rsidRPr="00FC7E25">
        <w:rPr>
          <w:color w:val="C60C30"/>
          <w:sz w:val="16"/>
          <w:szCs w:val="16"/>
        </w:rPr>
        <w:t>WEX Australia</w:t>
      </w:r>
    </w:p>
    <w:p w:rsidR="00C7220E" w:rsidRPr="00FC7E25" w:rsidRDefault="00C7220E" w:rsidP="00C7220E">
      <w:pPr>
        <w:spacing w:after="0" w:line="240" w:lineRule="auto"/>
        <w:rPr>
          <w:color w:val="404040"/>
          <w:sz w:val="16"/>
          <w:szCs w:val="16"/>
        </w:rPr>
      </w:pPr>
      <w:r w:rsidRPr="00FC7E25">
        <w:rPr>
          <w:color w:val="404040"/>
          <w:sz w:val="16"/>
          <w:szCs w:val="16"/>
        </w:rPr>
        <w:t>Level 3, 293 Camberwell Road</w:t>
      </w:r>
    </w:p>
    <w:p w:rsidR="00C7220E" w:rsidRPr="00FC7E25" w:rsidRDefault="00C7220E" w:rsidP="00C7220E">
      <w:pPr>
        <w:spacing w:after="0" w:line="240" w:lineRule="auto"/>
        <w:rPr>
          <w:color w:val="404040"/>
          <w:sz w:val="16"/>
          <w:szCs w:val="16"/>
        </w:rPr>
      </w:pPr>
      <w:r w:rsidRPr="00FC7E25">
        <w:rPr>
          <w:color w:val="404040"/>
          <w:sz w:val="16"/>
          <w:szCs w:val="16"/>
        </w:rPr>
        <w:t>Camberwell Vic 3124</w:t>
      </w:r>
    </w:p>
    <w:p w:rsidR="00C7220E" w:rsidRPr="00FC7E25" w:rsidRDefault="00C7220E" w:rsidP="00C7220E">
      <w:pPr>
        <w:spacing w:before="120" w:after="0" w:line="360" w:lineRule="auto"/>
        <w:rPr>
          <w:color w:val="404040"/>
          <w:sz w:val="16"/>
          <w:szCs w:val="16"/>
        </w:rPr>
      </w:pPr>
      <w:r w:rsidRPr="00FC7E25">
        <w:rPr>
          <w:color w:val="404040"/>
          <w:sz w:val="16"/>
          <w:szCs w:val="16"/>
        </w:rPr>
        <w:t>www.wexaustralia.com</w:t>
      </w:r>
    </w:p>
    <w:p w:rsidR="003D3CE5" w:rsidRPr="00E36443" w:rsidRDefault="003D3CE5" w:rsidP="002D26D7">
      <w:pPr>
        <w:spacing w:line="240" w:lineRule="auto"/>
        <w:rPr>
          <w:b/>
        </w:rPr>
      </w:pPr>
    </w:p>
    <w:p w:rsidR="00803F64" w:rsidRDefault="00803F64" w:rsidP="002D26D7">
      <w:pPr>
        <w:spacing w:line="240" w:lineRule="auto"/>
      </w:pPr>
      <w:r>
        <w:t>April 22 2015</w:t>
      </w:r>
    </w:p>
    <w:p w:rsidR="003E3907" w:rsidRDefault="002D26D7" w:rsidP="002D26D7">
      <w:pPr>
        <w:spacing w:line="240" w:lineRule="auto"/>
      </w:pPr>
      <w:r>
        <w:t xml:space="preserve">Mr Tony Richards                                                                                                                                              </w:t>
      </w:r>
      <w:r w:rsidR="003E3907">
        <w:t>Head of Payments Policy Departm</w:t>
      </w:r>
      <w:r>
        <w:t>ent</w:t>
      </w:r>
      <w:r>
        <w:br/>
        <w:t>Reserve Bank of Australia</w:t>
      </w:r>
      <w:r>
        <w:br/>
        <w:t>G</w:t>
      </w:r>
      <w:r w:rsidR="003E3907">
        <w:t>P</w:t>
      </w:r>
      <w:r>
        <w:t>O</w:t>
      </w:r>
      <w:r w:rsidR="003E3907">
        <w:t xml:space="preserve"> Box 3947</w:t>
      </w:r>
      <w:r w:rsidR="003E3907">
        <w:br/>
      </w:r>
      <w:r w:rsidR="00692C19">
        <w:t>Sydney NSW 3947</w:t>
      </w:r>
    </w:p>
    <w:p w:rsidR="003E3907" w:rsidRDefault="003E3907" w:rsidP="002D26D7">
      <w:pPr>
        <w:spacing w:line="240" w:lineRule="auto"/>
      </w:pPr>
      <w:r>
        <w:t>By email to:</w:t>
      </w:r>
      <w:r>
        <w:tab/>
      </w:r>
      <w:hyperlink r:id="rId10" w:history="1">
        <w:r w:rsidRPr="000F3AAA">
          <w:rPr>
            <w:rStyle w:val="Hyperlink"/>
          </w:rPr>
          <w:t>pysubmission@rba.gov.au</w:t>
        </w:r>
      </w:hyperlink>
    </w:p>
    <w:p w:rsidR="003E3907" w:rsidRDefault="003E3907" w:rsidP="002D26D7">
      <w:pPr>
        <w:spacing w:line="240" w:lineRule="auto"/>
      </w:pPr>
      <w:r>
        <w:t xml:space="preserve">Dear </w:t>
      </w:r>
      <w:r w:rsidR="002D26D7">
        <w:t>Mr Richards</w:t>
      </w:r>
    </w:p>
    <w:p w:rsidR="003E3907" w:rsidRPr="003E3907" w:rsidRDefault="00BA4A81" w:rsidP="002D26D7">
      <w:pPr>
        <w:spacing w:line="240" w:lineRule="auto"/>
        <w:rPr>
          <w:b/>
        </w:rPr>
      </w:pPr>
      <w:r>
        <w:rPr>
          <w:b/>
        </w:rPr>
        <w:t>Review of Card Payments Regulation Issues Paper</w:t>
      </w:r>
      <w:r w:rsidR="003E3907" w:rsidRPr="003E3907">
        <w:rPr>
          <w:b/>
        </w:rPr>
        <w:t xml:space="preserve">:  </w:t>
      </w:r>
      <w:r>
        <w:rPr>
          <w:b/>
        </w:rPr>
        <w:t xml:space="preserve">Issues for </w:t>
      </w:r>
      <w:r w:rsidR="003E3907" w:rsidRPr="003E3907">
        <w:rPr>
          <w:b/>
        </w:rPr>
        <w:t>Consultation</w:t>
      </w:r>
      <w:r w:rsidRPr="003E3907">
        <w:rPr>
          <w:b/>
        </w:rPr>
        <w:t xml:space="preserve"> </w:t>
      </w:r>
      <w:r w:rsidR="003E3907" w:rsidRPr="003E3907">
        <w:rPr>
          <w:b/>
        </w:rPr>
        <w:br/>
        <w:t xml:space="preserve">Submission by </w:t>
      </w:r>
      <w:r w:rsidR="001440D5">
        <w:rPr>
          <w:b/>
        </w:rPr>
        <w:t>WEX</w:t>
      </w:r>
      <w:r w:rsidR="003E3907" w:rsidRPr="003E3907">
        <w:rPr>
          <w:b/>
        </w:rPr>
        <w:t xml:space="preserve"> Australia Pty Ltd</w:t>
      </w:r>
    </w:p>
    <w:p w:rsidR="003E3907" w:rsidRDefault="003E3907" w:rsidP="002D26D7">
      <w:pPr>
        <w:spacing w:line="240" w:lineRule="auto"/>
      </w:pPr>
      <w:r>
        <w:t>I refer to the</w:t>
      </w:r>
      <w:r w:rsidR="00ED5699">
        <w:t xml:space="preserve"> above referenced </w:t>
      </w:r>
      <w:r w:rsidR="00BA4A81">
        <w:t>Issues Paper</w:t>
      </w:r>
      <w:r w:rsidR="00ED5699">
        <w:t xml:space="preserve"> </w:t>
      </w:r>
      <w:r w:rsidR="00BA4A81">
        <w:t>dated March 2015</w:t>
      </w:r>
      <w:r w:rsidR="00ED5699">
        <w:t>.</w:t>
      </w:r>
    </w:p>
    <w:p w:rsidR="003E3907" w:rsidRDefault="001440D5" w:rsidP="002D26D7">
      <w:pPr>
        <w:spacing w:line="240" w:lineRule="auto"/>
      </w:pPr>
      <w:r>
        <w:t xml:space="preserve">WEX Australia Pty Ltd </w:t>
      </w:r>
      <w:r w:rsidR="0095328A">
        <w:t xml:space="preserve">(‘WEX Australia’) </w:t>
      </w:r>
      <w:r w:rsidR="00BA4A81">
        <w:t>is pleased to make the following submission in relation to Chapter 5 of above mentioned Issues Paper, ‘Issues for Consideration’.</w:t>
      </w:r>
    </w:p>
    <w:p w:rsidR="003E3907" w:rsidRPr="003E3907" w:rsidRDefault="00BA4A81" w:rsidP="002D26D7">
      <w:pPr>
        <w:spacing w:line="240" w:lineRule="auto"/>
        <w:rPr>
          <w:b/>
        </w:rPr>
      </w:pPr>
      <w:r>
        <w:rPr>
          <w:b/>
        </w:rPr>
        <w:t>Background to WEX</w:t>
      </w:r>
    </w:p>
    <w:p w:rsidR="0095328A" w:rsidRDefault="00BA4A81" w:rsidP="006F5F8C">
      <w:pPr>
        <w:spacing w:line="240" w:lineRule="auto"/>
      </w:pPr>
      <w:r>
        <w:t>WEX</w:t>
      </w:r>
      <w:r w:rsidR="0095328A">
        <w:t xml:space="preserve"> Australia</w:t>
      </w:r>
      <w:r>
        <w:t xml:space="preserve"> is a wholly owned subsidiary of WEX Inc.</w:t>
      </w:r>
      <w:r w:rsidRPr="00BA4A81">
        <w:rPr>
          <w:vertAlign w:val="superscript"/>
        </w:rPr>
        <w:t>1</w:t>
      </w:r>
      <w:r>
        <w:t>, a publically listed company on the New York Stock Exchange, and is a leading provider of corporate payment solutions</w:t>
      </w:r>
      <w:r w:rsidR="0095328A">
        <w:t xml:space="preserve"> in Australia.  </w:t>
      </w:r>
      <w:r w:rsidR="0013249A">
        <w:t>WEX</w:t>
      </w:r>
      <w:r w:rsidR="0095328A">
        <w:t>’s Australian business comprises the following:</w:t>
      </w:r>
    </w:p>
    <w:p w:rsidR="0095328A" w:rsidRDefault="0095328A" w:rsidP="0095328A">
      <w:pPr>
        <w:pStyle w:val="ListParagraph"/>
        <w:numPr>
          <w:ilvl w:val="0"/>
          <w:numId w:val="5"/>
        </w:numPr>
        <w:spacing w:line="240" w:lineRule="auto"/>
      </w:pPr>
      <w:r>
        <w:t xml:space="preserve">Fuel charge card services under its </w:t>
      </w:r>
      <w:proofErr w:type="spellStart"/>
      <w:r>
        <w:t>Motorpass</w:t>
      </w:r>
      <w:proofErr w:type="spellEnd"/>
      <w:r>
        <w:t xml:space="preserve"> and </w:t>
      </w:r>
      <w:proofErr w:type="spellStart"/>
      <w:r>
        <w:t>Motorcharge</w:t>
      </w:r>
      <w:proofErr w:type="spellEnd"/>
      <w:r>
        <w:t xml:space="preserve"> brands, under co-branded programs with fuel retailers and under third party brands as a white label service offering;</w:t>
      </w:r>
    </w:p>
    <w:p w:rsidR="0095328A" w:rsidRDefault="0016118B" w:rsidP="0095328A">
      <w:pPr>
        <w:pStyle w:val="ListParagraph"/>
        <w:numPr>
          <w:ilvl w:val="0"/>
          <w:numId w:val="5"/>
        </w:numPr>
        <w:spacing w:line="240" w:lineRule="auto"/>
      </w:pPr>
      <w:r>
        <w:t>Highly innovative c</w:t>
      </w:r>
      <w:r w:rsidR="0095328A">
        <w:t>orporate payment services through the issuance of MasterCard virtual credit cards by WEX Bank, an industrial chartered bank in Utah in the United States of America, and also a wholly owned subsidiary of WEX Inc.; and</w:t>
      </w:r>
    </w:p>
    <w:p w:rsidR="0095328A" w:rsidRDefault="0095328A" w:rsidP="0095328A">
      <w:pPr>
        <w:pStyle w:val="ListParagraph"/>
        <w:numPr>
          <w:ilvl w:val="0"/>
          <w:numId w:val="5"/>
        </w:numPr>
        <w:spacing w:line="240" w:lineRule="auto"/>
      </w:pPr>
      <w:r>
        <w:t>Gift card program services to retailers.</w:t>
      </w:r>
    </w:p>
    <w:p w:rsidR="006F5F8C" w:rsidRDefault="00CA4CFC" w:rsidP="00CA4CFC">
      <w:pPr>
        <w:spacing w:line="240" w:lineRule="auto"/>
      </w:pPr>
      <w:r>
        <w:t xml:space="preserve">In </w:t>
      </w:r>
      <w:r w:rsidR="0016118B">
        <w:t>March</w:t>
      </w:r>
      <w:r>
        <w:t xml:space="preserve"> 2015, </w:t>
      </w:r>
      <w:r w:rsidR="0095328A">
        <w:t xml:space="preserve">WEX, via WEX Bank subsidiary WEX Finance, </w:t>
      </w:r>
      <w:r>
        <w:t>was</w:t>
      </w:r>
      <w:r w:rsidR="0095328A">
        <w:t xml:space="preserve"> delighted to have</w:t>
      </w:r>
      <w:r>
        <w:t xml:space="preserve"> been able to take</w:t>
      </w:r>
      <w:r w:rsidR="0095328A">
        <w:t xml:space="preserve"> the opportunity to become a licensed Australian </w:t>
      </w:r>
      <w:r>
        <w:t xml:space="preserve">MasterCard issuer.  This came about directly as a </w:t>
      </w:r>
      <w:r>
        <w:lastRenderedPageBreak/>
        <w:t>result of the Reserve Bank of Australia’s changes to the Access Regime to MasterCard and Visa scheme participation</w:t>
      </w:r>
      <w:r w:rsidR="0016118B">
        <w:t>.  These changes, which took effect on 1 January 2015,</w:t>
      </w:r>
      <w:r>
        <w:t xml:space="preserve"> were designed to improve access to the market and</w:t>
      </w:r>
      <w:r w:rsidR="0016118B">
        <w:t xml:space="preserve"> bolster</w:t>
      </w:r>
      <w:r>
        <w:t xml:space="preserve"> </w:t>
      </w:r>
      <w:r w:rsidR="0016118B">
        <w:t xml:space="preserve">payments innovation and </w:t>
      </w:r>
      <w:r>
        <w:t>competition</w:t>
      </w:r>
      <w:r w:rsidR="0016118B">
        <w:t>.</w:t>
      </w:r>
      <w:r>
        <w:t xml:space="preserve">   </w:t>
      </w:r>
    </w:p>
    <w:p w:rsidR="00CA4CFC" w:rsidRDefault="00CA4CFC" w:rsidP="00CA4CFC">
      <w:pPr>
        <w:spacing w:line="240" w:lineRule="auto"/>
      </w:pPr>
      <w:r>
        <w:rPr>
          <w:b/>
          <w:i/>
        </w:rPr>
        <w:t>WEX’s virtual card</w:t>
      </w:r>
      <w:r w:rsidR="0016118B">
        <w:rPr>
          <w:b/>
          <w:i/>
        </w:rPr>
        <w:t xml:space="preserve"> payment solution</w:t>
      </w:r>
    </w:p>
    <w:p w:rsidR="00CA4CFC" w:rsidRPr="00CA4CFC" w:rsidRDefault="00CA4CFC" w:rsidP="00CA4CFC">
      <w:pPr>
        <w:spacing w:line="240" w:lineRule="auto"/>
        <w:rPr>
          <w:lang w:val="en-GB"/>
        </w:rPr>
      </w:pPr>
      <w:r w:rsidRPr="00CA4CFC">
        <w:rPr>
          <w:lang w:val="en-GB"/>
        </w:rPr>
        <w:t>Used by both SMEs and large multinational travel corporations, the WEX virtual card solution</w:t>
      </w:r>
      <w:r w:rsidR="0016118B">
        <w:rPr>
          <w:lang w:val="en-GB"/>
        </w:rPr>
        <w:t>, which operates using</w:t>
      </w:r>
      <w:r>
        <w:rPr>
          <w:lang w:val="en-GB"/>
        </w:rPr>
        <w:t xml:space="preserve"> the MasterCard scheme,</w:t>
      </w:r>
      <w:r w:rsidR="0016118B">
        <w:rPr>
          <w:lang w:val="en-GB"/>
        </w:rPr>
        <w:t xml:space="preserve"> allows our commercial customers</w:t>
      </w:r>
      <w:r w:rsidRPr="00CA4CFC">
        <w:rPr>
          <w:lang w:val="en-GB"/>
        </w:rPr>
        <w:t xml:space="preserve"> to make payments to suppliers using a unique single use virtual card number for each supplier. The single use virtual card number allows for the reconciliation process between the purchase order, the invoice information and the corresponding payment transaction to take place automatically with the virtual card number acting as the unique identifier for each transaction.  This drives efficiencies in the accounts payable process for our end-users and also the accounts receivable processes for the merchants, freeing both capital and corporate capacity to other innovative commercial programs.</w:t>
      </w:r>
    </w:p>
    <w:p w:rsidR="00CA4CFC" w:rsidRPr="00CA4CFC" w:rsidRDefault="00CA4CFC" w:rsidP="00CA4CFC">
      <w:pPr>
        <w:spacing w:line="240" w:lineRule="auto"/>
        <w:rPr>
          <w:lang w:val="en-GB"/>
        </w:rPr>
      </w:pPr>
      <w:r w:rsidRPr="00CA4CFC">
        <w:rPr>
          <w:lang w:val="en-GB"/>
        </w:rPr>
        <w:t xml:space="preserve">The WEX virtual card solution reduces the risks in transactions between buyers and merchants, including </w:t>
      </w:r>
      <w:r w:rsidR="00B86813">
        <w:rPr>
          <w:lang w:val="en-GB"/>
        </w:rPr>
        <w:t>significantly reducing fraud</w:t>
      </w:r>
      <w:r w:rsidRPr="00CA4CFC">
        <w:rPr>
          <w:lang w:val="en-GB"/>
        </w:rPr>
        <w:t xml:space="preserve"> risk for </w:t>
      </w:r>
      <w:r w:rsidR="00444800">
        <w:rPr>
          <w:lang w:val="en-GB"/>
        </w:rPr>
        <w:t xml:space="preserve">both buyers and </w:t>
      </w:r>
      <w:r w:rsidRPr="00CA4CFC">
        <w:rPr>
          <w:lang w:val="en-GB"/>
        </w:rPr>
        <w:t xml:space="preserve">merchants and merchant bankruptcy for the buyers (which is particularly important in the travel industry when the product is delivered after an elapsed period following payment).  It provides a range of functionalities to manage cross border transactions including currency solutions which facilitate cross border commerce with low cost currency management services. It allows our </w:t>
      </w:r>
      <w:r w:rsidR="00B86813">
        <w:rPr>
          <w:lang w:val="en-GB"/>
        </w:rPr>
        <w:t>customer</w:t>
      </w:r>
      <w:r w:rsidR="00444800">
        <w:rPr>
          <w:lang w:val="en-GB"/>
        </w:rPr>
        <w:t>s</w:t>
      </w:r>
      <w:r w:rsidRPr="00CA4CFC">
        <w:rPr>
          <w:lang w:val="en-GB"/>
        </w:rPr>
        <w:t xml:space="preserve"> to drive efficiencies in the cost of processing, payment and reconciliation in accounts payment and facilitates real time transactions, further expanding economic capacity and reducing potential for fraud and inaccurate reporting.  It also allows </w:t>
      </w:r>
      <w:r w:rsidR="00444800">
        <w:rPr>
          <w:lang w:val="en-GB"/>
        </w:rPr>
        <w:t>our customers</w:t>
      </w:r>
      <w:r w:rsidRPr="00CA4CFC">
        <w:rPr>
          <w:lang w:val="en-GB"/>
        </w:rPr>
        <w:t xml:space="preserve"> to set payment authorisation controls (transaction and user level) to help protect against fraudulent use with respect to each payment transaction thereby facilitating the ability to process payments and invoice data electronically. This restricts the use of the cards to a specific merchant or group of merchants.  </w:t>
      </w:r>
    </w:p>
    <w:p w:rsidR="00CA4CFC" w:rsidRPr="00CA4CFC" w:rsidRDefault="00CA4CFC" w:rsidP="00CA4CFC">
      <w:pPr>
        <w:spacing w:line="240" w:lineRule="auto"/>
        <w:rPr>
          <w:lang w:val="en-GB"/>
        </w:rPr>
      </w:pPr>
      <w:r>
        <w:rPr>
          <w:lang w:val="en-GB"/>
        </w:rPr>
        <w:t>WEX’s</w:t>
      </w:r>
      <w:r w:rsidRPr="00CA4CFC">
        <w:rPr>
          <w:lang w:val="en-GB"/>
        </w:rPr>
        <w:t xml:space="preserve"> virtual card solution is </w:t>
      </w:r>
      <w:r>
        <w:rPr>
          <w:lang w:val="en-GB"/>
        </w:rPr>
        <w:t xml:space="preserve">currently </w:t>
      </w:r>
      <w:r w:rsidRPr="00CA4CFC">
        <w:rPr>
          <w:lang w:val="en-GB"/>
        </w:rPr>
        <w:t xml:space="preserve">available </w:t>
      </w:r>
      <w:r>
        <w:rPr>
          <w:lang w:val="en-GB"/>
        </w:rPr>
        <w:t>in Australia as</w:t>
      </w:r>
      <w:r w:rsidRPr="00CA4CFC">
        <w:rPr>
          <w:lang w:val="en-GB"/>
        </w:rPr>
        <w:t xml:space="preserve"> a credit option</w:t>
      </w:r>
      <w:r>
        <w:rPr>
          <w:lang w:val="en-GB"/>
        </w:rPr>
        <w:t>, but WEX is also intending to issue the product as a prepaid solution.  In the current</w:t>
      </w:r>
      <w:r w:rsidRPr="00CA4CFC">
        <w:rPr>
          <w:lang w:val="en-GB"/>
        </w:rPr>
        <w:t xml:space="preserve"> economy it may be difficult for our customers to obtain credit and business loans, therefore the access to flexible </w:t>
      </w:r>
      <w:r w:rsidR="00444800">
        <w:rPr>
          <w:lang w:val="en-GB"/>
        </w:rPr>
        <w:t>payment</w:t>
      </w:r>
      <w:r w:rsidRPr="00CA4CFC">
        <w:rPr>
          <w:lang w:val="en-GB"/>
        </w:rPr>
        <w:t xml:space="preserve"> solutions, such as our virtual credit product, is an efficient cash flow management tool for SMEs.  On the other side of the transaction, we believe that where an SME uses a card for payment this can also benefit the merchants’ cash flow, accounts collection and credit risk as the merchant receives payment within 2 to 5 days and switches the credit risk and collection process to the card issuer.</w:t>
      </w:r>
    </w:p>
    <w:p w:rsidR="0091234C" w:rsidRPr="0091234C" w:rsidRDefault="0091234C" w:rsidP="00CA4CFC">
      <w:pPr>
        <w:spacing w:line="240" w:lineRule="auto"/>
        <w:rPr>
          <w:lang w:val="en-US"/>
        </w:rPr>
      </w:pPr>
      <w:r>
        <w:rPr>
          <w:b/>
          <w:lang w:val="en-US"/>
        </w:rPr>
        <w:t>Issues for Consultation</w:t>
      </w:r>
    </w:p>
    <w:p w:rsidR="0091234C" w:rsidRDefault="0091234C" w:rsidP="00CA4CFC">
      <w:pPr>
        <w:spacing w:line="240" w:lineRule="auto"/>
        <w:rPr>
          <w:lang w:val="en-US"/>
        </w:rPr>
      </w:pPr>
      <w:r>
        <w:rPr>
          <w:lang w:val="en-US"/>
        </w:rPr>
        <w:t xml:space="preserve">WEX refers to chapter 5 of the above referenced Issues Paper: Issues for Consideration.  WEX </w:t>
      </w:r>
      <w:r w:rsidR="004C4DBA">
        <w:rPr>
          <w:lang w:val="en-US"/>
        </w:rPr>
        <w:t xml:space="preserve">intends to </w:t>
      </w:r>
      <w:r>
        <w:rPr>
          <w:lang w:val="en-US"/>
        </w:rPr>
        <w:t xml:space="preserve">focus its attention on the Payments System Board’s </w:t>
      </w:r>
      <w:r w:rsidR="00D172F1">
        <w:rPr>
          <w:lang w:val="en-US"/>
        </w:rPr>
        <w:t xml:space="preserve">(‘PSB’) </w:t>
      </w:r>
      <w:r>
        <w:rPr>
          <w:lang w:val="en-US"/>
        </w:rPr>
        <w:t>concerns in relation to the regulation of interchange fees</w:t>
      </w:r>
      <w:r w:rsidR="001030A4">
        <w:rPr>
          <w:lang w:val="en-US"/>
        </w:rPr>
        <w:t xml:space="preserve">. </w:t>
      </w:r>
      <w:r>
        <w:rPr>
          <w:lang w:val="en-US"/>
        </w:rPr>
        <w:t xml:space="preserve"> </w:t>
      </w:r>
    </w:p>
    <w:p w:rsidR="00A94985" w:rsidRDefault="00D172F1" w:rsidP="00CA4CFC">
      <w:pPr>
        <w:spacing w:line="240" w:lineRule="auto"/>
        <w:rPr>
          <w:lang w:val="en-US"/>
        </w:rPr>
      </w:pPr>
      <w:r>
        <w:rPr>
          <w:lang w:val="en-US"/>
        </w:rPr>
        <w:t xml:space="preserve">WEX appreciates </w:t>
      </w:r>
      <w:r w:rsidR="00705370">
        <w:rPr>
          <w:lang w:val="en-US"/>
        </w:rPr>
        <w:t xml:space="preserve">and understands the </w:t>
      </w:r>
      <w:r>
        <w:rPr>
          <w:lang w:val="en-US"/>
        </w:rPr>
        <w:t xml:space="preserve">PSB’s </w:t>
      </w:r>
      <w:r w:rsidR="00705370">
        <w:rPr>
          <w:lang w:val="en-US"/>
        </w:rPr>
        <w:t>stated</w:t>
      </w:r>
      <w:r>
        <w:rPr>
          <w:lang w:val="en-US"/>
        </w:rPr>
        <w:t xml:space="preserve"> concerns in relation to the current average interchange rates</w:t>
      </w:r>
      <w:r w:rsidR="00E62A36">
        <w:rPr>
          <w:lang w:val="en-US"/>
        </w:rPr>
        <w:t xml:space="preserve"> in Australia</w:t>
      </w:r>
      <w:r w:rsidR="00705370">
        <w:rPr>
          <w:lang w:val="en-US"/>
        </w:rPr>
        <w:t xml:space="preserve">.  WEX also notes the PSB’s interest in the outcomes of the new European Union payments regulation, where a hard cap of 30 basis points will </w:t>
      </w:r>
      <w:r w:rsidR="004C4DBA">
        <w:rPr>
          <w:lang w:val="en-US"/>
        </w:rPr>
        <w:t xml:space="preserve">now </w:t>
      </w:r>
      <w:r w:rsidR="00705370">
        <w:rPr>
          <w:lang w:val="en-US"/>
        </w:rPr>
        <w:t>be applied to all consumer credit card transactions.  WEX wishes to highlight to the PSB that the new European Union payments regulation specifically excludes commercial cards from its ambit.  WEX would seek to encourage the PSB to take the same approach to any review of interchange in Australia</w:t>
      </w:r>
      <w:r w:rsidR="0020115A">
        <w:rPr>
          <w:lang w:val="en-US"/>
        </w:rPr>
        <w:t>, and exclude commercial cards from its consideration</w:t>
      </w:r>
      <w:r w:rsidR="00705370">
        <w:rPr>
          <w:lang w:val="en-US"/>
        </w:rPr>
        <w:t>.</w:t>
      </w:r>
      <w:r w:rsidR="00A94985">
        <w:rPr>
          <w:lang w:val="en-US"/>
        </w:rPr>
        <w:t xml:space="preserve">  The reasons WEX considers that commercial cards should be excluded from any review follow:</w:t>
      </w:r>
    </w:p>
    <w:p w:rsidR="00A94985" w:rsidRDefault="00A94985" w:rsidP="00A94985">
      <w:pPr>
        <w:pStyle w:val="ListParagraph"/>
        <w:numPr>
          <w:ilvl w:val="0"/>
          <w:numId w:val="6"/>
        </w:numPr>
        <w:spacing w:line="240" w:lineRule="auto"/>
        <w:rPr>
          <w:lang w:val="en-US"/>
        </w:rPr>
      </w:pPr>
      <w:r>
        <w:rPr>
          <w:lang w:val="en-US"/>
        </w:rPr>
        <w:t xml:space="preserve">WEX entered the Australian market as a credit issuer with a highly innovative payment solution as a direct result of </w:t>
      </w:r>
      <w:r w:rsidR="004C4DBA">
        <w:rPr>
          <w:lang w:val="en-US"/>
        </w:rPr>
        <w:t>the</w:t>
      </w:r>
      <w:r>
        <w:rPr>
          <w:lang w:val="en-US"/>
        </w:rPr>
        <w:t xml:space="preserve"> move in January 2015 by the RBA to modify the scheme </w:t>
      </w:r>
      <w:r>
        <w:rPr>
          <w:lang w:val="en-US"/>
        </w:rPr>
        <w:lastRenderedPageBreak/>
        <w:t>access regimes.  The RBA modified the access regimes in order to encourage and stimulate new entrants to and competition in the payments market.  WEX has been a beneficiary of th</w:t>
      </w:r>
      <w:r w:rsidR="00257B05">
        <w:rPr>
          <w:lang w:val="en-US"/>
        </w:rPr>
        <w:t>ese changes</w:t>
      </w:r>
      <w:r>
        <w:rPr>
          <w:lang w:val="en-US"/>
        </w:rPr>
        <w:t>, and commends the position taken by the RBA in this regard.</w:t>
      </w:r>
    </w:p>
    <w:p w:rsidR="00A94985" w:rsidRDefault="00A94985" w:rsidP="00A94985">
      <w:pPr>
        <w:pStyle w:val="ListParagraph"/>
        <w:spacing w:line="240" w:lineRule="auto"/>
        <w:ind w:left="864"/>
        <w:rPr>
          <w:lang w:val="en-US"/>
        </w:rPr>
      </w:pPr>
    </w:p>
    <w:p w:rsidR="00CA4CFC" w:rsidRDefault="00A94985" w:rsidP="00A94985">
      <w:pPr>
        <w:pStyle w:val="ListParagraph"/>
        <w:numPr>
          <w:ilvl w:val="0"/>
          <w:numId w:val="6"/>
        </w:numPr>
        <w:spacing w:line="240" w:lineRule="auto"/>
        <w:rPr>
          <w:lang w:val="en-US"/>
        </w:rPr>
      </w:pPr>
      <w:r>
        <w:rPr>
          <w:lang w:val="en-US"/>
        </w:rPr>
        <w:t xml:space="preserve">The ability of WEX to </w:t>
      </w:r>
      <w:r w:rsidR="00CA4CFC" w:rsidRPr="00CA4CFC">
        <w:rPr>
          <w:lang w:val="en-US"/>
        </w:rPr>
        <w:t>charge a fair interchange rate</w:t>
      </w:r>
      <w:r>
        <w:rPr>
          <w:lang w:val="en-US"/>
        </w:rPr>
        <w:t xml:space="preserve"> (and WEX maintains the current commercial interchange rates are fair), enables WEX and indeed </w:t>
      </w:r>
      <w:r w:rsidR="00CA4CFC" w:rsidRPr="00CA4CFC">
        <w:rPr>
          <w:lang w:val="en-US"/>
        </w:rPr>
        <w:t>our competitors, to</w:t>
      </w:r>
      <w:r>
        <w:rPr>
          <w:lang w:val="en-US"/>
        </w:rPr>
        <w:t xml:space="preserve"> continue to offer a highly innovative and commercially focused payment product to </w:t>
      </w:r>
      <w:r w:rsidR="00257B05">
        <w:rPr>
          <w:lang w:val="en-US"/>
        </w:rPr>
        <w:t xml:space="preserve">our </w:t>
      </w:r>
      <w:r>
        <w:rPr>
          <w:lang w:val="en-US"/>
        </w:rPr>
        <w:t>business</w:t>
      </w:r>
      <w:r w:rsidR="00257B05">
        <w:rPr>
          <w:lang w:val="en-US"/>
        </w:rPr>
        <w:t xml:space="preserve"> customers.  The WEX virtual card solution allows</w:t>
      </w:r>
      <w:r>
        <w:rPr>
          <w:lang w:val="en-US"/>
        </w:rPr>
        <w:t xml:space="preserve"> business</w:t>
      </w:r>
      <w:r w:rsidR="00257B05">
        <w:rPr>
          <w:lang w:val="en-US"/>
        </w:rPr>
        <w:t>es</w:t>
      </w:r>
      <w:r>
        <w:rPr>
          <w:lang w:val="en-US"/>
        </w:rPr>
        <w:t xml:space="preserve"> to streamline their back en</w:t>
      </w:r>
      <w:r w:rsidR="00320F24">
        <w:rPr>
          <w:lang w:val="en-US"/>
        </w:rPr>
        <w:t xml:space="preserve">d payment processing functions </w:t>
      </w:r>
      <w:r>
        <w:rPr>
          <w:lang w:val="en-US"/>
        </w:rPr>
        <w:t xml:space="preserve">and free up crucial resource to focus on </w:t>
      </w:r>
      <w:r w:rsidR="004C4DBA">
        <w:rPr>
          <w:lang w:val="en-US"/>
        </w:rPr>
        <w:t>ongoing</w:t>
      </w:r>
      <w:r w:rsidR="00257B05">
        <w:rPr>
          <w:lang w:val="en-US"/>
        </w:rPr>
        <w:t xml:space="preserve"> </w:t>
      </w:r>
      <w:r>
        <w:rPr>
          <w:lang w:val="en-US"/>
        </w:rPr>
        <w:t>business growth.</w:t>
      </w:r>
      <w:r w:rsidR="00257B05">
        <w:rPr>
          <w:lang w:val="en-US"/>
        </w:rPr>
        <w:t xml:space="preserve">  WEX would argue that the current interchange rate for commercial cards allows companies like WEX to enter the Australian market with new</w:t>
      </w:r>
      <w:r w:rsidR="004C4DBA">
        <w:rPr>
          <w:lang w:val="en-US"/>
        </w:rPr>
        <w:t>,</w:t>
      </w:r>
      <w:r w:rsidR="00257B05">
        <w:rPr>
          <w:lang w:val="en-US"/>
        </w:rPr>
        <w:t xml:space="preserve"> innovative</w:t>
      </w:r>
      <w:r w:rsidR="004C4DBA">
        <w:rPr>
          <w:lang w:val="en-US"/>
        </w:rPr>
        <w:t xml:space="preserve"> and commercially attractive</w:t>
      </w:r>
      <w:r w:rsidR="00257B05">
        <w:rPr>
          <w:lang w:val="en-US"/>
        </w:rPr>
        <w:t xml:space="preserve"> products and in doing so satisfies the RBA’s stated policy objective of increasing competition in the payments market, while not increasing risk to an unsatisfactory degree.</w:t>
      </w:r>
    </w:p>
    <w:p w:rsidR="00257B05" w:rsidRDefault="00257B05" w:rsidP="00257B05">
      <w:pPr>
        <w:pStyle w:val="ListParagraph"/>
        <w:spacing w:line="240" w:lineRule="auto"/>
        <w:ind w:left="864"/>
        <w:rPr>
          <w:lang w:val="en-US"/>
        </w:rPr>
      </w:pPr>
    </w:p>
    <w:p w:rsidR="0016118B" w:rsidRPr="004C4DBA" w:rsidRDefault="00320F24" w:rsidP="00CA4CFC">
      <w:pPr>
        <w:pStyle w:val="ListParagraph"/>
        <w:numPr>
          <w:ilvl w:val="0"/>
          <w:numId w:val="6"/>
        </w:numPr>
        <w:spacing w:line="240" w:lineRule="auto"/>
        <w:rPr>
          <w:lang w:val="en-US"/>
        </w:rPr>
      </w:pPr>
      <w:r>
        <w:rPr>
          <w:lang w:val="en-US"/>
        </w:rPr>
        <w:t xml:space="preserve">A </w:t>
      </w:r>
      <w:r w:rsidR="0016118B" w:rsidRPr="00320F24">
        <w:rPr>
          <w:lang w:val="en-US"/>
        </w:rPr>
        <w:t xml:space="preserve">material reduction of </w:t>
      </w:r>
      <w:r>
        <w:rPr>
          <w:lang w:val="en-US"/>
        </w:rPr>
        <w:t xml:space="preserve">commercial </w:t>
      </w:r>
      <w:r w:rsidR="0016118B" w:rsidRPr="00320F24">
        <w:rPr>
          <w:lang w:val="en-US"/>
        </w:rPr>
        <w:t xml:space="preserve">interchange </w:t>
      </w:r>
      <w:r w:rsidRPr="00320F24">
        <w:rPr>
          <w:lang w:val="en-US"/>
        </w:rPr>
        <w:t>rates</w:t>
      </w:r>
      <w:r>
        <w:rPr>
          <w:lang w:val="en-US"/>
        </w:rPr>
        <w:t xml:space="preserve"> in Australia</w:t>
      </w:r>
      <w:r w:rsidRPr="00320F24">
        <w:rPr>
          <w:lang w:val="en-US"/>
        </w:rPr>
        <w:t>, which is out of step with the rest of the world,</w:t>
      </w:r>
      <w:r w:rsidR="0016118B" w:rsidRPr="00320F24">
        <w:rPr>
          <w:lang w:val="en-US"/>
        </w:rPr>
        <w:t xml:space="preserve"> </w:t>
      </w:r>
      <w:r>
        <w:rPr>
          <w:lang w:val="en-US"/>
        </w:rPr>
        <w:t xml:space="preserve">will result in the Australian market being less commercially viable for WEX, and </w:t>
      </w:r>
      <w:r w:rsidR="0016118B" w:rsidRPr="00320F24">
        <w:rPr>
          <w:lang w:val="en-US"/>
        </w:rPr>
        <w:t xml:space="preserve">will cause </w:t>
      </w:r>
      <w:r w:rsidR="00257B05" w:rsidRPr="00320F24">
        <w:rPr>
          <w:lang w:val="en-US"/>
        </w:rPr>
        <w:t>WEX</w:t>
      </w:r>
      <w:r w:rsidR="0016118B" w:rsidRPr="00320F24">
        <w:rPr>
          <w:lang w:val="en-US"/>
        </w:rPr>
        <w:t xml:space="preserve"> to re-evaluate </w:t>
      </w:r>
      <w:r w:rsidR="00DF53E0">
        <w:rPr>
          <w:lang w:val="en-US"/>
        </w:rPr>
        <w:t>its</w:t>
      </w:r>
      <w:r w:rsidR="0016118B" w:rsidRPr="00320F24">
        <w:rPr>
          <w:lang w:val="en-US"/>
        </w:rPr>
        <w:t xml:space="preserve"> ability</w:t>
      </w:r>
      <w:r w:rsidR="0016118B" w:rsidRPr="00257B05">
        <w:rPr>
          <w:lang w:val="en-US"/>
        </w:rPr>
        <w:t xml:space="preserve"> to offer the single use virtual card</w:t>
      </w:r>
      <w:r>
        <w:rPr>
          <w:lang w:val="en-US"/>
        </w:rPr>
        <w:t xml:space="preserve"> product in Australia.  It is WEX’s view that many </w:t>
      </w:r>
      <w:r w:rsidR="00152718">
        <w:rPr>
          <w:lang w:val="en-US"/>
        </w:rPr>
        <w:t xml:space="preserve">other </w:t>
      </w:r>
      <w:r>
        <w:rPr>
          <w:lang w:val="en-US"/>
        </w:rPr>
        <w:t>innovative payment solution providers in the business to business payments market may also be forced to this position.  WEX therefore suggests that an unintended effect of the RBA determining to reduce commercial interchange rates would be that Australia would miss out on the value of innovation in payments introduced by companies such as WEX.  This is counter-productive to the RBA’s policy of encouraging payments innovation, and access to innovative payment solutions</w:t>
      </w:r>
      <w:r w:rsidR="0016118B" w:rsidRPr="00257B05">
        <w:rPr>
          <w:lang w:val="en-US"/>
        </w:rPr>
        <w:t>.</w:t>
      </w:r>
    </w:p>
    <w:p w:rsidR="0020115A" w:rsidRDefault="0020115A" w:rsidP="002D26D7">
      <w:pPr>
        <w:spacing w:line="240" w:lineRule="auto"/>
      </w:pPr>
      <w:r>
        <w:t xml:space="preserve">More broadly, and while not changing its position as stated above, </w:t>
      </w:r>
      <w:r w:rsidR="004C4DBA">
        <w:t xml:space="preserve">WEX does appreciate and understand the issues for concern raised by the </w:t>
      </w:r>
      <w:r>
        <w:t>RBA i</w:t>
      </w:r>
      <w:r w:rsidR="004C4DBA">
        <w:t>n chapters 4 and 5</w:t>
      </w:r>
      <w:r>
        <w:t xml:space="preserve"> of the Issues Paper.  However, WEX considers that</w:t>
      </w:r>
      <w:r w:rsidR="004C4DBA">
        <w:t xml:space="preserve"> a number of the potential solutions raised by the RBA may be unduly harsh and have unintended consequences such as an increase to the cost of </w:t>
      </w:r>
      <w:r w:rsidR="00DF53E0">
        <w:t xml:space="preserve">providing </w:t>
      </w:r>
      <w:r w:rsidR="004C4DBA">
        <w:t>credit</w:t>
      </w:r>
      <w:r>
        <w:t xml:space="preserve">, and thereby a potential reduction of access to credit.  In light of this, WEX </w:t>
      </w:r>
      <w:r w:rsidR="004C4DBA">
        <w:t xml:space="preserve">would encourage the RBA’s approach to the Review of Card Payments Regulation to not only take account of all written submissions invited by the RBA, but also to comprise a face to face forum with stakeholders in order to discuss potential solutions to the issues raised by the RBA in Chapter 5 of the Issues Paper.  WEX would be pleased to participate in such a forum.   </w:t>
      </w:r>
    </w:p>
    <w:p w:rsidR="003D3CE5" w:rsidRDefault="002F0C51" w:rsidP="002D26D7">
      <w:pPr>
        <w:spacing w:line="240" w:lineRule="auto"/>
      </w:pPr>
      <w:r>
        <w:t xml:space="preserve">Thank you </w:t>
      </w:r>
      <w:r w:rsidR="0020115A">
        <w:t xml:space="preserve">again </w:t>
      </w:r>
      <w:r>
        <w:t xml:space="preserve">for the opportunity to </w:t>
      </w:r>
      <w:r w:rsidR="005E0D11">
        <w:t>contribute as part of the Bank’s c</w:t>
      </w:r>
      <w:r>
        <w:t>onsultation</w:t>
      </w:r>
      <w:r w:rsidR="005E0D11">
        <w:t xml:space="preserve"> process</w:t>
      </w:r>
      <w:r>
        <w:t xml:space="preserve">.  </w:t>
      </w:r>
      <w:r w:rsidR="00D66BF1">
        <w:t>I</w:t>
      </w:r>
      <w:r w:rsidR="005E0D11">
        <w:t xml:space="preserve">f you would like to meet to discuss WEX’s </w:t>
      </w:r>
      <w:r>
        <w:t xml:space="preserve">Submission, </w:t>
      </w:r>
      <w:r w:rsidR="005E0D11">
        <w:t>please do not hesitate to contact me directly</w:t>
      </w:r>
      <w:r>
        <w:t xml:space="preserve">. </w:t>
      </w:r>
    </w:p>
    <w:p w:rsidR="003E3907" w:rsidRDefault="003E3907" w:rsidP="0073600B">
      <w:pPr>
        <w:tabs>
          <w:tab w:val="left" w:pos="5112"/>
        </w:tabs>
        <w:spacing w:line="240" w:lineRule="auto"/>
      </w:pPr>
      <w:r>
        <w:t xml:space="preserve">Yours </w:t>
      </w:r>
      <w:r w:rsidR="00C72E9D">
        <w:t>sincerely</w:t>
      </w:r>
      <w:r w:rsidR="0073600B">
        <w:tab/>
      </w:r>
    </w:p>
    <w:p w:rsidR="003E3907" w:rsidRDefault="003E3907" w:rsidP="002D26D7">
      <w:pPr>
        <w:spacing w:line="240" w:lineRule="auto"/>
      </w:pPr>
    </w:p>
    <w:p w:rsidR="003E3907" w:rsidRDefault="003E3907" w:rsidP="002D26D7">
      <w:pPr>
        <w:spacing w:line="240" w:lineRule="auto"/>
      </w:pPr>
      <w:r>
        <w:t>Greg Drumm</w:t>
      </w:r>
      <w:r>
        <w:br/>
        <w:t xml:space="preserve">Managing Director </w:t>
      </w:r>
      <w:r>
        <w:br/>
      </w:r>
      <w:r w:rsidR="005E0D11">
        <w:t>WEX</w:t>
      </w:r>
      <w:r w:rsidR="00C72E9D">
        <w:t xml:space="preserve"> Australia Pty Ltd</w:t>
      </w:r>
    </w:p>
    <w:sectPr w:rsidR="003E3907" w:rsidSect="000C3AA4">
      <w:headerReference w:type="default" r:id="rId11"/>
      <w:footerReference w:type="defaul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4A81" w:rsidRDefault="00BA4A81" w:rsidP="00BA4A81">
      <w:pPr>
        <w:spacing w:after="0" w:line="240" w:lineRule="auto"/>
      </w:pPr>
      <w:r>
        <w:separator/>
      </w:r>
    </w:p>
  </w:endnote>
  <w:endnote w:type="continuationSeparator" w:id="0">
    <w:p w:rsidR="00BA4A81" w:rsidRDefault="00BA4A81" w:rsidP="00BA4A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370" w:rsidRDefault="00705370">
    <w:pPr>
      <w:pStyle w:val="Footer"/>
      <w:rPr>
        <w:vertAlign w:val="superscript"/>
      </w:rPr>
    </w:pP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r>
      <w:rPr>
        <w:vertAlign w:val="superscript"/>
      </w:rPr>
      <w:softHyphen/>
    </w:r>
  </w:p>
  <w:p w:rsidR="00BA4A81" w:rsidRDefault="00BA4A8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AA4" w:rsidRDefault="000C3AA4" w:rsidP="000C3AA4">
    <w:pPr>
      <w:pStyle w:val="Footer"/>
      <w:rPr>
        <w:vertAlign w:val="superscript"/>
      </w:rPr>
    </w:pPr>
    <w:r>
      <w:rPr>
        <w:vertAlign w:val="superscript"/>
      </w:rPr>
      <w:t>_________________________________________________________________________________________________________________________________</w:t>
    </w:r>
  </w:p>
  <w:p w:rsidR="000C3AA4" w:rsidRDefault="000C3AA4" w:rsidP="000C3AA4">
    <w:pPr>
      <w:pStyle w:val="Footer"/>
      <w:rPr>
        <w:vertAlign w:val="superscript"/>
      </w:rPr>
    </w:pPr>
  </w:p>
  <w:p w:rsidR="000C3AA4" w:rsidRDefault="000C3AA4" w:rsidP="000C3AA4">
    <w:pPr>
      <w:pStyle w:val="Footer"/>
    </w:pPr>
    <w:r w:rsidRPr="00BA4A81">
      <w:rPr>
        <w:vertAlign w:val="superscript"/>
      </w:rPr>
      <w:t xml:space="preserve">1 </w:t>
    </w:r>
    <w:r w:rsidRPr="00C162AB">
      <w:rPr>
        <w:color w:val="000000" w:themeColor="text1"/>
        <w:sz w:val="18"/>
        <w:szCs w:val="18"/>
        <w:lang w:val="en-US"/>
      </w:rPr>
      <w:t>WEX Inc.</w:t>
    </w:r>
    <w:r w:rsidRPr="00C162AB">
      <w:rPr>
        <w:rStyle w:val="apple-converted-space"/>
        <w:color w:val="000000" w:themeColor="text1"/>
        <w:sz w:val="18"/>
        <w:szCs w:val="18"/>
        <w:lang w:val="en-US"/>
      </w:rPr>
      <w:t> </w:t>
    </w:r>
    <w:r w:rsidRPr="00C162AB">
      <w:rPr>
        <w:color w:val="000000" w:themeColor="text1"/>
        <w:sz w:val="18"/>
        <w:szCs w:val="18"/>
        <w:lang w:val="en-US"/>
      </w:rPr>
      <w:t>(NYSE: WEX): From its roots in fleet card payments beginning in 1983, WEX has expanded the scope of its business into a multi-channel provider of corporate payment solutions representing more than 7.7 million cardholders and offering exceptional payment security and control across a wide spectrum of business sectors. The Company’s operations include</w:t>
    </w:r>
    <w:r w:rsidRPr="00C162AB">
      <w:rPr>
        <w:rStyle w:val="apple-converted-space"/>
        <w:color w:val="000000" w:themeColor="text1"/>
        <w:sz w:val="18"/>
        <w:szCs w:val="18"/>
        <w:lang w:val="en-US"/>
      </w:rPr>
      <w:t> </w:t>
    </w:r>
    <w:r w:rsidRPr="00C162AB">
      <w:rPr>
        <w:color w:val="000000" w:themeColor="text1"/>
        <w:sz w:val="18"/>
        <w:szCs w:val="18"/>
        <w:lang w:val="en-US"/>
      </w:rPr>
      <w:t>WEX Bank, Fleet One, WEX Australia, WEX New Zealand</w:t>
    </w:r>
    <w:r w:rsidRPr="00C162AB">
      <w:rPr>
        <w:rStyle w:val="apple-converted-space"/>
        <w:color w:val="000000" w:themeColor="text1"/>
        <w:sz w:val="18"/>
        <w:szCs w:val="18"/>
        <w:lang w:val="en-US"/>
      </w:rPr>
      <w:t> </w:t>
    </w:r>
    <w:r w:rsidRPr="00C162AB">
      <w:rPr>
        <w:color w:val="000000" w:themeColor="text1"/>
        <w:sz w:val="18"/>
        <w:szCs w:val="18"/>
        <w:lang w:val="en-US"/>
      </w:rPr>
      <w:t>and WEX Europe, as well as a majority equity position in</w:t>
    </w:r>
    <w:r w:rsidRPr="00C162AB">
      <w:rPr>
        <w:rStyle w:val="apple-converted-space"/>
        <w:color w:val="000000" w:themeColor="text1"/>
        <w:sz w:val="18"/>
        <w:szCs w:val="18"/>
        <w:lang w:val="en-US"/>
      </w:rPr>
      <w:t> </w:t>
    </w:r>
    <w:r w:rsidRPr="00C162AB">
      <w:rPr>
        <w:color w:val="000000" w:themeColor="text1"/>
        <w:sz w:val="18"/>
        <w:szCs w:val="18"/>
        <w:lang w:val="en-US"/>
      </w:rPr>
      <w:t>UNIK S.A.,</w:t>
    </w:r>
    <w:r w:rsidRPr="00C162AB">
      <w:rPr>
        <w:rStyle w:val="apple-converted-space"/>
        <w:color w:val="000000" w:themeColor="text1"/>
        <w:sz w:val="18"/>
        <w:szCs w:val="18"/>
        <w:lang w:val="en-US"/>
      </w:rPr>
      <w:t> </w:t>
    </w:r>
    <w:r w:rsidRPr="00C162AB">
      <w:rPr>
        <w:color w:val="000000" w:themeColor="text1"/>
        <w:sz w:val="18"/>
        <w:szCs w:val="18"/>
        <w:lang w:val="en-US"/>
      </w:rPr>
      <w:t>Brazil. WEX and its subsidiaries employ more than 1,400 associates. For more information about WEX, please visit</w:t>
    </w:r>
    <w:r w:rsidRPr="00C162AB">
      <w:rPr>
        <w:rStyle w:val="apple-converted-space"/>
        <w:color w:val="000000" w:themeColor="text1"/>
        <w:sz w:val="18"/>
        <w:szCs w:val="18"/>
        <w:lang w:val="en-US"/>
      </w:rPr>
      <w:t> </w:t>
    </w:r>
    <w:hyperlink r:id="rId1" w:history="1">
      <w:r w:rsidRPr="00C162AB">
        <w:rPr>
          <w:rStyle w:val="Hyperlink"/>
          <w:color w:val="000000" w:themeColor="text1"/>
          <w:sz w:val="18"/>
          <w:szCs w:val="18"/>
          <w:bdr w:val="none" w:sz="0" w:space="0" w:color="auto" w:frame="1"/>
          <w:lang w:val="en-US"/>
        </w:rPr>
        <w:t>www.wexinc.com</w:t>
      </w:r>
    </w:hyperlink>
    <w:r w:rsidRPr="00C162AB">
      <w:rPr>
        <w:rStyle w:val="Hyperlink"/>
        <w:color w:val="000000" w:themeColor="text1"/>
        <w:sz w:val="18"/>
        <w:szCs w:val="18"/>
        <w:bdr w:val="none" w:sz="0" w:space="0" w:color="auto" w:frame="1"/>
        <w:lang w:val="en-US"/>
      </w:rPr>
      <w:t xml:space="preserve"> and</w:t>
    </w:r>
    <w:r w:rsidRPr="00C162AB">
      <w:rPr>
        <w:color w:val="000000" w:themeColor="text1"/>
        <w:sz w:val="18"/>
        <w:szCs w:val="18"/>
        <w:lang w:val="en-US"/>
      </w:rPr>
      <w:t xml:space="preserve"> </w:t>
    </w:r>
    <w:hyperlink r:id="rId2" w:history="1">
      <w:r w:rsidRPr="00C162AB">
        <w:rPr>
          <w:rStyle w:val="Hyperlink"/>
          <w:color w:val="000000" w:themeColor="text1"/>
          <w:sz w:val="18"/>
          <w:szCs w:val="18"/>
          <w:lang w:val="en-US"/>
        </w:rPr>
        <w:t>www.wexaustralia.com</w:t>
      </w:r>
    </w:hyperlink>
    <w:r>
      <w:rPr>
        <w:color w:val="000000"/>
        <w:sz w:val="20"/>
        <w:szCs w:val="20"/>
        <w:lang w:val="en-US"/>
      </w:rPr>
      <w:t>.</w:t>
    </w:r>
  </w:p>
  <w:p w:rsidR="00A15720" w:rsidRDefault="00A157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4A81" w:rsidRDefault="00BA4A81" w:rsidP="00BA4A81">
      <w:pPr>
        <w:spacing w:after="0" w:line="240" w:lineRule="auto"/>
      </w:pPr>
      <w:r>
        <w:separator/>
      </w:r>
    </w:p>
  </w:footnote>
  <w:footnote w:type="continuationSeparator" w:id="0">
    <w:p w:rsidR="00BA4A81" w:rsidRDefault="00BA4A81" w:rsidP="00BA4A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720" w:rsidRDefault="00A1572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00D2A"/>
    <w:multiLevelType w:val="hybridMultilevel"/>
    <w:tmpl w:val="81B0B158"/>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098604A8"/>
    <w:multiLevelType w:val="hybridMultilevel"/>
    <w:tmpl w:val="B41E6630"/>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nsid w:val="27FC3B30"/>
    <w:multiLevelType w:val="hybridMultilevel"/>
    <w:tmpl w:val="C2001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3D103AC"/>
    <w:multiLevelType w:val="hybridMultilevel"/>
    <w:tmpl w:val="85187654"/>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4">
    <w:nsid w:val="4E140C77"/>
    <w:multiLevelType w:val="hybridMultilevel"/>
    <w:tmpl w:val="D13A1C5A"/>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nsid w:val="52815361"/>
    <w:multiLevelType w:val="hybridMultilevel"/>
    <w:tmpl w:val="8DAEAF22"/>
    <w:lvl w:ilvl="0" w:tplc="C896A61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907"/>
    <w:rsid w:val="000C3AA4"/>
    <w:rsid w:val="000F13F8"/>
    <w:rsid w:val="001030A4"/>
    <w:rsid w:val="001050F0"/>
    <w:rsid w:val="00107CB9"/>
    <w:rsid w:val="00114410"/>
    <w:rsid w:val="001234B6"/>
    <w:rsid w:val="00126008"/>
    <w:rsid w:val="0013249A"/>
    <w:rsid w:val="001440D5"/>
    <w:rsid w:val="00152718"/>
    <w:rsid w:val="0016118B"/>
    <w:rsid w:val="00180E43"/>
    <w:rsid w:val="001E16FE"/>
    <w:rsid w:val="001E6A3D"/>
    <w:rsid w:val="0020115A"/>
    <w:rsid w:val="00203F7D"/>
    <w:rsid w:val="0025023D"/>
    <w:rsid w:val="00257B05"/>
    <w:rsid w:val="00272136"/>
    <w:rsid w:val="002D26D7"/>
    <w:rsid w:val="002F0C51"/>
    <w:rsid w:val="0031698C"/>
    <w:rsid w:val="00320F24"/>
    <w:rsid w:val="00391F4A"/>
    <w:rsid w:val="003D3CE5"/>
    <w:rsid w:val="003D7743"/>
    <w:rsid w:val="003E3907"/>
    <w:rsid w:val="00440EE1"/>
    <w:rsid w:val="00444800"/>
    <w:rsid w:val="00452644"/>
    <w:rsid w:val="004C432B"/>
    <w:rsid w:val="004C4DBA"/>
    <w:rsid w:val="00502845"/>
    <w:rsid w:val="00525105"/>
    <w:rsid w:val="005D0AB6"/>
    <w:rsid w:val="005D64E9"/>
    <w:rsid w:val="005E0D11"/>
    <w:rsid w:val="00612186"/>
    <w:rsid w:val="00666BD9"/>
    <w:rsid w:val="00692C19"/>
    <w:rsid w:val="006C6386"/>
    <w:rsid w:val="006E7B20"/>
    <w:rsid w:val="006F5F8C"/>
    <w:rsid w:val="00705370"/>
    <w:rsid w:val="0073414C"/>
    <w:rsid w:val="0073600B"/>
    <w:rsid w:val="007738FA"/>
    <w:rsid w:val="007905ED"/>
    <w:rsid w:val="007A6B61"/>
    <w:rsid w:val="00803F64"/>
    <w:rsid w:val="00816D93"/>
    <w:rsid w:val="008E1B40"/>
    <w:rsid w:val="009029EE"/>
    <w:rsid w:val="0091234C"/>
    <w:rsid w:val="0095328A"/>
    <w:rsid w:val="00966BA8"/>
    <w:rsid w:val="009E48EB"/>
    <w:rsid w:val="00A15720"/>
    <w:rsid w:val="00A7267E"/>
    <w:rsid w:val="00A94985"/>
    <w:rsid w:val="00AA7C8E"/>
    <w:rsid w:val="00B003ED"/>
    <w:rsid w:val="00B477DE"/>
    <w:rsid w:val="00B611C7"/>
    <w:rsid w:val="00B81A88"/>
    <w:rsid w:val="00B86813"/>
    <w:rsid w:val="00BA4A81"/>
    <w:rsid w:val="00BC455D"/>
    <w:rsid w:val="00BF4A23"/>
    <w:rsid w:val="00C162AB"/>
    <w:rsid w:val="00C32AF4"/>
    <w:rsid w:val="00C7220E"/>
    <w:rsid w:val="00C72E9D"/>
    <w:rsid w:val="00C73B68"/>
    <w:rsid w:val="00CA4CFC"/>
    <w:rsid w:val="00CD240E"/>
    <w:rsid w:val="00D16DFD"/>
    <w:rsid w:val="00D172F1"/>
    <w:rsid w:val="00D6371B"/>
    <w:rsid w:val="00D66BF1"/>
    <w:rsid w:val="00DD7B7D"/>
    <w:rsid w:val="00DF53E0"/>
    <w:rsid w:val="00E07600"/>
    <w:rsid w:val="00E36443"/>
    <w:rsid w:val="00E62A36"/>
    <w:rsid w:val="00E94090"/>
    <w:rsid w:val="00EC12D0"/>
    <w:rsid w:val="00ED5699"/>
    <w:rsid w:val="00FB2FE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3907"/>
    <w:rPr>
      <w:color w:val="0000FF" w:themeColor="hyperlink"/>
      <w:u w:val="single"/>
    </w:rPr>
  </w:style>
  <w:style w:type="paragraph" w:styleId="ListParagraph">
    <w:name w:val="List Paragraph"/>
    <w:basedOn w:val="Normal"/>
    <w:uiPriority w:val="34"/>
    <w:qFormat/>
    <w:rsid w:val="003D3CE5"/>
    <w:pPr>
      <w:ind w:left="720"/>
      <w:contextualSpacing/>
    </w:pPr>
  </w:style>
  <w:style w:type="paragraph" w:styleId="Header">
    <w:name w:val="header"/>
    <w:basedOn w:val="Normal"/>
    <w:link w:val="HeaderChar"/>
    <w:uiPriority w:val="99"/>
    <w:unhideWhenUsed/>
    <w:rsid w:val="00BA4A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4A81"/>
  </w:style>
  <w:style w:type="paragraph" w:styleId="Footer">
    <w:name w:val="footer"/>
    <w:basedOn w:val="Normal"/>
    <w:link w:val="FooterChar"/>
    <w:uiPriority w:val="99"/>
    <w:unhideWhenUsed/>
    <w:rsid w:val="00BA4A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A81"/>
  </w:style>
  <w:style w:type="character" w:customStyle="1" w:styleId="apple-converted-space">
    <w:name w:val="apple-converted-space"/>
    <w:basedOn w:val="DefaultParagraphFont"/>
    <w:rsid w:val="00BA4A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3907"/>
    <w:rPr>
      <w:color w:val="0000FF" w:themeColor="hyperlink"/>
      <w:u w:val="single"/>
    </w:rPr>
  </w:style>
  <w:style w:type="paragraph" w:styleId="ListParagraph">
    <w:name w:val="List Paragraph"/>
    <w:basedOn w:val="Normal"/>
    <w:uiPriority w:val="34"/>
    <w:qFormat/>
    <w:rsid w:val="003D3CE5"/>
    <w:pPr>
      <w:ind w:left="720"/>
      <w:contextualSpacing/>
    </w:pPr>
  </w:style>
  <w:style w:type="paragraph" w:styleId="Header">
    <w:name w:val="header"/>
    <w:basedOn w:val="Normal"/>
    <w:link w:val="HeaderChar"/>
    <w:uiPriority w:val="99"/>
    <w:unhideWhenUsed/>
    <w:rsid w:val="00BA4A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4A81"/>
  </w:style>
  <w:style w:type="paragraph" w:styleId="Footer">
    <w:name w:val="footer"/>
    <w:basedOn w:val="Normal"/>
    <w:link w:val="FooterChar"/>
    <w:uiPriority w:val="99"/>
    <w:unhideWhenUsed/>
    <w:rsid w:val="00BA4A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A81"/>
  </w:style>
  <w:style w:type="character" w:customStyle="1" w:styleId="apple-converted-space">
    <w:name w:val="apple-converted-space"/>
    <w:basedOn w:val="DefaultParagraphFont"/>
    <w:rsid w:val="00BA4A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pysubmission@rba.gov.a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http://www.wexaustralia.com" TargetMode="External"/><Relationship Id="rId1" Type="http://schemas.openxmlformats.org/officeDocument/2006/relationships/hyperlink" Target="http://cts.businesswire.com/ct/CT?id=smartlink&amp;url=http%3A%2F%2Fwww.wexinc.com&amp;esheet=50821415&amp;newsitemid=20140311005210&amp;lan=en-US&amp;anchor=www.wexinc.com&amp;index=3&amp;md5=fb29c67281cb8790629daa4d761e13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7423CF-A441-4603-80C8-868288609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27191816.dotm</Template>
  <TotalTime>0</TotalTime>
  <Pages>3</Pages>
  <Words>1333</Words>
  <Characters>7114</Characters>
  <Application>Microsoft Office Word</Application>
  <DocSecurity>4</DocSecurity>
  <Lines>117</Lines>
  <Paragraphs>31</Paragraphs>
  <ScaleCrop>false</ScaleCrop>
  <HeadingPairs>
    <vt:vector size="2" baseType="variant">
      <vt:variant>
        <vt:lpstr>Title</vt:lpstr>
      </vt:variant>
      <vt:variant>
        <vt:i4>1</vt:i4>
      </vt:variant>
    </vt:vector>
  </HeadingPairs>
  <TitlesOfParts>
    <vt:vector size="1" baseType="lpstr">
      <vt:lpstr/>
    </vt:vector>
  </TitlesOfParts>
  <Company>Wright Express</Company>
  <LinksUpToDate>false</LinksUpToDate>
  <CharactersWithSpaces>8602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ellis</dc:creator>
  <cp:lastModifiedBy>JIMENEZ, Ivan</cp:lastModifiedBy>
  <cp:revision>2</cp:revision>
  <cp:lastPrinted>2013-06-27T05:21:00Z</cp:lastPrinted>
  <dcterms:created xsi:type="dcterms:W3CDTF">2015-05-06T05:02:00Z</dcterms:created>
  <dcterms:modified xsi:type="dcterms:W3CDTF">2015-05-06T05:02:00Z</dcterms:modified>
</cp:coreProperties>
</file>