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7E2A5C" w14:textId="77777777" w:rsidR="009B2ADA" w:rsidRPr="00C3578F" w:rsidRDefault="009B2ADA" w:rsidP="009B2ADA">
      <w:pPr>
        <w:rPr>
          <w:rFonts w:ascii="Museo Sans 700" w:hAnsi="Museo Sans 700"/>
          <w:b/>
          <w:bCs/>
        </w:rPr>
      </w:pPr>
      <w:r>
        <w:rPr>
          <w:rFonts w:ascii="Museo Sans 700" w:hAnsi="Museo Sans 700"/>
          <w:color w:val="07545C"/>
          <w:sz w:val="24"/>
        </w:rPr>
        <w:t>About CMSPI</w:t>
      </w:r>
    </w:p>
    <w:p w14:paraId="700CCCC0" w14:textId="5F3348BD" w:rsidR="009B2ADA" w:rsidRPr="00C3578F" w:rsidRDefault="009B2ADA" w:rsidP="009B2ADA">
      <w:pPr>
        <w:rPr>
          <w:rFonts w:ascii="Museo Sans 300" w:hAnsi="Museo Sans 300"/>
        </w:rPr>
      </w:pPr>
      <w:r w:rsidRPr="002B0150">
        <w:rPr>
          <w:rFonts w:ascii="Museo Sans 300" w:hAnsi="Museo Sans 300"/>
        </w:rPr>
        <w:t>CMSPI is a global leader in retail payments consulting. Our expert team works to empower the retail community with insights, expertise, benchmarking, and analysis to drive value in their payments supply chain.</w:t>
      </w:r>
      <w:r>
        <w:rPr>
          <w:rFonts w:ascii="Museo Sans 300" w:hAnsi="Museo Sans 300"/>
        </w:rPr>
        <w:t xml:space="preserve"> </w:t>
      </w:r>
      <w:r w:rsidRPr="002B0150">
        <w:rPr>
          <w:rFonts w:ascii="Museo Sans 300" w:hAnsi="Museo Sans 300"/>
        </w:rPr>
        <w:t>This consultation response was constructed by CMSPI’s market-leading ‘</w:t>
      </w:r>
      <w:r w:rsidRPr="002B0150">
        <w:rPr>
          <w:rFonts w:ascii="Museo Sans 300" w:hAnsi="Museo Sans 300"/>
          <w:b/>
          <w:bCs/>
          <w:i/>
          <w:iCs/>
        </w:rPr>
        <w:t>Insights Team’</w:t>
      </w:r>
      <w:r w:rsidRPr="002B0150">
        <w:rPr>
          <w:rFonts w:ascii="Museo Sans 300" w:hAnsi="Museo Sans 300"/>
        </w:rPr>
        <w:t>, which is made up of economists, data and statistical experts, and experienced payments professionals.</w:t>
      </w:r>
      <w:r>
        <w:rPr>
          <w:rFonts w:ascii="Museo Sans 300" w:hAnsi="Museo Sans 300"/>
        </w:rPr>
        <w:t xml:space="preserve"> We have structured our response to reflect the key areas of the consultation document in which CMSPI can offer unique insights. </w:t>
      </w:r>
    </w:p>
    <w:p w14:paraId="0C7A1BEC" w14:textId="77777777" w:rsidR="009B2ADA" w:rsidRDefault="009B2ADA" w:rsidP="009B2ADA">
      <w:pPr>
        <w:rPr>
          <w:rFonts w:ascii="Museo Sans 700" w:hAnsi="Museo Sans 700"/>
          <w:color w:val="07545C"/>
          <w:sz w:val="24"/>
        </w:rPr>
      </w:pPr>
      <w:r>
        <w:rPr>
          <w:rFonts w:ascii="Museo Sans 700" w:hAnsi="Museo Sans 700"/>
          <w:color w:val="07545C"/>
          <w:sz w:val="24"/>
        </w:rPr>
        <w:t>CMSPI Response to the Reserve Bank of Australia</w:t>
      </w:r>
    </w:p>
    <w:p w14:paraId="71C682E5" w14:textId="2021F2A7" w:rsidR="004224F0" w:rsidRDefault="00EF292F" w:rsidP="00EF292F">
      <w:pPr>
        <w:rPr>
          <w:rFonts w:ascii="Museo Sans 300" w:hAnsi="Museo Sans 300"/>
        </w:rPr>
      </w:pPr>
      <w:r w:rsidRPr="00EF292F">
        <w:rPr>
          <w:rFonts w:ascii="Museo Sans 300" w:hAnsi="Museo Sans 300"/>
        </w:rPr>
        <w:t>CMSPI welcomes the Reserve Bank of Australia</w:t>
      </w:r>
      <w:r w:rsidR="00FB3942">
        <w:rPr>
          <w:rFonts w:ascii="Museo Sans 300" w:hAnsi="Museo Sans 300"/>
        </w:rPr>
        <w:t xml:space="preserve"> Payment Systems Board’s</w:t>
      </w:r>
      <w:r w:rsidRPr="00EF292F">
        <w:rPr>
          <w:rFonts w:ascii="Museo Sans 300" w:hAnsi="Museo Sans 300"/>
        </w:rPr>
        <w:t xml:space="preserve"> </w:t>
      </w:r>
      <w:r w:rsidR="00A90BC1">
        <w:rPr>
          <w:rFonts w:ascii="Museo Sans 300" w:hAnsi="Museo Sans 300"/>
        </w:rPr>
        <w:t>R</w:t>
      </w:r>
      <w:r w:rsidR="00A90BC1" w:rsidRPr="00EF292F">
        <w:rPr>
          <w:rFonts w:ascii="Museo Sans 300" w:hAnsi="Museo Sans 300"/>
        </w:rPr>
        <w:t xml:space="preserve">eview </w:t>
      </w:r>
      <w:r w:rsidRPr="00EF292F">
        <w:rPr>
          <w:rFonts w:ascii="Museo Sans 300" w:hAnsi="Museo Sans 300"/>
        </w:rPr>
        <w:t xml:space="preserve">of </w:t>
      </w:r>
      <w:r w:rsidR="00A90BC1">
        <w:rPr>
          <w:rFonts w:ascii="Museo Sans 300" w:hAnsi="Museo Sans 300"/>
        </w:rPr>
        <w:t>R</w:t>
      </w:r>
      <w:r w:rsidR="00A90BC1" w:rsidRPr="00EF292F">
        <w:rPr>
          <w:rFonts w:ascii="Museo Sans 300" w:hAnsi="Museo Sans 300"/>
        </w:rPr>
        <w:t xml:space="preserve">etail </w:t>
      </w:r>
      <w:r w:rsidR="00A90BC1">
        <w:rPr>
          <w:rFonts w:ascii="Museo Sans 300" w:hAnsi="Museo Sans 300"/>
        </w:rPr>
        <w:t>P</w:t>
      </w:r>
      <w:r w:rsidR="00A90BC1" w:rsidRPr="00EF292F">
        <w:rPr>
          <w:rFonts w:ascii="Museo Sans 300" w:hAnsi="Museo Sans 300"/>
        </w:rPr>
        <w:t xml:space="preserve">ayments </w:t>
      </w:r>
      <w:r w:rsidR="00A90BC1">
        <w:rPr>
          <w:rFonts w:ascii="Museo Sans 300" w:hAnsi="Museo Sans 300"/>
        </w:rPr>
        <w:t>R</w:t>
      </w:r>
      <w:r w:rsidR="00A90BC1" w:rsidRPr="00EF292F">
        <w:rPr>
          <w:rFonts w:ascii="Museo Sans 300" w:hAnsi="Museo Sans 300"/>
        </w:rPr>
        <w:t>egulation</w:t>
      </w:r>
      <w:r w:rsidR="00A90BC1">
        <w:rPr>
          <w:rFonts w:ascii="Museo Sans 300" w:hAnsi="Museo Sans 300"/>
        </w:rPr>
        <w:t xml:space="preserve"> </w:t>
      </w:r>
      <w:r>
        <w:rPr>
          <w:rFonts w:ascii="Museo Sans 300" w:hAnsi="Museo Sans 300"/>
        </w:rPr>
        <w:t xml:space="preserve">and recognizes the RBA’s role as a </w:t>
      </w:r>
      <w:r w:rsidR="00621EB4">
        <w:rPr>
          <w:rFonts w:ascii="Museo Sans 300" w:hAnsi="Museo Sans 300"/>
        </w:rPr>
        <w:t>market</w:t>
      </w:r>
      <w:r>
        <w:rPr>
          <w:rFonts w:ascii="Museo Sans 300" w:hAnsi="Museo Sans 300"/>
        </w:rPr>
        <w:t xml:space="preserve">-leading regulator </w:t>
      </w:r>
      <w:r w:rsidR="00115A99">
        <w:rPr>
          <w:rFonts w:ascii="Museo Sans 300" w:hAnsi="Museo Sans 300"/>
        </w:rPr>
        <w:t>within</w:t>
      </w:r>
      <w:r w:rsidR="00621EB4">
        <w:rPr>
          <w:rFonts w:ascii="Museo Sans 300" w:hAnsi="Museo Sans 300"/>
        </w:rPr>
        <w:t xml:space="preserve"> payments</w:t>
      </w:r>
      <w:r>
        <w:rPr>
          <w:rFonts w:ascii="Museo Sans 300" w:hAnsi="Museo Sans 300"/>
        </w:rPr>
        <w:t xml:space="preserve">. CMSPI also appreciates the support the RBA has provided to the merchant community through proactive regulation and incorporating merchant feedback into their proposals. </w:t>
      </w:r>
    </w:p>
    <w:p w14:paraId="504DC46F" w14:textId="6AAB25FD" w:rsidR="00621EB4" w:rsidRDefault="00EF292F" w:rsidP="00EF292F">
      <w:pPr>
        <w:rPr>
          <w:rFonts w:ascii="Museo Sans 300" w:hAnsi="Museo Sans 300"/>
        </w:rPr>
      </w:pPr>
      <w:r>
        <w:rPr>
          <w:rFonts w:ascii="Museo Sans 300" w:hAnsi="Museo Sans 300"/>
        </w:rPr>
        <w:t>CMSPI’s response to the</w:t>
      </w:r>
      <w:r w:rsidR="00621EB4">
        <w:rPr>
          <w:rFonts w:ascii="Museo Sans 300" w:hAnsi="Museo Sans 300"/>
        </w:rPr>
        <w:t xml:space="preserve"> RBA’s</w:t>
      </w:r>
      <w:r>
        <w:rPr>
          <w:rFonts w:ascii="Museo Sans 300" w:hAnsi="Museo Sans 300"/>
        </w:rPr>
        <w:t xml:space="preserve"> consultation</w:t>
      </w:r>
      <w:r w:rsidR="00621EB4">
        <w:rPr>
          <w:rFonts w:ascii="Museo Sans 300" w:hAnsi="Museo Sans 300"/>
        </w:rPr>
        <w:t xml:space="preserve"> focuses </w:t>
      </w:r>
      <w:r w:rsidR="00901DF2">
        <w:rPr>
          <w:rFonts w:ascii="Museo Sans 300" w:hAnsi="Museo Sans 300"/>
        </w:rPr>
        <w:t xml:space="preserve">firstly </w:t>
      </w:r>
      <w:r w:rsidR="00621EB4">
        <w:rPr>
          <w:rFonts w:ascii="Museo Sans 300" w:hAnsi="Museo Sans 300"/>
        </w:rPr>
        <w:t xml:space="preserve">on Least-Cost Routing (LCR), with particular attention given to the proposals surrounding online and digital wallet transactions, before addressing surcharging, interchange and </w:t>
      </w:r>
      <w:r w:rsidR="008D0D5D">
        <w:rPr>
          <w:rFonts w:ascii="Museo Sans 300" w:hAnsi="Museo Sans 300"/>
        </w:rPr>
        <w:t xml:space="preserve">scheme </w:t>
      </w:r>
      <w:r w:rsidR="00621EB4">
        <w:rPr>
          <w:rFonts w:ascii="Museo Sans 300" w:hAnsi="Museo Sans 300"/>
        </w:rPr>
        <w:t xml:space="preserve">fees, and the </w:t>
      </w:r>
      <w:r w:rsidR="00901DF2">
        <w:rPr>
          <w:rFonts w:ascii="Museo Sans 300" w:hAnsi="Museo Sans 300"/>
        </w:rPr>
        <w:t xml:space="preserve">market for merchant </w:t>
      </w:r>
      <w:r w:rsidR="00621EB4">
        <w:rPr>
          <w:rFonts w:ascii="Museo Sans 300" w:hAnsi="Museo Sans 300"/>
        </w:rPr>
        <w:t>acquiring</w:t>
      </w:r>
      <w:r w:rsidR="00901DF2">
        <w:rPr>
          <w:rFonts w:ascii="Museo Sans 300" w:hAnsi="Museo Sans 300"/>
        </w:rPr>
        <w:t>.</w:t>
      </w:r>
      <w:r w:rsidR="003A23D8">
        <w:rPr>
          <w:rFonts w:ascii="Museo Sans 300" w:hAnsi="Museo Sans 300"/>
        </w:rPr>
        <w:t xml:space="preserve"> It then draws on international experience of similar issues within payments and summarizes key findings. </w:t>
      </w:r>
    </w:p>
    <w:p w14:paraId="31C63B6B" w14:textId="0AA371A4" w:rsidR="00FB3942" w:rsidRDefault="006A3B6F" w:rsidP="00530A83">
      <w:pPr>
        <w:rPr>
          <w:rFonts w:ascii="Museo Sans 700" w:hAnsi="Museo Sans 700"/>
          <w:color w:val="07545C"/>
          <w:sz w:val="24"/>
        </w:rPr>
      </w:pPr>
      <w:r>
        <w:rPr>
          <w:rFonts w:ascii="Museo Sans 700" w:hAnsi="Museo Sans 700"/>
          <w:color w:val="07545C"/>
          <w:sz w:val="24"/>
        </w:rPr>
        <w:t>Card</w:t>
      </w:r>
      <w:r w:rsidR="00B04D90">
        <w:rPr>
          <w:rFonts w:ascii="Museo Sans 700" w:hAnsi="Museo Sans 700"/>
          <w:color w:val="07545C"/>
          <w:sz w:val="24"/>
        </w:rPr>
        <w:t xml:space="preserve"> Routing</w:t>
      </w:r>
    </w:p>
    <w:p w14:paraId="599CA339" w14:textId="377FC589" w:rsidR="00621EB4" w:rsidRDefault="00FB3942" w:rsidP="00530A83">
      <w:pPr>
        <w:rPr>
          <w:rFonts w:ascii="Museo Sans 300" w:hAnsi="Museo Sans 300"/>
        </w:rPr>
      </w:pPr>
      <w:r w:rsidRPr="00FB3942">
        <w:rPr>
          <w:rFonts w:ascii="Museo Sans 300" w:hAnsi="Museo Sans 300"/>
        </w:rPr>
        <w:t>As the</w:t>
      </w:r>
      <w:r>
        <w:rPr>
          <w:rFonts w:ascii="Museo Sans 300" w:hAnsi="Museo Sans 300"/>
        </w:rPr>
        <w:t xml:space="preserve"> Review notes, limiting the ability </w:t>
      </w:r>
      <w:r w:rsidR="00931C95">
        <w:rPr>
          <w:rFonts w:ascii="Museo Sans 300" w:hAnsi="Museo Sans 300"/>
        </w:rPr>
        <w:t>of</w:t>
      </w:r>
      <w:r>
        <w:rPr>
          <w:rFonts w:ascii="Museo Sans 300" w:hAnsi="Museo Sans 300"/>
        </w:rPr>
        <w:t xml:space="preserve"> </w:t>
      </w:r>
      <w:r w:rsidR="00621EB4">
        <w:rPr>
          <w:rFonts w:ascii="Museo Sans 300" w:hAnsi="Museo Sans 300"/>
        </w:rPr>
        <w:t xml:space="preserve">Australian </w:t>
      </w:r>
      <w:r>
        <w:rPr>
          <w:rFonts w:ascii="Museo Sans 300" w:hAnsi="Museo Sans 300"/>
        </w:rPr>
        <w:t xml:space="preserve">merchants to take advantage of </w:t>
      </w:r>
      <w:r w:rsidR="00B04343">
        <w:rPr>
          <w:rFonts w:ascii="Museo Sans 300" w:hAnsi="Museo Sans 300"/>
        </w:rPr>
        <w:t>Contactless</w:t>
      </w:r>
      <w:r>
        <w:rPr>
          <w:rFonts w:ascii="Museo Sans 300" w:hAnsi="Museo Sans 300"/>
        </w:rPr>
        <w:t xml:space="preserve"> Routing </w:t>
      </w:r>
      <w:r w:rsidR="00931C95">
        <w:rPr>
          <w:rFonts w:ascii="Museo Sans 300" w:hAnsi="Museo Sans 300"/>
        </w:rPr>
        <w:t xml:space="preserve">– and the resulting restriction of competition </w:t>
      </w:r>
      <w:r w:rsidR="000748C0">
        <w:rPr>
          <w:rFonts w:ascii="Museo Sans 300" w:hAnsi="Museo Sans 300"/>
        </w:rPr>
        <w:t>–</w:t>
      </w:r>
      <w:r w:rsidR="00931C95">
        <w:rPr>
          <w:rFonts w:ascii="Museo Sans 300" w:hAnsi="Museo Sans 300"/>
        </w:rPr>
        <w:t xml:space="preserve"> </w:t>
      </w:r>
      <w:r w:rsidR="000748C0">
        <w:rPr>
          <w:rFonts w:ascii="Museo Sans 300" w:hAnsi="Museo Sans 300"/>
        </w:rPr>
        <w:t xml:space="preserve">can </w:t>
      </w:r>
      <w:r>
        <w:rPr>
          <w:rFonts w:ascii="Museo Sans 300" w:hAnsi="Museo Sans 300"/>
        </w:rPr>
        <w:t xml:space="preserve">impose significant costs on the payments </w:t>
      </w:r>
      <w:proofErr w:type="gramStart"/>
      <w:r>
        <w:rPr>
          <w:rFonts w:ascii="Museo Sans 300" w:hAnsi="Museo Sans 300"/>
        </w:rPr>
        <w:t>ecosystem.</w:t>
      </w:r>
      <w:r w:rsidR="00931C95">
        <w:rPr>
          <w:rFonts w:ascii="Museo Sans 300" w:hAnsi="Museo Sans 300"/>
        </w:rPr>
        <w:t>.</w:t>
      </w:r>
      <w:proofErr w:type="gramEnd"/>
      <w:r w:rsidR="00931C95">
        <w:rPr>
          <w:rFonts w:ascii="Museo Sans 300" w:hAnsi="Museo Sans 300"/>
        </w:rPr>
        <w:t xml:space="preserve"> RBA data suggests that the average fee for a </w:t>
      </w:r>
      <w:r w:rsidR="001E4CEF">
        <w:rPr>
          <w:rFonts w:ascii="Museo Sans 300" w:hAnsi="Museo Sans 300"/>
        </w:rPr>
        <w:t xml:space="preserve">debit </w:t>
      </w:r>
      <w:r w:rsidR="00931C95">
        <w:rPr>
          <w:rFonts w:ascii="Museo Sans 300" w:hAnsi="Museo Sans 300"/>
        </w:rPr>
        <w:t xml:space="preserve">card transaction via the two largest international </w:t>
      </w:r>
      <w:r w:rsidR="00E208D2">
        <w:rPr>
          <w:rFonts w:ascii="Museo Sans 300" w:hAnsi="Museo Sans 300"/>
        </w:rPr>
        <w:t>network</w:t>
      </w:r>
      <w:r w:rsidR="00931C95">
        <w:rPr>
          <w:rFonts w:ascii="Museo Sans 300" w:hAnsi="Museo Sans 300"/>
        </w:rPr>
        <w:t xml:space="preserve">s was </w:t>
      </w:r>
      <w:r w:rsidR="001E4CEF">
        <w:rPr>
          <w:rFonts w:ascii="Museo Sans 300" w:hAnsi="Museo Sans 300"/>
        </w:rPr>
        <w:t>72</w:t>
      </w:r>
      <w:r w:rsidR="00931C95">
        <w:rPr>
          <w:rFonts w:ascii="Museo Sans 300" w:hAnsi="Museo Sans 300"/>
        </w:rPr>
        <w:t>.</w:t>
      </w:r>
      <w:r w:rsidR="001E4CEF">
        <w:rPr>
          <w:rFonts w:ascii="Museo Sans 300" w:hAnsi="Museo Sans 300"/>
        </w:rPr>
        <w:t>68</w:t>
      </w:r>
      <w:r w:rsidR="00931C95">
        <w:rPr>
          <w:rFonts w:ascii="Museo Sans 300" w:hAnsi="Museo Sans 300"/>
        </w:rPr>
        <w:t xml:space="preserve">% higher than for the equivalent transaction via </w:t>
      </w:r>
      <w:proofErr w:type="spellStart"/>
      <w:r w:rsidR="00931C95">
        <w:rPr>
          <w:rFonts w:ascii="Museo Sans 300" w:hAnsi="Museo Sans 300"/>
        </w:rPr>
        <w:t>Eftpos</w:t>
      </w:r>
      <w:proofErr w:type="spellEnd"/>
      <w:r w:rsidR="00931C95">
        <w:rPr>
          <w:rFonts w:ascii="Museo Sans 300" w:hAnsi="Museo Sans 300"/>
        </w:rPr>
        <w:t xml:space="preserve"> in 2020</w:t>
      </w:r>
      <w:r w:rsidR="00C70BA1">
        <w:rPr>
          <w:rFonts w:ascii="Museo Sans 300" w:hAnsi="Museo Sans 300"/>
        </w:rPr>
        <w:t>.</w:t>
      </w:r>
      <w:r w:rsidR="003F69E9">
        <w:rPr>
          <w:rStyle w:val="FootnoteReference"/>
          <w:rFonts w:ascii="Museo Sans 300" w:hAnsi="Museo Sans 300"/>
        </w:rPr>
        <w:footnoteReference w:id="1"/>
      </w:r>
      <w:r w:rsidR="00931C95">
        <w:rPr>
          <w:rFonts w:ascii="Museo Sans 300" w:hAnsi="Museo Sans 300"/>
        </w:rPr>
        <w:t xml:space="preserve"> It is therefore imperative that </w:t>
      </w:r>
      <w:r w:rsidR="009B33D6">
        <w:rPr>
          <w:rFonts w:ascii="Museo Sans 300" w:hAnsi="Museo Sans 300"/>
        </w:rPr>
        <w:t xml:space="preserve">merchants </w:t>
      </w:r>
      <w:r w:rsidR="0035176F">
        <w:rPr>
          <w:rFonts w:ascii="Museo Sans 300" w:hAnsi="Museo Sans 300"/>
        </w:rPr>
        <w:t xml:space="preserve">are able to </w:t>
      </w:r>
      <w:r w:rsidR="00621EB4">
        <w:rPr>
          <w:rFonts w:ascii="Museo Sans 300" w:hAnsi="Museo Sans 300"/>
        </w:rPr>
        <w:t xml:space="preserve">access the </w:t>
      </w:r>
      <w:proofErr w:type="spellStart"/>
      <w:r w:rsidR="00621EB4">
        <w:rPr>
          <w:rFonts w:ascii="Museo Sans 300" w:hAnsi="Museo Sans 300"/>
        </w:rPr>
        <w:t>Eftpos</w:t>
      </w:r>
      <w:proofErr w:type="spellEnd"/>
      <w:r w:rsidR="00621EB4">
        <w:rPr>
          <w:rFonts w:ascii="Museo Sans 300" w:hAnsi="Museo Sans 300"/>
        </w:rPr>
        <w:t xml:space="preserve"> </w:t>
      </w:r>
      <w:r w:rsidR="00E208D2">
        <w:rPr>
          <w:rFonts w:ascii="Museo Sans 300" w:hAnsi="Museo Sans 300"/>
        </w:rPr>
        <w:t>network</w:t>
      </w:r>
      <w:r w:rsidR="00621EB4">
        <w:rPr>
          <w:rFonts w:ascii="Museo Sans 300" w:hAnsi="Museo Sans 300"/>
        </w:rPr>
        <w:t xml:space="preserve"> and competitive pressures allowed to reduce this differential in the </w:t>
      </w:r>
      <w:proofErr w:type="gramStart"/>
      <w:r w:rsidR="00621EB4">
        <w:rPr>
          <w:rFonts w:ascii="Museo Sans 300" w:hAnsi="Museo Sans 300"/>
        </w:rPr>
        <w:t>long-run</w:t>
      </w:r>
      <w:proofErr w:type="gramEnd"/>
      <w:r w:rsidR="00621EB4">
        <w:rPr>
          <w:rFonts w:ascii="Museo Sans 300" w:hAnsi="Museo Sans 300"/>
        </w:rPr>
        <w:t xml:space="preserve">. </w:t>
      </w:r>
    </w:p>
    <w:p w14:paraId="3E5F5B77" w14:textId="4E498477" w:rsidR="008D0D5D" w:rsidRDefault="002B11CC" w:rsidP="00530A83">
      <w:pPr>
        <w:rPr>
          <w:rFonts w:ascii="Museo Sans 300" w:hAnsi="Museo Sans 300"/>
        </w:rPr>
      </w:pPr>
      <w:r>
        <w:rPr>
          <w:rFonts w:ascii="Museo Sans 300" w:hAnsi="Museo Sans 300"/>
        </w:rPr>
        <w:t xml:space="preserve">One key barrier to the benefits of </w:t>
      </w:r>
      <w:r w:rsidR="00B04343">
        <w:rPr>
          <w:rFonts w:ascii="Museo Sans 300" w:hAnsi="Museo Sans 300"/>
        </w:rPr>
        <w:t>Contactless Routing</w:t>
      </w:r>
      <w:r>
        <w:rPr>
          <w:rFonts w:ascii="Museo Sans 300" w:hAnsi="Museo Sans 300"/>
        </w:rPr>
        <w:t>, as noted in the Review, is the</w:t>
      </w:r>
      <w:r w:rsidR="00FB3942">
        <w:rPr>
          <w:rFonts w:ascii="Museo Sans 300" w:hAnsi="Museo Sans 300"/>
        </w:rPr>
        <w:t xml:space="preserve"> issuance of Single </w:t>
      </w:r>
      <w:r w:rsidR="004906E9">
        <w:rPr>
          <w:rFonts w:ascii="Museo Sans 300" w:hAnsi="Museo Sans 300"/>
        </w:rPr>
        <w:t xml:space="preserve">Network </w:t>
      </w:r>
      <w:r w:rsidR="00FB3942">
        <w:rPr>
          <w:rFonts w:ascii="Museo Sans 300" w:hAnsi="Museo Sans 300"/>
        </w:rPr>
        <w:t>Debit Cards</w:t>
      </w:r>
      <w:r w:rsidR="004224F0">
        <w:rPr>
          <w:rFonts w:ascii="Museo Sans 300" w:hAnsi="Museo Sans 300"/>
        </w:rPr>
        <w:t xml:space="preserve"> (SNDCs)</w:t>
      </w:r>
      <w:r>
        <w:rPr>
          <w:rFonts w:ascii="Museo Sans 300" w:hAnsi="Museo Sans 300"/>
        </w:rPr>
        <w:t xml:space="preserve">. </w:t>
      </w:r>
      <w:r w:rsidR="00760A8C">
        <w:rPr>
          <w:rFonts w:ascii="Museo Sans 300" w:hAnsi="Museo Sans 300"/>
        </w:rPr>
        <w:t>SNDCs</w:t>
      </w:r>
      <w:r>
        <w:rPr>
          <w:rFonts w:ascii="Museo Sans 300" w:hAnsi="Museo Sans 300"/>
        </w:rPr>
        <w:t xml:space="preserve"> remove merchant and consumer choice with respect to routing</w:t>
      </w:r>
      <w:r w:rsidR="00901DF2">
        <w:rPr>
          <w:rFonts w:ascii="Museo Sans 300" w:hAnsi="Museo Sans 300"/>
        </w:rPr>
        <w:t xml:space="preserve">. </w:t>
      </w:r>
      <w:r w:rsidR="008D0D5D">
        <w:rPr>
          <w:rFonts w:ascii="Museo Sans 300" w:hAnsi="Museo Sans 300"/>
        </w:rPr>
        <w:t>A significant cost differential already exists where this practice is effectively in place, with each scheme:</w:t>
      </w:r>
    </w:p>
    <w:p w14:paraId="7491086F" w14:textId="0FAB71C0" w:rsidR="008D0D5D" w:rsidRDefault="008D0D5D" w:rsidP="008D0D5D">
      <w:pPr>
        <w:pStyle w:val="ListParagraph"/>
        <w:numPr>
          <w:ilvl w:val="0"/>
          <w:numId w:val="14"/>
        </w:numPr>
        <w:rPr>
          <w:rFonts w:ascii="Museo Sans 300" w:hAnsi="Museo Sans 300"/>
        </w:rPr>
      </w:pPr>
      <w:r w:rsidRPr="006A3B6F">
        <w:rPr>
          <w:rFonts w:ascii="Museo Sans 300" w:hAnsi="Museo Sans 300"/>
        </w:rPr>
        <w:t>Visa’s “Tokenized Contactless – purchase amount &gt; AUD15” interchange attracting a fee of $0.15 per transaction compared to their “Card Present – Standard Debit Products” fee of $0.04.</w:t>
      </w:r>
      <w:r w:rsidR="00B04343" w:rsidRPr="00B04343">
        <w:rPr>
          <w:rStyle w:val="FootnoteReference"/>
          <w:rFonts w:ascii="Museo Sans 300" w:hAnsi="Museo Sans 300"/>
        </w:rPr>
        <w:t xml:space="preserve"> </w:t>
      </w:r>
      <w:r w:rsidR="00B04343">
        <w:rPr>
          <w:rStyle w:val="FootnoteReference"/>
          <w:rFonts w:ascii="Museo Sans 300" w:hAnsi="Museo Sans 300"/>
        </w:rPr>
        <w:footnoteReference w:id="2"/>
      </w:r>
      <w:r w:rsidRPr="006A3B6F">
        <w:rPr>
          <w:rFonts w:ascii="Museo Sans 300" w:hAnsi="Museo Sans 300"/>
        </w:rPr>
        <w:t xml:space="preserve"> </w:t>
      </w:r>
    </w:p>
    <w:p w14:paraId="1F9776E2" w14:textId="3F3779F0" w:rsidR="008D0D5D" w:rsidRDefault="008D0D5D" w:rsidP="008D0D5D">
      <w:pPr>
        <w:pStyle w:val="ListParagraph"/>
        <w:numPr>
          <w:ilvl w:val="0"/>
          <w:numId w:val="14"/>
        </w:numPr>
        <w:rPr>
          <w:rFonts w:ascii="Museo Sans 300" w:hAnsi="Museo Sans 300"/>
        </w:rPr>
      </w:pPr>
      <w:r>
        <w:rPr>
          <w:rFonts w:ascii="Museo Sans 300" w:hAnsi="Museo Sans 300"/>
        </w:rPr>
        <w:lastRenderedPageBreak/>
        <w:t>Mastercard</w:t>
      </w:r>
      <w:r w:rsidR="00B04343">
        <w:rPr>
          <w:rFonts w:ascii="Museo Sans 300" w:hAnsi="Museo Sans 300"/>
        </w:rPr>
        <w:t>’s “</w:t>
      </w:r>
      <w:proofErr w:type="spellStart"/>
      <w:r w:rsidR="00B04343" w:rsidRPr="00B04343">
        <w:rPr>
          <w:rFonts w:ascii="Museo Sans 300" w:hAnsi="Museo Sans 300"/>
        </w:rPr>
        <w:t>Tokenised</w:t>
      </w:r>
      <w:proofErr w:type="spellEnd"/>
      <w:r w:rsidR="00B04343" w:rsidRPr="00B04343">
        <w:rPr>
          <w:rFonts w:ascii="Museo Sans 300" w:hAnsi="Museo Sans 300"/>
        </w:rPr>
        <w:t xml:space="preserve"> Contactless – Other (&gt; AUD 15)</w:t>
      </w:r>
      <w:r w:rsidR="00B04343">
        <w:rPr>
          <w:rFonts w:ascii="Museo Sans 300" w:hAnsi="Museo Sans 300"/>
        </w:rPr>
        <w:t>” item commands a fee of $0.15 compared to “</w:t>
      </w:r>
      <w:r w:rsidR="00B04343" w:rsidRPr="00B04343">
        <w:rPr>
          <w:rFonts w:ascii="Museo Sans 300" w:hAnsi="Museo Sans 300"/>
        </w:rPr>
        <w:t xml:space="preserve">Other Card Present </w:t>
      </w:r>
      <w:r w:rsidR="00B04343">
        <w:rPr>
          <w:rFonts w:ascii="Museo Sans 300" w:hAnsi="Museo Sans 300"/>
        </w:rPr>
        <w:t>–</w:t>
      </w:r>
      <w:r w:rsidR="00B04343" w:rsidRPr="00B04343">
        <w:rPr>
          <w:rFonts w:ascii="Museo Sans 300" w:hAnsi="Museo Sans 300"/>
        </w:rPr>
        <w:t xml:space="preserve"> Standard</w:t>
      </w:r>
      <w:r w:rsidR="00B04343">
        <w:rPr>
          <w:rFonts w:ascii="Museo Sans 300" w:hAnsi="Museo Sans 300"/>
        </w:rPr>
        <w:t>” at $0.04.</w:t>
      </w:r>
      <w:r w:rsidR="00B04343">
        <w:rPr>
          <w:rStyle w:val="FootnoteReference"/>
          <w:rFonts w:ascii="Museo Sans 300" w:hAnsi="Museo Sans 300"/>
        </w:rPr>
        <w:footnoteReference w:id="3"/>
      </w:r>
    </w:p>
    <w:p w14:paraId="50D90F51" w14:textId="3158DDA1" w:rsidR="008D0D5D" w:rsidRDefault="008D0D5D" w:rsidP="008D0D5D">
      <w:pPr>
        <w:pStyle w:val="ListParagraph"/>
        <w:numPr>
          <w:ilvl w:val="0"/>
          <w:numId w:val="14"/>
        </w:numPr>
        <w:rPr>
          <w:rFonts w:ascii="Museo Sans 300" w:hAnsi="Museo Sans 300"/>
        </w:rPr>
      </w:pPr>
      <w:r>
        <w:rPr>
          <w:rFonts w:ascii="Museo Sans 300" w:hAnsi="Museo Sans 300"/>
        </w:rPr>
        <w:t>EFTPOS</w:t>
      </w:r>
      <w:r w:rsidR="00B04343">
        <w:rPr>
          <w:rFonts w:ascii="Museo Sans 300" w:hAnsi="Museo Sans 300"/>
        </w:rPr>
        <w:t xml:space="preserve"> proprietary cards command interchange of $0.11 for “Other Categories – In Store” compared to the priority 2 card with a $0.04 fee.</w:t>
      </w:r>
      <w:r w:rsidR="00B04343">
        <w:rPr>
          <w:rStyle w:val="FootnoteReference"/>
          <w:rFonts w:ascii="Museo Sans 300" w:hAnsi="Museo Sans 300"/>
        </w:rPr>
        <w:footnoteReference w:id="4"/>
      </w:r>
    </w:p>
    <w:p w14:paraId="41661B6A" w14:textId="322D883E" w:rsidR="00930EA6" w:rsidRPr="006A3B6F" w:rsidRDefault="00930EA6" w:rsidP="008D0D5D">
      <w:pPr>
        <w:rPr>
          <w:rFonts w:ascii="Museo Sans 300" w:hAnsi="Museo Sans 300"/>
        </w:rPr>
      </w:pPr>
      <w:r w:rsidRPr="006A3B6F">
        <w:rPr>
          <w:rFonts w:ascii="Museo Sans 300" w:hAnsi="Museo Sans 300"/>
        </w:rPr>
        <w:t xml:space="preserve">CMSPI therefore welcomes the Board’s </w:t>
      </w:r>
      <w:r w:rsidR="00760A8C" w:rsidRPr="006A3B6F">
        <w:rPr>
          <w:rFonts w:ascii="Museo Sans 300" w:hAnsi="Museo Sans 300"/>
        </w:rPr>
        <w:t>efforts to discourage the issuance of SNDCs</w:t>
      </w:r>
      <w:r w:rsidR="00901DF2" w:rsidRPr="006A3B6F">
        <w:rPr>
          <w:rFonts w:ascii="Museo Sans 300" w:hAnsi="Museo Sans 300"/>
        </w:rPr>
        <w:t xml:space="preserve"> by reducing </w:t>
      </w:r>
      <w:r w:rsidR="00114A6B" w:rsidRPr="006A3B6F">
        <w:rPr>
          <w:rFonts w:ascii="Museo Sans 300" w:hAnsi="Museo Sans 300"/>
        </w:rPr>
        <w:t>their associated interchange fees.</w:t>
      </w:r>
    </w:p>
    <w:p w14:paraId="08DA74A0" w14:textId="448CC826" w:rsidR="001E73B7" w:rsidRDefault="00AE34FD" w:rsidP="00530A83">
      <w:pPr>
        <w:rPr>
          <w:rFonts w:ascii="Museo Sans 300" w:hAnsi="Museo Sans 300"/>
        </w:rPr>
      </w:pPr>
      <w:r>
        <w:rPr>
          <w:rFonts w:ascii="Museo Sans 300" w:hAnsi="Museo Sans 300"/>
        </w:rPr>
        <w:t xml:space="preserve">Although </w:t>
      </w:r>
      <w:r w:rsidR="00A6364A">
        <w:rPr>
          <w:rFonts w:ascii="Museo Sans 300" w:hAnsi="Museo Sans 300"/>
        </w:rPr>
        <w:t>the propos</w:t>
      </w:r>
      <w:r w:rsidR="00901DF2">
        <w:rPr>
          <w:rFonts w:ascii="Museo Sans 300" w:hAnsi="Museo Sans 300"/>
        </w:rPr>
        <w:t xml:space="preserve">al </w:t>
      </w:r>
      <w:r>
        <w:rPr>
          <w:rFonts w:ascii="Museo Sans 300" w:hAnsi="Museo Sans 300"/>
        </w:rPr>
        <w:t xml:space="preserve">is a positive step in </w:t>
      </w:r>
      <w:r w:rsidR="00A6364A">
        <w:rPr>
          <w:rFonts w:ascii="Museo Sans 300" w:hAnsi="Museo Sans 300"/>
        </w:rPr>
        <w:t>securing competition</w:t>
      </w:r>
      <w:r w:rsidR="00621EB4">
        <w:rPr>
          <w:rFonts w:ascii="Museo Sans 300" w:hAnsi="Museo Sans 300"/>
        </w:rPr>
        <w:t xml:space="preserve"> for</w:t>
      </w:r>
      <w:r w:rsidR="00A6364A">
        <w:rPr>
          <w:rFonts w:ascii="Museo Sans 300" w:hAnsi="Museo Sans 300"/>
        </w:rPr>
        <w:t xml:space="preserve"> a </w:t>
      </w:r>
      <w:r w:rsidR="002B11CC">
        <w:rPr>
          <w:rFonts w:ascii="Museo Sans 300" w:hAnsi="Museo Sans 300"/>
        </w:rPr>
        <w:t xml:space="preserve">portion </w:t>
      </w:r>
      <w:r w:rsidR="00A6364A">
        <w:rPr>
          <w:rFonts w:ascii="Museo Sans 300" w:hAnsi="Museo Sans 300"/>
        </w:rPr>
        <w:t xml:space="preserve">of </w:t>
      </w:r>
      <w:r w:rsidR="00621EB4">
        <w:rPr>
          <w:rFonts w:ascii="Museo Sans 300" w:hAnsi="Museo Sans 300"/>
        </w:rPr>
        <w:t>card transactions</w:t>
      </w:r>
      <w:r>
        <w:rPr>
          <w:rFonts w:ascii="Museo Sans 300" w:hAnsi="Museo Sans 300"/>
        </w:rPr>
        <w:t xml:space="preserve">, there are </w:t>
      </w:r>
      <w:proofErr w:type="gramStart"/>
      <w:r>
        <w:rPr>
          <w:rFonts w:ascii="Museo Sans 300" w:hAnsi="Museo Sans 300"/>
        </w:rPr>
        <w:t>a number of</w:t>
      </w:r>
      <w:proofErr w:type="gramEnd"/>
      <w:r>
        <w:rPr>
          <w:rFonts w:ascii="Museo Sans 300" w:hAnsi="Museo Sans 300"/>
        </w:rPr>
        <w:t xml:space="preserve"> additional measures that would ensure</w:t>
      </w:r>
      <w:r w:rsidR="002B11CC">
        <w:rPr>
          <w:rFonts w:ascii="Museo Sans 300" w:hAnsi="Museo Sans 300"/>
        </w:rPr>
        <w:t xml:space="preserve"> </w:t>
      </w:r>
      <w:r w:rsidR="00760A8C">
        <w:rPr>
          <w:rFonts w:ascii="Museo Sans 300" w:hAnsi="Museo Sans 300"/>
        </w:rPr>
        <w:t xml:space="preserve">widespread adoption of </w:t>
      </w:r>
      <w:r w:rsidR="00B04343">
        <w:rPr>
          <w:rFonts w:ascii="Museo Sans 300" w:hAnsi="Museo Sans 300"/>
        </w:rPr>
        <w:t>Contactless Routing</w:t>
      </w:r>
      <w:r w:rsidR="00760A8C">
        <w:rPr>
          <w:rFonts w:ascii="Museo Sans 300" w:hAnsi="Museo Sans 300"/>
        </w:rPr>
        <w:t xml:space="preserve">. One such </w:t>
      </w:r>
      <w:r w:rsidR="00621EB4">
        <w:rPr>
          <w:rFonts w:ascii="Museo Sans 300" w:hAnsi="Museo Sans 300"/>
        </w:rPr>
        <w:t>measure</w:t>
      </w:r>
      <w:r w:rsidR="00760A8C">
        <w:rPr>
          <w:rFonts w:ascii="Museo Sans 300" w:hAnsi="Museo Sans 300"/>
        </w:rPr>
        <w:t xml:space="preserve"> would be </w:t>
      </w:r>
      <w:r w:rsidR="00621EB4">
        <w:rPr>
          <w:rFonts w:ascii="Museo Sans 300" w:hAnsi="Museo Sans 300"/>
        </w:rPr>
        <w:t xml:space="preserve">a regulatory mandate requiring </w:t>
      </w:r>
      <w:r w:rsidR="00760A8C">
        <w:rPr>
          <w:rFonts w:ascii="Museo Sans 300" w:hAnsi="Museo Sans 300"/>
        </w:rPr>
        <w:t xml:space="preserve">that all debit cards </w:t>
      </w:r>
      <w:proofErr w:type="gramStart"/>
      <w:r w:rsidR="003848EE">
        <w:rPr>
          <w:rFonts w:ascii="Museo Sans 300" w:hAnsi="Museo Sans 300"/>
        </w:rPr>
        <w:t>are</w:t>
      </w:r>
      <w:proofErr w:type="gramEnd"/>
      <w:r w:rsidR="003848EE">
        <w:rPr>
          <w:rFonts w:ascii="Museo Sans 300" w:hAnsi="Museo Sans 300"/>
        </w:rPr>
        <w:t xml:space="preserve"> DNDCs</w:t>
      </w:r>
      <w:r w:rsidR="00760A8C">
        <w:rPr>
          <w:rFonts w:ascii="Museo Sans 300" w:hAnsi="Museo Sans 300"/>
        </w:rPr>
        <w:t xml:space="preserve">. This </w:t>
      </w:r>
      <w:r w:rsidR="00621EB4">
        <w:rPr>
          <w:rFonts w:ascii="Museo Sans 300" w:hAnsi="Museo Sans 300"/>
        </w:rPr>
        <w:t>step has</w:t>
      </w:r>
      <w:r w:rsidR="00760A8C">
        <w:rPr>
          <w:rFonts w:ascii="Museo Sans 300" w:hAnsi="Museo Sans 300"/>
        </w:rPr>
        <w:t xml:space="preserve"> already </w:t>
      </w:r>
      <w:r w:rsidR="00621EB4">
        <w:rPr>
          <w:rFonts w:ascii="Museo Sans 300" w:hAnsi="Museo Sans 300"/>
        </w:rPr>
        <w:t xml:space="preserve">been </w:t>
      </w:r>
      <w:r w:rsidR="00760A8C">
        <w:rPr>
          <w:rFonts w:ascii="Museo Sans 300" w:hAnsi="Museo Sans 300"/>
        </w:rPr>
        <w:t>taken by regulators in the U.S., where the 2011 Durbin Amendment require</w:t>
      </w:r>
      <w:r w:rsidR="00901DF2">
        <w:rPr>
          <w:rFonts w:ascii="Museo Sans 300" w:hAnsi="Museo Sans 300"/>
        </w:rPr>
        <w:t>d</w:t>
      </w:r>
      <w:r w:rsidR="00760A8C">
        <w:rPr>
          <w:rFonts w:ascii="Museo Sans 300" w:hAnsi="Museo Sans 300"/>
        </w:rPr>
        <w:t xml:space="preserve"> that all debit cards be badged with at least two </w:t>
      </w:r>
      <w:r w:rsidR="00885B7E">
        <w:rPr>
          <w:rFonts w:ascii="Museo Sans 300" w:hAnsi="Museo Sans 300"/>
        </w:rPr>
        <w:t>unaffiliated</w:t>
      </w:r>
      <w:r w:rsidR="00760A8C">
        <w:rPr>
          <w:rFonts w:ascii="Museo Sans 300" w:hAnsi="Museo Sans 300"/>
        </w:rPr>
        <w:t xml:space="preserve"> </w:t>
      </w:r>
      <w:r w:rsidR="00E208D2">
        <w:rPr>
          <w:rFonts w:ascii="Museo Sans 300" w:hAnsi="Museo Sans 300"/>
        </w:rPr>
        <w:t>network</w:t>
      </w:r>
      <w:r w:rsidR="00760A8C">
        <w:rPr>
          <w:rFonts w:ascii="Museo Sans 300" w:hAnsi="Museo Sans 300"/>
        </w:rPr>
        <w:t xml:space="preserve">s. </w:t>
      </w:r>
      <w:r w:rsidR="00621EB4">
        <w:rPr>
          <w:rFonts w:ascii="Museo Sans 300" w:hAnsi="Museo Sans 300"/>
        </w:rPr>
        <w:t xml:space="preserve">Although there are concerns around the unique pressures faced by smaller issuers, </w:t>
      </w:r>
      <w:r w:rsidR="00760A8C">
        <w:rPr>
          <w:rFonts w:ascii="Museo Sans 300" w:hAnsi="Museo Sans 300"/>
        </w:rPr>
        <w:t xml:space="preserve">in </w:t>
      </w:r>
      <w:r w:rsidR="00CD34E6">
        <w:rPr>
          <w:rFonts w:ascii="Museo Sans 300" w:hAnsi="Museo Sans 300"/>
        </w:rPr>
        <w:t xml:space="preserve">CMSPI’s experience </w:t>
      </w:r>
      <w:r w:rsidR="00760A8C">
        <w:rPr>
          <w:rFonts w:ascii="Museo Sans 300" w:hAnsi="Museo Sans 300"/>
        </w:rPr>
        <w:t xml:space="preserve">the relative cost of supporting two </w:t>
      </w:r>
      <w:r w:rsidR="00E208D2">
        <w:rPr>
          <w:rFonts w:ascii="Museo Sans 300" w:hAnsi="Museo Sans 300"/>
        </w:rPr>
        <w:t>network</w:t>
      </w:r>
      <w:r w:rsidR="00760A8C">
        <w:rPr>
          <w:rFonts w:ascii="Museo Sans 300" w:hAnsi="Museo Sans 300"/>
        </w:rPr>
        <w:t>s on each card has not been a significant concern</w:t>
      </w:r>
      <w:r w:rsidR="00CD34E6">
        <w:rPr>
          <w:rFonts w:ascii="Museo Sans 300" w:hAnsi="Museo Sans 300"/>
        </w:rPr>
        <w:t xml:space="preserve"> in other jurisdictions</w:t>
      </w:r>
      <w:r w:rsidR="00760A8C">
        <w:rPr>
          <w:rFonts w:ascii="Museo Sans 300" w:hAnsi="Museo Sans 300"/>
        </w:rPr>
        <w:t>.</w:t>
      </w:r>
    </w:p>
    <w:p w14:paraId="4271B51A" w14:textId="2CFCC3DF" w:rsidR="004500A3" w:rsidRDefault="00152D44" w:rsidP="00530A83">
      <w:pPr>
        <w:rPr>
          <w:rFonts w:ascii="Museo Sans 300" w:hAnsi="Museo Sans 300"/>
        </w:rPr>
      </w:pPr>
      <w:r>
        <w:rPr>
          <w:rFonts w:ascii="Museo Sans 300" w:hAnsi="Museo Sans 300"/>
        </w:rPr>
        <w:t xml:space="preserve">Another measure </w:t>
      </w:r>
      <w:r w:rsidR="001E73B7">
        <w:rPr>
          <w:rFonts w:ascii="Museo Sans 300" w:hAnsi="Museo Sans 300"/>
        </w:rPr>
        <w:t xml:space="preserve">to guarantee the competitive benefits of a local card </w:t>
      </w:r>
      <w:r w:rsidR="00E208D2">
        <w:rPr>
          <w:rFonts w:ascii="Museo Sans 300" w:hAnsi="Museo Sans 300"/>
        </w:rPr>
        <w:t>network</w:t>
      </w:r>
      <w:r w:rsidR="001E73B7">
        <w:rPr>
          <w:rFonts w:ascii="Museo Sans 300" w:hAnsi="Museo Sans 300"/>
        </w:rPr>
        <w:t xml:space="preserve"> in the </w:t>
      </w:r>
      <w:proofErr w:type="gramStart"/>
      <w:r w:rsidR="001E73B7">
        <w:rPr>
          <w:rFonts w:ascii="Museo Sans 300" w:hAnsi="Museo Sans 300"/>
        </w:rPr>
        <w:t>long-run</w:t>
      </w:r>
      <w:proofErr w:type="gramEnd"/>
      <w:r w:rsidR="001E73B7">
        <w:rPr>
          <w:rFonts w:ascii="Museo Sans 300" w:hAnsi="Museo Sans 300"/>
        </w:rPr>
        <w:t xml:space="preserve"> would </w:t>
      </w:r>
      <w:r w:rsidR="00760A8C">
        <w:rPr>
          <w:rFonts w:ascii="Museo Sans 300" w:hAnsi="Museo Sans 300"/>
        </w:rPr>
        <w:t xml:space="preserve">be to extend </w:t>
      </w:r>
      <w:r w:rsidR="00B04343">
        <w:rPr>
          <w:rFonts w:ascii="Museo Sans 300" w:hAnsi="Museo Sans 300"/>
        </w:rPr>
        <w:t xml:space="preserve">Routing </w:t>
      </w:r>
      <w:r w:rsidR="00760A8C">
        <w:rPr>
          <w:rFonts w:ascii="Museo Sans 300" w:hAnsi="Museo Sans 300"/>
        </w:rPr>
        <w:t xml:space="preserve">to </w:t>
      </w:r>
      <w:r w:rsidR="002B11CC">
        <w:rPr>
          <w:rFonts w:ascii="Museo Sans 300" w:hAnsi="Museo Sans 300"/>
        </w:rPr>
        <w:t xml:space="preserve">other, currently </w:t>
      </w:r>
      <w:r w:rsidR="009B5E90">
        <w:rPr>
          <w:rFonts w:ascii="Museo Sans 300" w:hAnsi="Museo Sans 300"/>
        </w:rPr>
        <w:t>non-routable transaction types</w:t>
      </w:r>
      <w:r w:rsidR="00A6364A">
        <w:rPr>
          <w:rFonts w:ascii="Museo Sans 300" w:hAnsi="Museo Sans 300"/>
        </w:rPr>
        <w:t xml:space="preserve">. As it stands, merchant routing choice </w:t>
      </w:r>
      <w:r w:rsidR="002B11CC">
        <w:rPr>
          <w:rFonts w:ascii="Museo Sans 300" w:hAnsi="Museo Sans 300"/>
        </w:rPr>
        <w:t xml:space="preserve">in Australia </w:t>
      </w:r>
      <w:r w:rsidR="00A6364A">
        <w:rPr>
          <w:rFonts w:ascii="Museo Sans 300" w:hAnsi="Museo Sans 300"/>
        </w:rPr>
        <w:t xml:space="preserve">is </w:t>
      </w:r>
      <w:r w:rsidR="002E066A">
        <w:rPr>
          <w:rFonts w:ascii="Museo Sans 300" w:hAnsi="Museo Sans 300"/>
        </w:rPr>
        <w:t xml:space="preserve">typically </w:t>
      </w:r>
      <w:r w:rsidR="00A6364A">
        <w:rPr>
          <w:rFonts w:ascii="Museo Sans 300" w:hAnsi="Museo Sans 300"/>
        </w:rPr>
        <w:t xml:space="preserve">only </w:t>
      </w:r>
      <w:r w:rsidR="002B11CC">
        <w:rPr>
          <w:rFonts w:ascii="Museo Sans 300" w:hAnsi="Museo Sans 300"/>
        </w:rPr>
        <w:t>available</w:t>
      </w:r>
      <w:r w:rsidR="00A6364A">
        <w:rPr>
          <w:rFonts w:ascii="Museo Sans 300" w:hAnsi="Museo Sans 300"/>
        </w:rPr>
        <w:t xml:space="preserve"> for domestic, in-store, contactless debit transactions on DNDCs that </w:t>
      </w:r>
      <w:r w:rsidR="00CA1F9D">
        <w:rPr>
          <w:rFonts w:ascii="Museo Sans 300" w:hAnsi="Museo Sans 300"/>
        </w:rPr>
        <w:t>do not</w:t>
      </w:r>
      <w:r w:rsidR="00A6364A">
        <w:rPr>
          <w:rFonts w:ascii="Museo Sans 300" w:hAnsi="Museo Sans 300"/>
        </w:rPr>
        <w:t xml:space="preserve"> </w:t>
      </w:r>
      <w:r w:rsidR="00CA1F9D">
        <w:rPr>
          <w:rFonts w:ascii="Museo Sans 300" w:hAnsi="Museo Sans 300"/>
        </w:rPr>
        <w:t>sit within</w:t>
      </w:r>
      <w:r w:rsidR="00A6364A">
        <w:rPr>
          <w:rFonts w:ascii="Museo Sans 300" w:hAnsi="Museo Sans 300"/>
        </w:rPr>
        <w:t xml:space="preserve"> a digital wallet.</w:t>
      </w:r>
      <w:r w:rsidR="00A04393">
        <w:rPr>
          <w:rFonts w:ascii="Museo Sans 300" w:hAnsi="Museo Sans 300"/>
        </w:rPr>
        <w:t xml:space="preserve"> According to CMSPI estimates, that limits LCR </w:t>
      </w:r>
      <w:r w:rsidR="006A68B0">
        <w:rPr>
          <w:rFonts w:ascii="Museo Sans 300" w:hAnsi="Museo Sans 300"/>
        </w:rPr>
        <w:t xml:space="preserve">potential </w:t>
      </w:r>
      <w:r w:rsidR="00A04393">
        <w:rPr>
          <w:rFonts w:ascii="Museo Sans 300" w:hAnsi="Museo Sans 300"/>
        </w:rPr>
        <w:t>to around 7.</w:t>
      </w:r>
      <w:r w:rsidR="00DD1FA5">
        <w:rPr>
          <w:rFonts w:ascii="Museo Sans 300" w:hAnsi="Museo Sans 300"/>
        </w:rPr>
        <w:t>3</w:t>
      </w:r>
      <w:r w:rsidR="00A04393">
        <w:rPr>
          <w:rFonts w:ascii="Museo Sans 300" w:hAnsi="Museo Sans 300"/>
        </w:rPr>
        <w:t>2% of</w:t>
      </w:r>
      <w:r w:rsidR="00DD1FA5">
        <w:rPr>
          <w:rFonts w:ascii="Museo Sans 300" w:hAnsi="Museo Sans 300"/>
        </w:rPr>
        <w:t xml:space="preserve"> the</w:t>
      </w:r>
      <w:r w:rsidR="00A04393">
        <w:rPr>
          <w:rFonts w:ascii="Museo Sans 300" w:hAnsi="Museo Sans 300"/>
        </w:rPr>
        <w:t xml:space="preserve"> total</w:t>
      </w:r>
      <w:r w:rsidR="00DD1FA5">
        <w:rPr>
          <w:rFonts w:ascii="Museo Sans 300" w:hAnsi="Museo Sans 300"/>
        </w:rPr>
        <w:t xml:space="preserve"> value</w:t>
      </w:r>
      <w:r w:rsidR="008B1AB2">
        <w:rPr>
          <w:rFonts w:ascii="Museo Sans 300" w:hAnsi="Museo Sans 300"/>
        </w:rPr>
        <w:t xml:space="preserve"> of</w:t>
      </w:r>
      <w:r w:rsidR="00A04393">
        <w:rPr>
          <w:rFonts w:ascii="Museo Sans 300" w:hAnsi="Museo Sans 300"/>
        </w:rPr>
        <w:t xml:space="preserve"> domestic card transactions. </w:t>
      </w:r>
      <w:r w:rsidR="004500A3">
        <w:rPr>
          <w:rFonts w:ascii="Museo Sans 300" w:hAnsi="Museo Sans 300"/>
        </w:rPr>
        <w:t>Figure 1 illustrates the proportion of routable transactions once each additional limitation is added.</w:t>
      </w:r>
      <w:r w:rsidR="00A660BE">
        <w:rPr>
          <w:rFonts w:ascii="Museo Sans 300" w:hAnsi="Museo Sans 300"/>
        </w:rPr>
        <w:t xml:space="preserve"> Although contactless transactions make up a relatively large share of transaction volume (around 77% of in-store card transactions in 2019, according to the Consumer Payments Survey</w:t>
      </w:r>
      <w:r w:rsidR="001E73B7">
        <w:rPr>
          <w:rStyle w:val="FootnoteReference"/>
          <w:rFonts w:ascii="Museo Sans 300" w:hAnsi="Museo Sans 300"/>
        </w:rPr>
        <w:footnoteReference w:id="5"/>
      </w:r>
      <w:r w:rsidR="00A660BE">
        <w:rPr>
          <w:rFonts w:ascii="Museo Sans 300" w:hAnsi="Museo Sans 300"/>
        </w:rPr>
        <w:t xml:space="preserve">), the Figure illustrates </w:t>
      </w:r>
      <w:proofErr w:type="gramStart"/>
      <w:r w:rsidR="00A660BE">
        <w:rPr>
          <w:rFonts w:ascii="Museo Sans 300" w:hAnsi="Museo Sans 300"/>
        </w:rPr>
        <w:t>that</w:t>
      </w:r>
      <w:r w:rsidR="00C52A40">
        <w:rPr>
          <w:rFonts w:ascii="Museo Sans 300" w:hAnsi="Museo Sans 300"/>
        </w:rPr>
        <w:t xml:space="preserve"> </w:t>
      </w:r>
      <w:r w:rsidR="00A660BE">
        <w:rPr>
          <w:rFonts w:ascii="Museo Sans 300" w:hAnsi="Museo Sans 300"/>
        </w:rPr>
        <w:t>contactless payments</w:t>
      </w:r>
      <w:proofErr w:type="gramEnd"/>
      <w:r w:rsidR="00A660BE">
        <w:rPr>
          <w:rFonts w:ascii="Museo Sans 300" w:hAnsi="Museo Sans 300"/>
        </w:rPr>
        <w:t xml:space="preserve"> are </w:t>
      </w:r>
      <w:r w:rsidR="00D53C43">
        <w:rPr>
          <w:rFonts w:ascii="Museo Sans 300" w:hAnsi="Museo Sans 300"/>
        </w:rPr>
        <w:t xml:space="preserve">estimated to be </w:t>
      </w:r>
      <w:r w:rsidR="00A660BE">
        <w:rPr>
          <w:rFonts w:ascii="Museo Sans 300" w:hAnsi="Museo Sans 300"/>
        </w:rPr>
        <w:t xml:space="preserve">responsible for a </w:t>
      </w:r>
      <w:r w:rsidR="003D70D9">
        <w:rPr>
          <w:rFonts w:ascii="Museo Sans 300" w:hAnsi="Museo Sans 300"/>
        </w:rPr>
        <w:t>smaller</w:t>
      </w:r>
      <w:r w:rsidR="00A660BE">
        <w:rPr>
          <w:rFonts w:ascii="Museo Sans 300" w:hAnsi="Museo Sans 300"/>
        </w:rPr>
        <w:t xml:space="preserve"> share of </w:t>
      </w:r>
      <w:r w:rsidR="003819B4">
        <w:rPr>
          <w:rFonts w:ascii="Museo Sans 300" w:hAnsi="Museo Sans 300"/>
        </w:rPr>
        <w:t xml:space="preserve">the market in </w:t>
      </w:r>
      <w:r w:rsidR="00A660BE">
        <w:rPr>
          <w:rFonts w:ascii="Museo Sans 300" w:hAnsi="Museo Sans 300"/>
        </w:rPr>
        <w:t>value</w:t>
      </w:r>
      <w:r w:rsidR="003819B4">
        <w:rPr>
          <w:rFonts w:ascii="Museo Sans 300" w:hAnsi="Museo Sans 300"/>
        </w:rPr>
        <w:t xml:space="preserve"> terms</w:t>
      </w:r>
      <w:r w:rsidR="00A660BE">
        <w:rPr>
          <w:rFonts w:ascii="Museo Sans 300" w:hAnsi="Museo Sans 300"/>
        </w:rPr>
        <w:t>.</w:t>
      </w:r>
      <w:r w:rsidR="00A660BE">
        <w:rPr>
          <w:rStyle w:val="FootnoteReference"/>
          <w:rFonts w:ascii="Museo Sans 300" w:hAnsi="Museo Sans 300"/>
        </w:rPr>
        <w:footnoteReference w:id="6"/>
      </w:r>
      <w:r w:rsidR="00A660BE">
        <w:rPr>
          <w:rFonts w:ascii="Museo Sans 300" w:hAnsi="Museo Sans 300"/>
        </w:rPr>
        <w:t xml:space="preserve"> </w:t>
      </w:r>
    </w:p>
    <w:p w14:paraId="4C86BD5B" w14:textId="6C394C14" w:rsidR="004500A3" w:rsidRDefault="003A23D8" w:rsidP="00315B81">
      <w:pPr>
        <w:jc w:val="center"/>
        <w:rPr>
          <w:rFonts w:ascii="Museo Sans 300" w:hAnsi="Museo Sans 300"/>
        </w:rPr>
      </w:pPr>
      <w:r>
        <w:rPr>
          <w:noProof/>
        </w:rPr>
        <w:lastRenderedPageBreak/>
        <w:drawing>
          <wp:inline distT="0" distB="0" distL="0" distR="0" wp14:anchorId="38C70659" wp14:editId="0C8F021A">
            <wp:extent cx="5943600" cy="3189605"/>
            <wp:effectExtent l="0" t="0" r="0" b="0"/>
            <wp:docPr id="10" name="Chart 10">
              <a:extLst xmlns:a="http://schemas.openxmlformats.org/drawingml/2006/main">
                <a:ext uri="{FF2B5EF4-FFF2-40B4-BE49-F238E27FC236}">
                  <a16:creationId xmlns:a16="http://schemas.microsoft.com/office/drawing/2014/main" id="{019EABD7-67F1-4B18-9CEE-723DE299F0B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B69E0CF" w14:textId="498267F7" w:rsidR="00A6364A" w:rsidRPr="004500A3" w:rsidRDefault="004500A3" w:rsidP="00E751BD">
      <w:pPr>
        <w:jc w:val="center"/>
        <w:rPr>
          <w:rFonts w:ascii="Museo Sans 300" w:hAnsi="Museo Sans 300"/>
          <w:i/>
          <w:iCs/>
        </w:rPr>
      </w:pPr>
      <w:r w:rsidRPr="004500A3">
        <w:rPr>
          <w:rFonts w:ascii="Museo Sans 300" w:hAnsi="Museo Sans 300"/>
          <w:i/>
          <w:iCs/>
        </w:rPr>
        <w:t xml:space="preserve">Figure 1. Limitations to the proportion of transactions available for </w:t>
      </w:r>
      <w:r w:rsidR="00C970D6">
        <w:rPr>
          <w:rFonts w:ascii="Museo Sans 300" w:hAnsi="Museo Sans 300"/>
          <w:i/>
          <w:iCs/>
        </w:rPr>
        <w:t>merchant routing</w:t>
      </w:r>
      <w:r w:rsidR="00C970D6" w:rsidRPr="004500A3">
        <w:rPr>
          <w:rFonts w:ascii="Museo Sans 300" w:hAnsi="Museo Sans 300"/>
          <w:i/>
          <w:iCs/>
        </w:rPr>
        <w:t xml:space="preserve"> </w:t>
      </w:r>
      <w:r w:rsidRPr="004500A3">
        <w:rPr>
          <w:rFonts w:ascii="Museo Sans 300" w:hAnsi="Museo Sans 300"/>
          <w:i/>
          <w:iCs/>
        </w:rPr>
        <w:t>in Australia</w:t>
      </w:r>
      <w:r w:rsidR="00A36DDF">
        <w:rPr>
          <w:rFonts w:ascii="Museo Sans 300" w:hAnsi="Museo Sans 300"/>
          <w:i/>
          <w:iCs/>
        </w:rPr>
        <w:t xml:space="preserve"> by </w:t>
      </w:r>
      <w:r w:rsidR="00CA1F9D">
        <w:rPr>
          <w:rFonts w:ascii="Museo Sans 300" w:hAnsi="Museo Sans 300"/>
          <w:i/>
          <w:iCs/>
        </w:rPr>
        <w:t>v</w:t>
      </w:r>
      <w:r w:rsidR="00A36DDF">
        <w:rPr>
          <w:rFonts w:ascii="Museo Sans 300" w:hAnsi="Museo Sans 300"/>
          <w:i/>
          <w:iCs/>
        </w:rPr>
        <w:t>alue</w:t>
      </w:r>
      <w:r w:rsidRPr="004500A3">
        <w:rPr>
          <w:rFonts w:ascii="Museo Sans 300" w:hAnsi="Museo Sans 300"/>
          <w:i/>
          <w:iCs/>
        </w:rPr>
        <w:t>.</w:t>
      </w:r>
      <w:r w:rsidR="00AB6E5A">
        <w:rPr>
          <w:rStyle w:val="FootnoteReference"/>
          <w:rFonts w:ascii="Museo Sans 300" w:hAnsi="Museo Sans 300"/>
          <w:i/>
          <w:iCs/>
        </w:rPr>
        <w:footnoteReference w:id="7"/>
      </w:r>
    </w:p>
    <w:p w14:paraId="66D62720" w14:textId="65478938" w:rsidR="00143CFF" w:rsidRDefault="00736A28" w:rsidP="000743B8">
      <w:pPr>
        <w:rPr>
          <w:rFonts w:ascii="Museo Sans 300" w:hAnsi="Museo Sans 300"/>
        </w:rPr>
      </w:pPr>
      <w:r>
        <w:rPr>
          <w:rFonts w:ascii="Museo Sans 300" w:hAnsi="Museo Sans 300"/>
        </w:rPr>
        <w:t>Restrictions</w:t>
      </w:r>
      <w:r w:rsidR="009352BE">
        <w:rPr>
          <w:rFonts w:ascii="Museo Sans 300" w:hAnsi="Museo Sans 300"/>
        </w:rPr>
        <w:t xml:space="preserve"> </w:t>
      </w:r>
      <w:r w:rsidR="00E00687">
        <w:rPr>
          <w:rFonts w:ascii="Museo Sans 300" w:hAnsi="Museo Sans 300"/>
        </w:rPr>
        <w:t xml:space="preserve">on </w:t>
      </w:r>
      <w:r w:rsidR="009352BE">
        <w:rPr>
          <w:rFonts w:ascii="Museo Sans 300" w:hAnsi="Museo Sans 300"/>
        </w:rPr>
        <w:t xml:space="preserve">the availability of </w:t>
      </w:r>
      <w:r w:rsidR="004A1E16">
        <w:rPr>
          <w:rFonts w:ascii="Museo Sans 300" w:hAnsi="Museo Sans 300"/>
        </w:rPr>
        <w:t xml:space="preserve">Routing </w:t>
      </w:r>
      <w:r w:rsidR="009352BE">
        <w:rPr>
          <w:rFonts w:ascii="Museo Sans 300" w:hAnsi="Museo Sans 300"/>
        </w:rPr>
        <w:t>ha</w:t>
      </w:r>
      <w:r w:rsidR="005A2FF9">
        <w:rPr>
          <w:rFonts w:ascii="Museo Sans 300" w:hAnsi="Museo Sans 300"/>
        </w:rPr>
        <w:t>ve</w:t>
      </w:r>
      <w:r w:rsidR="009352BE">
        <w:rPr>
          <w:rFonts w:ascii="Museo Sans 300" w:hAnsi="Museo Sans 300"/>
        </w:rPr>
        <w:t xml:space="preserve"> a significant cost impact on Australian merchants.</w:t>
      </w:r>
      <w:r w:rsidR="000235AF">
        <w:rPr>
          <w:rFonts w:ascii="Museo Sans 300" w:hAnsi="Museo Sans 300"/>
        </w:rPr>
        <w:t xml:space="preserve"> </w:t>
      </w:r>
      <w:r w:rsidR="00CC0B30">
        <w:rPr>
          <w:rFonts w:ascii="Museo Sans 300" w:hAnsi="Museo Sans 300"/>
        </w:rPr>
        <w:t>Comparing the average merchant fee</w:t>
      </w:r>
      <w:r w:rsidR="00315B81">
        <w:rPr>
          <w:rFonts w:ascii="Museo Sans 300" w:hAnsi="Museo Sans 300"/>
        </w:rPr>
        <w:t>s</w:t>
      </w:r>
      <w:r w:rsidR="000235AF">
        <w:rPr>
          <w:rFonts w:ascii="Museo Sans 300" w:hAnsi="Museo Sans 300"/>
        </w:rPr>
        <w:t xml:space="preserve"> of</w:t>
      </w:r>
      <w:r w:rsidR="00CC0B30">
        <w:rPr>
          <w:rFonts w:ascii="Museo Sans 300" w:hAnsi="Museo Sans 300"/>
        </w:rPr>
        <w:t xml:space="preserve"> the </w:t>
      </w:r>
      <w:proofErr w:type="spellStart"/>
      <w:r w:rsidR="00CC0B30">
        <w:rPr>
          <w:rFonts w:ascii="Museo Sans 300" w:hAnsi="Museo Sans 300"/>
        </w:rPr>
        <w:t>Eftpos</w:t>
      </w:r>
      <w:proofErr w:type="spellEnd"/>
      <w:r w:rsidR="00CC0B30">
        <w:rPr>
          <w:rFonts w:ascii="Museo Sans 300" w:hAnsi="Museo Sans 300"/>
        </w:rPr>
        <w:t xml:space="preserve"> and global card </w:t>
      </w:r>
      <w:r w:rsidR="00E208D2">
        <w:rPr>
          <w:rFonts w:ascii="Museo Sans 300" w:hAnsi="Museo Sans 300"/>
        </w:rPr>
        <w:t>network</w:t>
      </w:r>
      <w:r w:rsidR="00CC0B30">
        <w:rPr>
          <w:rFonts w:ascii="Museo Sans 300" w:hAnsi="Museo Sans 300"/>
        </w:rPr>
        <w:t>s</w:t>
      </w:r>
      <w:r w:rsidR="00C52A40">
        <w:rPr>
          <w:rFonts w:ascii="Museo Sans 300" w:hAnsi="Museo Sans 300"/>
        </w:rPr>
        <w:t xml:space="preserve"> </w:t>
      </w:r>
      <w:r w:rsidR="000235AF">
        <w:rPr>
          <w:rFonts w:ascii="Museo Sans 300" w:hAnsi="Museo Sans 300"/>
        </w:rPr>
        <w:t>(</w:t>
      </w:r>
      <w:r w:rsidR="00C52A40">
        <w:rPr>
          <w:rFonts w:ascii="Museo Sans 300" w:hAnsi="Museo Sans 300"/>
        </w:rPr>
        <w:t>as published by the RBA</w:t>
      </w:r>
      <w:r w:rsidR="000235AF">
        <w:rPr>
          <w:rFonts w:ascii="Museo Sans 300" w:hAnsi="Museo Sans 300"/>
        </w:rPr>
        <w:t>)</w:t>
      </w:r>
      <w:r w:rsidR="00CC0B30">
        <w:rPr>
          <w:rFonts w:ascii="Museo Sans 300" w:hAnsi="Museo Sans 300"/>
        </w:rPr>
        <w:t>,</w:t>
      </w:r>
      <w:r w:rsidR="00D65F2F">
        <w:rPr>
          <w:rFonts w:ascii="Museo Sans 300" w:hAnsi="Museo Sans 300"/>
        </w:rPr>
        <w:t xml:space="preserve"> </w:t>
      </w:r>
      <w:r w:rsidR="00626D68">
        <w:rPr>
          <w:rFonts w:ascii="Museo Sans 300" w:hAnsi="Museo Sans 300"/>
        </w:rPr>
        <w:t xml:space="preserve">CMSPI estimates that extending </w:t>
      </w:r>
      <w:r w:rsidR="004A1E16">
        <w:rPr>
          <w:rFonts w:ascii="Museo Sans 300" w:hAnsi="Museo Sans 300"/>
        </w:rPr>
        <w:t xml:space="preserve">Routing </w:t>
      </w:r>
      <w:r w:rsidR="00626D68">
        <w:rPr>
          <w:rFonts w:ascii="Museo Sans 300" w:hAnsi="Museo Sans 300"/>
        </w:rPr>
        <w:t xml:space="preserve">to all </w:t>
      </w:r>
      <w:proofErr w:type="gramStart"/>
      <w:r w:rsidR="00626D68">
        <w:rPr>
          <w:rFonts w:ascii="Museo Sans 300" w:hAnsi="Museo Sans 300"/>
        </w:rPr>
        <w:t>aforementioned transaction</w:t>
      </w:r>
      <w:proofErr w:type="gramEnd"/>
      <w:r w:rsidR="00626D68">
        <w:rPr>
          <w:rFonts w:ascii="Museo Sans 300" w:hAnsi="Museo Sans 300"/>
        </w:rPr>
        <w:t xml:space="preserve"> types </w:t>
      </w:r>
      <w:r w:rsidR="00E00687">
        <w:rPr>
          <w:rFonts w:ascii="Museo Sans 300" w:hAnsi="Museo Sans 300"/>
        </w:rPr>
        <w:t xml:space="preserve">could </w:t>
      </w:r>
      <w:r w:rsidR="00626D68">
        <w:rPr>
          <w:rFonts w:ascii="Museo Sans 300" w:hAnsi="Museo Sans 300"/>
        </w:rPr>
        <w:t>save Australian merchants around $2.</w:t>
      </w:r>
      <w:r w:rsidR="00DD1FA5">
        <w:rPr>
          <w:rFonts w:ascii="Museo Sans 300" w:hAnsi="Museo Sans 300"/>
        </w:rPr>
        <w:t>3</w:t>
      </w:r>
      <w:r w:rsidR="00626D68">
        <w:rPr>
          <w:rFonts w:ascii="Museo Sans 300" w:hAnsi="Museo Sans 300"/>
        </w:rPr>
        <w:t xml:space="preserve"> billion annually. </w:t>
      </w:r>
      <w:r w:rsidR="000235AF">
        <w:rPr>
          <w:rFonts w:ascii="Museo Sans 300" w:hAnsi="Museo Sans 300"/>
        </w:rPr>
        <w:t xml:space="preserve">This figure </w:t>
      </w:r>
      <w:r w:rsidR="00143CFF">
        <w:rPr>
          <w:rFonts w:ascii="Museo Sans 300" w:hAnsi="Museo Sans 300"/>
        </w:rPr>
        <w:t xml:space="preserve">assumes a best-case scenario whereby all transactions </w:t>
      </w:r>
      <w:r w:rsidR="00104619">
        <w:rPr>
          <w:rFonts w:ascii="Museo Sans 300" w:hAnsi="Museo Sans 300"/>
        </w:rPr>
        <w:t>for which</w:t>
      </w:r>
      <w:r w:rsidR="00143CFF">
        <w:rPr>
          <w:rFonts w:ascii="Museo Sans 300" w:hAnsi="Museo Sans 300"/>
        </w:rPr>
        <w:t xml:space="preserve"> </w:t>
      </w:r>
      <w:r w:rsidR="004A1E16">
        <w:rPr>
          <w:rFonts w:ascii="Museo Sans 300" w:hAnsi="Museo Sans 300"/>
        </w:rPr>
        <w:t>Routing</w:t>
      </w:r>
      <w:r w:rsidR="00143CFF">
        <w:rPr>
          <w:rFonts w:ascii="Museo Sans 300" w:hAnsi="Museo Sans 300"/>
        </w:rPr>
        <w:t xml:space="preserve"> is available are routed optimally. In CMSPI’s experience, however, this is unlikely to be the case</w:t>
      </w:r>
      <w:r w:rsidR="00E170E0">
        <w:rPr>
          <w:rFonts w:ascii="Museo Sans 300" w:hAnsi="Museo Sans 300"/>
        </w:rPr>
        <w:t xml:space="preserve">; </w:t>
      </w:r>
      <w:r w:rsidR="00143CFF">
        <w:rPr>
          <w:rFonts w:ascii="Museo Sans 300" w:hAnsi="Museo Sans 300"/>
        </w:rPr>
        <w:t>even for in-store contactless transactions</w:t>
      </w:r>
      <w:r w:rsidR="00E170E0">
        <w:rPr>
          <w:rFonts w:ascii="Museo Sans 300" w:hAnsi="Museo Sans 300"/>
        </w:rPr>
        <w:t>,</w:t>
      </w:r>
      <w:r w:rsidR="00143CFF">
        <w:rPr>
          <w:rFonts w:ascii="Museo Sans 300" w:hAnsi="Museo Sans 300"/>
        </w:rPr>
        <w:t xml:space="preserve"> merchants are often unable to access </w:t>
      </w:r>
      <w:r w:rsidR="004A1E16">
        <w:rPr>
          <w:rFonts w:ascii="Museo Sans 300" w:hAnsi="Museo Sans 300"/>
        </w:rPr>
        <w:t>Routing</w:t>
      </w:r>
      <w:r w:rsidR="00143CFF">
        <w:rPr>
          <w:rFonts w:ascii="Museo Sans 300" w:hAnsi="Museo Sans 300"/>
        </w:rPr>
        <w:t xml:space="preserve"> or lack awareness of the benefits available.</w:t>
      </w:r>
    </w:p>
    <w:p w14:paraId="013C95B8" w14:textId="619DD8EE" w:rsidR="00A6364A" w:rsidRDefault="006A216E" w:rsidP="00530A83">
      <w:pPr>
        <w:rPr>
          <w:rFonts w:ascii="Museo Sans 300" w:hAnsi="Museo Sans 300"/>
        </w:rPr>
      </w:pPr>
      <w:r>
        <w:rPr>
          <w:rFonts w:ascii="Museo Sans 300" w:hAnsi="Museo Sans 300"/>
        </w:rPr>
        <w:t xml:space="preserve">Figure 2 illustrates how the average merchant cost is affected by </w:t>
      </w:r>
      <w:r w:rsidR="00315B81">
        <w:rPr>
          <w:rFonts w:ascii="Museo Sans 300" w:hAnsi="Museo Sans 300"/>
        </w:rPr>
        <w:t>limitations to</w:t>
      </w:r>
      <w:r>
        <w:rPr>
          <w:rFonts w:ascii="Museo Sans 300" w:hAnsi="Museo Sans 300"/>
        </w:rPr>
        <w:t xml:space="preserve"> </w:t>
      </w:r>
      <w:r w:rsidR="004A1E16">
        <w:rPr>
          <w:rFonts w:ascii="Museo Sans 300" w:hAnsi="Museo Sans 300"/>
        </w:rPr>
        <w:t>Routing</w:t>
      </w:r>
      <w:r>
        <w:rPr>
          <w:rFonts w:ascii="Museo Sans 300" w:hAnsi="Museo Sans 300"/>
        </w:rPr>
        <w:t xml:space="preserve">. </w:t>
      </w:r>
      <w:r w:rsidR="005059CC">
        <w:rPr>
          <w:rFonts w:ascii="Museo Sans 300" w:hAnsi="Museo Sans 300"/>
        </w:rPr>
        <w:t xml:space="preserve">For context, the estimated impact of a lack of </w:t>
      </w:r>
      <w:r w:rsidR="004A1E16">
        <w:rPr>
          <w:rFonts w:ascii="Museo Sans 300" w:hAnsi="Museo Sans 300"/>
        </w:rPr>
        <w:t>Routing</w:t>
      </w:r>
      <w:r w:rsidR="005059CC">
        <w:rPr>
          <w:rFonts w:ascii="Museo Sans 300" w:hAnsi="Museo Sans 300"/>
        </w:rPr>
        <w:t xml:space="preserve"> for other transaction types amounts to</w:t>
      </w:r>
      <w:r w:rsidR="002D3398">
        <w:rPr>
          <w:rFonts w:ascii="Museo Sans 300" w:hAnsi="Museo Sans 300"/>
        </w:rPr>
        <w:t xml:space="preserve"> approximately 0.36% of the value of all domestic card transactions in Australia.</w:t>
      </w:r>
      <w:r w:rsidR="002D3398">
        <w:rPr>
          <w:rStyle w:val="FootnoteReference"/>
          <w:rFonts w:ascii="Museo Sans 300" w:hAnsi="Museo Sans 300"/>
        </w:rPr>
        <w:footnoteReference w:id="8"/>
      </w:r>
      <w:r w:rsidR="002D3398">
        <w:rPr>
          <w:rFonts w:ascii="Museo Sans 300" w:hAnsi="Museo Sans 300"/>
        </w:rPr>
        <w:t xml:space="preserve"> </w:t>
      </w:r>
      <w:r w:rsidR="0044671F">
        <w:rPr>
          <w:rFonts w:ascii="Museo Sans 300" w:hAnsi="Museo Sans 300"/>
        </w:rPr>
        <w:t xml:space="preserve">Reducing the issuance of SNDCs is therefore a positive step in reducing costs and protecting the local </w:t>
      </w:r>
      <w:proofErr w:type="spellStart"/>
      <w:r w:rsidR="00E00687">
        <w:rPr>
          <w:rFonts w:ascii="Museo Sans 300" w:hAnsi="Museo Sans 300"/>
        </w:rPr>
        <w:t>Eftpos</w:t>
      </w:r>
      <w:proofErr w:type="spellEnd"/>
      <w:r w:rsidR="00E00687">
        <w:rPr>
          <w:rFonts w:ascii="Museo Sans 300" w:hAnsi="Museo Sans 300"/>
        </w:rPr>
        <w:t xml:space="preserve"> </w:t>
      </w:r>
      <w:r w:rsidR="0044671F">
        <w:rPr>
          <w:rFonts w:ascii="Museo Sans 300" w:hAnsi="Museo Sans 300"/>
        </w:rPr>
        <w:t>network.</w:t>
      </w:r>
      <w:r w:rsidR="00E00687">
        <w:rPr>
          <w:rFonts w:ascii="Museo Sans 300" w:hAnsi="Museo Sans 300"/>
        </w:rPr>
        <w:t xml:space="preserve"> If the local network were lost, even</w:t>
      </w:r>
      <w:r w:rsidR="0044671F">
        <w:rPr>
          <w:rFonts w:ascii="Museo Sans 300" w:hAnsi="Museo Sans 300"/>
        </w:rPr>
        <w:t xml:space="preserve"> </w:t>
      </w:r>
      <w:proofErr w:type="gramStart"/>
      <w:r w:rsidR="00E00687">
        <w:rPr>
          <w:rFonts w:ascii="Museo Sans 300" w:hAnsi="Museo Sans 300"/>
        </w:rPr>
        <w:t>assuming that</w:t>
      </w:r>
      <w:proofErr w:type="gramEnd"/>
      <w:r w:rsidR="00E00687">
        <w:rPr>
          <w:rFonts w:ascii="Museo Sans 300" w:hAnsi="Museo Sans 300"/>
        </w:rPr>
        <w:t xml:space="preserve"> average global network fees remained at their current rate, </w:t>
      </w:r>
      <w:r w:rsidR="009A1C8E">
        <w:rPr>
          <w:rFonts w:ascii="Museo Sans 300" w:hAnsi="Museo Sans 300"/>
        </w:rPr>
        <w:t xml:space="preserve">CMSPI estimates that merchants could stand to lose a routing opportunity of $180 million annually. </w:t>
      </w:r>
      <w:r w:rsidR="00F3100A">
        <w:rPr>
          <w:rFonts w:ascii="Museo Sans 300" w:hAnsi="Museo Sans 300"/>
        </w:rPr>
        <w:t xml:space="preserve">This is </w:t>
      </w:r>
      <w:r w:rsidR="00F4345C">
        <w:rPr>
          <w:rFonts w:ascii="Museo Sans 300" w:hAnsi="Museo Sans 300"/>
        </w:rPr>
        <w:t xml:space="preserve">even </w:t>
      </w:r>
      <w:r w:rsidR="00F3100A">
        <w:rPr>
          <w:rFonts w:ascii="Museo Sans 300" w:hAnsi="Museo Sans 300"/>
        </w:rPr>
        <w:t>with current routing restrictions in place. As such</w:t>
      </w:r>
      <w:r w:rsidR="0044671F">
        <w:rPr>
          <w:rFonts w:ascii="Museo Sans 300" w:hAnsi="Museo Sans 300"/>
        </w:rPr>
        <w:t>, to ensure a significant impact</w:t>
      </w:r>
      <w:r w:rsidR="00E00687">
        <w:rPr>
          <w:rFonts w:ascii="Museo Sans 300" w:hAnsi="Museo Sans 300"/>
        </w:rPr>
        <w:t xml:space="preserve"> on</w:t>
      </w:r>
      <w:r w:rsidR="0044671F">
        <w:rPr>
          <w:rFonts w:ascii="Museo Sans 300" w:hAnsi="Museo Sans 300"/>
        </w:rPr>
        <w:t xml:space="preserve"> merchant </w:t>
      </w:r>
      <w:r w:rsidR="0044671F">
        <w:rPr>
          <w:rFonts w:ascii="Museo Sans 300" w:hAnsi="Museo Sans 300"/>
        </w:rPr>
        <w:lastRenderedPageBreak/>
        <w:t>costs</w:t>
      </w:r>
      <w:r w:rsidR="005D4B38">
        <w:rPr>
          <w:rFonts w:ascii="Museo Sans 300" w:hAnsi="Museo Sans 300"/>
        </w:rPr>
        <w:t xml:space="preserve">, the RBA should consider </w:t>
      </w:r>
      <w:r w:rsidR="007555C3">
        <w:rPr>
          <w:rFonts w:ascii="Museo Sans 300" w:hAnsi="Museo Sans 300"/>
        </w:rPr>
        <w:t xml:space="preserve">three additional provisions: </w:t>
      </w:r>
      <w:r w:rsidR="005D4B38">
        <w:rPr>
          <w:rFonts w:ascii="Museo Sans 300" w:hAnsi="Museo Sans 300"/>
        </w:rPr>
        <w:t xml:space="preserve">extending </w:t>
      </w:r>
      <w:r w:rsidR="004A1E16">
        <w:rPr>
          <w:rFonts w:ascii="Museo Sans 300" w:hAnsi="Museo Sans 300"/>
        </w:rPr>
        <w:t>Routing</w:t>
      </w:r>
      <w:r w:rsidR="005D4B38">
        <w:rPr>
          <w:rFonts w:ascii="Museo Sans 300" w:hAnsi="Museo Sans 300"/>
        </w:rPr>
        <w:t xml:space="preserve"> to other transaction types, implementing an explicit co-badging mandate, and ensuring that all merchants have access to </w:t>
      </w:r>
      <w:r w:rsidR="004A1E16">
        <w:rPr>
          <w:rFonts w:ascii="Museo Sans 300" w:hAnsi="Museo Sans 300"/>
        </w:rPr>
        <w:t>Routing</w:t>
      </w:r>
      <w:r w:rsidR="005D4B38">
        <w:rPr>
          <w:rFonts w:ascii="Museo Sans 300" w:hAnsi="Museo Sans 300"/>
        </w:rPr>
        <w:t xml:space="preserve"> on those transactions for which it is available on an opt-out basis. </w:t>
      </w:r>
    </w:p>
    <w:p w14:paraId="5462D705" w14:textId="5917A119" w:rsidR="0047625B" w:rsidRDefault="00F4345C" w:rsidP="00315B81">
      <w:pPr>
        <w:jc w:val="center"/>
        <w:rPr>
          <w:rFonts w:ascii="Museo Sans 300" w:hAnsi="Museo Sans 300"/>
        </w:rPr>
      </w:pPr>
      <w:r>
        <w:rPr>
          <w:noProof/>
        </w:rPr>
        <w:drawing>
          <wp:inline distT="0" distB="0" distL="0" distR="0" wp14:anchorId="784C4EEB" wp14:editId="4AD2202C">
            <wp:extent cx="5943600" cy="2954020"/>
            <wp:effectExtent l="0" t="0" r="0" b="0"/>
            <wp:docPr id="11" name="Chart 11">
              <a:extLst xmlns:a="http://schemas.openxmlformats.org/drawingml/2006/main">
                <a:ext uri="{FF2B5EF4-FFF2-40B4-BE49-F238E27FC236}">
                  <a16:creationId xmlns:a16="http://schemas.microsoft.com/office/drawing/2014/main" id="{C3C69A52-1BD5-4DD4-91EB-66AC42D664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42F74F2" w14:textId="7A8C1A43" w:rsidR="0047625B" w:rsidRDefault="0047625B" w:rsidP="00E751BD">
      <w:pPr>
        <w:jc w:val="center"/>
        <w:rPr>
          <w:rFonts w:ascii="Museo Sans 300" w:hAnsi="Museo Sans 300"/>
          <w:i/>
          <w:iCs/>
        </w:rPr>
      </w:pPr>
      <w:r w:rsidRPr="0047625B">
        <w:rPr>
          <w:rFonts w:ascii="Museo Sans 300" w:hAnsi="Museo Sans 300"/>
          <w:i/>
          <w:iCs/>
        </w:rPr>
        <w:t>Figure 2.</w:t>
      </w:r>
      <w:r w:rsidR="00F7638F">
        <w:rPr>
          <w:rFonts w:ascii="Museo Sans 300" w:hAnsi="Museo Sans 300"/>
          <w:i/>
          <w:iCs/>
        </w:rPr>
        <w:t xml:space="preserve"> Estimated annual merchant cost of limitations to </w:t>
      </w:r>
      <w:r w:rsidR="004A1E16">
        <w:rPr>
          <w:rFonts w:ascii="Museo Sans 300" w:hAnsi="Museo Sans 300"/>
          <w:i/>
          <w:iCs/>
        </w:rPr>
        <w:t xml:space="preserve">Routing </w:t>
      </w:r>
      <w:r w:rsidR="00F7638F">
        <w:rPr>
          <w:rFonts w:ascii="Museo Sans 300" w:hAnsi="Museo Sans 300"/>
          <w:i/>
          <w:iCs/>
        </w:rPr>
        <w:t>in Australia.</w:t>
      </w:r>
      <w:r w:rsidR="00F7638F">
        <w:rPr>
          <w:rStyle w:val="FootnoteReference"/>
          <w:rFonts w:ascii="Museo Sans 300" w:hAnsi="Museo Sans 300"/>
          <w:i/>
          <w:iCs/>
        </w:rPr>
        <w:footnoteReference w:id="9"/>
      </w:r>
    </w:p>
    <w:p w14:paraId="189301F3" w14:textId="70048A35" w:rsidR="00EE6751" w:rsidRPr="00EE6751" w:rsidRDefault="00EE6751" w:rsidP="00530A83">
      <w:pPr>
        <w:rPr>
          <w:rFonts w:ascii="Museo Sans 300" w:hAnsi="Museo Sans 300"/>
          <w:u w:val="single"/>
        </w:rPr>
      </w:pPr>
      <w:r>
        <w:rPr>
          <w:rFonts w:ascii="Museo Sans 300" w:hAnsi="Museo Sans 300"/>
          <w:u w:val="single"/>
        </w:rPr>
        <w:t>Digital Wallets</w:t>
      </w:r>
    </w:p>
    <w:p w14:paraId="0FBC42F5" w14:textId="5D77D3B7" w:rsidR="00954D6A" w:rsidRDefault="00D76F3F" w:rsidP="00530A83">
      <w:pPr>
        <w:rPr>
          <w:rFonts w:ascii="Museo Sans 300" w:hAnsi="Museo Sans 300"/>
        </w:rPr>
      </w:pPr>
      <w:r>
        <w:rPr>
          <w:rFonts w:ascii="Museo Sans 300" w:hAnsi="Museo Sans 300"/>
        </w:rPr>
        <w:t xml:space="preserve">By focusing on the average </w:t>
      </w:r>
      <w:r w:rsidR="002D3398">
        <w:rPr>
          <w:rFonts w:ascii="Museo Sans 300" w:hAnsi="Museo Sans 300"/>
        </w:rPr>
        <w:t>merchant service charge</w:t>
      </w:r>
      <w:r>
        <w:rPr>
          <w:rFonts w:ascii="Museo Sans 300" w:hAnsi="Museo Sans 300"/>
        </w:rPr>
        <w:t xml:space="preserve">, the </w:t>
      </w:r>
      <w:r w:rsidR="002D3398">
        <w:rPr>
          <w:rFonts w:ascii="Museo Sans 300" w:hAnsi="Museo Sans 300"/>
        </w:rPr>
        <w:t xml:space="preserve">$2.3 billion </w:t>
      </w:r>
      <w:r>
        <w:rPr>
          <w:rFonts w:ascii="Museo Sans 300" w:hAnsi="Museo Sans 300"/>
        </w:rPr>
        <w:t>figure underestimates the impact of</w:t>
      </w:r>
      <w:r w:rsidR="00AD482A">
        <w:rPr>
          <w:rFonts w:ascii="Museo Sans 300" w:hAnsi="Museo Sans 300"/>
        </w:rPr>
        <w:t xml:space="preserve"> digital wallet transactions, whose interchange fees are often significantly </w:t>
      </w:r>
      <w:r w:rsidR="002D3398">
        <w:rPr>
          <w:rFonts w:ascii="Museo Sans 300" w:hAnsi="Museo Sans 300"/>
        </w:rPr>
        <w:t>above the</w:t>
      </w:r>
      <w:r w:rsidR="00AD482A">
        <w:rPr>
          <w:rFonts w:ascii="Museo Sans 300" w:hAnsi="Museo Sans 300"/>
        </w:rPr>
        <w:t xml:space="preserve"> average</w:t>
      </w:r>
      <w:r w:rsidR="004A1E16">
        <w:rPr>
          <w:rFonts w:ascii="Museo Sans 300" w:hAnsi="Museo Sans 300"/>
        </w:rPr>
        <w:t>, as detailed previously</w:t>
      </w:r>
      <w:r w:rsidR="00AD482A">
        <w:rPr>
          <w:rFonts w:ascii="Museo Sans 300" w:hAnsi="Museo Sans 300"/>
        </w:rPr>
        <w:t xml:space="preserve">. </w:t>
      </w:r>
      <w:r w:rsidR="007B3D72">
        <w:rPr>
          <w:rFonts w:ascii="Museo Sans 300" w:hAnsi="Museo Sans 300"/>
        </w:rPr>
        <w:t xml:space="preserve">Although acknowledged in the Review, the Board’s current proposals do not allow merchants choice over the routing of these transactions. This is on the grounds that merchants would be overriding an implicit consumer </w:t>
      </w:r>
      <w:r w:rsidR="00812249">
        <w:rPr>
          <w:rFonts w:ascii="Museo Sans 300" w:hAnsi="Museo Sans 300"/>
        </w:rPr>
        <w:t>choice</w:t>
      </w:r>
      <w:r w:rsidR="007B3D72">
        <w:rPr>
          <w:rFonts w:ascii="Museo Sans 300" w:hAnsi="Museo Sans 300"/>
        </w:rPr>
        <w:t>. However, the extent of customer participation in said choice is limited; c</w:t>
      </w:r>
      <w:r w:rsidR="00AD482A">
        <w:rPr>
          <w:rFonts w:ascii="Museo Sans 300" w:hAnsi="Museo Sans 300"/>
        </w:rPr>
        <w:t xml:space="preserve">ard-backed digital wallets </w:t>
      </w:r>
      <w:r w:rsidR="005C5464">
        <w:rPr>
          <w:rFonts w:ascii="Museo Sans 300" w:hAnsi="Museo Sans 300"/>
        </w:rPr>
        <w:t xml:space="preserve">such as Apple and Google </w:t>
      </w:r>
      <w:r w:rsidR="00B03965">
        <w:rPr>
          <w:rFonts w:ascii="Museo Sans 300" w:hAnsi="Museo Sans 300"/>
        </w:rPr>
        <w:t xml:space="preserve">Pay </w:t>
      </w:r>
      <w:r w:rsidR="005C5464">
        <w:rPr>
          <w:rFonts w:ascii="Museo Sans 300" w:hAnsi="Museo Sans 300"/>
        </w:rPr>
        <w:t xml:space="preserve">typically route via the </w:t>
      </w:r>
      <w:r w:rsidR="00DF0E07">
        <w:rPr>
          <w:rFonts w:ascii="Museo Sans 300" w:hAnsi="Museo Sans 300"/>
        </w:rPr>
        <w:t>global card</w:t>
      </w:r>
      <w:r w:rsidR="005C5464">
        <w:rPr>
          <w:rFonts w:ascii="Museo Sans 300" w:hAnsi="Museo Sans 300"/>
        </w:rPr>
        <w:t xml:space="preserve"> </w:t>
      </w:r>
      <w:r w:rsidR="00E208D2">
        <w:rPr>
          <w:rFonts w:ascii="Museo Sans 300" w:hAnsi="Museo Sans 300"/>
        </w:rPr>
        <w:t>network</w:t>
      </w:r>
      <w:r w:rsidR="005C5464">
        <w:rPr>
          <w:rFonts w:ascii="Museo Sans 300" w:hAnsi="Museo Sans 300"/>
        </w:rPr>
        <w:t xml:space="preserve"> by default, requiring the consumer to </w:t>
      </w:r>
      <w:r w:rsidR="002D3398">
        <w:rPr>
          <w:rFonts w:ascii="Museo Sans 300" w:hAnsi="Museo Sans 300"/>
        </w:rPr>
        <w:t>t</w:t>
      </w:r>
      <w:r w:rsidR="005C5464">
        <w:rPr>
          <w:rFonts w:ascii="Museo Sans 300" w:hAnsi="Museo Sans 300"/>
        </w:rPr>
        <w:t xml:space="preserve">ake </w:t>
      </w:r>
      <w:r w:rsidR="002D3398">
        <w:rPr>
          <w:rFonts w:ascii="Museo Sans 300" w:hAnsi="Museo Sans 300"/>
        </w:rPr>
        <w:t xml:space="preserve">multiple </w:t>
      </w:r>
      <w:r w:rsidR="005C5464">
        <w:rPr>
          <w:rFonts w:ascii="Museo Sans 300" w:hAnsi="Museo Sans 300"/>
        </w:rPr>
        <w:t xml:space="preserve">steps within the app </w:t>
      </w:r>
      <w:r w:rsidR="008334B7">
        <w:rPr>
          <w:rFonts w:ascii="Museo Sans 300" w:hAnsi="Museo Sans 300"/>
        </w:rPr>
        <w:t>to</w:t>
      </w:r>
      <w:r w:rsidR="005C5464">
        <w:rPr>
          <w:rFonts w:ascii="Museo Sans 300" w:hAnsi="Museo Sans 300"/>
        </w:rPr>
        <w:t xml:space="preserve"> alter their </w:t>
      </w:r>
      <w:r w:rsidR="00E208D2">
        <w:rPr>
          <w:rFonts w:ascii="Museo Sans 300" w:hAnsi="Museo Sans 300"/>
        </w:rPr>
        <w:t>network</w:t>
      </w:r>
      <w:r w:rsidR="005C5464">
        <w:rPr>
          <w:rFonts w:ascii="Museo Sans 300" w:hAnsi="Museo Sans 300"/>
        </w:rPr>
        <w:t xml:space="preserve"> choice</w:t>
      </w:r>
      <w:r w:rsidR="002D3398">
        <w:rPr>
          <w:rFonts w:ascii="Museo Sans 300" w:hAnsi="Museo Sans 300"/>
        </w:rPr>
        <w:t>.</w:t>
      </w:r>
      <w:r w:rsidR="002D3398">
        <w:rPr>
          <w:rStyle w:val="FootnoteReference"/>
          <w:rFonts w:ascii="Museo Sans 300" w:hAnsi="Museo Sans 300"/>
        </w:rPr>
        <w:footnoteReference w:id="10"/>
      </w:r>
      <w:r w:rsidR="0050192A">
        <w:rPr>
          <w:rFonts w:ascii="Museo Sans 300" w:hAnsi="Museo Sans 300"/>
        </w:rPr>
        <w:t xml:space="preserve"> </w:t>
      </w:r>
    </w:p>
    <w:p w14:paraId="12903243" w14:textId="34343745" w:rsidR="00E251FF" w:rsidRDefault="005C5464" w:rsidP="00530A83">
      <w:pPr>
        <w:rPr>
          <w:rFonts w:ascii="Museo Sans 300" w:hAnsi="Museo Sans 300"/>
        </w:rPr>
      </w:pPr>
      <w:r>
        <w:rPr>
          <w:rFonts w:ascii="Museo Sans 300" w:hAnsi="Museo Sans 300"/>
        </w:rPr>
        <w:lastRenderedPageBreak/>
        <w:t xml:space="preserve">With </w:t>
      </w:r>
      <w:r w:rsidR="0094059D">
        <w:rPr>
          <w:rFonts w:ascii="Museo Sans 300" w:hAnsi="Museo Sans 300"/>
        </w:rPr>
        <w:t>digital wallets</w:t>
      </w:r>
      <w:r>
        <w:rPr>
          <w:rFonts w:ascii="Museo Sans 300" w:hAnsi="Museo Sans 300"/>
        </w:rPr>
        <w:t xml:space="preserve"> forecasted to take up a growing share of the payments </w:t>
      </w:r>
      <w:proofErr w:type="gramStart"/>
      <w:r>
        <w:rPr>
          <w:rFonts w:ascii="Museo Sans 300" w:hAnsi="Museo Sans 300"/>
        </w:rPr>
        <w:t>mix</w:t>
      </w:r>
      <w:proofErr w:type="gramEnd"/>
      <w:r w:rsidR="00526FFB">
        <w:rPr>
          <w:rFonts w:ascii="Museo Sans 300" w:hAnsi="Museo Sans 300"/>
        </w:rPr>
        <w:t xml:space="preserve"> and the Covid-19 pandemic having quickened their adoption,</w:t>
      </w:r>
      <w:r w:rsidR="00526FFB">
        <w:rPr>
          <w:rStyle w:val="FootnoteReference"/>
          <w:rFonts w:ascii="Museo Sans 300" w:hAnsi="Museo Sans 300"/>
        </w:rPr>
        <w:footnoteReference w:id="11"/>
      </w:r>
      <w:r w:rsidR="00526FFB">
        <w:rPr>
          <w:rFonts w:ascii="Museo Sans 300" w:hAnsi="Museo Sans 300"/>
        </w:rPr>
        <w:t xml:space="preserve"> </w:t>
      </w:r>
      <w:r w:rsidR="00050C52">
        <w:rPr>
          <w:rFonts w:ascii="Museo Sans 300" w:hAnsi="Museo Sans 300"/>
        </w:rPr>
        <w:t>leaving routing restrictions unaddressed coul</w:t>
      </w:r>
      <w:r>
        <w:rPr>
          <w:rFonts w:ascii="Museo Sans 300" w:hAnsi="Museo Sans 300"/>
        </w:rPr>
        <w:t>d generate a serious barrier to competition</w:t>
      </w:r>
      <w:r w:rsidR="00050C52">
        <w:rPr>
          <w:rFonts w:ascii="Museo Sans 300" w:hAnsi="Museo Sans 300"/>
        </w:rPr>
        <w:t xml:space="preserve"> in the long-run</w:t>
      </w:r>
      <w:r>
        <w:rPr>
          <w:rFonts w:ascii="Museo Sans 300" w:hAnsi="Museo Sans 300"/>
        </w:rPr>
        <w:t>.</w:t>
      </w:r>
      <w:r w:rsidR="00FE7DEC">
        <w:rPr>
          <w:rFonts w:ascii="Museo Sans 300" w:hAnsi="Museo Sans 300"/>
        </w:rPr>
        <w:t xml:space="preserve"> This is particularly so given that Apple currently does not allow third parties to access its NFC technology – a development that is under scrutiny from the European Commission.</w:t>
      </w:r>
      <w:r w:rsidR="00FE7DEC">
        <w:rPr>
          <w:rStyle w:val="FootnoteReference"/>
          <w:rFonts w:ascii="Museo Sans 300" w:hAnsi="Museo Sans 300"/>
        </w:rPr>
        <w:footnoteReference w:id="12"/>
      </w:r>
      <w:r>
        <w:rPr>
          <w:rFonts w:ascii="Museo Sans 300" w:hAnsi="Museo Sans 300"/>
        </w:rPr>
        <w:t xml:space="preserve"> Furthermore, </w:t>
      </w:r>
      <w:r w:rsidR="002200F4">
        <w:rPr>
          <w:rFonts w:ascii="Museo Sans 300" w:hAnsi="Museo Sans 300"/>
        </w:rPr>
        <w:t>there is a concern that these transactions could</w:t>
      </w:r>
      <w:r>
        <w:rPr>
          <w:rFonts w:ascii="Museo Sans 300" w:hAnsi="Museo Sans 300"/>
        </w:rPr>
        <w:t xml:space="preserve"> be used to cross-</w:t>
      </w:r>
      <w:proofErr w:type="spellStart"/>
      <w:r>
        <w:rPr>
          <w:rFonts w:ascii="Museo Sans 300" w:hAnsi="Museo Sans 300"/>
        </w:rPr>
        <w:t>subsidise</w:t>
      </w:r>
      <w:proofErr w:type="spellEnd"/>
      <w:r>
        <w:rPr>
          <w:rFonts w:ascii="Museo Sans 300" w:hAnsi="Museo Sans 300"/>
        </w:rPr>
        <w:t xml:space="preserve"> strategic rates with the global </w:t>
      </w:r>
      <w:r w:rsidR="00E208D2">
        <w:rPr>
          <w:rFonts w:ascii="Museo Sans 300" w:hAnsi="Museo Sans 300"/>
        </w:rPr>
        <w:t>network</w:t>
      </w:r>
      <w:r>
        <w:rPr>
          <w:rFonts w:ascii="Museo Sans 300" w:hAnsi="Museo Sans 300"/>
        </w:rPr>
        <w:t xml:space="preserve">s, </w:t>
      </w:r>
      <w:proofErr w:type="gramStart"/>
      <w:r>
        <w:rPr>
          <w:rFonts w:ascii="Museo Sans 300" w:hAnsi="Museo Sans 300"/>
        </w:rPr>
        <w:t>similar to</w:t>
      </w:r>
      <w:proofErr w:type="gramEnd"/>
      <w:r>
        <w:rPr>
          <w:rFonts w:ascii="Museo Sans 300" w:hAnsi="Museo Sans 300"/>
        </w:rPr>
        <w:t xml:space="preserve"> the ‘tying conduct’ referenced in the case of credit cards.</w:t>
      </w:r>
      <w:r w:rsidR="001E0B3E">
        <w:rPr>
          <w:rFonts w:ascii="Museo Sans 300" w:hAnsi="Museo Sans 300"/>
        </w:rPr>
        <w:t xml:space="preserve"> </w:t>
      </w:r>
      <w:r w:rsidR="00D920CA">
        <w:rPr>
          <w:rFonts w:ascii="Museo Sans 300" w:hAnsi="Museo Sans 300"/>
        </w:rPr>
        <w:t xml:space="preserve">As a result, extending the requirements of </w:t>
      </w:r>
      <w:r w:rsidR="004A1E16">
        <w:rPr>
          <w:rFonts w:ascii="Museo Sans 300" w:hAnsi="Museo Sans 300"/>
        </w:rPr>
        <w:t xml:space="preserve">Routing </w:t>
      </w:r>
      <w:r w:rsidR="00D920CA">
        <w:rPr>
          <w:rFonts w:ascii="Museo Sans 300" w:hAnsi="Museo Sans 300"/>
        </w:rPr>
        <w:t xml:space="preserve">to </w:t>
      </w:r>
      <w:r w:rsidR="00954D6A">
        <w:rPr>
          <w:rFonts w:ascii="Museo Sans 300" w:hAnsi="Museo Sans 300"/>
        </w:rPr>
        <w:t>digital wallet</w:t>
      </w:r>
      <w:r w:rsidR="00D920CA">
        <w:rPr>
          <w:rFonts w:ascii="Museo Sans 300" w:hAnsi="Museo Sans 300"/>
        </w:rPr>
        <w:t xml:space="preserve"> transaction</w:t>
      </w:r>
      <w:r w:rsidR="00954D6A">
        <w:rPr>
          <w:rFonts w:ascii="Museo Sans 300" w:hAnsi="Museo Sans 300"/>
        </w:rPr>
        <w:t>s</w:t>
      </w:r>
      <w:r w:rsidR="00D95FC9">
        <w:rPr>
          <w:rFonts w:ascii="Museo Sans 300" w:hAnsi="Museo Sans 300"/>
        </w:rPr>
        <w:t xml:space="preserve"> – by mandating that dual tokenization be enabled by their providers - </w:t>
      </w:r>
      <w:r w:rsidR="008334B7">
        <w:rPr>
          <w:rFonts w:ascii="Museo Sans 300" w:hAnsi="Museo Sans 300"/>
        </w:rPr>
        <w:t>i</w:t>
      </w:r>
      <w:r w:rsidR="00D920CA">
        <w:rPr>
          <w:rFonts w:ascii="Museo Sans 300" w:hAnsi="Museo Sans 300"/>
        </w:rPr>
        <w:t>s necessary to s</w:t>
      </w:r>
      <w:r w:rsidR="004259A2">
        <w:rPr>
          <w:rFonts w:ascii="Museo Sans 300" w:hAnsi="Museo Sans 300"/>
        </w:rPr>
        <w:t>afegua</w:t>
      </w:r>
      <w:r w:rsidR="00F64A4D">
        <w:rPr>
          <w:rFonts w:ascii="Museo Sans 300" w:hAnsi="Museo Sans 300"/>
        </w:rPr>
        <w:t>rd</w:t>
      </w:r>
      <w:r w:rsidR="00D920CA">
        <w:rPr>
          <w:rFonts w:ascii="Museo Sans 300" w:hAnsi="Museo Sans 300"/>
        </w:rPr>
        <w:t xml:space="preserve"> </w:t>
      </w:r>
      <w:r w:rsidR="00526FFB">
        <w:rPr>
          <w:rFonts w:ascii="Museo Sans 300" w:hAnsi="Museo Sans 300"/>
        </w:rPr>
        <w:t xml:space="preserve">competition </w:t>
      </w:r>
      <w:r w:rsidR="008334B7">
        <w:rPr>
          <w:rFonts w:ascii="Museo Sans 300" w:hAnsi="Museo Sans 300"/>
        </w:rPr>
        <w:t>in</w:t>
      </w:r>
      <w:r w:rsidR="00526FFB">
        <w:rPr>
          <w:rFonts w:ascii="Museo Sans 300" w:hAnsi="Museo Sans 300"/>
        </w:rPr>
        <w:t xml:space="preserve"> the lon</w:t>
      </w:r>
      <w:r w:rsidR="008334B7">
        <w:rPr>
          <w:rFonts w:ascii="Museo Sans 300" w:hAnsi="Museo Sans 300"/>
        </w:rPr>
        <w:t xml:space="preserve">g </w:t>
      </w:r>
      <w:r w:rsidR="00526FFB">
        <w:rPr>
          <w:rFonts w:ascii="Museo Sans 300" w:hAnsi="Museo Sans 300"/>
        </w:rPr>
        <w:t>term.</w:t>
      </w:r>
      <w:r w:rsidR="00D920CA">
        <w:rPr>
          <w:rFonts w:ascii="Museo Sans 300" w:hAnsi="Museo Sans 300"/>
        </w:rPr>
        <w:t xml:space="preserve"> </w:t>
      </w:r>
    </w:p>
    <w:p w14:paraId="28928F1E" w14:textId="192F6C2D" w:rsidR="00E251FF" w:rsidRDefault="00E251FF" w:rsidP="00530A83">
      <w:pPr>
        <w:rPr>
          <w:rFonts w:ascii="Museo Sans 300" w:hAnsi="Museo Sans 300"/>
          <w:u w:val="single"/>
        </w:rPr>
      </w:pPr>
      <w:r w:rsidRPr="00E251FF">
        <w:rPr>
          <w:rFonts w:ascii="Museo Sans 300" w:hAnsi="Museo Sans 300"/>
          <w:u w:val="single"/>
        </w:rPr>
        <w:t>Online Transactions</w:t>
      </w:r>
    </w:p>
    <w:p w14:paraId="1C0A327F" w14:textId="17C213B5" w:rsidR="000743B8" w:rsidRDefault="001A22FF" w:rsidP="00530A83">
      <w:pPr>
        <w:rPr>
          <w:rFonts w:ascii="Museo Sans 300" w:hAnsi="Museo Sans 300"/>
        </w:rPr>
      </w:pPr>
      <w:r>
        <w:rPr>
          <w:rFonts w:ascii="Museo Sans 300" w:hAnsi="Museo Sans 300"/>
        </w:rPr>
        <w:t xml:space="preserve">Another area in which </w:t>
      </w:r>
      <w:r w:rsidR="004A1E16">
        <w:rPr>
          <w:rFonts w:ascii="Museo Sans 300" w:hAnsi="Museo Sans 300"/>
        </w:rPr>
        <w:t xml:space="preserve">Routing </w:t>
      </w:r>
      <w:r w:rsidR="00371907">
        <w:rPr>
          <w:rFonts w:ascii="Museo Sans 300" w:hAnsi="Museo Sans 300"/>
        </w:rPr>
        <w:t>remains in</w:t>
      </w:r>
      <w:r>
        <w:rPr>
          <w:rFonts w:ascii="Museo Sans 300" w:hAnsi="Museo Sans 300"/>
        </w:rPr>
        <w:t xml:space="preserve"> its infancy</w:t>
      </w:r>
      <w:r w:rsidR="00371907">
        <w:rPr>
          <w:rFonts w:ascii="Museo Sans 300" w:hAnsi="Museo Sans 300"/>
        </w:rPr>
        <w:t>, as noted by the Review,</w:t>
      </w:r>
      <w:r>
        <w:rPr>
          <w:rFonts w:ascii="Museo Sans 300" w:hAnsi="Museo Sans 300"/>
        </w:rPr>
        <w:t xml:space="preserve"> is </w:t>
      </w:r>
      <w:r w:rsidR="00371907">
        <w:rPr>
          <w:rFonts w:ascii="Museo Sans 300" w:hAnsi="Museo Sans 300"/>
        </w:rPr>
        <w:t>online commerce</w:t>
      </w:r>
      <w:r>
        <w:rPr>
          <w:rFonts w:ascii="Museo Sans 300" w:hAnsi="Museo Sans 300"/>
        </w:rPr>
        <w:t xml:space="preserve">. </w:t>
      </w:r>
      <w:r w:rsidR="0099437D">
        <w:rPr>
          <w:rFonts w:ascii="Museo Sans 300" w:hAnsi="Museo Sans 300"/>
        </w:rPr>
        <w:t xml:space="preserve">CMSPI estimates suggest that a lack of LCR </w:t>
      </w:r>
      <w:r w:rsidR="00371907">
        <w:rPr>
          <w:rFonts w:ascii="Museo Sans 300" w:hAnsi="Museo Sans 300"/>
        </w:rPr>
        <w:t>in the card-not-present space</w:t>
      </w:r>
      <w:r w:rsidR="0099437D">
        <w:rPr>
          <w:rFonts w:ascii="Museo Sans 300" w:hAnsi="Museo Sans 300"/>
        </w:rPr>
        <w:t xml:space="preserve"> </w:t>
      </w:r>
      <w:r w:rsidR="000B40BF">
        <w:rPr>
          <w:rFonts w:ascii="Museo Sans 300" w:hAnsi="Museo Sans 300"/>
        </w:rPr>
        <w:t xml:space="preserve">could </w:t>
      </w:r>
      <w:r w:rsidR="0099437D">
        <w:rPr>
          <w:rFonts w:ascii="Museo Sans 300" w:hAnsi="Museo Sans 300"/>
        </w:rPr>
        <w:t xml:space="preserve">cost Australian merchants around $0.4 billion </w:t>
      </w:r>
      <w:r>
        <w:rPr>
          <w:rFonts w:ascii="Museo Sans 300" w:hAnsi="Museo Sans 300"/>
        </w:rPr>
        <w:t>every year</w:t>
      </w:r>
      <w:r w:rsidR="00091965">
        <w:rPr>
          <w:rFonts w:ascii="Museo Sans 300" w:hAnsi="Museo Sans 300"/>
        </w:rPr>
        <w:t>. B</w:t>
      </w:r>
      <w:r>
        <w:rPr>
          <w:rFonts w:ascii="Museo Sans 300" w:hAnsi="Museo Sans 300"/>
        </w:rPr>
        <w:t>ased on 2019 ecommerce usage</w:t>
      </w:r>
      <w:r w:rsidR="00091965">
        <w:rPr>
          <w:rFonts w:ascii="Museo Sans 300" w:hAnsi="Museo Sans 300"/>
        </w:rPr>
        <w:t>, t</w:t>
      </w:r>
      <w:r w:rsidR="00114448">
        <w:rPr>
          <w:rFonts w:ascii="Museo Sans 300" w:hAnsi="Museo Sans 300"/>
        </w:rPr>
        <w:t>his figure is likely to have increased with the Covid-19 pandemic.</w:t>
      </w:r>
      <w:r w:rsidR="006D2771">
        <w:rPr>
          <w:rFonts w:ascii="Museo Sans 300" w:hAnsi="Museo Sans 300"/>
        </w:rPr>
        <w:t xml:space="preserve"> </w:t>
      </w:r>
      <w:r w:rsidR="00E251FF">
        <w:rPr>
          <w:rFonts w:ascii="Museo Sans 300" w:hAnsi="Museo Sans 300"/>
        </w:rPr>
        <w:t xml:space="preserve">CMSPI </w:t>
      </w:r>
      <w:r w:rsidR="00C45749">
        <w:rPr>
          <w:rFonts w:ascii="Museo Sans 300" w:hAnsi="Museo Sans 300"/>
        </w:rPr>
        <w:t xml:space="preserve">therefore </w:t>
      </w:r>
      <w:r w:rsidR="00E251FF">
        <w:rPr>
          <w:rFonts w:ascii="Museo Sans 300" w:hAnsi="Museo Sans 300"/>
        </w:rPr>
        <w:t xml:space="preserve">welcomes the Board’s measures to encourage competition in the </w:t>
      </w:r>
      <w:r w:rsidR="006D2771">
        <w:rPr>
          <w:rFonts w:ascii="Museo Sans 300" w:hAnsi="Museo Sans 300"/>
        </w:rPr>
        <w:t>ecommerce environment</w:t>
      </w:r>
      <w:r w:rsidR="00E251FF">
        <w:rPr>
          <w:rFonts w:ascii="Museo Sans 300" w:hAnsi="Museo Sans 300"/>
        </w:rPr>
        <w:t xml:space="preserve">. </w:t>
      </w:r>
      <w:r w:rsidR="008F4610">
        <w:rPr>
          <w:rFonts w:ascii="Museo Sans 300" w:hAnsi="Museo Sans 300"/>
        </w:rPr>
        <w:t xml:space="preserve">However, the proposals </w:t>
      </w:r>
      <w:r w:rsidR="00255711">
        <w:rPr>
          <w:rFonts w:ascii="Museo Sans 300" w:hAnsi="Museo Sans 300"/>
        </w:rPr>
        <w:t xml:space="preserve">still lead to a form of </w:t>
      </w:r>
      <w:r w:rsidR="004A1E16">
        <w:rPr>
          <w:rFonts w:ascii="Museo Sans 300" w:hAnsi="Museo Sans 300"/>
        </w:rPr>
        <w:t xml:space="preserve">Routing </w:t>
      </w:r>
      <w:r w:rsidR="00255711">
        <w:rPr>
          <w:rFonts w:ascii="Museo Sans 300" w:hAnsi="Museo Sans 300"/>
        </w:rPr>
        <w:t xml:space="preserve">that is more limited for merchants than </w:t>
      </w:r>
      <w:r w:rsidR="008F4610">
        <w:rPr>
          <w:rFonts w:ascii="Museo Sans 300" w:hAnsi="Museo Sans 300"/>
        </w:rPr>
        <w:t xml:space="preserve">in the </w:t>
      </w:r>
      <w:r w:rsidR="008665A4">
        <w:rPr>
          <w:rFonts w:ascii="Museo Sans 300" w:hAnsi="Museo Sans 300"/>
        </w:rPr>
        <w:t>face-to-face</w:t>
      </w:r>
      <w:r w:rsidR="008F4610">
        <w:rPr>
          <w:rFonts w:ascii="Museo Sans 300" w:hAnsi="Museo Sans 300"/>
        </w:rPr>
        <w:t xml:space="preserve"> environment. This is partly due to claims over security. In its work, CMSPI has not observed material differences in the security afforded to users by global and domestic card </w:t>
      </w:r>
      <w:r w:rsidR="00E208D2">
        <w:rPr>
          <w:rFonts w:ascii="Museo Sans 300" w:hAnsi="Museo Sans 300"/>
        </w:rPr>
        <w:t>network</w:t>
      </w:r>
      <w:r w:rsidR="008F4610">
        <w:rPr>
          <w:rFonts w:ascii="Museo Sans 300" w:hAnsi="Museo Sans 300"/>
        </w:rPr>
        <w:t>s</w:t>
      </w:r>
      <w:r w:rsidR="00C45749">
        <w:rPr>
          <w:rFonts w:ascii="Museo Sans 300" w:hAnsi="Museo Sans 300"/>
        </w:rPr>
        <w:t xml:space="preserve"> online</w:t>
      </w:r>
      <w:r w:rsidR="008F4610">
        <w:rPr>
          <w:rFonts w:ascii="Museo Sans 300" w:hAnsi="Museo Sans 300"/>
        </w:rPr>
        <w:t xml:space="preserve">. In 2018, for example, </w:t>
      </w:r>
      <w:r w:rsidR="006D1189">
        <w:rPr>
          <w:rFonts w:ascii="Museo Sans 300" w:hAnsi="Museo Sans 300"/>
        </w:rPr>
        <w:t xml:space="preserve">the </w:t>
      </w:r>
      <w:proofErr w:type="spellStart"/>
      <w:r w:rsidR="006D1189">
        <w:rPr>
          <w:rFonts w:ascii="Museo Sans 300" w:hAnsi="Museo Sans 300"/>
        </w:rPr>
        <w:t>Nilson</w:t>
      </w:r>
      <w:proofErr w:type="spellEnd"/>
      <w:r w:rsidR="006D1189">
        <w:rPr>
          <w:rFonts w:ascii="Museo Sans 300" w:hAnsi="Museo Sans 300"/>
        </w:rPr>
        <w:t xml:space="preserve"> Report’s review into global card fraud found a fraud loss of 7.37 cents </w:t>
      </w:r>
      <w:r w:rsidR="008665A4">
        <w:rPr>
          <w:rFonts w:ascii="Museo Sans 300" w:hAnsi="Museo Sans 300"/>
        </w:rPr>
        <w:t xml:space="preserve">per US$100 </w:t>
      </w:r>
      <w:r w:rsidR="0099437D">
        <w:rPr>
          <w:rFonts w:ascii="Museo Sans 300" w:hAnsi="Museo Sans 300"/>
        </w:rPr>
        <w:t xml:space="preserve">with </w:t>
      </w:r>
      <w:r w:rsidR="008665A4">
        <w:rPr>
          <w:rFonts w:ascii="Museo Sans 300" w:hAnsi="Museo Sans 300"/>
        </w:rPr>
        <w:t>the global card brands</w:t>
      </w:r>
      <w:r w:rsidR="0099437D">
        <w:rPr>
          <w:rFonts w:ascii="Museo Sans 300" w:hAnsi="Museo Sans 300"/>
        </w:rPr>
        <w:t xml:space="preserve"> </w:t>
      </w:r>
      <w:r w:rsidR="008665A4">
        <w:rPr>
          <w:rFonts w:ascii="Museo Sans 300" w:hAnsi="Museo Sans 300"/>
        </w:rPr>
        <w:t xml:space="preserve">compared to just 2.01 cents with domestic </w:t>
      </w:r>
      <w:r w:rsidR="00E208D2">
        <w:rPr>
          <w:rFonts w:ascii="Museo Sans 300" w:hAnsi="Museo Sans 300"/>
        </w:rPr>
        <w:t>network</w:t>
      </w:r>
      <w:r w:rsidR="008665A4">
        <w:rPr>
          <w:rFonts w:ascii="Museo Sans 300" w:hAnsi="Museo Sans 300"/>
        </w:rPr>
        <w:t>s.</w:t>
      </w:r>
      <w:r w:rsidR="00255711">
        <w:rPr>
          <w:rStyle w:val="FootnoteReference"/>
          <w:rFonts w:ascii="Museo Sans 300" w:hAnsi="Museo Sans 300"/>
        </w:rPr>
        <w:footnoteReference w:id="13"/>
      </w:r>
      <w:r w:rsidR="008665A4">
        <w:rPr>
          <w:rFonts w:ascii="Museo Sans 300" w:hAnsi="Museo Sans 300"/>
        </w:rPr>
        <w:t xml:space="preserve"> </w:t>
      </w:r>
      <w:r w:rsidR="0099437D">
        <w:rPr>
          <w:rFonts w:ascii="Museo Sans 300" w:hAnsi="Museo Sans 300"/>
        </w:rPr>
        <w:t>CMSPI therefore believes that merchant routing choice should be protected online</w:t>
      </w:r>
      <w:r w:rsidR="005639CB">
        <w:rPr>
          <w:rFonts w:ascii="Museo Sans 300" w:hAnsi="Museo Sans 300"/>
        </w:rPr>
        <w:t>.</w:t>
      </w:r>
    </w:p>
    <w:p w14:paraId="29BC0BDA" w14:textId="54D6BA29" w:rsidR="00A5130E" w:rsidRDefault="00407E12" w:rsidP="00530A83">
      <w:pPr>
        <w:rPr>
          <w:rFonts w:ascii="Museo Sans 700" w:hAnsi="Museo Sans 700"/>
          <w:color w:val="07545C"/>
          <w:sz w:val="24"/>
        </w:rPr>
      </w:pPr>
      <w:r w:rsidRPr="00DD1FA5">
        <w:rPr>
          <w:rFonts w:ascii="Museo Sans 700" w:hAnsi="Museo Sans 700"/>
          <w:color w:val="07545C"/>
          <w:sz w:val="24"/>
        </w:rPr>
        <w:t>Surcharging</w:t>
      </w:r>
    </w:p>
    <w:p w14:paraId="5074B69A" w14:textId="54B8C9BE" w:rsidR="000E7C20" w:rsidRDefault="004541E6" w:rsidP="00530A83">
      <w:pPr>
        <w:rPr>
          <w:rFonts w:ascii="Museo Sans 300" w:hAnsi="Museo Sans 300"/>
        </w:rPr>
      </w:pPr>
      <w:r>
        <w:rPr>
          <w:rFonts w:ascii="Museo Sans 300" w:hAnsi="Museo Sans 300"/>
        </w:rPr>
        <w:t>The Board’s proposed caveats towards online and digital wallet</w:t>
      </w:r>
      <w:r w:rsidR="00704EBE">
        <w:rPr>
          <w:rFonts w:ascii="Museo Sans 300" w:hAnsi="Museo Sans 300"/>
        </w:rPr>
        <w:t xml:space="preserve"> </w:t>
      </w:r>
      <w:r w:rsidR="004A1E16">
        <w:rPr>
          <w:rFonts w:ascii="Museo Sans 300" w:hAnsi="Museo Sans 300"/>
        </w:rPr>
        <w:t xml:space="preserve">Routing </w:t>
      </w:r>
      <w:r w:rsidR="00704EBE">
        <w:rPr>
          <w:rFonts w:ascii="Museo Sans 300" w:hAnsi="Museo Sans 300"/>
        </w:rPr>
        <w:t xml:space="preserve">rest on </w:t>
      </w:r>
      <w:r>
        <w:rPr>
          <w:rFonts w:ascii="Museo Sans 300" w:hAnsi="Museo Sans 300"/>
        </w:rPr>
        <w:t xml:space="preserve">the </w:t>
      </w:r>
      <w:r w:rsidR="00704EBE">
        <w:rPr>
          <w:rFonts w:ascii="Museo Sans 300" w:hAnsi="Museo Sans 300"/>
        </w:rPr>
        <w:t xml:space="preserve">protection of consumer choice. CMSPI recognizes the importance </w:t>
      </w:r>
      <w:r>
        <w:rPr>
          <w:rFonts w:ascii="Museo Sans 300" w:hAnsi="Museo Sans 300"/>
        </w:rPr>
        <w:t>of this</w:t>
      </w:r>
      <w:r w:rsidR="00704EBE">
        <w:rPr>
          <w:rFonts w:ascii="Museo Sans 300" w:hAnsi="Museo Sans 300"/>
        </w:rPr>
        <w:t xml:space="preserve"> choice in driving innovation </w:t>
      </w:r>
      <w:r w:rsidR="00093C8E">
        <w:rPr>
          <w:rFonts w:ascii="Museo Sans 300" w:hAnsi="Museo Sans 300"/>
        </w:rPr>
        <w:t>and improving c</w:t>
      </w:r>
      <w:r w:rsidR="00F87C82">
        <w:rPr>
          <w:rFonts w:ascii="Museo Sans 300" w:hAnsi="Museo Sans 300"/>
        </w:rPr>
        <w:t>ustome</w:t>
      </w:r>
      <w:r w:rsidR="00093C8E">
        <w:rPr>
          <w:rFonts w:ascii="Museo Sans 300" w:hAnsi="Museo Sans 300"/>
        </w:rPr>
        <w:t>r exper</w:t>
      </w:r>
      <w:r w:rsidR="00F87C82">
        <w:rPr>
          <w:rFonts w:ascii="Museo Sans 300" w:hAnsi="Museo Sans 300"/>
        </w:rPr>
        <w:t>ie</w:t>
      </w:r>
      <w:r w:rsidR="00093C8E">
        <w:rPr>
          <w:rFonts w:ascii="Museo Sans 300" w:hAnsi="Museo Sans 300"/>
        </w:rPr>
        <w:t>nce</w:t>
      </w:r>
      <w:r w:rsidR="00704EBE">
        <w:rPr>
          <w:rFonts w:ascii="Museo Sans 300" w:hAnsi="Museo Sans 300"/>
        </w:rPr>
        <w:t xml:space="preserve">. However, </w:t>
      </w:r>
      <w:r w:rsidR="000B68E1">
        <w:rPr>
          <w:rFonts w:ascii="Museo Sans 300" w:hAnsi="Museo Sans 300"/>
        </w:rPr>
        <w:t xml:space="preserve">there is </w:t>
      </w:r>
      <w:r w:rsidR="005709CE">
        <w:rPr>
          <w:rFonts w:ascii="Museo Sans 300" w:hAnsi="Museo Sans 300"/>
        </w:rPr>
        <w:t>a concern</w:t>
      </w:r>
      <w:r w:rsidR="006843D9">
        <w:rPr>
          <w:rFonts w:ascii="Museo Sans 300" w:hAnsi="Museo Sans 300"/>
        </w:rPr>
        <w:t xml:space="preserve"> </w:t>
      </w:r>
      <w:r w:rsidR="00704EBE">
        <w:rPr>
          <w:rFonts w:ascii="Museo Sans 300" w:hAnsi="Museo Sans 300"/>
        </w:rPr>
        <w:t>given the unique structure of the payments market</w:t>
      </w:r>
      <w:r w:rsidR="006843D9">
        <w:rPr>
          <w:rFonts w:ascii="Museo Sans 300" w:hAnsi="Museo Sans 300"/>
        </w:rPr>
        <w:t xml:space="preserve"> </w:t>
      </w:r>
      <w:r w:rsidR="005709CE">
        <w:rPr>
          <w:rFonts w:ascii="Museo Sans 300" w:hAnsi="Museo Sans 300"/>
        </w:rPr>
        <w:t>that</w:t>
      </w:r>
      <w:r w:rsidR="00704EBE">
        <w:rPr>
          <w:rFonts w:ascii="Museo Sans 300" w:hAnsi="Museo Sans 300"/>
        </w:rPr>
        <w:t xml:space="preserve"> </w:t>
      </w:r>
      <w:r w:rsidR="000B68E1">
        <w:rPr>
          <w:rFonts w:ascii="Museo Sans 300" w:hAnsi="Museo Sans 300"/>
        </w:rPr>
        <w:t>the</w:t>
      </w:r>
      <w:r w:rsidR="00704EBE">
        <w:rPr>
          <w:rFonts w:ascii="Museo Sans 300" w:hAnsi="Museo Sans 300"/>
        </w:rPr>
        <w:t xml:space="preserve"> maximization of consumer choice c</w:t>
      </w:r>
      <w:r w:rsidR="006B3812">
        <w:rPr>
          <w:rFonts w:ascii="Museo Sans 300" w:hAnsi="Museo Sans 300"/>
        </w:rPr>
        <w:t>ould</w:t>
      </w:r>
      <w:r w:rsidR="005709CE">
        <w:rPr>
          <w:rFonts w:ascii="Museo Sans 300" w:hAnsi="Museo Sans 300"/>
        </w:rPr>
        <w:t xml:space="preserve"> </w:t>
      </w:r>
      <w:r w:rsidR="00704EBE">
        <w:rPr>
          <w:rFonts w:ascii="Museo Sans 300" w:hAnsi="Museo Sans 300"/>
        </w:rPr>
        <w:t xml:space="preserve">lead to higher </w:t>
      </w:r>
      <w:r w:rsidR="00B03965">
        <w:rPr>
          <w:rFonts w:ascii="Museo Sans 300" w:hAnsi="Museo Sans 300"/>
        </w:rPr>
        <w:t>fees for merchants and therefore higher prices for consumers</w:t>
      </w:r>
      <w:r w:rsidR="00704EBE">
        <w:rPr>
          <w:rFonts w:ascii="Museo Sans 300" w:hAnsi="Museo Sans 300"/>
        </w:rPr>
        <w:t>. This is because, as the Review notes, surcharging is not a widespread practice in Australi</w:t>
      </w:r>
      <w:r w:rsidR="006B3812">
        <w:rPr>
          <w:rFonts w:ascii="Museo Sans 300" w:hAnsi="Museo Sans 300"/>
        </w:rPr>
        <w:t>a. Co</w:t>
      </w:r>
      <w:r w:rsidR="00704EBE">
        <w:rPr>
          <w:rFonts w:ascii="Museo Sans 300" w:hAnsi="Museo Sans 300"/>
        </w:rPr>
        <w:t>nsumers are therefore</w:t>
      </w:r>
      <w:r w:rsidR="006843D9">
        <w:rPr>
          <w:rFonts w:ascii="Museo Sans 300" w:hAnsi="Museo Sans 300"/>
        </w:rPr>
        <w:t xml:space="preserve"> largely</w:t>
      </w:r>
      <w:r w:rsidR="00704EBE">
        <w:rPr>
          <w:rFonts w:ascii="Museo Sans 300" w:hAnsi="Museo Sans 300"/>
        </w:rPr>
        <w:t xml:space="preserve"> indifferent between payment types </w:t>
      </w:r>
      <w:r w:rsidR="006843D9">
        <w:rPr>
          <w:rFonts w:ascii="Museo Sans 300" w:hAnsi="Museo Sans 300"/>
        </w:rPr>
        <w:t>regardless</w:t>
      </w:r>
      <w:r w:rsidR="00704EBE">
        <w:rPr>
          <w:rFonts w:ascii="Museo Sans 300" w:hAnsi="Museo Sans 300"/>
        </w:rPr>
        <w:t xml:space="preserve"> </w:t>
      </w:r>
      <w:r w:rsidR="006843D9">
        <w:rPr>
          <w:rFonts w:ascii="Museo Sans 300" w:hAnsi="Museo Sans 300"/>
        </w:rPr>
        <w:t xml:space="preserve">of </w:t>
      </w:r>
      <w:r w:rsidR="00704EBE">
        <w:rPr>
          <w:rFonts w:ascii="Museo Sans 300" w:hAnsi="Museo Sans 300"/>
        </w:rPr>
        <w:t>the costs they impo</w:t>
      </w:r>
      <w:r w:rsidR="00CB6992">
        <w:rPr>
          <w:rFonts w:ascii="Museo Sans 300" w:hAnsi="Museo Sans 300"/>
        </w:rPr>
        <w:t>se on</w:t>
      </w:r>
      <w:r w:rsidR="00F7265E">
        <w:rPr>
          <w:rFonts w:ascii="Museo Sans 300" w:hAnsi="Museo Sans 300"/>
        </w:rPr>
        <w:t xml:space="preserve"> </w:t>
      </w:r>
      <w:r w:rsidR="00704EBE">
        <w:rPr>
          <w:rFonts w:ascii="Museo Sans 300" w:hAnsi="Museo Sans 300"/>
        </w:rPr>
        <w:t xml:space="preserve">businesses. Given </w:t>
      </w:r>
      <w:r w:rsidR="00052B97">
        <w:rPr>
          <w:rFonts w:ascii="Museo Sans 300" w:hAnsi="Museo Sans 300"/>
        </w:rPr>
        <w:t xml:space="preserve">many </w:t>
      </w:r>
      <w:r w:rsidR="00704EBE">
        <w:rPr>
          <w:rFonts w:ascii="Museo Sans 300" w:hAnsi="Museo Sans 300"/>
        </w:rPr>
        <w:t>retailers’ low operating margins (particularly relative to the financial services industry), it is</w:t>
      </w:r>
      <w:r w:rsidR="00F7265E">
        <w:rPr>
          <w:rFonts w:ascii="Museo Sans 300" w:hAnsi="Museo Sans 300"/>
        </w:rPr>
        <w:t xml:space="preserve"> more</w:t>
      </w:r>
      <w:r w:rsidR="00704EBE">
        <w:rPr>
          <w:rFonts w:ascii="Museo Sans 300" w:hAnsi="Museo Sans 300"/>
        </w:rPr>
        <w:t xml:space="preserve"> likely that a retailer </w:t>
      </w:r>
      <w:r w:rsidR="00052B97">
        <w:rPr>
          <w:rFonts w:ascii="Museo Sans 300" w:hAnsi="Museo Sans 300"/>
        </w:rPr>
        <w:t xml:space="preserve">may </w:t>
      </w:r>
      <w:r w:rsidR="00704EBE">
        <w:rPr>
          <w:rFonts w:ascii="Museo Sans 300" w:hAnsi="Museo Sans 300"/>
        </w:rPr>
        <w:t>have to factor these costs into their</w:t>
      </w:r>
      <w:r w:rsidR="000B68E1">
        <w:rPr>
          <w:rFonts w:ascii="Museo Sans 300" w:hAnsi="Museo Sans 300"/>
        </w:rPr>
        <w:t xml:space="preserve"> overall</w:t>
      </w:r>
      <w:r w:rsidR="00704EBE">
        <w:rPr>
          <w:rFonts w:ascii="Museo Sans 300" w:hAnsi="Museo Sans 300"/>
        </w:rPr>
        <w:t xml:space="preserve"> pricing decisions</w:t>
      </w:r>
      <w:r w:rsidR="00F7265E">
        <w:rPr>
          <w:rFonts w:ascii="Museo Sans 300" w:hAnsi="Museo Sans 300"/>
        </w:rPr>
        <w:t xml:space="preserve"> as average acceptance costs grow</w:t>
      </w:r>
      <w:r w:rsidR="00704EBE">
        <w:rPr>
          <w:rFonts w:ascii="Museo Sans 300" w:hAnsi="Museo Sans 300"/>
        </w:rPr>
        <w:t xml:space="preserve">. </w:t>
      </w:r>
      <w:r w:rsidR="0043177B">
        <w:rPr>
          <w:rFonts w:ascii="Museo Sans 300" w:hAnsi="Museo Sans 300"/>
        </w:rPr>
        <w:t xml:space="preserve">In fact, </w:t>
      </w:r>
      <w:r w:rsidR="000E7C20">
        <w:rPr>
          <w:rFonts w:ascii="Museo Sans 300" w:hAnsi="Museo Sans 300"/>
        </w:rPr>
        <w:t xml:space="preserve">taking </w:t>
      </w:r>
      <w:r w:rsidR="000E7C20">
        <w:rPr>
          <w:rFonts w:ascii="Museo Sans 300" w:hAnsi="Museo Sans 300"/>
        </w:rPr>
        <w:lastRenderedPageBreak/>
        <w:t>findings from the EY Interchange Fee Regulation Review</w:t>
      </w:r>
      <w:r w:rsidR="00251692">
        <w:rPr>
          <w:rStyle w:val="FootnoteReference"/>
          <w:rFonts w:ascii="Museo Sans 300" w:hAnsi="Museo Sans 300"/>
        </w:rPr>
        <w:footnoteReference w:id="14"/>
      </w:r>
      <w:r w:rsidR="000E7C20">
        <w:rPr>
          <w:rFonts w:ascii="Museo Sans 300" w:hAnsi="Museo Sans 300"/>
        </w:rPr>
        <w:t xml:space="preserve"> and the Shapiro Study</w:t>
      </w:r>
      <w:r w:rsidR="00251692">
        <w:rPr>
          <w:rStyle w:val="FootnoteReference"/>
          <w:rFonts w:ascii="Museo Sans 300" w:hAnsi="Museo Sans 300"/>
        </w:rPr>
        <w:footnoteReference w:id="15"/>
      </w:r>
      <w:r w:rsidR="000E7C20">
        <w:rPr>
          <w:rFonts w:ascii="Museo Sans 300" w:hAnsi="Museo Sans 300"/>
        </w:rPr>
        <w:t xml:space="preserve"> (covering the European Union and U.S. regulation, respectively), CMSPI estimates that 71% of any reduction in card fees is </w:t>
      </w:r>
      <w:r w:rsidR="008C35AD">
        <w:rPr>
          <w:rFonts w:ascii="Museo Sans 300" w:hAnsi="Museo Sans 300"/>
        </w:rPr>
        <w:t xml:space="preserve">typically </w:t>
      </w:r>
      <w:r w:rsidR="000E7C20">
        <w:rPr>
          <w:rFonts w:ascii="Museo Sans 300" w:hAnsi="Museo Sans 300"/>
        </w:rPr>
        <w:t>passed on to consumers in the form of lower prices.</w:t>
      </w:r>
      <w:r w:rsidR="000E7C20">
        <w:rPr>
          <w:rStyle w:val="FootnoteReference"/>
          <w:rFonts w:ascii="Museo Sans 300" w:hAnsi="Museo Sans 300"/>
        </w:rPr>
        <w:footnoteReference w:id="16"/>
      </w:r>
      <w:r w:rsidR="000E7C20">
        <w:rPr>
          <w:rFonts w:ascii="Museo Sans 300" w:hAnsi="Museo Sans 300"/>
        </w:rPr>
        <w:t xml:space="preserve"> It is therefore crucial for both merchants and consumers that the party </w:t>
      </w:r>
      <w:r w:rsidR="00702BB8">
        <w:rPr>
          <w:rFonts w:ascii="Museo Sans 300" w:hAnsi="Museo Sans 300"/>
        </w:rPr>
        <w:t xml:space="preserve">directly </w:t>
      </w:r>
      <w:r w:rsidR="000E7C20">
        <w:rPr>
          <w:rFonts w:ascii="Museo Sans 300" w:hAnsi="Museo Sans 300"/>
        </w:rPr>
        <w:t>affected by pricing differentials is the one whose free choice is maximized.</w:t>
      </w:r>
      <w:r w:rsidR="0043177B">
        <w:rPr>
          <w:rFonts w:ascii="Museo Sans 300" w:hAnsi="Museo Sans 300"/>
        </w:rPr>
        <w:t xml:space="preserve"> </w:t>
      </w:r>
    </w:p>
    <w:p w14:paraId="3B4B1F0D" w14:textId="266809E5" w:rsidR="00704EBE" w:rsidRDefault="000B68E1" w:rsidP="00530A83">
      <w:pPr>
        <w:rPr>
          <w:rFonts w:ascii="Museo Sans 300" w:hAnsi="Museo Sans 300"/>
        </w:rPr>
      </w:pPr>
      <w:r>
        <w:rPr>
          <w:rFonts w:ascii="Museo Sans 300" w:hAnsi="Museo Sans 300"/>
        </w:rPr>
        <w:t xml:space="preserve">In the case of payments, the market failure that occurs when the </w:t>
      </w:r>
      <w:r w:rsidR="001C6235">
        <w:rPr>
          <w:rFonts w:ascii="Museo Sans 300" w:hAnsi="Museo Sans 300"/>
        </w:rPr>
        <w:t xml:space="preserve">pricing mechanism </w:t>
      </w:r>
      <w:r w:rsidR="000E7C20">
        <w:rPr>
          <w:rFonts w:ascii="Museo Sans 300" w:hAnsi="Museo Sans 300"/>
        </w:rPr>
        <w:t xml:space="preserve">fails to reflect underlying costs could </w:t>
      </w:r>
      <w:r>
        <w:rPr>
          <w:rFonts w:ascii="Museo Sans 300" w:hAnsi="Museo Sans 300"/>
        </w:rPr>
        <w:t xml:space="preserve">theoretically </w:t>
      </w:r>
      <w:r w:rsidR="000E7C20">
        <w:rPr>
          <w:rFonts w:ascii="Museo Sans 300" w:hAnsi="Museo Sans 300"/>
        </w:rPr>
        <w:t>be rectified through surcharging</w:t>
      </w:r>
      <w:r w:rsidR="001C6235">
        <w:rPr>
          <w:rFonts w:ascii="Museo Sans 300" w:hAnsi="Museo Sans 300"/>
        </w:rPr>
        <w:t xml:space="preserve">. </w:t>
      </w:r>
      <w:r w:rsidR="000E7C20">
        <w:rPr>
          <w:rFonts w:ascii="Museo Sans 300" w:hAnsi="Museo Sans 300"/>
        </w:rPr>
        <w:t>However, i</w:t>
      </w:r>
      <w:r w:rsidR="001C6235">
        <w:rPr>
          <w:rFonts w:ascii="Museo Sans 300" w:hAnsi="Museo Sans 300"/>
        </w:rPr>
        <w:t>n 2019 the Consumer Payments Survey found that just 4% of transactions</w:t>
      </w:r>
      <w:r w:rsidR="006843D9">
        <w:rPr>
          <w:rFonts w:ascii="Museo Sans 300" w:hAnsi="Museo Sans 300"/>
        </w:rPr>
        <w:t xml:space="preserve"> in Australia</w:t>
      </w:r>
      <w:r w:rsidR="001C6235">
        <w:rPr>
          <w:rFonts w:ascii="Museo Sans 300" w:hAnsi="Museo Sans 300"/>
        </w:rPr>
        <w:t xml:space="preserve"> attracted a surcharge</w:t>
      </w:r>
      <w:r w:rsidR="000E7C20">
        <w:rPr>
          <w:rFonts w:ascii="Museo Sans 300" w:hAnsi="Museo Sans 300"/>
        </w:rPr>
        <w:t>.</w:t>
      </w:r>
      <w:r w:rsidR="000E7C20">
        <w:rPr>
          <w:rStyle w:val="FootnoteReference"/>
          <w:rFonts w:ascii="Museo Sans 300" w:hAnsi="Museo Sans 300"/>
        </w:rPr>
        <w:footnoteReference w:id="17"/>
      </w:r>
      <w:r w:rsidR="000E7C20">
        <w:rPr>
          <w:rFonts w:ascii="Museo Sans 300" w:hAnsi="Museo Sans 300"/>
        </w:rPr>
        <w:t xml:space="preserve"> </w:t>
      </w:r>
      <w:r w:rsidR="001C6235">
        <w:rPr>
          <w:rFonts w:ascii="Museo Sans 300" w:hAnsi="Museo Sans 300"/>
        </w:rPr>
        <w:t xml:space="preserve">The Review suggests this lack of surcharging may reflect a general belief </w:t>
      </w:r>
      <w:r>
        <w:rPr>
          <w:rFonts w:ascii="Museo Sans 300" w:hAnsi="Museo Sans 300"/>
        </w:rPr>
        <w:t>amongst</w:t>
      </w:r>
      <w:r w:rsidR="001C6235">
        <w:rPr>
          <w:rFonts w:ascii="Museo Sans 300" w:hAnsi="Museo Sans 300"/>
        </w:rPr>
        <w:t xml:space="preserve"> Australian merchants that card acceptance costs are ‘sufficiently low’.</w:t>
      </w:r>
      <w:r w:rsidR="00CB6992">
        <w:rPr>
          <w:rFonts w:ascii="Museo Sans 300" w:hAnsi="Museo Sans 300"/>
        </w:rPr>
        <w:t xml:space="preserve"> However, from CMSPI’s experience working with </w:t>
      </w:r>
      <w:r w:rsidR="000E7C20">
        <w:rPr>
          <w:rFonts w:ascii="Museo Sans 300" w:hAnsi="Museo Sans 300"/>
        </w:rPr>
        <w:t>merchants</w:t>
      </w:r>
      <w:r w:rsidR="00CB6992">
        <w:rPr>
          <w:rFonts w:ascii="Museo Sans 300" w:hAnsi="Museo Sans 300"/>
        </w:rPr>
        <w:t xml:space="preserve"> it is likely that this is instead a reflection of a competitive retail environment. The Consumer Payments Survey also found that 1 in 4 respondents surveyed would avoid a merchant altogether if presented with a surcharge on their preferred payment method. Particularly given the turbulence of 2020, this is not a </w:t>
      </w:r>
      <w:r w:rsidR="001A63BE">
        <w:rPr>
          <w:rFonts w:ascii="Museo Sans 300" w:hAnsi="Museo Sans 300"/>
        </w:rPr>
        <w:t>chance</w:t>
      </w:r>
      <w:r w:rsidR="00CB6992">
        <w:rPr>
          <w:rFonts w:ascii="Museo Sans 300" w:hAnsi="Museo Sans 300"/>
        </w:rPr>
        <w:t xml:space="preserve"> that </w:t>
      </w:r>
      <w:r>
        <w:rPr>
          <w:rFonts w:ascii="Museo Sans 300" w:hAnsi="Museo Sans 300"/>
        </w:rPr>
        <w:t xml:space="preserve">many </w:t>
      </w:r>
      <w:r w:rsidR="00C95C7A">
        <w:rPr>
          <w:rFonts w:ascii="Museo Sans 300" w:hAnsi="Museo Sans 300"/>
        </w:rPr>
        <w:t xml:space="preserve">– especially smaller - </w:t>
      </w:r>
      <w:r w:rsidR="00CB6992">
        <w:rPr>
          <w:rFonts w:ascii="Museo Sans 300" w:hAnsi="Museo Sans 300"/>
        </w:rPr>
        <w:t>merchants can afford</w:t>
      </w:r>
      <w:r w:rsidR="001A63BE">
        <w:rPr>
          <w:rFonts w:ascii="Museo Sans 300" w:hAnsi="Museo Sans 300"/>
        </w:rPr>
        <w:t xml:space="preserve"> to take</w:t>
      </w:r>
      <w:r w:rsidR="00CB6992">
        <w:rPr>
          <w:rFonts w:ascii="Museo Sans 300" w:hAnsi="Museo Sans 300"/>
        </w:rPr>
        <w:t>.</w:t>
      </w:r>
    </w:p>
    <w:p w14:paraId="7F1C346F" w14:textId="060872EB" w:rsidR="003326E7" w:rsidRPr="00B075DB" w:rsidRDefault="00492E74" w:rsidP="00530A83">
      <w:pPr>
        <w:rPr>
          <w:rFonts w:ascii="Museo Sans 300" w:hAnsi="Museo Sans 300"/>
        </w:rPr>
      </w:pPr>
      <w:r>
        <w:rPr>
          <w:rFonts w:ascii="Museo Sans 300" w:hAnsi="Museo Sans 300"/>
        </w:rPr>
        <w:t xml:space="preserve">Even if merchants sought to exercise their ability to surcharge, which the Review suggests can generate competition and lower costs, they are often unable to do so for one of the most expensive payment methods available: </w:t>
      </w:r>
      <w:r w:rsidR="00605FD7">
        <w:rPr>
          <w:rFonts w:ascii="Museo Sans 300" w:hAnsi="Museo Sans 300"/>
        </w:rPr>
        <w:t>Buy Now Pay Later</w:t>
      </w:r>
      <w:r w:rsidR="00702BB8">
        <w:rPr>
          <w:rFonts w:ascii="Museo Sans 300" w:hAnsi="Museo Sans 300"/>
        </w:rPr>
        <w:t xml:space="preserve"> (BNPL)</w:t>
      </w:r>
      <w:r w:rsidR="00605FD7">
        <w:rPr>
          <w:rFonts w:ascii="Museo Sans 300" w:hAnsi="Museo Sans 300"/>
        </w:rPr>
        <w:t>.</w:t>
      </w:r>
      <w:r w:rsidR="00E32C36">
        <w:rPr>
          <w:rFonts w:ascii="Museo Sans 300" w:hAnsi="Museo Sans 300"/>
        </w:rPr>
        <w:t xml:space="preserve"> Data from Worldpay suggests that 10% of online transactions in Australia were made through BNPL providers in 2020.</w:t>
      </w:r>
      <w:r w:rsidR="00E32C36">
        <w:rPr>
          <w:rStyle w:val="FootnoteReference"/>
          <w:rFonts w:ascii="Museo Sans 300" w:hAnsi="Museo Sans 300"/>
        </w:rPr>
        <w:footnoteReference w:id="18"/>
      </w:r>
      <w:r w:rsidR="00E32C36">
        <w:rPr>
          <w:rFonts w:ascii="Museo Sans 300" w:hAnsi="Museo Sans 300"/>
        </w:rPr>
        <w:t xml:space="preserve"> </w:t>
      </w:r>
      <w:r w:rsidR="00605FD7">
        <w:rPr>
          <w:rFonts w:ascii="Museo Sans 300" w:hAnsi="Museo Sans 300"/>
        </w:rPr>
        <w:t>Many</w:t>
      </w:r>
      <w:r w:rsidR="00BE7C9D">
        <w:rPr>
          <w:rFonts w:ascii="Museo Sans 300" w:hAnsi="Museo Sans 300"/>
        </w:rPr>
        <w:t xml:space="preserve"> such</w:t>
      </w:r>
      <w:r w:rsidR="00131D75">
        <w:rPr>
          <w:rFonts w:ascii="Museo Sans 300" w:hAnsi="Museo Sans 300"/>
        </w:rPr>
        <w:t xml:space="preserve"> </w:t>
      </w:r>
      <w:r w:rsidR="00605FD7">
        <w:rPr>
          <w:rFonts w:ascii="Museo Sans 300" w:hAnsi="Museo Sans 300"/>
        </w:rPr>
        <w:t xml:space="preserve">providers </w:t>
      </w:r>
      <w:r w:rsidR="00131D75">
        <w:rPr>
          <w:rFonts w:ascii="Museo Sans 300" w:hAnsi="Museo Sans 300"/>
        </w:rPr>
        <w:t>have implemented their own</w:t>
      </w:r>
      <w:r w:rsidR="00B075DB">
        <w:rPr>
          <w:rFonts w:ascii="Museo Sans 300" w:hAnsi="Museo Sans 300"/>
        </w:rPr>
        <w:t xml:space="preserve"> ‘no</w:t>
      </w:r>
      <w:r w:rsidR="00131D75">
        <w:rPr>
          <w:rFonts w:ascii="Museo Sans 300" w:hAnsi="Museo Sans 300"/>
        </w:rPr>
        <w:t xml:space="preserve"> </w:t>
      </w:r>
      <w:r w:rsidR="00B075DB">
        <w:rPr>
          <w:rFonts w:ascii="Museo Sans 300" w:hAnsi="Museo Sans 300"/>
        </w:rPr>
        <w:t>s</w:t>
      </w:r>
      <w:r w:rsidR="00131D75">
        <w:rPr>
          <w:rFonts w:ascii="Museo Sans 300" w:hAnsi="Museo Sans 300"/>
        </w:rPr>
        <w:t>urcharging</w:t>
      </w:r>
      <w:r w:rsidR="00B075DB">
        <w:rPr>
          <w:rFonts w:ascii="Museo Sans 300" w:hAnsi="Museo Sans 300"/>
        </w:rPr>
        <w:t>’</w:t>
      </w:r>
      <w:r w:rsidR="00131D75">
        <w:rPr>
          <w:rFonts w:ascii="Museo Sans 300" w:hAnsi="Museo Sans 300"/>
        </w:rPr>
        <w:t xml:space="preserve"> rules</w:t>
      </w:r>
      <w:r>
        <w:rPr>
          <w:rFonts w:ascii="Museo Sans 300" w:hAnsi="Museo Sans 300"/>
        </w:rPr>
        <w:t>.</w:t>
      </w:r>
      <w:r w:rsidR="00131D75">
        <w:rPr>
          <w:rFonts w:ascii="Museo Sans 300" w:hAnsi="Museo Sans 300"/>
        </w:rPr>
        <w:t xml:space="preserve"> The Review states that there are no current proposals to require the removal of these rules on the grounds that</w:t>
      </w:r>
      <w:r w:rsidR="00B13433">
        <w:rPr>
          <w:rFonts w:ascii="Museo Sans 300" w:hAnsi="Museo Sans 300"/>
        </w:rPr>
        <w:t xml:space="preserve"> such </w:t>
      </w:r>
      <w:r w:rsidR="00131D75">
        <w:rPr>
          <w:rFonts w:ascii="Museo Sans 300" w:hAnsi="Museo Sans 300"/>
        </w:rPr>
        <w:t xml:space="preserve">measures can encourage innovation and competition in the </w:t>
      </w:r>
      <w:r>
        <w:rPr>
          <w:rFonts w:ascii="Museo Sans 300" w:hAnsi="Museo Sans 300"/>
        </w:rPr>
        <w:t xml:space="preserve">short </w:t>
      </w:r>
      <w:r w:rsidR="00131D75">
        <w:rPr>
          <w:rFonts w:ascii="Museo Sans 300" w:hAnsi="Museo Sans 300"/>
        </w:rPr>
        <w:t xml:space="preserve">term. </w:t>
      </w:r>
      <w:r w:rsidR="00B13433">
        <w:rPr>
          <w:rFonts w:ascii="Museo Sans 300" w:hAnsi="Museo Sans 300"/>
        </w:rPr>
        <w:t xml:space="preserve">However, in the online environment, BNPL has arguably already reached critical mass. Unlike </w:t>
      </w:r>
      <w:r>
        <w:rPr>
          <w:rFonts w:ascii="Museo Sans 300" w:hAnsi="Museo Sans 300"/>
        </w:rPr>
        <w:t>in the case of cards</w:t>
      </w:r>
      <w:r w:rsidR="00B13433">
        <w:rPr>
          <w:rFonts w:ascii="Museo Sans 300" w:hAnsi="Museo Sans 300"/>
        </w:rPr>
        <w:t xml:space="preserve">, online BNPL rates are unregulated and typically </w:t>
      </w:r>
      <w:r w:rsidR="00B075DB">
        <w:rPr>
          <w:rFonts w:ascii="Museo Sans 300" w:hAnsi="Museo Sans 300"/>
        </w:rPr>
        <w:t>sit</w:t>
      </w:r>
      <w:r w:rsidR="00B13433">
        <w:rPr>
          <w:rFonts w:ascii="Museo Sans 300" w:hAnsi="Museo Sans 300"/>
        </w:rPr>
        <w:t xml:space="preserve"> upwards of 3%. In the absence of action on the fees charged by these providers, no surcharging</w:t>
      </w:r>
      <w:r>
        <w:rPr>
          <w:rFonts w:ascii="Museo Sans 300" w:hAnsi="Museo Sans 300"/>
        </w:rPr>
        <w:t xml:space="preserve"> </w:t>
      </w:r>
      <w:r w:rsidR="00B13433">
        <w:rPr>
          <w:rFonts w:ascii="Museo Sans 300" w:hAnsi="Museo Sans 300"/>
        </w:rPr>
        <w:t xml:space="preserve">rules give merchants – who are often forced to </w:t>
      </w:r>
      <w:r>
        <w:rPr>
          <w:rFonts w:ascii="Museo Sans 300" w:hAnsi="Museo Sans 300"/>
        </w:rPr>
        <w:t>accept BNPL</w:t>
      </w:r>
      <w:r w:rsidR="00B13433">
        <w:rPr>
          <w:rFonts w:ascii="Museo Sans 300" w:hAnsi="Museo Sans 300"/>
        </w:rPr>
        <w:t xml:space="preserve"> precisely due to </w:t>
      </w:r>
      <w:r>
        <w:rPr>
          <w:rFonts w:ascii="Museo Sans 300" w:hAnsi="Museo Sans 300"/>
        </w:rPr>
        <w:t>its</w:t>
      </w:r>
      <w:r w:rsidR="00B13433">
        <w:rPr>
          <w:rFonts w:ascii="Museo Sans 300" w:hAnsi="Museo Sans 300"/>
        </w:rPr>
        <w:t xml:space="preserve"> significant market share – no avenues through which to limit their costs through competition. </w:t>
      </w:r>
      <w:r w:rsidR="00275454">
        <w:rPr>
          <w:rFonts w:ascii="Museo Sans 300" w:hAnsi="Museo Sans 300"/>
        </w:rPr>
        <w:t>CMSPI therefore believes that no surcharging rules in the BNPL space warrant urgent intervention.</w:t>
      </w:r>
    </w:p>
    <w:p w14:paraId="483A269D" w14:textId="15E878B1" w:rsidR="003326E7" w:rsidRDefault="00773C54" w:rsidP="00530A83">
      <w:pPr>
        <w:rPr>
          <w:rFonts w:ascii="Museo Sans 700" w:hAnsi="Museo Sans 700"/>
          <w:color w:val="07545C"/>
          <w:sz w:val="24"/>
        </w:rPr>
      </w:pPr>
      <w:r>
        <w:rPr>
          <w:rFonts w:ascii="Museo Sans 700" w:hAnsi="Museo Sans 700"/>
          <w:color w:val="07545C"/>
          <w:sz w:val="24"/>
        </w:rPr>
        <w:t>Interchange Fees</w:t>
      </w:r>
    </w:p>
    <w:p w14:paraId="126ACF15" w14:textId="08568282" w:rsidR="00773C54" w:rsidRPr="00773C54" w:rsidRDefault="00B075DB" w:rsidP="00773C54">
      <w:pPr>
        <w:rPr>
          <w:rFonts w:ascii="Museo Sans 300" w:hAnsi="Museo Sans 300"/>
        </w:rPr>
      </w:pPr>
      <w:r>
        <w:rPr>
          <w:rFonts w:ascii="Museo Sans 300" w:hAnsi="Museo Sans 300"/>
        </w:rPr>
        <w:t xml:space="preserve">In tackling merchant </w:t>
      </w:r>
      <w:r w:rsidR="000A7091">
        <w:rPr>
          <w:rFonts w:ascii="Museo Sans 300" w:hAnsi="Museo Sans 300"/>
        </w:rPr>
        <w:t>acceptance costs</w:t>
      </w:r>
      <w:r>
        <w:rPr>
          <w:rFonts w:ascii="Museo Sans 300" w:hAnsi="Museo Sans 300"/>
        </w:rPr>
        <w:t>, o</w:t>
      </w:r>
      <w:r w:rsidR="00773C54" w:rsidRPr="00773C54">
        <w:rPr>
          <w:rFonts w:ascii="Museo Sans 300" w:hAnsi="Museo Sans 300"/>
        </w:rPr>
        <w:t xml:space="preserve">ne area in which the RBA has been </w:t>
      </w:r>
      <w:r w:rsidR="000A7091">
        <w:rPr>
          <w:rFonts w:ascii="Museo Sans 300" w:hAnsi="Museo Sans 300"/>
        </w:rPr>
        <w:t>highly proactive</w:t>
      </w:r>
      <w:r w:rsidR="00773C54" w:rsidRPr="00773C54">
        <w:rPr>
          <w:rFonts w:ascii="Museo Sans 300" w:hAnsi="Museo Sans 300"/>
        </w:rPr>
        <w:t xml:space="preserve"> is interchange</w:t>
      </w:r>
      <w:r w:rsidR="000A7091">
        <w:rPr>
          <w:rFonts w:ascii="Museo Sans 300" w:hAnsi="Museo Sans 300"/>
        </w:rPr>
        <w:t xml:space="preserve"> fees</w:t>
      </w:r>
      <w:r w:rsidR="00773C54" w:rsidRPr="00773C54">
        <w:rPr>
          <w:rFonts w:ascii="Museo Sans 300" w:hAnsi="Museo Sans 300"/>
        </w:rPr>
        <w:t xml:space="preserve">. </w:t>
      </w:r>
      <w:r w:rsidR="00773C54">
        <w:rPr>
          <w:rFonts w:ascii="Museo Sans 300" w:hAnsi="Museo Sans 300"/>
        </w:rPr>
        <w:t xml:space="preserve">One of the first jurisdictions to explicitly regulate interchange, </w:t>
      </w:r>
      <w:r w:rsidR="0003768B">
        <w:rPr>
          <w:rFonts w:ascii="Museo Sans 300" w:hAnsi="Museo Sans 300"/>
        </w:rPr>
        <w:t xml:space="preserve">CMSPI estimates </w:t>
      </w:r>
      <w:r w:rsidR="0003768B">
        <w:rPr>
          <w:rFonts w:ascii="Museo Sans 300" w:hAnsi="Museo Sans 300"/>
        </w:rPr>
        <w:lastRenderedPageBreak/>
        <w:t xml:space="preserve">suggest that </w:t>
      </w:r>
      <w:r>
        <w:rPr>
          <w:rFonts w:ascii="Museo Sans 300" w:hAnsi="Museo Sans 300"/>
        </w:rPr>
        <w:t xml:space="preserve">Australia’s </w:t>
      </w:r>
      <w:r w:rsidR="0003768B">
        <w:rPr>
          <w:rFonts w:ascii="Museo Sans 300" w:hAnsi="Museo Sans 300"/>
        </w:rPr>
        <w:t xml:space="preserve">interchange </w:t>
      </w:r>
      <w:r w:rsidR="00A24B1A">
        <w:rPr>
          <w:rFonts w:ascii="Museo Sans 300" w:hAnsi="Museo Sans 300"/>
        </w:rPr>
        <w:t xml:space="preserve">fee </w:t>
      </w:r>
      <w:r>
        <w:rPr>
          <w:rFonts w:ascii="Museo Sans 300" w:hAnsi="Museo Sans 300"/>
        </w:rPr>
        <w:t>regulation</w:t>
      </w:r>
      <w:r w:rsidR="0003768B">
        <w:rPr>
          <w:rFonts w:ascii="Museo Sans 300" w:hAnsi="Museo Sans 300"/>
        </w:rPr>
        <w:t xml:space="preserve"> </w:t>
      </w:r>
      <w:r w:rsidR="008C35AD">
        <w:rPr>
          <w:rFonts w:ascii="Museo Sans 300" w:hAnsi="Museo Sans 300"/>
        </w:rPr>
        <w:t xml:space="preserve">could save </w:t>
      </w:r>
      <w:r w:rsidR="0003768B">
        <w:rPr>
          <w:rFonts w:ascii="Museo Sans 300" w:hAnsi="Museo Sans 300"/>
        </w:rPr>
        <w:t>merchants</w:t>
      </w:r>
      <w:r>
        <w:rPr>
          <w:rFonts w:ascii="Museo Sans 300" w:hAnsi="Museo Sans 300"/>
        </w:rPr>
        <w:t xml:space="preserve"> aroun</w:t>
      </w:r>
      <w:r w:rsidR="00F17697">
        <w:rPr>
          <w:rFonts w:ascii="Museo Sans 300" w:hAnsi="Museo Sans 300"/>
        </w:rPr>
        <w:t>d</w:t>
      </w:r>
      <w:r w:rsidR="0003768B">
        <w:rPr>
          <w:rFonts w:ascii="Museo Sans 300" w:hAnsi="Museo Sans 300"/>
        </w:rPr>
        <w:t xml:space="preserve"> </w:t>
      </w:r>
      <w:r>
        <w:rPr>
          <w:rFonts w:ascii="Museo Sans 300" w:hAnsi="Museo Sans 300"/>
        </w:rPr>
        <w:t>$1.48 billion</w:t>
      </w:r>
      <w:r w:rsidR="0003768B">
        <w:rPr>
          <w:rFonts w:ascii="Museo Sans 300" w:hAnsi="Museo Sans 300"/>
        </w:rPr>
        <w:t xml:space="preserve"> annually.</w:t>
      </w:r>
      <w:r w:rsidR="0003768B">
        <w:rPr>
          <w:rStyle w:val="FootnoteReference"/>
          <w:rFonts w:ascii="Museo Sans 300" w:hAnsi="Museo Sans 300"/>
        </w:rPr>
        <w:footnoteReference w:id="19"/>
      </w:r>
      <w:r w:rsidR="0084409A">
        <w:rPr>
          <w:rFonts w:ascii="Museo Sans 300" w:hAnsi="Museo Sans 300"/>
        </w:rPr>
        <w:t xml:space="preserve"> </w:t>
      </w:r>
      <w:r w:rsidR="00F17697">
        <w:rPr>
          <w:rFonts w:ascii="Museo Sans 300" w:hAnsi="Museo Sans 300"/>
        </w:rPr>
        <w:t>Th</w:t>
      </w:r>
      <w:r w:rsidR="000A7091">
        <w:rPr>
          <w:rFonts w:ascii="Museo Sans 300" w:hAnsi="Museo Sans 300"/>
        </w:rPr>
        <w:t>is</w:t>
      </w:r>
      <w:r w:rsidR="00F17697">
        <w:rPr>
          <w:rFonts w:ascii="Museo Sans 300" w:hAnsi="Museo Sans 300"/>
        </w:rPr>
        <w:t xml:space="preserve"> figure</w:t>
      </w:r>
      <w:r w:rsidR="000A7091">
        <w:rPr>
          <w:rFonts w:ascii="Museo Sans 300" w:hAnsi="Museo Sans 300"/>
        </w:rPr>
        <w:t xml:space="preserve"> is</w:t>
      </w:r>
      <w:r w:rsidR="00F17697">
        <w:rPr>
          <w:rFonts w:ascii="Museo Sans 300" w:hAnsi="Museo Sans 300"/>
        </w:rPr>
        <w:t xml:space="preserve"> based on 2019 volumes and therefore do</w:t>
      </w:r>
      <w:r w:rsidR="000A7091">
        <w:rPr>
          <w:rFonts w:ascii="Museo Sans 300" w:hAnsi="Museo Sans 300"/>
        </w:rPr>
        <w:t>es</w:t>
      </w:r>
      <w:r w:rsidR="00F17697">
        <w:rPr>
          <w:rFonts w:ascii="Museo Sans 300" w:hAnsi="Museo Sans 300"/>
        </w:rPr>
        <w:t xml:space="preserve"> not reflect the </w:t>
      </w:r>
      <w:r w:rsidR="000A7091">
        <w:rPr>
          <w:rFonts w:ascii="Museo Sans 300" w:hAnsi="Museo Sans 300"/>
        </w:rPr>
        <w:t>relative</w:t>
      </w:r>
      <w:r w:rsidR="00F17697">
        <w:rPr>
          <w:rFonts w:ascii="Museo Sans 300" w:hAnsi="Museo Sans 300"/>
        </w:rPr>
        <w:t xml:space="preserve"> increase in card </w:t>
      </w:r>
      <w:r w:rsidR="0086257E">
        <w:rPr>
          <w:rFonts w:ascii="Museo Sans 300" w:hAnsi="Museo Sans 300"/>
        </w:rPr>
        <w:t>usage</w:t>
      </w:r>
      <w:r w:rsidR="00F17697">
        <w:rPr>
          <w:rFonts w:ascii="Museo Sans 300" w:hAnsi="Museo Sans 300"/>
        </w:rPr>
        <w:t xml:space="preserve"> in 2020. </w:t>
      </w:r>
      <w:r w:rsidR="00E15026">
        <w:rPr>
          <w:rFonts w:ascii="Museo Sans 300" w:hAnsi="Museo Sans 300"/>
        </w:rPr>
        <w:t xml:space="preserve">Although total expenditure fell with the Covid-19 pandemic, </w:t>
      </w:r>
      <w:r w:rsidR="00D35F17">
        <w:rPr>
          <w:rFonts w:ascii="Museo Sans 300" w:hAnsi="Museo Sans 300"/>
        </w:rPr>
        <w:t>estimates</w:t>
      </w:r>
      <w:r w:rsidR="00E15026">
        <w:rPr>
          <w:rFonts w:ascii="Museo Sans 300" w:hAnsi="Museo Sans 300"/>
        </w:rPr>
        <w:t xml:space="preserve"> suggest that the share of transaction value made with cards increased by 2.9% from 2019.</w:t>
      </w:r>
      <w:r w:rsidR="00D35F17">
        <w:rPr>
          <w:rStyle w:val="FootnoteReference"/>
          <w:rFonts w:ascii="Museo Sans 300" w:hAnsi="Museo Sans 300"/>
        </w:rPr>
        <w:footnoteReference w:id="20"/>
      </w:r>
      <w:r w:rsidR="00E15026">
        <w:rPr>
          <w:rFonts w:ascii="Museo Sans 300" w:hAnsi="Museo Sans 300"/>
        </w:rPr>
        <w:t xml:space="preserve"> In absolute terms, </w:t>
      </w:r>
      <w:r w:rsidR="000A7091">
        <w:rPr>
          <w:rFonts w:ascii="Museo Sans 300" w:hAnsi="Museo Sans 300"/>
        </w:rPr>
        <w:t>between 2017 and 2020</w:t>
      </w:r>
      <w:r w:rsidR="00E15026">
        <w:rPr>
          <w:rFonts w:ascii="Museo Sans 300" w:hAnsi="Museo Sans 300"/>
        </w:rPr>
        <w:t xml:space="preserve"> the</w:t>
      </w:r>
      <w:r w:rsidR="00933DB2">
        <w:rPr>
          <w:rFonts w:ascii="Museo Sans 300" w:hAnsi="Museo Sans 300"/>
        </w:rPr>
        <w:t xml:space="preserve"> estimated</w:t>
      </w:r>
      <w:r w:rsidR="00E15026">
        <w:rPr>
          <w:rFonts w:ascii="Museo Sans 300" w:hAnsi="Museo Sans 300"/>
        </w:rPr>
        <w:t xml:space="preserve"> total value of</w:t>
      </w:r>
      <w:r w:rsidR="000A7091">
        <w:rPr>
          <w:rFonts w:ascii="Museo Sans 300" w:hAnsi="Museo Sans 300"/>
        </w:rPr>
        <w:t xml:space="preserve"> card</w:t>
      </w:r>
      <w:r w:rsidR="00E15026">
        <w:rPr>
          <w:rFonts w:ascii="Museo Sans 300" w:hAnsi="Museo Sans 300"/>
        </w:rPr>
        <w:t xml:space="preserve"> transactions increased by around $54.2 billion.</w:t>
      </w:r>
      <w:r w:rsidR="00E15026">
        <w:rPr>
          <w:rStyle w:val="FootnoteReference"/>
          <w:rFonts w:ascii="Museo Sans 300" w:hAnsi="Museo Sans 300"/>
        </w:rPr>
        <w:footnoteReference w:id="21"/>
      </w:r>
      <w:r w:rsidR="00E15026">
        <w:rPr>
          <w:rFonts w:ascii="Museo Sans 300" w:hAnsi="Museo Sans 300"/>
        </w:rPr>
        <w:t xml:space="preserve"> These volumes </w:t>
      </w:r>
      <w:r w:rsidR="00933DB2">
        <w:rPr>
          <w:rFonts w:ascii="Museo Sans 300" w:hAnsi="Museo Sans 300"/>
        </w:rPr>
        <w:t>c</w:t>
      </w:r>
      <w:r w:rsidR="00FC07DA">
        <w:rPr>
          <w:rFonts w:ascii="Museo Sans 300" w:hAnsi="Museo Sans 300"/>
        </w:rPr>
        <w:t xml:space="preserve">an </w:t>
      </w:r>
      <w:r w:rsidR="00E15026">
        <w:rPr>
          <w:rFonts w:ascii="Museo Sans 300" w:hAnsi="Museo Sans 300"/>
        </w:rPr>
        <w:t>translate into substantial economies of scale for issuing banks.</w:t>
      </w:r>
      <w:r w:rsidR="000A7091">
        <w:rPr>
          <w:rFonts w:ascii="Museo Sans 300" w:hAnsi="Museo Sans 300"/>
        </w:rPr>
        <w:t xml:space="preserve"> </w:t>
      </w:r>
      <w:r w:rsidR="00E15026">
        <w:rPr>
          <w:rFonts w:ascii="Museo Sans 300" w:hAnsi="Museo Sans 300"/>
        </w:rPr>
        <w:t>With the</w:t>
      </w:r>
      <w:r w:rsidR="000A7091">
        <w:rPr>
          <w:rFonts w:ascii="Museo Sans 300" w:hAnsi="Museo Sans 300"/>
        </w:rPr>
        <w:t xml:space="preserve"> Covid-19 pandemic </w:t>
      </w:r>
      <w:r w:rsidR="002C770F">
        <w:rPr>
          <w:rFonts w:ascii="Museo Sans 300" w:hAnsi="Museo Sans 300"/>
        </w:rPr>
        <w:t xml:space="preserve">often suggested </w:t>
      </w:r>
      <w:r w:rsidR="000A7091">
        <w:rPr>
          <w:rFonts w:ascii="Museo Sans 300" w:hAnsi="Museo Sans 300"/>
        </w:rPr>
        <w:t xml:space="preserve">to have generated a long-term shift in consumer </w:t>
      </w:r>
      <w:proofErr w:type="spellStart"/>
      <w:r w:rsidR="000A7091">
        <w:rPr>
          <w:rFonts w:ascii="Museo Sans 300" w:hAnsi="Museo Sans 300"/>
        </w:rPr>
        <w:t>behaviour</w:t>
      </w:r>
      <w:proofErr w:type="spellEnd"/>
      <w:r w:rsidR="000A7091">
        <w:rPr>
          <w:rFonts w:ascii="Museo Sans 300" w:hAnsi="Museo Sans 300"/>
        </w:rPr>
        <w:t xml:space="preserve"> towards greater card usage</w:t>
      </w:r>
      <w:r w:rsidR="00E15026">
        <w:rPr>
          <w:rFonts w:ascii="Museo Sans 300" w:hAnsi="Museo Sans 300"/>
        </w:rPr>
        <w:t xml:space="preserve">, CMSPI encourages </w:t>
      </w:r>
      <w:r w:rsidR="000A7091">
        <w:rPr>
          <w:rFonts w:ascii="Museo Sans 300" w:hAnsi="Museo Sans 300"/>
        </w:rPr>
        <w:t xml:space="preserve">ensuring that </w:t>
      </w:r>
      <w:r w:rsidR="00E15026">
        <w:rPr>
          <w:rFonts w:ascii="Museo Sans 300" w:hAnsi="Museo Sans 300"/>
        </w:rPr>
        <w:t xml:space="preserve">the associated savings </w:t>
      </w:r>
      <w:r w:rsidR="000A7091">
        <w:rPr>
          <w:rFonts w:ascii="Museo Sans 300" w:hAnsi="Museo Sans 300"/>
        </w:rPr>
        <w:t>are</w:t>
      </w:r>
      <w:r w:rsidR="00A60B95">
        <w:rPr>
          <w:rFonts w:ascii="Museo Sans 300" w:hAnsi="Museo Sans 300"/>
        </w:rPr>
        <w:t xml:space="preserve"> passed onto merchants in the form of </w:t>
      </w:r>
      <w:r w:rsidR="000A7091">
        <w:rPr>
          <w:rFonts w:ascii="Museo Sans 300" w:hAnsi="Museo Sans 300"/>
        </w:rPr>
        <w:t>revised interchange</w:t>
      </w:r>
      <w:r w:rsidR="00885CC0">
        <w:rPr>
          <w:rFonts w:ascii="Museo Sans 300" w:hAnsi="Museo Sans 300"/>
        </w:rPr>
        <w:t xml:space="preserve"> caps</w:t>
      </w:r>
      <w:r w:rsidR="00D50B9B">
        <w:rPr>
          <w:rFonts w:ascii="Museo Sans 300" w:hAnsi="Museo Sans 300"/>
        </w:rPr>
        <w:t xml:space="preserve"> during the next Review.</w:t>
      </w:r>
    </w:p>
    <w:p w14:paraId="2446C6F5" w14:textId="255BCA03" w:rsidR="00773C54" w:rsidRDefault="004A1E16" w:rsidP="00530A83">
      <w:pPr>
        <w:rPr>
          <w:rFonts w:ascii="Museo Sans 700" w:hAnsi="Museo Sans 700"/>
          <w:color w:val="07545C"/>
          <w:sz w:val="24"/>
        </w:rPr>
      </w:pPr>
      <w:r>
        <w:rPr>
          <w:rFonts w:ascii="Museo Sans 700" w:hAnsi="Museo Sans 700"/>
          <w:color w:val="07545C"/>
          <w:sz w:val="24"/>
        </w:rPr>
        <w:t xml:space="preserve">Scheme </w:t>
      </w:r>
      <w:r w:rsidR="0084409A">
        <w:rPr>
          <w:rFonts w:ascii="Museo Sans 700" w:hAnsi="Museo Sans 700"/>
          <w:color w:val="07545C"/>
          <w:sz w:val="24"/>
        </w:rPr>
        <w:t>Fees</w:t>
      </w:r>
    </w:p>
    <w:p w14:paraId="419FCD13" w14:textId="01B932C0" w:rsidR="00A60B95" w:rsidRPr="00A60B95" w:rsidRDefault="00004B69" w:rsidP="00530A83">
      <w:pPr>
        <w:rPr>
          <w:rFonts w:ascii="Museo Sans 300" w:hAnsi="Museo Sans 300"/>
        </w:rPr>
      </w:pPr>
      <w:r>
        <w:rPr>
          <w:rFonts w:ascii="Museo Sans 300" w:hAnsi="Museo Sans 300"/>
        </w:rPr>
        <w:t>A</w:t>
      </w:r>
      <w:r w:rsidR="00A60B95" w:rsidRPr="00A60B95">
        <w:rPr>
          <w:rFonts w:ascii="Museo Sans 300" w:hAnsi="Museo Sans 300"/>
        </w:rPr>
        <w:t xml:space="preserve">longside interchange, </w:t>
      </w:r>
      <w:r w:rsidR="004A1E16">
        <w:rPr>
          <w:rFonts w:ascii="Museo Sans 300" w:hAnsi="Museo Sans 300"/>
        </w:rPr>
        <w:t>scheme</w:t>
      </w:r>
      <w:r w:rsidR="004A1E16" w:rsidRPr="00A60B95">
        <w:rPr>
          <w:rFonts w:ascii="Museo Sans 300" w:hAnsi="Museo Sans 300"/>
        </w:rPr>
        <w:t xml:space="preserve"> </w:t>
      </w:r>
      <w:r w:rsidR="00A60B95" w:rsidRPr="00A60B95">
        <w:rPr>
          <w:rFonts w:ascii="Museo Sans 300" w:hAnsi="Museo Sans 300"/>
        </w:rPr>
        <w:t xml:space="preserve">fees are an increasingly </w:t>
      </w:r>
      <w:r w:rsidR="0026650D">
        <w:rPr>
          <w:rFonts w:ascii="Museo Sans 300" w:hAnsi="Museo Sans 300"/>
        </w:rPr>
        <w:t>cost</w:t>
      </w:r>
      <w:r w:rsidR="000A7091">
        <w:rPr>
          <w:rFonts w:ascii="Museo Sans 300" w:hAnsi="Museo Sans 300"/>
        </w:rPr>
        <w:t xml:space="preserve">ly </w:t>
      </w:r>
      <w:r>
        <w:rPr>
          <w:rFonts w:ascii="Museo Sans 300" w:hAnsi="Museo Sans 300"/>
        </w:rPr>
        <w:t>component</w:t>
      </w:r>
      <w:r w:rsidR="00A60B95" w:rsidRPr="00A60B95">
        <w:rPr>
          <w:rFonts w:ascii="Museo Sans 300" w:hAnsi="Museo Sans 300"/>
        </w:rPr>
        <w:t xml:space="preserve"> of</w:t>
      </w:r>
      <w:r>
        <w:rPr>
          <w:rFonts w:ascii="Museo Sans 300" w:hAnsi="Museo Sans 300"/>
        </w:rPr>
        <w:t xml:space="preserve"> merchants’</w:t>
      </w:r>
      <w:r w:rsidR="00A60B95" w:rsidRPr="00A60B95">
        <w:rPr>
          <w:rFonts w:ascii="Museo Sans 300" w:hAnsi="Museo Sans 300"/>
        </w:rPr>
        <w:t xml:space="preserve"> card acceptance costs. </w:t>
      </w:r>
      <w:r w:rsidR="000D4DFB">
        <w:rPr>
          <w:rFonts w:ascii="Museo Sans 300" w:hAnsi="Museo Sans 300"/>
        </w:rPr>
        <w:t>Analysis of RBA data</w:t>
      </w:r>
      <w:r w:rsidR="00A60B95" w:rsidRPr="00A60B95">
        <w:rPr>
          <w:rFonts w:ascii="Museo Sans 300" w:hAnsi="Museo Sans 300"/>
        </w:rPr>
        <w:t xml:space="preserve"> suggest</w:t>
      </w:r>
      <w:r w:rsidR="0026650D">
        <w:rPr>
          <w:rFonts w:ascii="Museo Sans 300" w:hAnsi="Museo Sans 300"/>
        </w:rPr>
        <w:t>s</w:t>
      </w:r>
      <w:r w:rsidR="00A60B95" w:rsidRPr="00A60B95">
        <w:rPr>
          <w:rFonts w:ascii="Museo Sans 300" w:hAnsi="Museo Sans 300"/>
        </w:rPr>
        <w:t xml:space="preserve"> that the average </w:t>
      </w:r>
      <w:r w:rsidR="004A1E16">
        <w:rPr>
          <w:rFonts w:ascii="Museo Sans 300" w:hAnsi="Museo Sans 300"/>
        </w:rPr>
        <w:t>scheme</w:t>
      </w:r>
      <w:r w:rsidR="004A1E16" w:rsidRPr="00A60B95">
        <w:rPr>
          <w:rFonts w:ascii="Museo Sans 300" w:hAnsi="Museo Sans 300"/>
        </w:rPr>
        <w:t xml:space="preserve"> </w:t>
      </w:r>
      <w:r w:rsidR="00A60B95" w:rsidRPr="00A60B95">
        <w:rPr>
          <w:rFonts w:ascii="Museo Sans 300" w:hAnsi="Museo Sans 300"/>
        </w:rPr>
        <w:t xml:space="preserve">fee in Australia rose </w:t>
      </w:r>
      <w:r w:rsidR="0026650D">
        <w:rPr>
          <w:rFonts w:ascii="Museo Sans 300" w:hAnsi="Museo Sans 300"/>
        </w:rPr>
        <w:t>by around 500% between 2006 and 2013.</w:t>
      </w:r>
      <w:r w:rsidR="0026650D">
        <w:rPr>
          <w:rStyle w:val="FootnoteReference"/>
          <w:rFonts w:ascii="Museo Sans 300" w:hAnsi="Museo Sans 300"/>
        </w:rPr>
        <w:footnoteReference w:id="22"/>
      </w:r>
      <w:r w:rsidR="0026650D">
        <w:rPr>
          <w:rFonts w:ascii="Museo Sans 300" w:hAnsi="Museo Sans 300"/>
        </w:rPr>
        <w:t xml:space="preserve"> </w:t>
      </w:r>
      <w:r w:rsidR="006B4C36">
        <w:rPr>
          <w:rFonts w:ascii="Museo Sans 300" w:hAnsi="Museo Sans 300"/>
        </w:rPr>
        <w:t>A similar</w:t>
      </w:r>
      <w:r w:rsidR="0026650D">
        <w:rPr>
          <w:rFonts w:ascii="Museo Sans 300" w:hAnsi="Museo Sans 300"/>
        </w:rPr>
        <w:t xml:space="preserve"> phenomenon is observable </w:t>
      </w:r>
      <w:r w:rsidR="006C18DF">
        <w:rPr>
          <w:rFonts w:ascii="Museo Sans 300" w:hAnsi="Museo Sans 300"/>
        </w:rPr>
        <w:t xml:space="preserve">across multiple markets </w:t>
      </w:r>
      <w:r w:rsidR="0026650D">
        <w:rPr>
          <w:rFonts w:ascii="Museo Sans 300" w:hAnsi="Museo Sans 300"/>
        </w:rPr>
        <w:t>within our data</w:t>
      </w:r>
      <w:r w:rsidR="006B4C36">
        <w:rPr>
          <w:rFonts w:ascii="Museo Sans 300" w:hAnsi="Museo Sans 300"/>
        </w:rPr>
        <w:t>, particularly following interchange regulation</w:t>
      </w:r>
      <w:r w:rsidR="0026650D">
        <w:rPr>
          <w:rFonts w:ascii="Museo Sans 300" w:hAnsi="Museo Sans 300"/>
        </w:rPr>
        <w:t xml:space="preserve">. </w:t>
      </w:r>
      <w:r w:rsidR="00A60B95">
        <w:rPr>
          <w:rFonts w:ascii="Museo Sans 300" w:hAnsi="Museo Sans 300"/>
        </w:rPr>
        <w:t xml:space="preserve">As such, CMSPI strongly welcomes the Board’s recognition of </w:t>
      </w:r>
      <w:r w:rsidR="004A1E16">
        <w:rPr>
          <w:rFonts w:ascii="Museo Sans 300" w:hAnsi="Museo Sans 300"/>
        </w:rPr>
        <w:t xml:space="preserve">scheme </w:t>
      </w:r>
      <w:r w:rsidR="00A60B95">
        <w:rPr>
          <w:rFonts w:ascii="Museo Sans 300" w:hAnsi="Museo Sans 300"/>
        </w:rPr>
        <w:t xml:space="preserve">fees as a concern for merchants, and its proactive efforts to increase visibility over </w:t>
      </w:r>
      <w:r w:rsidR="006C18DF">
        <w:rPr>
          <w:rFonts w:ascii="Museo Sans 300" w:hAnsi="Museo Sans 300"/>
        </w:rPr>
        <w:t>their composition</w:t>
      </w:r>
      <w:r w:rsidR="00A60B95">
        <w:rPr>
          <w:rFonts w:ascii="Museo Sans 300" w:hAnsi="Museo Sans 300"/>
        </w:rPr>
        <w:t xml:space="preserve">. </w:t>
      </w:r>
      <w:r w:rsidR="00436ECE">
        <w:rPr>
          <w:rFonts w:ascii="Museo Sans 300" w:hAnsi="Museo Sans 300"/>
        </w:rPr>
        <w:t xml:space="preserve">In their current format, </w:t>
      </w:r>
      <w:r w:rsidR="004A1E16">
        <w:rPr>
          <w:rFonts w:ascii="Museo Sans 300" w:hAnsi="Museo Sans 300"/>
        </w:rPr>
        <w:t xml:space="preserve">scheme </w:t>
      </w:r>
      <w:r w:rsidR="00436ECE">
        <w:rPr>
          <w:rFonts w:ascii="Museo Sans 300" w:hAnsi="Museo Sans 300"/>
        </w:rPr>
        <w:t>fees are incredibly complex</w:t>
      </w:r>
      <w:r w:rsidR="00EA726C">
        <w:rPr>
          <w:rFonts w:ascii="Museo Sans 300" w:hAnsi="Museo Sans 300"/>
        </w:rPr>
        <w:t xml:space="preserve"> and genuine expertise is needed to generate meaningful insights from raw </w:t>
      </w:r>
      <w:r w:rsidR="004A1E16">
        <w:rPr>
          <w:rFonts w:ascii="Museo Sans 300" w:hAnsi="Museo Sans 300"/>
        </w:rPr>
        <w:t xml:space="preserve">scheme </w:t>
      </w:r>
      <w:r w:rsidR="00EA726C">
        <w:rPr>
          <w:rFonts w:ascii="Museo Sans 300" w:hAnsi="Museo Sans 300"/>
        </w:rPr>
        <w:t>fee data</w:t>
      </w:r>
      <w:r w:rsidR="00436ECE">
        <w:rPr>
          <w:rFonts w:ascii="Museo Sans 300" w:hAnsi="Museo Sans 300"/>
        </w:rPr>
        <w:t xml:space="preserve">. CMSPI </w:t>
      </w:r>
      <w:r w:rsidR="00CF5F2B">
        <w:rPr>
          <w:rFonts w:ascii="Museo Sans 300" w:hAnsi="Museo Sans 300"/>
        </w:rPr>
        <w:t xml:space="preserve">works with merchant-level </w:t>
      </w:r>
      <w:r w:rsidR="00B43CC6">
        <w:rPr>
          <w:rFonts w:ascii="Museo Sans 300" w:hAnsi="Museo Sans 300"/>
        </w:rPr>
        <w:t xml:space="preserve">scheme </w:t>
      </w:r>
      <w:r w:rsidR="00CF5F2B">
        <w:rPr>
          <w:rFonts w:ascii="Museo Sans 300" w:hAnsi="Museo Sans 300"/>
        </w:rPr>
        <w:t xml:space="preserve">fee data </w:t>
      </w:r>
      <w:proofErr w:type="gramStart"/>
      <w:r w:rsidR="00CF5F2B">
        <w:rPr>
          <w:rFonts w:ascii="Museo Sans 300" w:hAnsi="Museo Sans 300"/>
        </w:rPr>
        <w:t>on a daily basis</w:t>
      </w:r>
      <w:proofErr w:type="gramEnd"/>
      <w:r w:rsidR="00CF5F2B">
        <w:rPr>
          <w:rFonts w:ascii="Museo Sans 300" w:hAnsi="Museo Sans 300"/>
        </w:rPr>
        <w:t xml:space="preserve"> and </w:t>
      </w:r>
      <w:r w:rsidR="00436ECE">
        <w:rPr>
          <w:rFonts w:ascii="Museo Sans 300" w:hAnsi="Museo Sans 300"/>
        </w:rPr>
        <w:t xml:space="preserve">would therefore welcome the opportunity to collaborate with the Reserve Bank of Australia, as </w:t>
      </w:r>
      <w:r w:rsidR="006C18DF">
        <w:rPr>
          <w:rFonts w:ascii="Museo Sans 300" w:hAnsi="Museo Sans 300"/>
        </w:rPr>
        <w:t>we have</w:t>
      </w:r>
      <w:r w:rsidR="00436ECE">
        <w:rPr>
          <w:rFonts w:ascii="Museo Sans 300" w:hAnsi="Museo Sans 300"/>
        </w:rPr>
        <w:t xml:space="preserve"> with other regulators, to provide</w:t>
      </w:r>
      <w:r w:rsidR="00BD18F6">
        <w:rPr>
          <w:rFonts w:ascii="Museo Sans 300" w:hAnsi="Museo Sans 300"/>
        </w:rPr>
        <w:t xml:space="preserve"> quantitative</w:t>
      </w:r>
      <w:r w:rsidR="00436ECE">
        <w:rPr>
          <w:rFonts w:ascii="Museo Sans 300" w:hAnsi="Museo Sans 300"/>
        </w:rPr>
        <w:t xml:space="preserve"> evidence of the impact of </w:t>
      </w:r>
      <w:r w:rsidR="004A1E16">
        <w:rPr>
          <w:rFonts w:ascii="Museo Sans 300" w:hAnsi="Museo Sans 300"/>
        </w:rPr>
        <w:t xml:space="preserve">scheme </w:t>
      </w:r>
      <w:r w:rsidR="00436ECE">
        <w:rPr>
          <w:rFonts w:ascii="Museo Sans 300" w:hAnsi="Museo Sans 300"/>
        </w:rPr>
        <w:t xml:space="preserve">fee changes on </w:t>
      </w:r>
      <w:r w:rsidR="00DD7960">
        <w:rPr>
          <w:rFonts w:ascii="Museo Sans 300" w:hAnsi="Museo Sans 300"/>
        </w:rPr>
        <w:t>the merchant community</w:t>
      </w:r>
      <w:r w:rsidR="00BD18F6">
        <w:rPr>
          <w:rFonts w:ascii="Museo Sans 300" w:hAnsi="Museo Sans 300"/>
        </w:rPr>
        <w:t>.</w:t>
      </w:r>
    </w:p>
    <w:p w14:paraId="792B3512" w14:textId="102E9C70" w:rsidR="00DD1FA5" w:rsidRDefault="00DD1FA5" w:rsidP="00530A83">
      <w:pPr>
        <w:rPr>
          <w:rFonts w:ascii="Museo Sans 700" w:hAnsi="Museo Sans 700"/>
          <w:color w:val="07545C"/>
          <w:sz w:val="24"/>
        </w:rPr>
      </w:pPr>
      <w:r w:rsidRPr="00DD1FA5">
        <w:rPr>
          <w:rFonts w:ascii="Museo Sans 700" w:hAnsi="Museo Sans 700"/>
          <w:color w:val="07545C"/>
          <w:sz w:val="24"/>
        </w:rPr>
        <w:t>Merchant Acquiring</w:t>
      </w:r>
    </w:p>
    <w:p w14:paraId="46DF0902" w14:textId="51652A81" w:rsidR="00A87C83" w:rsidRDefault="00436ECE" w:rsidP="00371D85">
      <w:pPr>
        <w:rPr>
          <w:rFonts w:ascii="Museo Sans 300" w:hAnsi="Museo Sans 300"/>
        </w:rPr>
      </w:pPr>
      <w:r>
        <w:rPr>
          <w:rFonts w:ascii="Museo Sans 300" w:hAnsi="Museo Sans 300"/>
        </w:rPr>
        <w:t xml:space="preserve">The final element of the RBA’s consultation that CMSPI seeks to address is competition in </w:t>
      </w:r>
      <w:r w:rsidR="001B2AA1">
        <w:rPr>
          <w:rFonts w:ascii="Museo Sans 300" w:hAnsi="Museo Sans 300"/>
        </w:rPr>
        <w:t xml:space="preserve">the market for </w:t>
      </w:r>
      <w:r>
        <w:rPr>
          <w:rFonts w:ascii="Museo Sans 300" w:hAnsi="Museo Sans 300"/>
        </w:rPr>
        <w:t>merchant acquiring. Alongside the high costs of change noted in the Review, it is important</w:t>
      </w:r>
      <w:r w:rsidR="00F0019E">
        <w:rPr>
          <w:rFonts w:ascii="Museo Sans 300" w:hAnsi="Museo Sans 300"/>
        </w:rPr>
        <w:t xml:space="preserve"> </w:t>
      </w:r>
      <w:r w:rsidR="001B2AA1">
        <w:rPr>
          <w:rFonts w:ascii="Museo Sans 300" w:hAnsi="Museo Sans 300"/>
        </w:rPr>
        <w:t xml:space="preserve">to </w:t>
      </w:r>
      <w:r w:rsidR="00F0019E">
        <w:rPr>
          <w:rFonts w:ascii="Museo Sans 300" w:hAnsi="Museo Sans 300"/>
        </w:rPr>
        <w:t xml:space="preserve">note other limitations to competition, as well as </w:t>
      </w:r>
      <w:r w:rsidR="00972C03">
        <w:rPr>
          <w:rFonts w:ascii="Museo Sans 300" w:hAnsi="Museo Sans 300"/>
        </w:rPr>
        <w:t>how merchant fee</w:t>
      </w:r>
      <w:r w:rsidR="00F0019E">
        <w:rPr>
          <w:rFonts w:ascii="Museo Sans 300" w:hAnsi="Museo Sans 300"/>
        </w:rPr>
        <w:t xml:space="preserve"> data</w:t>
      </w:r>
      <w:r w:rsidR="00972C03">
        <w:rPr>
          <w:rFonts w:ascii="Museo Sans 300" w:hAnsi="Museo Sans 300"/>
        </w:rPr>
        <w:t xml:space="preserve"> may imply greater competition in the acquiring market than </w:t>
      </w:r>
      <w:r w:rsidR="00BD7869">
        <w:rPr>
          <w:rFonts w:ascii="Museo Sans 300" w:hAnsi="Museo Sans 300"/>
        </w:rPr>
        <w:t>end users experience</w:t>
      </w:r>
      <w:r w:rsidR="00972C03" w:rsidRPr="00C26BB0">
        <w:rPr>
          <w:rFonts w:ascii="Museo Sans 300" w:hAnsi="Museo Sans 300"/>
        </w:rPr>
        <w:t>. In Australia, t</w:t>
      </w:r>
      <w:r w:rsidR="00E17995" w:rsidRPr="00C26BB0">
        <w:rPr>
          <w:rFonts w:ascii="Museo Sans 300" w:hAnsi="Museo Sans 300"/>
        </w:rPr>
        <w:t>he largest 4 acquirers h</w:t>
      </w:r>
      <w:r w:rsidR="00972C03" w:rsidRPr="00C26BB0">
        <w:rPr>
          <w:rFonts w:ascii="Museo Sans 300" w:hAnsi="Museo Sans 300"/>
        </w:rPr>
        <w:t xml:space="preserve">old </w:t>
      </w:r>
      <w:r w:rsidR="00E17995" w:rsidRPr="00C26BB0">
        <w:rPr>
          <w:rFonts w:ascii="Museo Sans 300" w:hAnsi="Museo Sans 300"/>
        </w:rPr>
        <w:t>approximately 9</w:t>
      </w:r>
      <w:r w:rsidR="00C26BB0" w:rsidRPr="00C26BB0">
        <w:rPr>
          <w:rFonts w:ascii="Museo Sans 300" w:hAnsi="Museo Sans 300"/>
        </w:rPr>
        <w:t>0</w:t>
      </w:r>
      <w:r w:rsidR="00E17995" w:rsidRPr="00C26BB0">
        <w:rPr>
          <w:rFonts w:ascii="Museo Sans 300" w:hAnsi="Museo Sans 300"/>
        </w:rPr>
        <w:t>% of the market</w:t>
      </w:r>
      <w:r w:rsidR="005E3337">
        <w:rPr>
          <w:rFonts w:ascii="Museo Sans 300" w:hAnsi="Museo Sans 300"/>
        </w:rPr>
        <w:t>, according to</w:t>
      </w:r>
      <w:r w:rsidR="00C26BB0" w:rsidRPr="00C26BB0">
        <w:rPr>
          <w:rFonts w:ascii="Museo Sans 300" w:hAnsi="Museo Sans 300"/>
        </w:rPr>
        <w:t xml:space="preserve"> CMSPI’s insights</w:t>
      </w:r>
      <w:r w:rsidR="00CB33B6" w:rsidRPr="00C26BB0">
        <w:rPr>
          <w:rFonts w:ascii="Museo Sans 300" w:hAnsi="Museo Sans 300"/>
        </w:rPr>
        <w:t xml:space="preserve">. Their position as both issuers and acquirers </w:t>
      </w:r>
      <w:r w:rsidR="005E3337">
        <w:rPr>
          <w:rFonts w:ascii="Museo Sans 300" w:hAnsi="Museo Sans 300"/>
        </w:rPr>
        <w:t xml:space="preserve">can </w:t>
      </w:r>
      <w:r w:rsidR="00CB33B6" w:rsidRPr="00C26BB0">
        <w:rPr>
          <w:rFonts w:ascii="Museo Sans 300" w:hAnsi="Museo Sans 300"/>
        </w:rPr>
        <w:t>allow</w:t>
      </w:r>
      <w:r w:rsidR="005E3337">
        <w:rPr>
          <w:rFonts w:ascii="Museo Sans 300" w:hAnsi="Museo Sans 300"/>
        </w:rPr>
        <w:t xml:space="preserve"> </w:t>
      </w:r>
      <w:r w:rsidR="00CB33B6" w:rsidRPr="00C26BB0">
        <w:rPr>
          <w:rFonts w:ascii="Museo Sans 300" w:hAnsi="Museo Sans 300"/>
        </w:rPr>
        <w:t xml:space="preserve">them to take advantage of on-us processing, thereby reducing their </w:t>
      </w:r>
      <w:r w:rsidR="004A1E16">
        <w:rPr>
          <w:rFonts w:ascii="Museo Sans 300" w:hAnsi="Museo Sans 300"/>
        </w:rPr>
        <w:t>scheme</w:t>
      </w:r>
      <w:r w:rsidR="004A1E16" w:rsidRPr="00C26BB0">
        <w:rPr>
          <w:rFonts w:ascii="Museo Sans 300" w:hAnsi="Museo Sans 300"/>
        </w:rPr>
        <w:t xml:space="preserve"> </w:t>
      </w:r>
      <w:r w:rsidR="00CB33B6" w:rsidRPr="00C26BB0">
        <w:rPr>
          <w:rFonts w:ascii="Museo Sans 300" w:hAnsi="Museo Sans 300"/>
        </w:rPr>
        <w:t>fee burden and generating the ability to undercut potential competitors.</w:t>
      </w:r>
      <w:r w:rsidR="00CB33B6">
        <w:rPr>
          <w:rFonts w:ascii="Museo Sans 300" w:hAnsi="Museo Sans 300"/>
        </w:rPr>
        <w:t xml:space="preserve"> This can </w:t>
      </w:r>
      <w:r w:rsidR="00467F89">
        <w:rPr>
          <w:rFonts w:ascii="Museo Sans 300" w:hAnsi="Museo Sans 300"/>
        </w:rPr>
        <w:t>lead to</w:t>
      </w:r>
      <w:r w:rsidR="00CB33B6">
        <w:rPr>
          <w:rFonts w:ascii="Museo Sans 300" w:hAnsi="Museo Sans 300"/>
        </w:rPr>
        <w:t xml:space="preserve"> additional complexity; </w:t>
      </w:r>
      <w:r w:rsidR="00A87C83">
        <w:rPr>
          <w:rFonts w:ascii="Museo Sans 300" w:hAnsi="Museo Sans 300"/>
        </w:rPr>
        <w:t xml:space="preserve">on-us transactions may create the appearance of a lower acquirer </w:t>
      </w:r>
      <w:r w:rsidR="004A1E16">
        <w:rPr>
          <w:rFonts w:ascii="Museo Sans 300" w:hAnsi="Museo Sans 300"/>
        </w:rPr>
        <w:t>fee</w:t>
      </w:r>
      <w:r w:rsidR="00A87C83">
        <w:rPr>
          <w:rFonts w:ascii="Museo Sans 300" w:hAnsi="Museo Sans 300"/>
        </w:rPr>
        <w:t xml:space="preserve">, just as strategic rates between card </w:t>
      </w:r>
      <w:r w:rsidR="00E208D2">
        <w:rPr>
          <w:rFonts w:ascii="Museo Sans 300" w:hAnsi="Museo Sans 300"/>
        </w:rPr>
        <w:t>network</w:t>
      </w:r>
      <w:r w:rsidR="00A87C83">
        <w:rPr>
          <w:rFonts w:ascii="Museo Sans 300" w:hAnsi="Museo Sans 300"/>
        </w:rPr>
        <w:t xml:space="preserve">s and acquiring banks can serve to obscure underlying rates. As in the </w:t>
      </w:r>
      <w:r w:rsidR="004A1E16">
        <w:rPr>
          <w:rFonts w:ascii="Museo Sans 300" w:hAnsi="Museo Sans 300"/>
        </w:rPr>
        <w:t xml:space="preserve">scheme </w:t>
      </w:r>
      <w:r w:rsidR="00A87C83">
        <w:rPr>
          <w:rFonts w:ascii="Museo Sans 300" w:hAnsi="Museo Sans 300"/>
        </w:rPr>
        <w:t xml:space="preserve">fee case, CMSPI would welcome the opportunity to support the RBA’s </w:t>
      </w:r>
      <w:r w:rsidR="00986857">
        <w:rPr>
          <w:rFonts w:ascii="Museo Sans 300" w:hAnsi="Museo Sans 300"/>
        </w:rPr>
        <w:t xml:space="preserve">efforts through its data insights. </w:t>
      </w:r>
      <w:r w:rsidR="00A87C83">
        <w:rPr>
          <w:rFonts w:ascii="Museo Sans 300" w:hAnsi="Museo Sans 300"/>
        </w:rPr>
        <w:t xml:space="preserve"> </w:t>
      </w:r>
    </w:p>
    <w:p w14:paraId="1CB8B0FB" w14:textId="070857DE" w:rsidR="009F2D23" w:rsidRDefault="009F2D23" w:rsidP="00371D85">
      <w:pPr>
        <w:rPr>
          <w:rFonts w:ascii="Museo Sans 700" w:hAnsi="Museo Sans 700"/>
          <w:color w:val="07545C"/>
          <w:sz w:val="24"/>
        </w:rPr>
      </w:pPr>
      <w:r>
        <w:rPr>
          <w:rFonts w:ascii="Museo Sans 700" w:hAnsi="Museo Sans 700"/>
          <w:color w:val="07545C"/>
          <w:sz w:val="24"/>
        </w:rPr>
        <w:lastRenderedPageBreak/>
        <w:t>International Comparisons</w:t>
      </w:r>
    </w:p>
    <w:p w14:paraId="13F78D82" w14:textId="311C6F94" w:rsidR="00642CDB" w:rsidRDefault="009F2D23" w:rsidP="009F2D23">
      <w:pPr>
        <w:rPr>
          <w:rFonts w:ascii="Museo Sans 300" w:hAnsi="Museo Sans 300"/>
        </w:rPr>
      </w:pPr>
      <w:r>
        <w:rPr>
          <w:rFonts w:ascii="Museo Sans 300" w:hAnsi="Museo Sans 300"/>
        </w:rPr>
        <w:t xml:space="preserve">As a global </w:t>
      </w:r>
      <w:proofErr w:type="gramStart"/>
      <w:r>
        <w:rPr>
          <w:rFonts w:ascii="Museo Sans 300" w:hAnsi="Museo Sans 300"/>
        </w:rPr>
        <w:t>payments</w:t>
      </w:r>
      <w:proofErr w:type="gramEnd"/>
      <w:r>
        <w:rPr>
          <w:rFonts w:ascii="Museo Sans 300" w:hAnsi="Museo Sans 300"/>
        </w:rPr>
        <w:t xml:space="preserve"> consultancy, CMSPI is able to observe trends in card payment costs and merchant routing choice internationally and draw parallels with the Australian </w:t>
      </w:r>
      <w:r w:rsidR="00150E1E">
        <w:rPr>
          <w:rFonts w:ascii="Museo Sans 300" w:hAnsi="Museo Sans 300"/>
        </w:rPr>
        <w:t>experience</w:t>
      </w:r>
      <w:r>
        <w:rPr>
          <w:rFonts w:ascii="Museo Sans 300" w:hAnsi="Museo Sans 300"/>
        </w:rPr>
        <w:t xml:space="preserve">. </w:t>
      </w:r>
      <w:r w:rsidR="007826B5">
        <w:rPr>
          <w:rFonts w:ascii="Museo Sans 300" w:hAnsi="Museo Sans 300"/>
        </w:rPr>
        <w:t>Like</w:t>
      </w:r>
      <w:r w:rsidR="00252EA4">
        <w:rPr>
          <w:rFonts w:ascii="Museo Sans 300" w:hAnsi="Museo Sans 300"/>
        </w:rPr>
        <w:t xml:space="preserve"> Australia, o</w:t>
      </w:r>
      <w:r>
        <w:rPr>
          <w:rFonts w:ascii="Museo Sans 300" w:hAnsi="Museo Sans 300"/>
        </w:rPr>
        <w:t xml:space="preserve">ther regions have experienced increases to scheme fees </w:t>
      </w:r>
      <w:r w:rsidR="00252EA4">
        <w:rPr>
          <w:rFonts w:ascii="Museo Sans 300" w:hAnsi="Museo Sans 300"/>
        </w:rPr>
        <w:t xml:space="preserve">since interchange regulation </w:t>
      </w:r>
      <w:r>
        <w:rPr>
          <w:rFonts w:ascii="Museo Sans 300" w:hAnsi="Museo Sans 300"/>
        </w:rPr>
        <w:t xml:space="preserve">that have served to increase the cost of card acceptance over time. In Europe, for example, CMSPI estimates that increases to scheme fees since Interchange Fee Regulation in 2015 </w:t>
      </w:r>
      <w:r w:rsidR="001D5A76">
        <w:rPr>
          <w:rFonts w:ascii="Museo Sans 300" w:hAnsi="Museo Sans 300"/>
        </w:rPr>
        <w:t xml:space="preserve">amount to an additional </w:t>
      </w:r>
      <w:r>
        <w:rPr>
          <w:rFonts w:ascii="Museo Sans 300" w:hAnsi="Museo Sans 300"/>
        </w:rPr>
        <w:t>merchant</w:t>
      </w:r>
      <w:r w:rsidR="001D5A76">
        <w:rPr>
          <w:rFonts w:ascii="Museo Sans 300" w:hAnsi="Museo Sans 300"/>
        </w:rPr>
        <w:t xml:space="preserve"> cost of around</w:t>
      </w:r>
      <w:r>
        <w:rPr>
          <w:rFonts w:ascii="Museo Sans 300" w:hAnsi="Museo Sans 300"/>
        </w:rPr>
        <w:t xml:space="preserve"> </w:t>
      </w:r>
      <w:r w:rsidR="00642CDB">
        <w:rPr>
          <w:rFonts w:ascii="Museo Sans 300" w:hAnsi="Museo Sans 300"/>
        </w:rPr>
        <w:t>€</w:t>
      </w:r>
      <w:r>
        <w:rPr>
          <w:rFonts w:ascii="Museo Sans 300" w:hAnsi="Museo Sans 300"/>
        </w:rPr>
        <w:t>1.46 billion annually across the continent.</w:t>
      </w:r>
      <w:r>
        <w:rPr>
          <w:rStyle w:val="FootnoteReference"/>
          <w:rFonts w:ascii="Museo Sans 300" w:hAnsi="Museo Sans 300"/>
        </w:rPr>
        <w:footnoteReference w:id="23"/>
      </w:r>
      <w:r>
        <w:rPr>
          <w:rFonts w:ascii="Museo Sans 300" w:hAnsi="Museo Sans 300"/>
        </w:rPr>
        <w:t xml:space="preserve"> If the average Australian scheme fee reached the level of its European counterpart, our estimates suggest that this could </w:t>
      </w:r>
      <w:r w:rsidR="00642CDB">
        <w:rPr>
          <w:rFonts w:ascii="Museo Sans 300" w:hAnsi="Museo Sans 300"/>
        </w:rPr>
        <w:t xml:space="preserve">increase annual costs by around </w:t>
      </w:r>
      <w:r w:rsidR="00515268">
        <w:rPr>
          <w:rFonts w:ascii="Museo Sans 300" w:hAnsi="Museo Sans 300"/>
        </w:rPr>
        <w:t>$</w:t>
      </w:r>
      <w:r>
        <w:rPr>
          <w:rFonts w:ascii="Museo Sans 300" w:hAnsi="Museo Sans 300"/>
        </w:rPr>
        <w:t>0.33 billion.</w:t>
      </w:r>
      <w:r w:rsidR="001D5A76">
        <w:rPr>
          <w:rFonts w:ascii="Museo Sans 300" w:hAnsi="Museo Sans 300"/>
        </w:rPr>
        <w:t xml:space="preserve"> </w:t>
      </w:r>
      <w:r w:rsidR="00642CDB">
        <w:rPr>
          <w:rFonts w:ascii="Museo Sans 300" w:hAnsi="Museo Sans 300"/>
        </w:rPr>
        <w:t xml:space="preserve">It is therefore vital that scheme fees are addressed and considered in relation to global trends. </w:t>
      </w:r>
    </w:p>
    <w:p w14:paraId="2860BF41" w14:textId="67E7FF93" w:rsidR="001D5A76" w:rsidRPr="0036572F" w:rsidRDefault="001D5A76" w:rsidP="009F2D23">
      <w:pPr>
        <w:rPr>
          <w:rFonts w:ascii="Museo Sans 300" w:hAnsi="Museo Sans 300"/>
        </w:rPr>
      </w:pPr>
      <w:r>
        <w:rPr>
          <w:rFonts w:ascii="Museo Sans 300" w:hAnsi="Museo Sans 300"/>
        </w:rPr>
        <w:t xml:space="preserve">Similar international comparisons can be drawn </w:t>
      </w:r>
      <w:r w:rsidR="00642CDB">
        <w:rPr>
          <w:rFonts w:ascii="Museo Sans 300" w:hAnsi="Museo Sans 300"/>
        </w:rPr>
        <w:t>when considering local debit networks</w:t>
      </w:r>
      <w:r>
        <w:rPr>
          <w:rFonts w:ascii="Museo Sans 300" w:hAnsi="Museo Sans 300"/>
        </w:rPr>
        <w:t xml:space="preserve">. Europe has seen the abandonment of multiple local networks over the past decade, including </w:t>
      </w:r>
      <w:r w:rsidRPr="006A3B6F">
        <w:rPr>
          <w:rFonts w:ascii="Museo Sans 300" w:hAnsi="Museo Sans 300"/>
        </w:rPr>
        <w:t>Finland’s</w:t>
      </w:r>
      <w:r>
        <w:rPr>
          <w:lang w:val="en-GB"/>
        </w:rPr>
        <w:t xml:space="preserve"> </w:t>
      </w:r>
      <w:proofErr w:type="spellStart"/>
      <w:r w:rsidRPr="006A3B6F">
        <w:rPr>
          <w:rFonts w:ascii="Museo Sans 300" w:hAnsi="Museo Sans 300"/>
        </w:rPr>
        <w:t>pankkikortti</w:t>
      </w:r>
      <w:proofErr w:type="spellEnd"/>
      <w:r w:rsidRPr="006A3B6F">
        <w:rPr>
          <w:rFonts w:ascii="Museo Sans 300" w:hAnsi="Museo Sans 300"/>
        </w:rPr>
        <w:t xml:space="preserve"> (ended in 2013), Ireland’s Laser (2014), </w:t>
      </w:r>
      <w:r>
        <w:rPr>
          <w:rFonts w:ascii="Museo Sans 300" w:hAnsi="Museo Sans 300"/>
        </w:rPr>
        <w:t xml:space="preserve">the Netherlands’ PIN (2012), </w:t>
      </w:r>
      <w:r w:rsidRPr="006A3B6F">
        <w:rPr>
          <w:rFonts w:ascii="Museo Sans 300" w:hAnsi="Museo Sans 300"/>
        </w:rPr>
        <w:t>and Luxembourg’s Bancomat (2011</w:t>
      </w:r>
      <w:r>
        <w:rPr>
          <w:lang w:val="en-GB"/>
        </w:rPr>
        <w:t>).</w:t>
      </w:r>
      <w:r>
        <w:rPr>
          <w:rStyle w:val="FootnoteReference"/>
          <w:lang w:val="en-GB"/>
        </w:rPr>
        <w:footnoteReference w:id="24"/>
      </w:r>
      <w:r w:rsidR="006222A9">
        <w:rPr>
          <w:lang w:val="en-GB"/>
        </w:rPr>
        <w:t xml:space="preserve"> </w:t>
      </w:r>
      <w:r w:rsidR="006222A9" w:rsidRPr="006A3B6F">
        <w:rPr>
          <w:rFonts w:ascii="Museo Sans 300" w:hAnsi="Museo Sans 300"/>
        </w:rPr>
        <w:t xml:space="preserve">In those countries where </w:t>
      </w:r>
      <w:r w:rsidR="000C434D">
        <w:rPr>
          <w:rFonts w:ascii="Museo Sans 300" w:hAnsi="Museo Sans 300"/>
        </w:rPr>
        <w:t>a</w:t>
      </w:r>
      <w:r w:rsidR="006222A9" w:rsidRPr="006A3B6F">
        <w:rPr>
          <w:rFonts w:ascii="Museo Sans 300" w:hAnsi="Museo Sans 300"/>
        </w:rPr>
        <w:t xml:space="preserve"> </w:t>
      </w:r>
      <w:r w:rsidR="000C434D">
        <w:rPr>
          <w:rFonts w:ascii="Museo Sans 300" w:hAnsi="Museo Sans 300"/>
        </w:rPr>
        <w:t>domestic</w:t>
      </w:r>
      <w:r w:rsidR="006222A9" w:rsidRPr="006A3B6F">
        <w:rPr>
          <w:rFonts w:ascii="Museo Sans 300" w:hAnsi="Museo Sans 300"/>
        </w:rPr>
        <w:t xml:space="preserve"> network remains</w:t>
      </w:r>
      <w:r w:rsidR="006222A9">
        <w:rPr>
          <w:rFonts w:ascii="Museo Sans 300" w:hAnsi="Museo Sans 300"/>
        </w:rPr>
        <w:t>, merchant routing choice can be pivotal. Figure 3 compares the market shares of local and global card networks in Italy and Germany. Both countries share a local debit network that is available in-store. However, in Italy</w:t>
      </w:r>
      <w:r w:rsidR="00375C6E">
        <w:rPr>
          <w:rFonts w:ascii="Museo Sans 300" w:hAnsi="Museo Sans 300"/>
        </w:rPr>
        <w:t xml:space="preserve"> </w:t>
      </w:r>
      <w:r w:rsidR="006222A9">
        <w:rPr>
          <w:rFonts w:ascii="Museo Sans 300" w:hAnsi="Museo Sans 300"/>
        </w:rPr>
        <w:t xml:space="preserve">routing choice lies with the consumer at the POS, whereas merchants in Germany typically have routing choice over their transactions. Between 2015 and 2019, the market share of Italy’s </w:t>
      </w:r>
      <w:proofErr w:type="spellStart"/>
      <w:r w:rsidR="006222A9">
        <w:rPr>
          <w:rFonts w:ascii="Museo Sans 300" w:hAnsi="Museo Sans 300"/>
        </w:rPr>
        <w:t>Pagobancomat</w:t>
      </w:r>
      <w:proofErr w:type="spellEnd"/>
      <w:r w:rsidR="006222A9">
        <w:rPr>
          <w:rFonts w:ascii="Museo Sans 300" w:hAnsi="Museo Sans 300"/>
        </w:rPr>
        <w:t xml:space="preserve"> </w:t>
      </w:r>
      <w:r w:rsidR="00375C6E">
        <w:rPr>
          <w:rFonts w:ascii="Museo Sans 300" w:hAnsi="Museo Sans 300"/>
        </w:rPr>
        <w:t xml:space="preserve">is estimated to have </w:t>
      </w:r>
      <w:r w:rsidR="006222A9">
        <w:rPr>
          <w:rFonts w:ascii="Museo Sans 300" w:hAnsi="Museo Sans 300"/>
        </w:rPr>
        <w:t xml:space="preserve">declined by approximately 7 basis points, whereas Germany’s </w:t>
      </w:r>
      <w:proofErr w:type="spellStart"/>
      <w:r w:rsidR="006222A9">
        <w:rPr>
          <w:rFonts w:ascii="Museo Sans 300" w:hAnsi="Museo Sans 300"/>
        </w:rPr>
        <w:t>Girocard</w:t>
      </w:r>
      <w:proofErr w:type="spellEnd"/>
      <w:r w:rsidR="006222A9">
        <w:rPr>
          <w:rFonts w:ascii="Museo Sans 300" w:hAnsi="Museo Sans 300"/>
        </w:rPr>
        <w:t xml:space="preserve"> network continues to grow. </w:t>
      </w:r>
      <w:r w:rsidR="002C0753">
        <w:rPr>
          <w:rFonts w:ascii="Museo Sans 300" w:hAnsi="Museo Sans 300"/>
        </w:rPr>
        <w:t xml:space="preserve">From CMSPI’s experience, ensuring that merchants </w:t>
      </w:r>
      <w:proofErr w:type="gramStart"/>
      <w:r w:rsidR="002C0753">
        <w:rPr>
          <w:rFonts w:ascii="Museo Sans 300" w:hAnsi="Museo Sans 300"/>
        </w:rPr>
        <w:t>are able to</w:t>
      </w:r>
      <w:proofErr w:type="gramEnd"/>
      <w:r w:rsidR="002C0753">
        <w:rPr>
          <w:rFonts w:ascii="Museo Sans 300" w:hAnsi="Museo Sans 300"/>
        </w:rPr>
        <w:t xml:space="preserve"> leverage competition between multiple available networks is </w:t>
      </w:r>
      <w:r w:rsidR="00894404">
        <w:rPr>
          <w:rFonts w:ascii="Museo Sans 300" w:hAnsi="Museo Sans 300"/>
        </w:rPr>
        <w:t>crucial in preserving a competitive environment.</w:t>
      </w:r>
      <w:r w:rsidR="002C0753">
        <w:rPr>
          <w:rFonts w:ascii="Museo Sans 300" w:hAnsi="Museo Sans 300"/>
        </w:rPr>
        <w:t xml:space="preserve"> </w:t>
      </w:r>
    </w:p>
    <w:p w14:paraId="661F905A" w14:textId="1EBF94EE" w:rsidR="009F2D23" w:rsidRDefault="00190E5B" w:rsidP="006222A9">
      <w:pPr>
        <w:jc w:val="center"/>
        <w:rPr>
          <w:rFonts w:ascii="Museo Sans 700" w:hAnsi="Museo Sans 700"/>
          <w:color w:val="07545C"/>
          <w:sz w:val="24"/>
        </w:rPr>
      </w:pPr>
      <w:r>
        <w:rPr>
          <w:noProof/>
        </w:rPr>
        <w:lastRenderedPageBreak/>
        <w:drawing>
          <wp:inline distT="0" distB="0" distL="0" distR="0" wp14:anchorId="36C13040" wp14:editId="2C64CD29">
            <wp:extent cx="5067300" cy="3299460"/>
            <wp:effectExtent l="0" t="0" r="0" b="0"/>
            <wp:docPr id="12" name="Chart 12">
              <a:extLst xmlns:a="http://schemas.openxmlformats.org/drawingml/2006/main">
                <a:ext uri="{FF2B5EF4-FFF2-40B4-BE49-F238E27FC236}">
                  <a16:creationId xmlns:a16="http://schemas.microsoft.com/office/drawing/2014/main" id="{C3AE05CA-6D68-43AC-A61B-DA343FDA27B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D0B860B" w14:textId="328002CF" w:rsidR="006222A9" w:rsidRPr="006A3B6F" w:rsidRDefault="006222A9" w:rsidP="006222A9">
      <w:pPr>
        <w:jc w:val="center"/>
        <w:rPr>
          <w:rFonts w:ascii="Museo Sans 300" w:hAnsi="Museo Sans 300"/>
          <w:i/>
          <w:iCs/>
        </w:rPr>
      </w:pPr>
      <w:r w:rsidRPr="006A3B6F">
        <w:rPr>
          <w:rFonts w:ascii="Museo Sans 300" w:hAnsi="Museo Sans 300"/>
          <w:i/>
          <w:iCs/>
        </w:rPr>
        <w:t xml:space="preserve">Figure 3. </w:t>
      </w:r>
      <w:r w:rsidR="00493CB6">
        <w:rPr>
          <w:rFonts w:ascii="Museo Sans 300" w:hAnsi="Museo Sans 300"/>
          <w:i/>
          <w:iCs/>
        </w:rPr>
        <w:t>Estimated m</w:t>
      </w:r>
      <w:r w:rsidRPr="006A3B6F">
        <w:rPr>
          <w:rFonts w:ascii="Museo Sans 300" w:hAnsi="Museo Sans 300"/>
          <w:i/>
          <w:iCs/>
        </w:rPr>
        <w:t>arket share by value for international and global networks</w:t>
      </w:r>
      <w:r w:rsidR="00190E5B">
        <w:rPr>
          <w:rFonts w:ascii="Museo Sans 300" w:hAnsi="Museo Sans 300"/>
          <w:i/>
          <w:iCs/>
        </w:rPr>
        <w:t xml:space="preserve"> in Germany and Italy</w:t>
      </w:r>
      <w:r w:rsidRPr="006A3B6F">
        <w:rPr>
          <w:rFonts w:ascii="Museo Sans 300" w:hAnsi="Museo Sans 300"/>
          <w:i/>
          <w:iCs/>
        </w:rPr>
        <w:t>.</w:t>
      </w:r>
      <w:r w:rsidRPr="006A3B6F">
        <w:rPr>
          <w:rStyle w:val="FootnoteReference"/>
          <w:rFonts w:ascii="Museo Sans 300" w:hAnsi="Museo Sans 300"/>
          <w:i/>
          <w:iCs/>
        </w:rPr>
        <w:footnoteReference w:id="25"/>
      </w:r>
    </w:p>
    <w:p w14:paraId="073153AC" w14:textId="77777777" w:rsidR="00A97836" w:rsidRDefault="00250ABB" w:rsidP="00250ABB">
      <w:pPr>
        <w:rPr>
          <w:rFonts w:ascii="Museo Sans 300" w:hAnsi="Museo Sans 300"/>
        </w:rPr>
      </w:pPr>
      <w:r>
        <w:rPr>
          <w:rFonts w:ascii="Museo Sans 300" w:hAnsi="Museo Sans 300"/>
        </w:rPr>
        <w:t xml:space="preserve">Even in Germany, however, there have been increasing reports of the issuance of SNDCs </w:t>
      </w:r>
      <w:r w:rsidR="00AC3392">
        <w:rPr>
          <w:rFonts w:ascii="Museo Sans 300" w:hAnsi="Museo Sans 300"/>
        </w:rPr>
        <w:t>which bypass the local debit network, generating similar concerns to those expressed in the Review</w:t>
      </w:r>
      <w:r>
        <w:rPr>
          <w:rFonts w:ascii="Museo Sans 300" w:hAnsi="Museo Sans 300"/>
        </w:rPr>
        <w:t>.</w:t>
      </w:r>
      <w:r>
        <w:rPr>
          <w:rStyle w:val="FootnoteReference"/>
          <w:rFonts w:ascii="Museo Sans 300" w:hAnsi="Museo Sans 300"/>
        </w:rPr>
        <w:footnoteReference w:id="26"/>
      </w:r>
      <w:r w:rsidR="00AC3392">
        <w:rPr>
          <w:rFonts w:ascii="Museo Sans 300" w:hAnsi="Museo Sans 300"/>
        </w:rPr>
        <w:t xml:space="preserve"> In t</w:t>
      </w:r>
      <w:r w:rsidR="00952154">
        <w:rPr>
          <w:rFonts w:ascii="Museo Sans 300" w:hAnsi="Museo Sans 300"/>
        </w:rPr>
        <w:t xml:space="preserve">he absence of a regulatory mandate </w:t>
      </w:r>
      <w:r w:rsidR="00AC3392">
        <w:rPr>
          <w:rFonts w:ascii="Museo Sans 300" w:hAnsi="Museo Sans 300"/>
        </w:rPr>
        <w:t xml:space="preserve">around </w:t>
      </w:r>
      <w:r w:rsidR="00952154">
        <w:rPr>
          <w:rFonts w:ascii="Museo Sans 300" w:hAnsi="Museo Sans 300"/>
        </w:rPr>
        <w:t>co-badging, this</w:t>
      </w:r>
      <w:r w:rsidR="00AC3392">
        <w:rPr>
          <w:rFonts w:ascii="Museo Sans 300" w:hAnsi="Museo Sans 300"/>
        </w:rPr>
        <w:t xml:space="preserve"> remains</w:t>
      </w:r>
      <w:r w:rsidR="00952154">
        <w:rPr>
          <w:rFonts w:ascii="Museo Sans 300" w:hAnsi="Museo Sans 300"/>
        </w:rPr>
        <w:t xml:space="preserve"> an ongoing risk to competition. </w:t>
      </w:r>
    </w:p>
    <w:p w14:paraId="41F4FAB4" w14:textId="21B67129" w:rsidR="00250ABB" w:rsidRPr="006A3B6F" w:rsidRDefault="00952154" w:rsidP="00104619">
      <w:pPr>
        <w:rPr>
          <w:rFonts w:ascii="Museo Sans 300" w:hAnsi="Museo Sans 300"/>
        </w:rPr>
      </w:pPr>
      <w:r>
        <w:rPr>
          <w:rFonts w:ascii="Museo Sans 300" w:hAnsi="Museo Sans 300"/>
        </w:rPr>
        <w:t>In</w:t>
      </w:r>
      <w:r w:rsidR="00A97836">
        <w:rPr>
          <w:rFonts w:ascii="Museo Sans 300" w:hAnsi="Museo Sans 300"/>
        </w:rPr>
        <w:t xml:space="preserve"> contrast, </w:t>
      </w:r>
      <w:r>
        <w:rPr>
          <w:rFonts w:ascii="Museo Sans 300" w:hAnsi="Museo Sans 300"/>
        </w:rPr>
        <w:t>U.S.</w:t>
      </w:r>
      <w:r w:rsidR="00A97836">
        <w:rPr>
          <w:rFonts w:ascii="Museo Sans 300" w:hAnsi="Museo Sans 300"/>
        </w:rPr>
        <w:t xml:space="preserve"> regulation requires that</w:t>
      </w:r>
      <w:r>
        <w:rPr>
          <w:rFonts w:ascii="Museo Sans 300" w:hAnsi="Museo Sans 300"/>
        </w:rPr>
        <w:t xml:space="preserve"> all debit cards must be badged with at least two </w:t>
      </w:r>
      <w:r w:rsidR="00A97836">
        <w:rPr>
          <w:rFonts w:ascii="Museo Sans 300" w:hAnsi="Museo Sans 300"/>
        </w:rPr>
        <w:t xml:space="preserve">unaffiliated </w:t>
      </w:r>
      <w:r>
        <w:rPr>
          <w:rFonts w:ascii="Museo Sans 300" w:hAnsi="Museo Sans 300"/>
        </w:rPr>
        <w:t>networks.</w:t>
      </w:r>
      <w:r w:rsidR="00A97836">
        <w:rPr>
          <w:rFonts w:ascii="Museo Sans 300" w:hAnsi="Museo Sans 300"/>
        </w:rPr>
        <w:t xml:space="preserve"> Over the period 2011-2019, analysis of Federal Reserve data suggests that the cost of </w:t>
      </w:r>
      <w:r w:rsidR="00BF06A4">
        <w:rPr>
          <w:rFonts w:ascii="Museo Sans 300" w:hAnsi="Museo Sans 300"/>
        </w:rPr>
        <w:t xml:space="preserve">single-message </w:t>
      </w:r>
      <w:r>
        <w:rPr>
          <w:rFonts w:ascii="Museo Sans 300" w:hAnsi="Museo Sans 300"/>
        </w:rPr>
        <w:t>debit transactions for</w:t>
      </w:r>
      <w:r w:rsidR="00A97836">
        <w:rPr>
          <w:rFonts w:ascii="Museo Sans 300" w:hAnsi="Museo Sans 300"/>
        </w:rPr>
        <w:t xml:space="preserve"> exempt</w:t>
      </w:r>
      <w:r>
        <w:rPr>
          <w:rFonts w:ascii="Museo Sans 300" w:hAnsi="Museo Sans 300"/>
        </w:rPr>
        <w:t xml:space="preserve"> issuers</w:t>
      </w:r>
      <w:r w:rsidR="00A97836">
        <w:rPr>
          <w:rFonts w:ascii="Museo Sans 300" w:hAnsi="Museo Sans 300"/>
        </w:rPr>
        <w:t xml:space="preserve"> (to whom interchange caps do not apply)</w:t>
      </w:r>
      <w:r>
        <w:rPr>
          <w:rFonts w:ascii="Museo Sans 300" w:hAnsi="Museo Sans 300"/>
        </w:rPr>
        <w:t xml:space="preserve"> decreased by 5 cents</w:t>
      </w:r>
      <w:r w:rsidR="00BF06A4">
        <w:rPr>
          <w:rFonts w:ascii="Museo Sans 300" w:hAnsi="Museo Sans 300"/>
        </w:rPr>
        <w:t xml:space="preserve"> on average</w:t>
      </w:r>
      <w:r>
        <w:rPr>
          <w:rFonts w:ascii="Museo Sans 300" w:hAnsi="Museo Sans 300"/>
        </w:rPr>
        <w:t>.</w:t>
      </w:r>
      <w:r>
        <w:rPr>
          <w:rStyle w:val="FootnoteReference"/>
          <w:rFonts w:ascii="Museo Sans 300" w:hAnsi="Museo Sans 300"/>
        </w:rPr>
        <w:footnoteReference w:id="27"/>
      </w:r>
      <w:r>
        <w:rPr>
          <w:rFonts w:ascii="Museo Sans 300" w:hAnsi="Museo Sans 300"/>
        </w:rPr>
        <w:t xml:space="preserve"> This provides evidence that mandated competition </w:t>
      </w:r>
      <w:proofErr w:type="gramStart"/>
      <w:r>
        <w:rPr>
          <w:rFonts w:ascii="Museo Sans 300" w:hAnsi="Museo Sans 300"/>
        </w:rPr>
        <w:t xml:space="preserve">has the </w:t>
      </w:r>
      <w:r w:rsidR="00F5189D">
        <w:rPr>
          <w:rFonts w:ascii="Museo Sans 300" w:hAnsi="Museo Sans 300"/>
        </w:rPr>
        <w:t>ability</w:t>
      </w:r>
      <w:r>
        <w:rPr>
          <w:rFonts w:ascii="Museo Sans 300" w:hAnsi="Museo Sans 300"/>
        </w:rPr>
        <w:t xml:space="preserve"> to</w:t>
      </w:r>
      <w:proofErr w:type="gramEnd"/>
      <w:r>
        <w:rPr>
          <w:rFonts w:ascii="Museo Sans 300" w:hAnsi="Museo Sans 300"/>
        </w:rPr>
        <w:t xml:space="preserve"> exert continuous downward pressure on prices even outside of interchange caps. In contrast, dual</w:t>
      </w:r>
      <w:r w:rsidR="00BF06A4">
        <w:rPr>
          <w:rFonts w:ascii="Museo Sans 300" w:hAnsi="Museo Sans 300"/>
        </w:rPr>
        <w:t>-</w:t>
      </w:r>
      <w:r>
        <w:rPr>
          <w:rFonts w:ascii="Museo Sans 300" w:hAnsi="Museo Sans 300"/>
        </w:rPr>
        <w:t xml:space="preserve">message debit transactions – which </w:t>
      </w:r>
      <w:r w:rsidR="00A97836">
        <w:rPr>
          <w:rFonts w:ascii="Museo Sans 300" w:hAnsi="Museo Sans 300"/>
        </w:rPr>
        <w:t xml:space="preserve">do not </w:t>
      </w:r>
      <w:r w:rsidR="008F4F6C">
        <w:rPr>
          <w:rFonts w:ascii="Museo Sans 300" w:hAnsi="Museo Sans 300"/>
        </w:rPr>
        <w:t xml:space="preserve">have </w:t>
      </w:r>
      <w:r w:rsidR="00A97836">
        <w:rPr>
          <w:rFonts w:ascii="Museo Sans 300" w:hAnsi="Museo Sans 300"/>
        </w:rPr>
        <w:t>mandate</w:t>
      </w:r>
      <w:r w:rsidR="008F4F6C">
        <w:rPr>
          <w:rFonts w:ascii="Museo Sans 300" w:hAnsi="Museo Sans 300"/>
        </w:rPr>
        <w:t>d</w:t>
      </w:r>
      <w:r w:rsidR="00A97836">
        <w:rPr>
          <w:rFonts w:ascii="Museo Sans 300" w:hAnsi="Museo Sans 300"/>
        </w:rPr>
        <w:t xml:space="preserve"> </w:t>
      </w:r>
      <w:r>
        <w:rPr>
          <w:rFonts w:ascii="Museo Sans 300" w:hAnsi="Museo Sans 300"/>
        </w:rPr>
        <w:t>merchant routing choice</w:t>
      </w:r>
      <w:r w:rsidR="00A97836">
        <w:rPr>
          <w:rFonts w:ascii="Museo Sans 300" w:hAnsi="Museo Sans 300"/>
        </w:rPr>
        <w:t xml:space="preserve"> </w:t>
      </w:r>
      <w:r>
        <w:rPr>
          <w:rFonts w:ascii="Museo Sans 300" w:hAnsi="Museo Sans 300"/>
        </w:rPr>
        <w:t>– saw their</w:t>
      </w:r>
      <w:r w:rsidR="00A97836">
        <w:rPr>
          <w:rFonts w:ascii="Museo Sans 300" w:hAnsi="Museo Sans 300"/>
        </w:rPr>
        <w:t xml:space="preserve"> average</w:t>
      </w:r>
      <w:r>
        <w:rPr>
          <w:rFonts w:ascii="Museo Sans 300" w:hAnsi="Museo Sans 300"/>
        </w:rPr>
        <w:t xml:space="preserve"> pric</w:t>
      </w:r>
      <w:r w:rsidR="00A97836">
        <w:rPr>
          <w:rFonts w:ascii="Museo Sans 300" w:hAnsi="Museo Sans 300"/>
        </w:rPr>
        <w:t>e</w:t>
      </w:r>
      <w:r>
        <w:rPr>
          <w:rFonts w:ascii="Museo Sans 300" w:hAnsi="Museo Sans 300"/>
        </w:rPr>
        <w:t xml:space="preserve"> increase by 3 cents over the same period. </w:t>
      </w:r>
      <w:r w:rsidR="00AE570F">
        <w:rPr>
          <w:rFonts w:ascii="Museo Sans 300" w:hAnsi="Museo Sans 300"/>
        </w:rPr>
        <w:t xml:space="preserve">International experience therefore suggests </w:t>
      </w:r>
      <w:r w:rsidR="00AE570F">
        <w:rPr>
          <w:rFonts w:ascii="Museo Sans 300" w:hAnsi="Museo Sans 300"/>
        </w:rPr>
        <w:lastRenderedPageBreak/>
        <w:t>that regulatory intervention to mandate co-badging is a</w:t>
      </w:r>
      <w:r w:rsidR="00F5189D">
        <w:rPr>
          <w:rFonts w:ascii="Museo Sans 300" w:hAnsi="Museo Sans 300"/>
        </w:rPr>
        <w:t xml:space="preserve"> key</w:t>
      </w:r>
      <w:r w:rsidR="00AE570F">
        <w:rPr>
          <w:rFonts w:ascii="Museo Sans 300" w:hAnsi="Museo Sans 300"/>
        </w:rPr>
        <w:t xml:space="preserve"> method through which </w:t>
      </w:r>
      <w:r w:rsidR="00F5189D">
        <w:rPr>
          <w:rFonts w:ascii="Museo Sans 300" w:hAnsi="Museo Sans 300"/>
        </w:rPr>
        <w:t>competition can be sustained</w:t>
      </w:r>
      <w:r w:rsidR="001A59DD">
        <w:rPr>
          <w:rFonts w:ascii="Museo Sans 300" w:hAnsi="Museo Sans 300"/>
        </w:rPr>
        <w:t xml:space="preserve"> in the </w:t>
      </w:r>
      <w:proofErr w:type="gramStart"/>
      <w:r w:rsidR="001A59DD">
        <w:rPr>
          <w:rFonts w:ascii="Museo Sans 300" w:hAnsi="Museo Sans 300"/>
        </w:rPr>
        <w:t>long-run</w:t>
      </w:r>
      <w:proofErr w:type="gramEnd"/>
      <w:r w:rsidR="001A59DD">
        <w:rPr>
          <w:rFonts w:ascii="Museo Sans 300" w:hAnsi="Museo Sans 300"/>
        </w:rPr>
        <w:t>.</w:t>
      </w:r>
    </w:p>
    <w:p w14:paraId="0F73F00F" w14:textId="6EADCDAF" w:rsidR="00CB33B6" w:rsidRDefault="00A87C83" w:rsidP="00371D85">
      <w:pPr>
        <w:rPr>
          <w:rFonts w:ascii="Museo Sans 700" w:hAnsi="Museo Sans 700"/>
          <w:color w:val="07545C"/>
          <w:sz w:val="24"/>
        </w:rPr>
      </w:pPr>
      <w:r w:rsidRPr="00A87C83">
        <w:rPr>
          <w:rFonts w:ascii="Museo Sans 700" w:hAnsi="Museo Sans 700"/>
          <w:color w:val="07545C"/>
          <w:sz w:val="24"/>
        </w:rPr>
        <w:t>Summary</w:t>
      </w:r>
    </w:p>
    <w:p w14:paraId="7A3484BA" w14:textId="1723EF5E" w:rsidR="00100260" w:rsidRDefault="008C14D7" w:rsidP="00371D85">
      <w:pPr>
        <w:rPr>
          <w:rFonts w:ascii="Museo Sans 300" w:hAnsi="Museo Sans 300"/>
        </w:rPr>
      </w:pPr>
      <w:r w:rsidRPr="008C14D7">
        <w:rPr>
          <w:rFonts w:ascii="Museo Sans 300" w:hAnsi="Museo Sans 300"/>
        </w:rPr>
        <w:t xml:space="preserve">CMSPI </w:t>
      </w:r>
      <w:r w:rsidR="006A3B6F">
        <w:rPr>
          <w:rFonts w:ascii="Museo Sans 300" w:hAnsi="Museo Sans 300"/>
        </w:rPr>
        <w:t>recognizes</w:t>
      </w:r>
      <w:r w:rsidRPr="008C14D7">
        <w:rPr>
          <w:rFonts w:ascii="Museo Sans 300" w:hAnsi="Museo Sans 300"/>
        </w:rPr>
        <w:t xml:space="preserve"> the industry-leading work of the Reserve Bank of Australia in its regulation of card payments. </w:t>
      </w:r>
      <w:r w:rsidR="00100260">
        <w:rPr>
          <w:rFonts w:ascii="Museo Sans 300" w:hAnsi="Museo Sans 300"/>
        </w:rPr>
        <w:t xml:space="preserve">The most recent Review of Retail Payments Regulation brings </w:t>
      </w:r>
      <w:proofErr w:type="gramStart"/>
      <w:r w:rsidR="00100260">
        <w:rPr>
          <w:rFonts w:ascii="Museo Sans 300" w:hAnsi="Museo Sans 300"/>
        </w:rPr>
        <w:t>a number of</w:t>
      </w:r>
      <w:proofErr w:type="gramEnd"/>
      <w:r w:rsidR="00100260">
        <w:rPr>
          <w:rFonts w:ascii="Museo Sans 300" w:hAnsi="Museo Sans 300"/>
        </w:rPr>
        <w:t xml:space="preserve"> positive developments such as increased attention towards </w:t>
      </w:r>
      <w:r w:rsidR="004A1E16">
        <w:rPr>
          <w:rFonts w:ascii="Museo Sans 300" w:hAnsi="Museo Sans 300"/>
        </w:rPr>
        <w:t xml:space="preserve">scheme </w:t>
      </w:r>
      <w:r w:rsidR="00100260">
        <w:rPr>
          <w:rFonts w:ascii="Museo Sans 300" w:hAnsi="Museo Sans 300"/>
        </w:rPr>
        <w:t>fees - an area in which</w:t>
      </w:r>
      <w:r w:rsidR="00A40394">
        <w:rPr>
          <w:rFonts w:ascii="Museo Sans 300" w:hAnsi="Museo Sans 300"/>
        </w:rPr>
        <w:t xml:space="preserve"> merchants </w:t>
      </w:r>
      <w:r w:rsidR="00100260">
        <w:rPr>
          <w:rFonts w:ascii="Museo Sans 300" w:hAnsi="Museo Sans 300"/>
        </w:rPr>
        <w:t xml:space="preserve">globally </w:t>
      </w:r>
      <w:r w:rsidR="00A40394">
        <w:rPr>
          <w:rFonts w:ascii="Museo Sans 300" w:hAnsi="Museo Sans 300"/>
        </w:rPr>
        <w:t xml:space="preserve">have been advocating for increased regulatory scrutiny. </w:t>
      </w:r>
      <w:r w:rsidR="00100260">
        <w:rPr>
          <w:rFonts w:ascii="Museo Sans 300" w:hAnsi="Museo Sans 300"/>
        </w:rPr>
        <w:t>Alongside this,</w:t>
      </w:r>
      <w:r w:rsidR="004E6DD9">
        <w:rPr>
          <w:rFonts w:ascii="Museo Sans 300" w:hAnsi="Museo Sans 300"/>
        </w:rPr>
        <w:t xml:space="preserve"> the</w:t>
      </w:r>
      <w:r w:rsidR="00100260">
        <w:rPr>
          <w:rFonts w:ascii="Museo Sans 300" w:hAnsi="Museo Sans 300"/>
        </w:rPr>
        <w:t xml:space="preserve"> emphasis on </w:t>
      </w:r>
      <w:r w:rsidR="004A1E16">
        <w:rPr>
          <w:rFonts w:ascii="Museo Sans 300" w:hAnsi="Museo Sans 300"/>
        </w:rPr>
        <w:t xml:space="preserve">Routing </w:t>
      </w:r>
      <w:r w:rsidR="00100260">
        <w:rPr>
          <w:rFonts w:ascii="Museo Sans 300" w:hAnsi="Museo Sans 300"/>
        </w:rPr>
        <w:t xml:space="preserve">has the potential to protect the domestic card </w:t>
      </w:r>
      <w:r w:rsidR="00E208D2">
        <w:rPr>
          <w:rFonts w:ascii="Museo Sans 300" w:hAnsi="Museo Sans 300"/>
        </w:rPr>
        <w:t>network</w:t>
      </w:r>
      <w:r w:rsidR="00100260">
        <w:rPr>
          <w:rFonts w:ascii="Museo Sans 300" w:hAnsi="Museo Sans 300"/>
        </w:rPr>
        <w:t xml:space="preserve"> and promote </w:t>
      </w:r>
      <w:r w:rsidR="004E6DD9">
        <w:rPr>
          <w:rFonts w:ascii="Museo Sans 300" w:hAnsi="Museo Sans 300"/>
        </w:rPr>
        <w:t xml:space="preserve">greater </w:t>
      </w:r>
      <w:r w:rsidR="002E1692">
        <w:rPr>
          <w:rFonts w:ascii="Museo Sans 300" w:hAnsi="Museo Sans 300"/>
        </w:rPr>
        <w:t xml:space="preserve">competition in the </w:t>
      </w:r>
      <w:proofErr w:type="gramStart"/>
      <w:r w:rsidR="002E1692">
        <w:rPr>
          <w:rFonts w:ascii="Museo Sans 300" w:hAnsi="Museo Sans 300"/>
        </w:rPr>
        <w:t>long-</w:t>
      </w:r>
      <w:r w:rsidR="006F6266">
        <w:rPr>
          <w:rFonts w:ascii="Museo Sans 300" w:hAnsi="Museo Sans 300"/>
        </w:rPr>
        <w:t>run</w:t>
      </w:r>
      <w:proofErr w:type="gramEnd"/>
      <w:r w:rsidR="002E1692">
        <w:rPr>
          <w:rFonts w:ascii="Museo Sans 300" w:hAnsi="Museo Sans 300"/>
        </w:rPr>
        <w:t>.</w:t>
      </w:r>
      <w:r>
        <w:rPr>
          <w:rFonts w:ascii="Museo Sans 300" w:hAnsi="Museo Sans 300"/>
        </w:rPr>
        <w:t xml:space="preserve"> </w:t>
      </w:r>
    </w:p>
    <w:p w14:paraId="36A3E856" w14:textId="390AA314" w:rsidR="008C14D7" w:rsidRPr="008C14D7" w:rsidRDefault="008C14D7" w:rsidP="00371D85">
      <w:pPr>
        <w:rPr>
          <w:rFonts w:ascii="Museo Sans 300" w:hAnsi="Museo Sans 300"/>
        </w:rPr>
      </w:pPr>
      <w:r>
        <w:rPr>
          <w:rFonts w:ascii="Museo Sans 300" w:hAnsi="Museo Sans 300"/>
        </w:rPr>
        <w:t xml:space="preserve">However, </w:t>
      </w:r>
      <w:r w:rsidR="00EA726C">
        <w:rPr>
          <w:rFonts w:ascii="Museo Sans 300" w:hAnsi="Museo Sans 300"/>
        </w:rPr>
        <w:t xml:space="preserve">we believe </w:t>
      </w:r>
      <w:r>
        <w:rPr>
          <w:rFonts w:ascii="Museo Sans 300" w:hAnsi="Museo Sans 300"/>
        </w:rPr>
        <w:t xml:space="preserve">there are </w:t>
      </w:r>
      <w:proofErr w:type="gramStart"/>
      <w:r>
        <w:rPr>
          <w:rFonts w:ascii="Museo Sans 300" w:hAnsi="Museo Sans 300"/>
        </w:rPr>
        <w:t>a number of</w:t>
      </w:r>
      <w:proofErr w:type="gramEnd"/>
      <w:r>
        <w:rPr>
          <w:rFonts w:ascii="Museo Sans 300" w:hAnsi="Museo Sans 300"/>
        </w:rPr>
        <w:t xml:space="preserve"> ways in which the </w:t>
      </w:r>
      <w:r w:rsidR="007B1741">
        <w:rPr>
          <w:rFonts w:ascii="Museo Sans 300" w:hAnsi="Museo Sans 300"/>
        </w:rPr>
        <w:t xml:space="preserve">Board’s </w:t>
      </w:r>
      <w:r>
        <w:rPr>
          <w:rFonts w:ascii="Museo Sans 300" w:hAnsi="Museo Sans 300"/>
        </w:rPr>
        <w:t>proposals could be strengthened</w:t>
      </w:r>
      <w:r w:rsidR="00100260">
        <w:rPr>
          <w:rFonts w:ascii="Museo Sans 300" w:hAnsi="Museo Sans 300"/>
        </w:rPr>
        <w:t xml:space="preserve">. </w:t>
      </w:r>
      <w:r>
        <w:rPr>
          <w:rFonts w:ascii="Museo Sans 300" w:hAnsi="Museo Sans 300"/>
        </w:rPr>
        <w:t xml:space="preserve">These include the extension of </w:t>
      </w:r>
      <w:r w:rsidR="004A1E16">
        <w:rPr>
          <w:rFonts w:ascii="Museo Sans 300" w:hAnsi="Museo Sans 300"/>
        </w:rPr>
        <w:t xml:space="preserve">Routing </w:t>
      </w:r>
      <w:r>
        <w:rPr>
          <w:rFonts w:ascii="Museo Sans 300" w:hAnsi="Museo Sans 300"/>
        </w:rPr>
        <w:t>requirements to</w:t>
      </w:r>
      <w:r w:rsidR="007B1741">
        <w:rPr>
          <w:rFonts w:ascii="Museo Sans 300" w:hAnsi="Museo Sans 300"/>
        </w:rPr>
        <w:t xml:space="preserve"> currently</w:t>
      </w:r>
      <w:r>
        <w:rPr>
          <w:rFonts w:ascii="Museo Sans 300" w:hAnsi="Museo Sans 300"/>
        </w:rPr>
        <w:t xml:space="preserve"> non-routable transactions, as well as a mandate to ensure that all debit cards </w:t>
      </w:r>
      <w:r w:rsidR="00100260">
        <w:rPr>
          <w:rFonts w:ascii="Museo Sans 300" w:hAnsi="Museo Sans 300"/>
        </w:rPr>
        <w:t>are</w:t>
      </w:r>
      <w:r>
        <w:rPr>
          <w:rFonts w:ascii="Museo Sans 300" w:hAnsi="Museo Sans 300"/>
        </w:rPr>
        <w:t xml:space="preserve"> co-branded. </w:t>
      </w:r>
      <w:r w:rsidR="00A65A31">
        <w:rPr>
          <w:rFonts w:ascii="Museo Sans 300" w:hAnsi="Museo Sans 300"/>
        </w:rPr>
        <w:t xml:space="preserve">In the absence of such measures, it is typically smaller merchants who bear the burden of high prices and opaque charging structures. </w:t>
      </w:r>
      <w:r w:rsidR="006F7AB0">
        <w:rPr>
          <w:rFonts w:ascii="Museo Sans 300" w:hAnsi="Museo Sans 300"/>
        </w:rPr>
        <w:t xml:space="preserve">CMSPI would also like to offer its support </w:t>
      </w:r>
      <w:r w:rsidR="001757AD">
        <w:rPr>
          <w:rFonts w:ascii="Museo Sans 300" w:hAnsi="Museo Sans 300"/>
        </w:rPr>
        <w:t xml:space="preserve">to the RBA </w:t>
      </w:r>
      <w:r w:rsidR="006F7AB0">
        <w:rPr>
          <w:rFonts w:ascii="Museo Sans 300" w:hAnsi="Museo Sans 300"/>
        </w:rPr>
        <w:t xml:space="preserve">in </w:t>
      </w:r>
      <w:r w:rsidR="00100260">
        <w:rPr>
          <w:rFonts w:ascii="Museo Sans 300" w:hAnsi="Museo Sans 300"/>
        </w:rPr>
        <w:t>providing</w:t>
      </w:r>
      <w:r w:rsidR="006F7AB0">
        <w:rPr>
          <w:rFonts w:ascii="Museo Sans 300" w:hAnsi="Museo Sans 300"/>
        </w:rPr>
        <w:t xml:space="preserve"> greater visibility over </w:t>
      </w:r>
      <w:r w:rsidR="00F950D3">
        <w:rPr>
          <w:rFonts w:ascii="Museo Sans 300" w:hAnsi="Museo Sans 300"/>
        </w:rPr>
        <w:t>underlying card acceptance costs</w:t>
      </w:r>
      <w:r w:rsidR="007B1741">
        <w:rPr>
          <w:rFonts w:ascii="Museo Sans 300" w:hAnsi="Museo Sans 300"/>
        </w:rPr>
        <w:t xml:space="preserve"> and their impact on Australian merchants. </w:t>
      </w:r>
    </w:p>
    <w:p w14:paraId="75601C7A" w14:textId="77777777" w:rsidR="00371D85" w:rsidRPr="00DD1FA5" w:rsidRDefault="00371D85" w:rsidP="00530A83">
      <w:pPr>
        <w:rPr>
          <w:rFonts w:ascii="Museo Sans 700" w:hAnsi="Museo Sans 700"/>
          <w:color w:val="07545C"/>
          <w:sz w:val="24"/>
        </w:rPr>
      </w:pPr>
    </w:p>
    <w:sectPr w:rsidR="00371D85" w:rsidRPr="00DD1FA5" w:rsidSect="001C0A28">
      <w:headerReference w:type="even" r:id="rId14"/>
      <w:headerReference w:type="default" r:id="rId15"/>
      <w:footerReference w:type="default" r:id="rId16"/>
      <w:headerReference w:type="first" r:id="rId17"/>
      <w:pgSz w:w="12240" w:h="15840"/>
      <w:pgMar w:top="2592" w:right="1440" w:bottom="2837"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ECBF4" w14:textId="77777777" w:rsidR="00A21367" w:rsidRDefault="00A21367" w:rsidP="00911768">
      <w:pPr>
        <w:spacing w:after="0" w:line="240" w:lineRule="auto"/>
      </w:pPr>
      <w:r>
        <w:separator/>
      </w:r>
    </w:p>
  </w:endnote>
  <w:endnote w:type="continuationSeparator" w:id="0">
    <w:p w14:paraId="108481AA" w14:textId="77777777" w:rsidR="00A21367" w:rsidRDefault="00A21367" w:rsidP="00911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useo Sans 700">
    <w:panose1 w:val="02000000000000000000"/>
    <w:charset w:val="00"/>
    <w:family w:val="modern"/>
    <w:notTrueType/>
    <w:pitch w:val="variable"/>
    <w:sig w:usb0="A00000AF" w:usb1="4000004A" w:usb2="00000000" w:usb3="00000000" w:csb0="00000093"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63C0D" w14:textId="77777777" w:rsidR="00911768" w:rsidRDefault="00343580">
    <w:pPr>
      <w:pStyle w:val="Footer"/>
    </w:pPr>
    <w:r>
      <w:rPr>
        <w:noProof/>
      </w:rPr>
      <w:drawing>
        <wp:anchor distT="0" distB="0" distL="114300" distR="114300" simplePos="0" relativeHeight="251715584" behindDoc="0" locked="0" layoutInCell="1" allowOverlap="1" wp14:anchorId="5E3D5C80" wp14:editId="73127370">
          <wp:simplePos x="0" y="0"/>
          <wp:positionH relativeFrom="page">
            <wp:posOffset>0</wp:posOffset>
          </wp:positionH>
          <wp:positionV relativeFrom="paragraph">
            <wp:posOffset>-1042035</wp:posOffset>
          </wp:positionV>
          <wp:extent cx="7823922" cy="1937051"/>
          <wp:effectExtent l="0" t="0" r="5715" b="635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823922" cy="1937051"/>
                  </a:xfrm>
                  <a:prstGeom prst="rect">
                    <a:avLst/>
                  </a:prstGeom>
                </pic:spPr>
              </pic:pic>
            </a:graphicData>
          </a:graphic>
          <wp14:sizeRelH relativeFrom="margin">
            <wp14:pctWidth>0</wp14:pctWidth>
          </wp14:sizeRelH>
          <wp14:sizeRelV relativeFrom="margin">
            <wp14:pctHeight>0</wp14:pctHeight>
          </wp14:sizeRelV>
        </wp:anchor>
      </w:drawing>
    </w:r>
    <w:r w:rsidR="00586AD7">
      <w:rPr>
        <w:noProof/>
      </w:rPr>
      <mc:AlternateContent>
        <mc:Choice Requires="wps">
          <w:drawing>
            <wp:anchor distT="0" distB="0" distL="114300" distR="114300" simplePos="0" relativeHeight="251713536" behindDoc="0" locked="0" layoutInCell="1" allowOverlap="1" wp14:anchorId="25E380D5" wp14:editId="23D229A5">
              <wp:simplePos x="0" y="0"/>
              <wp:positionH relativeFrom="column">
                <wp:posOffset>3276600</wp:posOffset>
              </wp:positionH>
              <wp:positionV relativeFrom="paragraph">
                <wp:posOffset>56515</wp:posOffset>
              </wp:positionV>
              <wp:extent cx="4371975" cy="1057275"/>
              <wp:effectExtent l="0" t="0" r="0" b="0"/>
              <wp:wrapNone/>
              <wp:docPr id="7" name="Text Box 7"/>
              <wp:cNvGraphicFramePr/>
              <a:graphic xmlns:a="http://schemas.openxmlformats.org/drawingml/2006/main">
                <a:graphicData uri="http://schemas.microsoft.com/office/word/2010/wordprocessingShape">
                  <wps:wsp>
                    <wps:cNvSpPr txBox="1"/>
                    <wps:spPr>
                      <a:xfrm>
                        <a:off x="0" y="0"/>
                        <a:ext cx="4371975" cy="1057275"/>
                      </a:xfrm>
                      <a:prstGeom prst="rect">
                        <a:avLst/>
                      </a:prstGeom>
                      <a:noFill/>
                      <a:ln w="6350">
                        <a:noFill/>
                      </a:ln>
                    </wps:spPr>
                    <wps:txbx>
                      <w:txbxContent>
                        <w:p w14:paraId="5B094F0A" w14:textId="77777777" w:rsidR="00586AD7" w:rsidRPr="00586AD7" w:rsidRDefault="00675F14" w:rsidP="00586AD7">
                          <w:pPr>
                            <w:rPr>
                              <w:rFonts w:ascii="Corbel" w:hAnsi="Corbel"/>
                            </w:rPr>
                          </w:pPr>
                          <w:r>
                            <w:rPr>
                              <w:rFonts w:ascii="Corbel" w:hAnsi="Corbel"/>
                            </w:rPr>
                            <w:t>+1</w:t>
                          </w:r>
                          <w:r w:rsidR="00586AD7">
                            <w:rPr>
                              <w:rFonts w:ascii="Corbel" w:hAnsi="Corbel"/>
                            </w:rPr>
                            <w:t xml:space="preserve"> </w:t>
                          </w:r>
                          <w:r>
                            <w:rPr>
                              <w:rFonts w:ascii="Corbel" w:hAnsi="Corbel"/>
                            </w:rPr>
                            <w:t>404-942-5900</w:t>
                          </w:r>
                          <w:r w:rsidR="00586AD7">
                            <w:rPr>
                              <w:rFonts w:ascii="Corbel" w:hAnsi="Corbel"/>
                            </w:rPr>
                            <w:br/>
                          </w:r>
                          <w:hyperlink r:id="rId2" w:history="1">
                            <w:r w:rsidR="002E3FB1" w:rsidRPr="00C86204">
                              <w:rPr>
                                <w:rStyle w:val="Hyperlink"/>
                                <w:rFonts w:ascii="Corbel" w:hAnsi="Corbel"/>
                              </w:rPr>
                              <w:t>info-us@cmspi.com</w:t>
                            </w:r>
                          </w:hyperlink>
                          <w:r w:rsidR="00586AD7" w:rsidRPr="00586AD7">
                            <w:rPr>
                              <w:rFonts w:ascii="Corbel" w:hAnsi="Corbel"/>
                            </w:rPr>
                            <w:br/>
                          </w:r>
                          <w:hyperlink r:id="rId3" w:history="1">
                            <w:r w:rsidR="00586AD7" w:rsidRPr="00586AD7">
                              <w:rPr>
                                <w:rStyle w:val="Hyperlink"/>
                                <w:rFonts w:ascii="Corbel" w:hAnsi="Corbel"/>
                                <w:color w:val="auto"/>
                                <w:u w:val="none"/>
                              </w:rPr>
                              <w:t>www.cms-pi.com</w:t>
                            </w:r>
                          </w:hyperlink>
                          <w:r w:rsidR="00586AD7">
                            <w:rPr>
                              <w:rFonts w:ascii="Corbel" w:hAnsi="Corbel"/>
                            </w:rPr>
                            <w:t xml:space="preserve"> |        @CMSpay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5E380D5" id="_x0000_t202" coordsize="21600,21600" o:spt="202" path="m,l,21600r21600,l21600,xe">
              <v:stroke joinstyle="miter"/>
              <v:path gradientshapeok="t" o:connecttype="rect"/>
            </v:shapetype>
            <v:shape id="Text Box 7" o:spid="_x0000_s1026" type="#_x0000_t202" style="position:absolute;margin-left:258pt;margin-top:4.45pt;width:344.25pt;height:83.25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" filled="f" stroked="f" strokeweight=".5pt">
              <v:textbox>
                <w:txbxContent>
                  <w:p w14:paraId="5B094F0A" w14:textId="77777777" w:rsidR="00586AD7" w:rsidRPr="00586AD7" w:rsidRDefault="00675F14" w:rsidP="00586AD7">
                    <w:pPr>
                      <w:rPr>
                        <w:rFonts w:ascii="Corbel" w:hAnsi="Corbel"/>
                      </w:rPr>
                    </w:pPr>
                    <w:r>
                      <w:rPr>
                        <w:rFonts w:ascii="Corbel" w:hAnsi="Corbel"/>
                      </w:rPr>
                      <w:t>+1</w:t>
                    </w:r>
                    <w:r w:rsidR="00586AD7">
                      <w:rPr>
                        <w:rFonts w:ascii="Corbel" w:hAnsi="Corbel"/>
                      </w:rPr>
                      <w:t xml:space="preserve"> </w:t>
                    </w:r>
                    <w:r>
                      <w:rPr>
                        <w:rFonts w:ascii="Corbel" w:hAnsi="Corbel"/>
                      </w:rPr>
                      <w:t>404-942-5900</w:t>
                    </w:r>
                    <w:r w:rsidR="00586AD7">
                      <w:rPr>
                        <w:rFonts w:ascii="Corbel" w:hAnsi="Corbel"/>
                      </w:rPr>
                      <w:br/>
                    </w:r>
                    <w:hyperlink r:id="rId4" w:history="1">
                      <w:r w:rsidR="002E3FB1" w:rsidRPr="00C86204">
                        <w:rPr>
                          <w:rStyle w:val="Hyperlink"/>
                          <w:rFonts w:ascii="Corbel" w:hAnsi="Corbel"/>
                        </w:rPr>
                        <w:t>info-us@cmspi.com</w:t>
                      </w:r>
                    </w:hyperlink>
                    <w:r w:rsidR="00586AD7" w:rsidRPr="00586AD7">
                      <w:rPr>
                        <w:rFonts w:ascii="Corbel" w:hAnsi="Corbel"/>
                      </w:rPr>
                      <w:br/>
                    </w:r>
                    <w:hyperlink r:id="rId5" w:history="1">
                      <w:r w:rsidR="00586AD7" w:rsidRPr="00586AD7">
                        <w:rPr>
                          <w:rStyle w:val="Hyperlink"/>
                          <w:rFonts w:ascii="Corbel" w:hAnsi="Corbel"/>
                          <w:color w:val="auto"/>
                          <w:u w:val="none"/>
                        </w:rPr>
                        <w:t>www.cms-pi.com</w:t>
                      </w:r>
                    </w:hyperlink>
                    <w:r w:rsidR="00586AD7">
                      <w:rPr>
                        <w:rFonts w:ascii="Corbel" w:hAnsi="Corbel"/>
                      </w:rPr>
                      <w:t xml:space="preserve"> |        @CMSpay</w:t>
                    </w:r>
                  </w:p>
                </w:txbxContent>
              </v:textbox>
            </v:shape>
          </w:pict>
        </mc:Fallback>
      </mc:AlternateContent>
    </w:r>
    <w:r w:rsidR="00586AD7">
      <w:rPr>
        <w:noProof/>
      </w:rPr>
      <mc:AlternateContent>
        <mc:Choice Requires="wps">
          <w:drawing>
            <wp:anchor distT="0" distB="0" distL="114300" distR="114300" simplePos="0" relativeHeight="251659264" behindDoc="0" locked="0" layoutInCell="1" allowOverlap="1" wp14:anchorId="5094769B" wp14:editId="6A970614">
              <wp:simplePos x="0" y="0"/>
              <wp:positionH relativeFrom="column">
                <wp:posOffset>1019175</wp:posOffset>
              </wp:positionH>
              <wp:positionV relativeFrom="paragraph">
                <wp:posOffset>-238760</wp:posOffset>
              </wp:positionV>
              <wp:extent cx="4371975" cy="314325"/>
              <wp:effectExtent l="0" t="0" r="0" b="0"/>
              <wp:wrapNone/>
              <wp:docPr id="5" name="Text Box 5"/>
              <wp:cNvGraphicFramePr/>
              <a:graphic xmlns:a="http://schemas.openxmlformats.org/drawingml/2006/main">
                <a:graphicData uri="http://schemas.microsoft.com/office/word/2010/wordprocessingShape">
                  <wps:wsp>
                    <wps:cNvSpPr txBox="1"/>
                    <wps:spPr>
                      <a:xfrm>
                        <a:off x="0" y="0"/>
                        <a:ext cx="4371975" cy="314325"/>
                      </a:xfrm>
                      <a:prstGeom prst="rect">
                        <a:avLst/>
                      </a:prstGeom>
                      <a:noFill/>
                      <a:ln w="6350">
                        <a:noFill/>
                      </a:ln>
                    </wps:spPr>
                    <wps:txbx>
                      <w:txbxContent>
                        <w:p w14:paraId="5AEE1279" w14:textId="77777777" w:rsidR="00586AD7" w:rsidRPr="00586AD7" w:rsidRDefault="00586AD7">
                          <w:pPr>
                            <w:rPr>
                              <w:rFonts w:ascii="Corbel" w:hAnsi="Corbel"/>
                              <w:b/>
                            </w:rPr>
                          </w:pPr>
                          <w:r w:rsidRPr="00586AD7">
                            <w:rPr>
                              <w:rFonts w:ascii="Corbel" w:hAnsi="Corbel"/>
                              <w:b/>
                            </w:rPr>
                            <w:t>CMS</w:t>
                          </w:r>
                          <w:r w:rsidR="00A557E7">
                            <w:rPr>
                              <w:rFonts w:ascii="Corbel" w:hAnsi="Corbel"/>
                              <w:b/>
                            </w:rPr>
                            <w:t>PI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094769B" id="Text Box 5" o:spid="_x0000_s1027" type="#_x0000_t202" style="position:absolute;margin-left:80.25pt;margin-top:-18.8pt;width:344.25pt;height:2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" filled="f" stroked="f" strokeweight=".5pt">
              <v:textbox>
                <w:txbxContent>
                  <w:p w14:paraId="5AEE1279" w14:textId="77777777" w:rsidR="00586AD7" w:rsidRPr="00586AD7" w:rsidRDefault="00586AD7">
                    <w:pPr>
                      <w:rPr>
                        <w:rFonts w:ascii="Corbel" w:hAnsi="Corbel"/>
                        <w:b/>
                      </w:rPr>
                    </w:pPr>
                    <w:r w:rsidRPr="00586AD7">
                      <w:rPr>
                        <w:rFonts w:ascii="Corbel" w:hAnsi="Corbel"/>
                        <w:b/>
                      </w:rPr>
                      <w:t>CMS</w:t>
                    </w:r>
                    <w:r w:rsidR="00A557E7">
                      <w:rPr>
                        <w:rFonts w:ascii="Corbel" w:hAnsi="Corbel"/>
                        <w:b/>
                      </w:rPr>
                      <w:t>PI</w:t>
                    </w:r>
                  </w:p>
                </w:txbxContent>
              </v:textbox>
            </v:shape>
          </w:pict>
        </mc:Fallback>
      </mc:AlternateContent>
    </w:r>
    <w:r w:rsidR="00586AD7">
      <w:rPr>
        <w:noProof/>
      </w:rPr>
      <mc:AlternateContent>
        <mc:Choice Requires="wps">
          <w:drawing>
            <wp:anchor distT="0" distB="0" distL="114300" distR="114300" simplePos="0" relativeHeight="251709440" behindDoc="0" locked="0" layoutInCell="1" allowOverlap="1" wp14:anchorId="3ED10B14" wp14:editId="74A2C1A0">
              <wp:simplePos x="0" y="0"/>
              <wp:positionH relativeFrom="column">
                <wp:posOffset>1028700</wp:posOffset>
              </wp:positionH>
              <wp:positionV relativeFrom="paragraph">
                <wp:posOffset>66040</wp:posOffset>
              </wp:positionV>
              <wp:extent cx="4371975" cy="1057275"/>
              <wp:effectExtent l="0" t="0" r="0" b="0"/>
              <wp:wrapNone/>
              <wp:docPr id="6" name="Text Box 6"/>
              <wp:cNvGraphicFramePr/>
              <a:graphic xmlns:a="http://schemas.openxmlformats.org/drawingml/2006/main">
                <a:graphicData uri="http://schemas.microsoft.com/office/word/2010/wordprocessingShape">
                  <wps:wsp>
                    <wps:cNvSpPr txBox="1"/>
                    <wps:spPr>
                      <a:xfrm>
                        <a:off x="0" y="0"/>
                        <a:ext cx="4371975" cy="1057275"/>
                      </a:xfrm>
                      <a:prstGeom prst="rect">
                        <a:avLst/>
                      </a:prstGeom>
                      <a:noFill/>
                      <a:ln w="6350">
                        <a:noFill/>
                      </a:ln>
                    </wps:spPr>
                    <wps:txbx>
                      <w:txbxContent>
                        <w:p w14:paraId="26EA1D81" w14:textId="77777777" w:rsidR="00586AD7" w:rsidRPr="00586AD7" w:rsidRDefault="00675F14" w:rsidP="00586AD7">
                          <w:pPr>
                            <w:rPr>
                              <w:rFonts w:ascii="Corbel" w:hAnsi="Corbel"/>
                            </w:rPr>
                          </w:pPr>
                          <w:r>
                            <w:rPr>
                              <w:rFonts w:ascii="Corbel" w:hAnsi="Corbel"/>
                            </w:rPr>
                            <w:t>19</w:t>
                          </w:r>
                          <w:r w:rsidRPr="00675F14">
                            <w:rPr>
                              <w:rFonts w:ascii="Corbel" w:hAnsi="Corbel"/>
                              <w:vertAlign w:val="superscript"/>
                            </w:rPr>
                            <w:t>th</w:t>
                          </w:r>
                          <w:r>
                            <w:rPr>
                              <w:rFonts w:ascii="Corbel" w:hAnsi="Corbel"/>
                            </w:rPr>
                            <w:t xml:space="preserve"> Floor, Promenade II</w:t>
                          </w:r>
                          <w:r w:rsidR="00586AD7">
                            <w:rPr>
                              <w:rFonts w:ascii="Corbel" w:hAnsi="Corbel"/>
                            </w:rPr>
                            <w:br/>
                          </w:r>
                          <w:r>
                            <w:rPr>
                              <w:rFonts w:ascii="Corbel" w:hAnsi="Corbel"/>
                            </w:rPr>
                            <w:t>1230 Peachtree Street NE</w:t>
                          </w:r>
                          <w:r w:rsidR="00586AD7">
                            <w:rPr>
                              <w:rFonts w:ascii="Corbel" w:hAnsi="Corbel"/>
                            </w:rPr>
                            <w:br/>
                          </w:r>
                          <w:r>
                            <w:rPr>
                              <w:rFonts w:ascii="Corbel" w:hAnsi="Corbel"/>
                            </w:rPr>
                            <w:t>Atlanta, GA 30309, USA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ED10B14" id="Text Box 6" o:spid="_x0000_s1028" type="#_x0000_t202" style="position:absolute;margin-left:81pt;margin-top:5.2pt;width:344.25pt;height:83.25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" filled="f" stroked="f" strokeweight=".5pt">
              <v:textbox>
                <w:txbxContent>
                  <w:p w14:paraId="26EA1D81" w14:textId="77777777" w:rsidR="00586AD7" w:rsidRPr="00586AD7" w:rsidRDefault="00675F14" w:rsidP="00586AD7">
                    <w:pPr>
                      <w:rPr>
                        <w:rFonts w:ascii="Corbel" w:hAnsi="Corbel"/>
                      </w:rPr>
                    </w:pPr>
                    <w:r>
                      <w:rPr>
                        <w:rFonts w:ascii="Corbel" w:hAnsi="Corbel"/>
                      </w:rPr>
                      <w:t>19</w:t>
                    </w:r>
                    <w:r w:rsidRPr="00675F14">
                      <w:rPr>
                        <w:rFonts w:ascii="Corbel" w:hAnsi="Corbel"/>
                        <w:vertAlign w:val="superscript"/>
                      </w:rPr>
                      <w:t>th</w:t>
                    </w:r>
                    <w:r>
                      <w:rPr>
                        <w:rFonts w:ascii="Corbel" w:hAnsi="Corbel"/>
                      </w:rPr>
                      <w:t xml:space="preserve"> Floor, Promenade II</w:t>
                    </w:r>
                    <w:r w:rsidR="00586AD7">
                      <w:rPr>
                        <w:rFonts w:ascii="Corbel" w:hAnsi="Corbel"/>
                      </w:rPr>
                      <w:br/>
                    </w:r>
                    <w:r>
                      <w:rPr>
                        <w:rFonts w:ascii="Corbel" w:hAnsi="Corbel"/>
                      </w:rPr>
                      <w:t>1230 Peachtree Street NE</w:t>
                    </w:r>
                    <w:r w:rsidR="00586AD7">
                      <w:rPr>
                        <w:rFonts w:ascii="Corbel" w:hAnsi="Corbel"/>
                      </w:rPr>
                      <w:br/>
                    </w:r>
                    <w:r>
                      <w:rPr>
                        <w:rFonts w:ascii="Corbel" w:hAnsi="Corbel"/>
                      </w:rPr>
                      <w:t>Atlanta, GA 30309, USA</w:t>
                    </w:r>
                  </w:p>
                </w:txbxContent>
              </v:textbox>
            </v:shape>
          </w:pict>
        </mc:Fallback>
      </mc:AlternateContent>
    </w:r>
  </w:p>
  <w:p w14:paraId="185A8888" w14:textId="77777777" w:rsidR="00911768" w:rsidRDefault="00586AD7">
    <w:r>
      <w:rPr>
        <w:rFonts w:ascii="Corbel" w:hAnsi="Corbel"/>
        <w:noProof/>
      </w:rPr>
      <w:drawing>
        <wp:anchor distT="0" distB="0" distL="114300" distR="114300" simplePos="0" relativeHeight="251714560" behindDoc="0" locked="0" layoutInCell="1" allowOverlap="1" wp14:anchorId="22EAFC48" wp14:editId="2BDD1207">
          <wp:simplePos x="0" y="0"/>
          <wp:positionH relativeFrom="margin">
            <wp:posOffset>4514850</wp:posOffset>
          </wp:positionH>
          <wp:positionV relativeFrom="paragraph">
            <wp:posOffset>329248</wp:posOffset>
          </wp:positionV>
          <wp:extent cx="133350" cy="13335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witter - aqua.png"/>
                  <pic:cNvPicPr/>
                </pic:nvPicPr>
                <pic:blipFill>
                  <a:blip r:embed="rId6">
                    <a:extLst>
                      <a:ext uri="{28A0092B-C50C-407E-A947-70E740481C1C}">
                        <a14:useLocalDpi xmlns:a14="http://schemas.microsoft.com/office/drawing/2010/main" val="0"/>
                      </a:ext>
                    </a:extLst>
                  </a:blip>
                  <a:stretch>
                    <a:fillRect/>
                  </a:stretch>
                </pic:blipFill>
                <pic:spPr>
                  <a:xfrm>
                    <a:off x="0" y="0"/>
                    <a:ext cx="134367" cy="134367"/>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E978B" w14:textId="77777777" w:rsidR="00A21367" w:rsidRDefault="00A21367" w:rsidP="00911768">
      <w:pPr>
        <w:spacing w:after="0" w:line="240" w:lineRule="auto"/>
      </w:pPr>
      <w:r>
        <w:separator/>
      </w:r>
    </w:p>
  </w:footnote>
  <w:footnote w:type="continuationSeparator" w:id="0">
    <w:p w14:paraId="45257BED" w14:textId="77777777" w:rsidR="00A21367" w:rsidRDefault="00A21367" w:rsidP="00911768">
      <w:pPr>
        <w:spacing w:after="0" w:line="240" w:lineRule="auto"/>
      </w:pPr>
      <w:r>
        <w:continuationSeparator/>
      </w:r>
    </w:p>
  </w:footnote>
  <w:footnote w:id="1">
    <w:p w14:paraId="7574908A" w14:textId="10EAD1A3" w:rsidR="003F69E9" w:rsidRDefault="003F69E9">
      <w:pPr>
        <w:pStyle w:val="FootnoteText"/>
      </w:pPr>
      <w:r>
        <w:rPr>
          <w:rStyle w:val="FootnoteReference"/>
        </w:rPr>
        <w:footnoteRef/>
      </w:r>
      <w:r>
        <w:t xml:space="preserve"> CMSPI estimates and analysis from R</w:t>
      </w:r>
      <w:r w:rsidR="00960873">
        <w:t xml:space="preserve">eserve </w:t>
      </w:r>
      <w:r>
        <w:t>B</w:t>
      </w:r>
      <w:r w:rsidR="00960873">
        <w:t xml:space="preserve">ank of </w:t>
      </w:r>
      <w:r>
        <w:t>A</w:t>
      </w:r>
      <w:r w:rsidR="00960873">
        <w:t>ustralia</w:t>
      </w:r>
      <w:r>
        <w:t xml:space="preserve"> data</w:t>
      </w:r>
      <w:r w:rsidR="004D52E7">
        <w:t xml:space="preserve">. See </w:t>
      </w:r>
      <w:r w:rsidR="004D52E7" w:rsidRPr="004D52E7">
        <w:t>C3 Average Merchant Fees for Debit, Credit and Charge Cards.</w:t>
      </w:r>
      <w:r w:rsidR="009E2DDE">
        <w:t xml:space="preserve"> Available at: </w:t>
      </w:r>
      <w:r w:rsidR="009E2DDE" w:rsidRPr="009E2DDE">
        <w:t>https://www.rba.gov.au/payments-and-infrastructure/resources/payments-data.html</w:t>
      </w:r>
    </w:p>
  </w:footnote>
  <w:footnote w:id="2">
    <w:p w14:paraId="31CFE5B0" w14:textId="77777777" w:rsidR="00B04343" w:rsidRDefault="00B04343" w:rsidP="00B04343">
      <w:pPr>
        <w:pStyle w:val="FootnoteText"/>
      </w:pPr>
      <w:r>
        <w:rPr>
          <w:rStyle w:val="FootnoteReference"/>
        </w:rPr>
        <w:footnoteRef/>
      </w:r>
      <w:r>
        <w:t xml:space="preserve"> </w:t>
      </w:r>
      <w:r w:rsidRPr="008D0D5D">
        <w:t>https://www.visa.com.au/about-visa/interchange.html#2</w:t>
      </w:r>
    </w:p>
  </w:footnote>
  <w:footnote w:id="3">
    <w:p w14:paraId="4E4DC5F3" w14:textId="10252A95" w:rsidR="00B04343" w:rsidRDefault="00B04343">
      <w:pPr>
        <w:pStyle w:val="FootnoteText"/>
      </w:pPr>
      <w:r>
        <w:rPr>
          <w:rStyle w:val="FootnoteReference"/>
        </w:rPr>
        <w:footnoteRef/>
      </w:r>
      <w:r>
        <w:t xml:space="preserve"> </w:t>
      </w:r>
      <w:r w:rsidRPr="00B04343">
        <w:t>https://www.mastercard.com.au/en-au/about-mastercard/what-we-do/interchange.html</w:t>
      </w:r>
    </w:p>
  </w:footnote>
  <w:footnote w:id="4">
    <w:p w14:paraId="1DDDE80F" w14:textId="3E2ECA69" w:rsidR="00B04343" w:rsidRDefault="00B04343">
      <w:pPr>
        <w:pStyle w:val="FootnoteText"/>
      </w:pPr>
      <w:r>
        <w:rPr>
          <w:rStyle w:val="FootnoteReference"/>
        </w:rPr>
        <w:footnoteRef/>
      </w:r>
      <w:r>
        <w:t xml:space="preserve"> </w:t>
      </w:r>
      <w:r w:rsidRPr="00B04343">
        <w:t>https://www.eftposaustralia.com.au/interchange-fees-and-principles</w:t>
      </w:r>
    </w:p>
  </w:footnote>
  <w:footnote w:id="5">
    <w:p w14:paraId="3149805C" w14:textId="595B6D5D" w:rsidR="001E73B7" w:rsidRDefault="001E73B7">
      <w:pPr>
        <w:pStyle w:val="FootnoteText"/>
      </w:pPr>
      <w:r>
        <w:rPr>
          <w:rStyle w:val="FootnoteReference"/>
        </w:rPr>
        <w:footnoteRef/>
      </w:r>
      <w:r>
        <w:t xml:space="preserve"> See Caddy, </w:t>
      </w:r>
      <w:proofErr w:type="gramStart"/>
      <w:r>
        <w:t>Delaney</w:t>
      </w:r>
      <w:proofErr w:type="gramEnd"/>
      <w:r>
        <w:t xml:space="preserve"> and Fisher (2020). </w:t>
      </w:r>
      <w:r w:rsidRPr="001E73B7">
        <w:t>Consumer Payment Behaviour in Australia: Evidence from the 2019 Consumer Payments Survey</w:t>
      </w:r>
      <w:r>
        <w:t xml:space="preserve">. </w:t>
      </w:r>
      <w:r w:rsidRPr="001E73B7">
        <w:t>https://www.rba.gov.au/publications/rdp/2020/2020-06/full.html</w:t>
      </w:r>
    </w:p>
  </w:footnote>
  <w:footnote w:id="6">
    <w:p w14:paraId="38255D11" w14:textId="3BBE7527" w:rsidR="00A660BE" w:rsidRDefault="00A660BE">
      <w:pPr>
        <w:pStyle w:val="FootnoteText"/>
      </w:pPr>
      <w:r>
        <w:rPr>
          <w:rStyle w:val="FootnoteReference"/>
        </w:rPr>
        <w:footnoteRef/>
      </w:r>
      <w:r>
        <w:t xml:space="preserve"> Note: these figures do not include the temporary increase in the contactless limit by some retailers to $200.</w:t>
      </w:r>
    </w:p>
  </w:footnote>
  <w:footnote w:id="7">
    <w:p w14:paraId="714FE7B4" w14:textId="1BBD5F71" w:rsidR="00AB6E5A" w:rsidRDefault="00AB6E5A">
      <w:pPr>
        <w:pStyle w:val="FootnoteText"/>
      </w:pPr>
      <w:r>
        <w:rPr>
          <w:rStyle w:val="FootnoteReference"/>
        </w:rPr>
        <w:footnoteRef/>
      </w:r>
      <w:r>
        <w:t xml:space="preserve"> CMSPI estimates and analysis</w:t>
      </w:r>
    </w:p>
  </w:footnote>
  <w:footnote w:id="8">
    <w:p w14:paraId="56E6A365" w14:textId="2D95F187" w:rsidR="002D3398" w:rsidRDefault="002D3398">
      <w:pPr>
        <w:pStyle w:val="FootnoteText"/>
      </w:pPr>
      <w:r>
        <w:rPr>
          <w:rStyle w:val="FootnoteReference"/>
        </w:rPr>
        <w:footnoteRef/>
      </w:r>
      <w:r>
        <w:t xml:space="preserve"> CMSPI estimates and analysis</w:t>
      </w:r>
      <w:r w:rsidR="00104619">
        <w:t xml:space="preserve"> based on Euromonitor International (2021) data</w:t>
      </w:r>
    </w:p>
  </w:footnote>
  <w:footnote w:id="9">
    <w:p w14:paraId="59D66D5A" w14:textId="2A617812" w:rsidR="00F7638F" w:rsidRDefault="00F7638F">
      <w:pPr>
        <w:pStyle w:val="FootnoteText"/>
      </w:pPr>
      <w:r>
        <w:rPr>
          <w:rStyle w:val="FootnoteReference"/>
        </w:rPr>
        <w:footnoteRef/>
      </w:r>
      <w:r>
        <w:t xml:space="preserve"> CMSPI estimates and analysis</w:t>
      </w:r>
    </w:p>
  </w:footnote>
  <w:footnote w:id="10">
    <w:p w14:paraId="3C871473" w14:textId="4A9BA123" w:rsidR="002D3398" w:rsidRDefault="002D3398">
      <w:pPr>
        <w:pStyle w:val="FootnoteText"/>
      </w:pPr>
      <w:r>
        <w:rPr>
          <w:rStyle w:val="FootnoteReference"/>
        </w:rPr>
        <w:footnoteRef/>
      </w:r>
      <w:r>
        <w:t xml:space="preserve"> See the steps required to change the default </w:t>
      </w:r>
      <w:r w:rsidR="00E208D2">
        <w:t>network</w:t>
      </w:r>
      <w:r>
        <w:t xml:space="preserve"> to </w:t>
      </w:r>
      <w:proofErr w:type="spellStart"/>
      <w:r>
        <w:t>Eftpos</w:t>
      </w:r>
      <w:proofErr w:type="spellEnd"/>
      <w:r>
        <w:t xml:space="preserve"> within </w:t>
      </w:r>
      <w:r w:rsidR="006C75CF">
        <w:t xml:space="preserve">the </w:t>
      </w:r>
      <w:r>
        <w:t>Apple Pay</w:t>
      </w:r>
      <w:r w:rsidR="006C75CF">
        <w:t xml:space="preserve"> wallet</w:t>
      </w:r>
      <w:r>
        <w:t xml:space="preserve">: </w:t>
      </w:r>
      <w:r w:rsidRPr="002D3398">
        <w:t>https://support.apple.com/en-bn/HT209137</w:t>
      </w:r>
    </w:p>
  </w:footnote>
  <w:footnote w:id="11">
    <w:p w14:paraId="5E2A50C5" w14:textId="451C6D02" w:rsidR="00526FFB" w:rsidRDefault="00526FFB">
      <w:pPr>
        <w:pStyle w:val="FootnoteText"/>
      </w:pPr>
      <w:r>
        <w:rPr>
          <w:rStyle w:val="FootnoteReference"/>
        </w:rPr>
        <w:footnoteRef/>
      </w:r>
      <w:r>
        <w:t xml:space="preserve"> </w:t>
      </w:r>
      <w:r w:rsidRPr="00671B44">
        <w:t>https://www.finextra.com/newsarticle/38081/digital-wallets-poised-to-overtake-contactless-cards-as-instore-payment-of-choice-in-australia?utm_medium=newsflash&amp;utm_source=2021-5-19&amp;member=86967</w:t>
      </w:r>
    </w:p>
  </w:footnote>
  <w:footnote w:id="12">
    <w:p w14:paraId="19BC1986" w14:textId="7685EE10" w:rsidR="00FE7DEC" w:rsidRDefault="00FE7DEC">
      <w:pPr>
        <w:pStyle w:val="FootnoteText"/>
      </w:pPr>
      <w:r>
        <w:rPr>
          <w:rStyle w:val="FootnoteReference"/>
        </w:rPr>
        <w:footnoteRef/>
      </w:r>
      <w:r>
        <w:t xml:space="preserve"> See </w:t>
      </w:r>
      <w:r w:rsidRPr="00FE7DEC">
        <w:t>https://www.bloomberg.com/news/articles/2020-09-17/apple-pay-tech-likely-to-be-open-to-rivals-in-rules-mulled-by-eu</w:t>
      </w:r>
    </w:p>
  </w:footnote>
  <w:footnote w:id="13">
    <w:p w14:paraId="75AF4B26" w14:textId="3ACF6AC5" w:rsidR="00255711" w:rsidRDefault="00255711">
      <w:pPr>
        <w:pStyle w:val="FootnoteText"/>
      </w:pPr>
      <w:r>
        <w:rPr>
          <w:rStyle w:val="FootnoteReference"/>
        </w:rPr>
        <w:footnoteRef/>
      </w:r>
      <w:r>
        <w:t xml:space="preserve"> </w:t>
      </w:r>
      <w:proofErr w:type="spellStart"/>
      <w:r>
        <w:t>Nilson</w:t>
      </w:r>
      <w:proofErr w:type="spellEnd"/>
      <w:r>
        <w:t xml:space="preserve"> Report No. 1164.</w:t>
      </w:r>
    </w:p>
  </w:footnote>
  <w:footnote w:id="14">
    <w:p w14:paraId="6343BBF5" w14:textId="70F1F970" w:rsidR="00251692" w:rsidRDefault="00251692">
      <w:pPr>
        <w:pStyle w:val="FootnoteText"/>
      </w:pPr>
      <w:r>
        <w:rPr>
          <w:rStyle w:val="FootnoteReference"/>
        </w:rPr>
        <w:footnoteRef/>
      </w:r>
      <w:r>
        <w:t xml:space="preserve"> See European Commission Study on the Application of Interchange Regulation</w:t>
      </w:r>
    </w:p>
  </w:footnote>
  <w:footnote w:id="15">
    <w:p w14:paraId="05F08F63" w14:textId="14D0C52B" w:rsidR="00251692" w:rsidRDefault="00251692">
      <w:pPr>
        <w:pStyle w:val="FootnoteText"/>
      </w:pPr>
      <w:r>
        <w:rPr>
          <w:rStyle w:val="FootnoteReference"/>
        </w:rPr>
        <w:footnoteRef/>
      </w:r>
      <w:r>
        <w:t xml:space="preserve"> Shapiro, R.J. (2013). The Costs and Benefits of Half a Loaf: The Economic Effects of Recent Regulation of Debit Card Interchange Fees.</w:t>
      </w:r>
    </w:p>
  </w:footnote>
  <w:footnote w:id="16">
    <w:p w14:paraId="25BAAF83" w14:textId="77777777" w:rsidR="000E7C20" w:rsidRDefault="000E7C20" w:rsidP="000E7C20">
      <w:pPr>
        <w:pStyle w:val="FootnoteText"/>
      </w:pPr>
      <w:r>
        <w:rPr>
          <w:rStyle w:val="FootnoteReference"/>
        </w:rPr>
        <w:footnoteRef/>
      </w:r>
      <w:r>
        <w:t xml:space="preserve"> CMSPI (2020). Global Review of Interchange Fee Regulation. </w:t>
      </w:r>
      <w:r w:rsidRPr="00003F2E">
        <w:t>https://cmspi.com/eur/resources/download-global-interchange-report/</w:t>
      </w:r>
    </w:p>
  </w:footnote>
  <w:footnote w:id="17">
    <w:p w14:paraId="41CC5660" w14:textId="0B7267FE" w:rsidR="000E7C20" w:rsidRDefault="000E7C20">
      <w:pPr>
        <w:pStyle w:val="FootnoteText"/>
      </w:pPr>
      <w:r>
        <w:rPr>
          <w:rStyle w:val="FootnoteReference"/>
        </w:rPr>
        <w:footnoteRef/>
      </w:r>
      <w:r>
        <w:t xml:space="preserve"> See Caddy, </w:t>
      </w:r>
      <w:proofErr w:type="gramStart"/>
      <w:r>
        <w:t>Delaney</w:t>
      </w:r>
      <w:proofErr w:type="gramEnd"/>
      <w:r>
        <w:t xml:space="preserve"> and Fisher (2020). </w:t>
      </w:r>
      <w:r w:rsidRPr="001E73B7">
        <w:t>Consumer Payment Behaviour in Australia: Evidence from the 2019 Consumer Payments Survey</w:t>
      </w:r>
      <w:r>
        <w:t xml:space="preserve">. </w:t>
      </w:r>
      <w:r w:rsidRPr="001E73B7">
        <w:t>https://www.rba.gov.au/publications/rdp/2020/2020-06/full.html</w:t>
      </w:r>
    </w:p>
  </w:footnote>
  <w:footnote w:id="18">
    <w:p w14:paraId="3D7D4996" w14:textId="5583F589" w:rsidR="00E32C36" w:rsidRDefault="00E32C36">
      <w:pPr>
        <w:pStyle w:val="FootnoteText"/>
      </w:pPr>
      <w:r>
        <w:rPr>
          <w:rStyle w:val="FootnoteReference"/>
        </w:rPr>
        <w:footnoteRef/>
      </w:r>
      <w:r>
        <w:t xml:space="preserve"> Worldpay Global Payments Report (2021)</w:t>
      </w:r>
    </w:p>
  </w:footnote>
  <w:footnote w:id="19">
    <w:p w14:paraId="6F11D71F" w14:textId="66EB900A" w:rsidR="0003768B" w:rsidRDefault="0003768B">
      <w:pPr>
        <w:pStyle w:val="FootnoteText"/>
      </w:pPr>
      <w:r>
        <w:rPr>
          <w:rStyle w:val="FootnoteReference"/>
        </w:rPr>
        <w:footnoteRef/>
      </w:r>
      <w:r>
        <w:t xml:space="preserve"> See CMSPI’s Global Interchange Report</w:t>
      </w:r>
    </w:p>
  </w:footnote>
  <w:footnote w:id="20">
    <w:p w14:paraId="61813501" w14:textId="75FB0DAE" w:rsidR="00D35F17" w:rsidRDefault="00D35F17">
      <w:pPr>
        <w:pStyle w:val="FootnoteText"/>
      </w:pPr>
      <w:r>
        <w:rPr>
          <w:rStyle w:val="FootnoteReference"/>
        </w:rPr>
        <w:footnoteRef/>
      </w:r>
      <w:r>
        <w:t xml:space="preserve"> CMSPI estimates and analysis based on Euromonitor International (2021) data</w:t>
      </w:r>
    </w:p>
  </w:footnote>
  <w:footnote w:id="21">
    <w:p w14:paraId="1C9BE0EE" w14:textId="08106C22" w:rsidR="00E15026" w:rsidRDefault="00E15026">
      <w:pPr>
        <w:pStyle w:val="FootnoteText"/>
      </w:pPr>
      <w:r>
        <w:rPr>
          <w:rStyle w:val="FootnoteReference"/>
        </w:rPr>
        <w:footnoteRef/>
      </w:r>
      <w:r>
        <w:t xml:space="preserve"> </w:t>
      </w:r>
      <w:r w:rsidR="000236BA">
        <w:t>Ibid</w:t>
      </w:r>
    </w:p>
  </w:footnote>
  <w:footnote w:id="22">
    <w:p w14:paraId="5A041DC9" w14:textId="791118FC" w:rsidR="0026650D" w:rsidRDefault="0026650D">
      <w:pPr>
        <w:pStyle w:val="FootnoteText"/>
      </w:pPr>
      <w:r>
        <w:rPr>
          <w:rStyle w:val="FootnoteReference"/>
        </w:rPr>
        <w:footnoteRef/>
      </w:r>
      <w:r>
        <w:t xml:space="preserve"> </w:t>
      </w:r>
      <w:r w:rsidR="000748C0">
        <w:t>Reserve Bank of Australia data</w:t>
      </w:r>
    </w:p>
  </w:footnote>
  <w:footnote w:id="23">
    <w:p w14:paraId="25E09F3E" w14:textId="7F2CF084" w:rsidR="009F2D23" w:rsidRDefault="009F2D23">
      <w:pPr>
        <w:pStyle w:val="FootnoteText"/>
      </w:pPr>
      <w:r>
        <w:rPr>
          <w:rStyle w:val="FootnoteReference"/>
        </w:rPr>
        <w:footnoteRef/>
      </w:r>
      <w:r>
        <w:t xml:space="preserve"> See the CMSPI &amp; </w:t>
      </w:r>
      <w:proofErr w:type="spellStart"/>
      <w:r>
        <w:t>Zephyre</w:t>
      </w:r>
      <w:proofErr w:type="spellEnd"/>
      <w:r>
        <w:t xml:space="preserve"> Scheme Fee Study (2020)</w:t>
      </w:r>
    </w:p>
  </w:footnote>
  <w:footnote w:id="24">
    <w:p w14:paraId="67B08CDB" w14:textId="77777777" w:rsidR="001D5A76" w:rsidRPr="00B00B0E" w:rsidRDefault="001D5A76" w:rsidP="001D5A76">
      <w:pPr>
        <w:pStyle w:val="FootnoteText"/>
      </w:pPr>
      <w:r>
        <w:rPr>
          <w:rStyle w:val="FootnoteReference"/>
        </w:rPr>
        <w:footnoteRef/>
      </w:r>
      <w:r>
        <w:t xml:space="preserve"> Centre for European Reform (2021). </w:t>
      </w:r>
      <w:proofErr w:type="gramStart"/>
      <w:r w:rsidRPr="001B4485">
        <w:rPr>
          <w:i/>
          <w:iCs/>
        </w:rPr>
        <w:t>Don’t</w:t>
      </w:r>
      <w:proofErr w:type="gramEnd"/>
      <w:r w:rsidRPr="001B4485">
        <w:rPr>
          <w:i/>
          <w:iCs/>
        </w:rPr>
        <w:t xml:space="preserve"> imitate – innovate! Why Europe </w:t>
      </w:r>
      <w:proofErr w:type="gramStart"/>
      <w:r w:rsidRPr="001B4485">
        <w:rPr>
          <w:i/>
          <w:iCs/>
        </w:rPr>
        <w:t>doesn’t</w:t>
      </w:r>
      <w:proofErr w:type="gramEnd"/>
      <w:r w:rsidRPr="001B4485">
        <w:rPr>
          <w:i/>
          <w:iCs/>
        </w:rPr>
        <w:t xml:space="preserve"> need a rival to Visa and Mastercard.</w:t>
      </w:r>
    </w:p>
  </w:footnote>
  <w:footnote w:id="25">
    <w:p w14:paraId="3FE7CE5E" w14:textId="633E4DED" w:rsidR="006222A9" w:rsidRDefault="006222A9">
      <w:pPr>
        <w:pStyle w:val="FootnoteText"/>
      </w:pPr>
      <w:r>
        <w:rPr>
          <w:rStyle w:val="FootnoteReference"/>
        </w:rPr>
        <w:footnoteRef/>
      </w:r>
      <w:r>
        <w:t xml:space="preserve"> CMSPI estimates and analysis based on Euromonitor </w:t>
      </w:r>
      <w:r w:rsidR="00493CB6">
        <w:t xml:space="preserve">International </w:t>
      </w:r>
      <w:r>
        <w:t>(2021) data</w:t>
      </w:r>
    </w:p>
  </w:footnote>
  <w:footnote w:id="26">
    <w:p w14:paraId="52731DE8" w14:textId="2B970886" w:rsidR="00250ABB" w:rsidRDefault="00250ABB">
      <w:pPr>
        <w:pStyle w:val="FootnoteText"/>
      </w:pPr>
      <w:r>
        <w:rPr>
          <w:rStyle w:val="FootnoteReference"/>
        </w:rPr>
        <w:footnoteRef/>
      </w:r>
      <w:r>
        <w:t xml:space="preserve"> See Kirchner (2021). </w:t>
      </w:r>
      <w:r w:rsidRPr="00250ABB">
        <w:t>https://finanz-szene.de/payments/girocard-gegen-den-rest-der-welt-die-grosse-analyse-zum-deutschen-kartenmarkt/</w:t>
      </w:r>
    </w:p>
  </w:footnote>
  <w:footnote w:id="27">
    <w:p w14:paraId="02F80B16" w14:textId="77777777" w:rsidR="00952154" w:rsidRDefault="00952154" w:rsidP="00952154">
      <w:pPr>
        <w:pStyle w:val="FootnoteText"/>
      </w:pPr>
      <w:r>
        <w:rPr>
          <w:rStyle w:val="FootnoteReference"/>
        </w:rPr>
        <w:footnoteRef/>
      </w:r>
      <w:r>
        <w:t xml:space="preserve"> CMSPI analysis of Federal Reserve (2021) data. See Federal Reserve (2021). 2019 Interchange Fee Revenue,</w:t>
      </w:r>
    </w:p>
    <w:p w14:paraId="6BBB045E" w14:textId="6631B16E" w:rsidR="00952154" w:rsidRDefault="00952154" w:rsidP="00952154">
      <w:pPr>
        <w:pStyle w:val="FootnoteText"/>
      </w:pPr>
      <w:r>
        <w:t xml:space="preserve">Covered Issuer Costs, and Covered Issuer and Merchant Fraud Losses Related to Debit Card Transactions. </w:t>
      </w:r>
      <w:r w:rsidRPr="00952154">
        <w:t>https://www.federalreserve.gov/paymentsystems/files/debitfees_costs_2019.pdf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E4336" w14:textId="7D2B67A9" w:rsidR="00C26BB0" w:rsidRDefault="00C26B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9AE05" w14:textId="0534C99E" w:rsidR="00911768" w:rsidRPr="00911768" w:rsidRDefault="00586AD7" w:rsidP="00911768">
    <w:pPr>
      <w:pStyle w:val="Header"/>
    </w:pPr>
    <w:r>
      <w:rPr>
        <w:noProof/>
      </w:rPr>
      <w:drawing>
        <wp:anchor distT="0" distB="0" distL="114300" distR="114300" simplePos="0" relativeHeight="251660288" behindDoc="0" locked="0" layoutInCell="1" allowOverlap="1" wp14:anchorId="73402946" wp14:editId="7F7C4A5A">
          <wp:simplePos x="0" y="0"/>
          <wp:positionH relativeFrom="margin">
            <wp:posOffset>-657225</wp:posOffset>
          </wp:positionH>
          <wp:positionV relativeFrom="paragraph">
            <wp:posOffset>-159789</wp:posOffset>
          </wp:positionV>
          <wp:extent cx="2066925" cy="744791"/>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MS_logo_solidcircle-01.jpg"/>
                  <pic:cNvPicPr/>
                </pic:nvPicPr>
                <pic:blipFill>
                  <a:blip r:embed="rId1">
                    <a:extLst>
                      <a:ext uri="{28A0092B-C50C-407E-A947-70E740481C1C}">
                        <a14:useLocalDpi xmlns:a14="http://schemas.microsoft.com/office/drawing/2010/main" val="0"/>
                      </a:ext>
                    </a:extLst>
                  </a:blip>
                  <a:stretch>
                    <a:fillRect/>
                  </a:stretch>
                </pic:blipFill>
                <pic:spPr>
                  <a:xfrm>
                    <a:off x="0" y="0"/>
                    <a:ext cx="2066925" cy="744791"/>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ADC66" w14:textId="0110D0EB" w:rsidR="00C26BB0" w:rsidRDefault="00C26BB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D5A89"/>
    <w:multiLevelType w:val="hybridMultilevel"/>
    <w:tmpl w:val="F4B8F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01D6B"/>
    <w:multiLevelType w:val="hybridMultilevel"/>
    <w:tmpl w:val="883CE1FC"/>
    <w:lvl w:ilvl="0" w:tplc="57106762">
      <w:start w:val="3"/>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BD4EDB"/>
    <w:multiLevelType w:val="hybridMultilevel"/>
    <w:tmpl w:val="D24EB46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3233619"/>
    <w:multiLevelType w:val="hybridMultilevel"/>
    <w:tmpl w:val="70166AC8"/>
    <w:lvl w:ilvl="0" w:tplc="0409000F">
      <w:start w:val="1"/>
      <w:numFmt w:val="decimal"/>
      <w:lvlText w:val="%1."/>
      <w:lvlJc w:val="left"/>
      <w:pPr>
        <w:ind w:left="1080" w:hanging="360"/>
      </w:pPr>
      <w:rPr>
        <w:rFonts w:hint="default"/>
      </w:rPr>
    </w:lvl>
    <w:lvl w:ilvl="1" w:tplc="E5FC7E88">
      <w:start w:val="1"/>
      <w:numFmt w:val="lowerLetter"/>
      <w:lvlText w:val="%2."/>
      <w:lvlJc w:val="left"/>
      <w:pPr>
        <w:ind w:left="1800" w:hanging="360"/>
      </w:pPr>
      <w:rPr>
        <w:b w:val="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845B4C"/>
    <w:multiLevelType w:val="hybridMultilevel"/>
    <w:tmpl w:val="8E5C06A2"/>
    <w:lvl w:ilvl="0" w:tplc="47CE123A">
      <w:start w:val="1"/>
      <w:numFmt w:val="bullet"/>
      <w:lvlText w:val="-"/>
      <w:lvlJc w:val="left"/>
      <w:pPr>
        <w:ind w:left="720" w:hanging="360"/>
      </w:pPr>
      <w:rPr>
        <w:rFonts w:ascii="Museo Sans 300" w:eastAsiaTheme="minorEastAsia" w:hAnsi="Museo Sans 300"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9A70AE"/>
    <w:multiLevelType w:val="hybridMultilevel"/>
    <w:tmpl w:val="637C0E92"/>
    <w:lvl w:ilvl="0" w:tplc="FF0E740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48572D0"/>
    <w:multiLevelType w:val="hybridMultilevel"/>
    <w:tmpl w:val="E154E2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AD44DA"/>
    <w:multiLevelType w:val="hybridMultilevel"/>
    <w:tmpl w:val="46DA6A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45E114A4"/>
    <w:multiLevelType w:val="multilevel"/>
    <w:tmpl w:val="134E09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FB47C6F"/>
    <w:multiLevelType w:val="hybridMultilevel"/>
    <w:tmpl w:val="9EC46D9A"/>
    <w:lvl w:ilvl="0" w:tplc="DB6EC22C">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6DCE3B66"/>
    <w:multiLevelType w:val="hybridMultilevel"/>
    <w:tmpl w:val="0FA2FED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DE07E54"/>
    <w:multiLevelType w:val="hybridMultilevel"/>
    <w:tmpl w:val="4906FDB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BAE048B"/>
    <w:multiLevelType w:val="multilevel"/>
    <w:tmpl w:val="FDDED8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FAA73F2"/>
    <w:multiLevelType w:val="hybridMultilevel"/>
    <w:tmpl w:val="B45A7BC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6"/>
  </w:num>
  <w:num w:numId="4">
    <w:abstractNumId w:val="10"/>
  </w:num>
  <w:num w:numId="5">
    <w:abstractNumId w:val="5"/>
  </w:num>
  <w:num w:numId="6">
    <w:abstractNumId w:val="9"/>
  </w:num>
  <w:num w:numId="7">
    <w:abstractNumId w:val="13"/>
  </w:num>
  <w:num w:numId="8">
    <w:abstractNumId w:val="12"/>
  </w:num>
  <w:num w:numId="9">
    <w:abstractNumId w:val="8"/>
  </w:num>
  <w:num w:numId="10">
    <w:abstractNumId w:val="1"/>
  </w:num>
  <w:num w:numId="11">
    <w:abstractNumId w:val="2"/>
  </w:num>
  <w:num w:numId="12">
    <w:abstractNumId w:val="7"/>
  </w:num>
  <w:num w:numId="13">
    <w:abstractNumId w:val="1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1768"/>
    <w:rsid w:val="00004B69"/>
    <w:rsid w:val="0001690E"/>
    <w:rsid w:val="000235AF"/>
    <w:rsid w:val="000236BA"/>
    <w:rsid w:val="00026A20"/>
    <w:rsid w:val="00030E82"/>
    <w:rsid w:val="000355F0"/>
    <w:rsid w:val="0003768B"/>
    <w:rsid w:val="00050C52"/>
    <w:rsid w:val="00052B97"/>
    <w:rsid w:val="00066F35"/>
    <w:rsid w:val="000743B8"/>
    <w:rsid w:val="000748C0"/>
    <w:rsid w:val="0008014D"/>
    <w:rsid w:val="00081823"/>
    <w:rsid w:val="00091965"/>
    <w:rsid w:val="00093C8E"/>
    <w:rsid w:val="00096C1F"/>
    <w:rsid w:val="000A7091"/>
    <w:rsid w:val="000B0112"/>
    <w:rsid w:val="000B2DAB"/>
    <w:rsid w:val="000B40BF"/>
    <w:rsid w:val="000B5EE0"/>
    <w:rsid w:val="000B68E1"/>
    <w:rsid w:val="000C241C"/>
    <w:rsid w:val="000C434D"/>
    <w:rsid w:val="000C4B99"/>
    <w:rsid w:val="000C6ED4"/>
    <w:rsid w:val="000D14DC"/>
    <w:rsid w:val="000D2235"/>
    <w:rsid w:val="000D4DFB"/>
    <w:rsid w:val="000E5F70"/>
    <w:rsid w:val="000E7C20"/>
    <w:rsid w:val="000F6DD4"/>
    <w:rsid w:val="00100260"/>
    <w:rsid w:val="0010087C"/>
    <w:rsid w:val="00104619"/>
    <w:rsid w:val="00114448"/>
    <w:rsid w:val="00114A6B"/>
    <w:rsid w:val="00115A99"/>
    <w:rsid w:val="00117E58"/>
    <w:rsid w:val="00131D75"/>
    <w:rsid w:val="00133795"/>
    <w:rsid w:val="00143CFF"/>
    <w:rsid w:val="00150E1E"/>
    <w:rsid w:val="00152D44"/>
    <w:rsid w:val="0017504A"/>
    <w:rsid w:val="001757AD"/>
    <w:rsid w:val="001901BC"/>
    <w:rsid w:val="00190E5B"/>
    <w:rsid w:val="001A1414"/>
    <w:rsid w:val="001A22FF"/>
    <w:rsid w:val="001A59DD"/>
    <w:rsid w:val="001A63BE"/>
    <w:rsid w:val="001B2AA1"/>
    <w:rsid w:val="001C0A28"/>
    <w:rsid w:val="001C4B0C"/>
    <w:rsid w:val="001C6235"/>
    <w:rsid w:val="001D1C1B"/>
    <w:rsid w:val="001D5A76"/>
    <w:rsid w:val="001E0B3E"/>
    <w:rsid w:val="001E1496"/>
    <w:rsid w:val="001E18C8"/>
    <w:rsid w:val="001E4CEF"/>
    <w:rsid w:val="001E5806"/>
    <w:rsid w:val="001E737F"/>
    <w:rsid w:val="001E73B7"/>
    <w:rsid w:val="00205E86"/>
    <w:rsid w:val="002060E6"/>
    <w:rsid w:val="002145E0"/>
    <w:rsid w:val="00215876"/>
    <w:rsid w:val="002200F4"/>
    <w:rsid w:val="0023723A"/>
    <w:rsid w:val="00250ABB"/>
    <w:rsid w:val="00251692"/>
    <w:rsid w:val="00252EA4"/>
    <w:rsid w:val="00255711"/>
    <w:rsid w:val="0026650D"/>
    <w:rsid w:val="00270A13"/>
    <w:rsid w:val="00275454"/>
    <w:rsid w:val="002A2E7C"/>
    <w:rsid w:val="002B11CC"/>
    <w:rsid w:val="002C0753"/>
    <w:rsid w:val="002C770F"/>
    <w:rsid w:val="002D3398"/>
    <w:rsid w:val="002D45F9"/>
    <w:rsid w:val="002E066A"/>
    <w:rsid w:val="002E1692"/>
    <w:rsid w:val="002E3FB1"/>
    <w:rsid w:val="002E7FB0"/>
    <w:rsid w:val="002F19CC"/>
    <w:rsid w:val="002F222C"/>
    <w:rsid w:val="00315B81"/>
    <w:rsid w:val="003326E7"/>
    <w:rsid w:val="00343580"/>
    <w:rsid w:val="00343723"/>
    <w:rsid w:val="00347DC5"/>
    <w:rsid w:val="0035176F"/>
    <w:rsid w:val="003610F4"/>
    <w:rsid w:val="00371907"/>
    <w:rsid w:val="00371D85"/>
    <w:rsid w:val="00375C6E"/>
    <w:rsid w:val="003819B4"/>
    <w:rsid w:val="003848EE"/>
    <w:rsid w:val="003A18B5"/>
    <w:rsid w:val="003A23D8"/>
    <w:rsid w:val="003A5E68"/>
    <w:rsid w:val="003B5FAE"/>
    <w:rsid w:val="003C198D"/>
    <w:rsid w:val="003C41AE"/>
    <w:rsid w:val="003C4972"/>
    <w:rsid w:val="003D0D47"/>
    <w:rsid w:val="003D100E"/>
    <w:rsid w:val="003D70D9"/>
    <w:rsid w:val="003E07A2"/>
    <w:rsid w:val="003F4E52"/>
    <w:rsid w:val="003F69E9"/>
    <w:rsid w:val="00407E12"/>
    <w:rsid w:val="00413A1F"/>
    <w:rsid w:val="00416558"/>
    <w:rsid w:val="004224F0"/>
    <w:rsid w:val="004259A2"/>
    <w:rsid w:val="0043177B"/>
    <w:rsid w:val="00436ECE"/>
    <w:rsid w:val="00445758"/>
    <w:rsid w:val="0044671F"/>
    <w:rsid w:val="004500A3"/>
    <w:rsid w:val="004522AC"/>
    <w:rsid w:val="004541E6"/>
    <w:rsid w:val="00467F89"/>
    <w:rsid w:val="0047625B"/>
    <w:rsid w:val="004906E9"/>
    <w:rsid w:val="00492E74"/>
    <w:rsid w:val="00493CB6"/>
    <w:rsid w:val="004A0F8A"/>
    <w:rsid w:val="004A1E16"/>
    <w:rsid w:val="004A4AE6"/>
    <w:rsid w:val="004C406C"/>
    <w:rsid w:val="004D52E7"/>
    <w:rsid w:val="004E6DD9"/>
    <w:rsid w:val="004F017D"/>
    <w:rsid w:val="0050192A"/>
    <w:rsid w:val="005059CC"/>
    <w:rsid w:val="00512435"/>
    <w:rsid w:val="00515268"/>
    <w:rsid w:val="00522F70"/>
    <w:rsid w:val="00526FFB"/>
    <w:rsid w:val="00530A83"/>
    <w:rsid w:val="00543818"/>
    <w:rsid w:val="005639CB"/>
    <w:rsid w:val="005709CE"/>
    <w:rsid w:val="00580BC5"/>
    <w:rsid w:val="00586AD7"/>
    <w:rsid w:val="0058785D"/>
    <w:rsid w:val="005906FE"/>
    <w:rsid w:val="00594150"/>
    <w:rsid w:val="00595397"/>
    <w:rsid w:val="005A2FF9"/>
    <w:rsid w:val="005C5464"/>
    <w:rsid w:val="005D4B38"/>
    <w:rsid w:val="005E3337"/>
    <w:rsid w:val="005F26F7"/>
    <w:rsid w:val="00605FD7"/>
    <w:rsid w:val="00621EB4"/>
    <w:rsid w:val="006222A9"/>
    <w:rsid w:val="00626D68"/>
    <w:rsid w:val="006302BD"/>
    <w:rsid w:val="00633A68"/>
    <w:rsid w:val="00642CDB"/>
    <w:rsid w:val="006540EE"/>
    <w:rsid w:val="00667240"/>
    <w:rsid w:val="00675F14"/>
    <w:rsid w:val="006843D9"/>
    <w:rsid w:val="006A216E"/>
    <w:rsid w:val="006A3B6F"/>
    <w:rsid w:val="006A68B0"/>
    <w:rsid w:val="006B0F6A"/>
    <w:rsid w:val="006B3812"/>
    <w:rsid w:val="006B4C36"/>
    <w:rsid w:val="006C18DF"/>
    <w:rsid w:val="006C75CF"/>
    <w:rsid w:val="006D1189"/>
    <w:rsid w:val="006D2771"/>
    <w:rsid w:val="006D4DE4"/>
    <w:rsid w:val="006F6266"/>
    <w:rsid w:val="006F7AB0"/>
    <w:rsid w:val="00700D78"/>
    <w:rsid w:val="00702BB8"/>
    <w:rsid w:val="00704EBE"/>
    <w:rsid w:val="00713D36"/>
    <w:rsid w:val="00736A28"/>
    <w:rsid w:val="00742A33"/>
    <w:rsid w:val="007555C3"/>
    <w:rsid w:val="00760A8C"/>
    <w:rsid w:val="00773C54"/>
    <w:rsid w:val="007826B5"/>
    <w:rsid w:val="007B0245"/>
    <w:rsid w:val="007B11F7"/>
    <w:rsid w:val="007B1741"/>
    <w:rsid w:val="007B3D72"/>
    <w:rsid w:val="007B6EFF"/>
    <w:rsid w:val="00812249"/>
    <w:rsid w:val="008334B7"/>
    <w:rsid w:val="008429F6"/>
    <w:rsid w:val="0084409A"/>
    <w:rsid w:val="00844DA3"/>
    <w:rsid w:val="0086257E"/>
    <w:rsid w:val="00865C11"/>
    <w:rsid w:val="008665A4"/>
    <w:rsid w:val="008762FC"/>
    <w:rsid w:val="00885B7E"/>
    <w:rsid w:val="00885CC0"/>
    <w:rsid w:val="00886391"/>
    <w:rsid w:val="00894404"/>
    <w:rsid w:val="008B1AB2"/>
    <w:rsid w:val="008C14D7"/>
    <w:rsid w:val="008C35AD"/>
    <w:rsid w:val="008D0D5D"/>
    <w:rsid w:val="008D5A2F"/>
    <w:rsid w:val="008F078C"/>
    <w:rsid w:val="008F2BCB"/>
    <w:rsid w:val="008F4610"/>
    <w:rsid w:val="008F4F6C"/>
    <w:rsid w:val="00901DF2"/>
    <w:rsid w:val="00911768"/>
    <w:rsid w:val="00930EA6"/>
    <w:rsid w:val="00931C95"/>
    <w:rsid w:val="00933DB2"/>
    <w:rsid w:val="009352BE"/>
    <w:rsid w:val="0094059D"/>
    <w:rsid w:val="00952154"/>
    <w:rsid w:val="00952719"/>
    <w:rsid w:val="00954D6A"/>
    <w:rsid w:val="00954D8F"/>
    <w:rsid w:val="00960873"/>
    <w:rsid w:val="00963629"/>
    <w:rsid w:val="00972C03"/>
    <w:rsid w:val="00986857"/>
    <w:rsid w:val="0099437D"/>
    <w:rsid w:val="009A1C8E"/>
    <w:rsid w:val="009A72ED"/>
    <w:rsid w:val="009B2ADA"/>
    <w:rsid w:val="009B33D6"/>
    <w:rsid w:val="009B5E90"/>
    <w:rsid w:val="009E2DDE"/>
    <w:rsid w:val="009F263B"/>
    <w:rsid w:val="009F2D23"/>
    <w:rsid w:val="009F34C1"/>
    <w:rsid w:val="00A04393"/>
    <w:rsid w:val="00A14BCE"/>
    <w:rsid w:val="00A159AA"/>
    <w:rsid w:val="00A21367"/>
    <w:rsid w:val="00A24B1A"/>
    <w:rsid w:val="00A36DDF"/>
    <w:rsid w:val="00A40394"/>
    <w:rsid w:val="00A4070F"/>
    <w:rsid w:val="00A40C53"/>
    <w:rsid w:val="00A42374"/>
    <w:rsid w:val="00A46E94"/>
    <w:rsid w:val="00A5130E"/>
    <w:rsid w:val="00A557E7"/>
    <w:rsid w:val="00A60B95"/>
    <w:rsid w:val="00A6364A"/>
    <w:rsid w:val="00A65A31"/>
    <w:rsid w:val="00A660BE"/>
    <w:rsid w:val="00A87C83"/>
    <w:rsid w:val="00A90BC1"/>
    <w:rsid w:val="00A97836"/>
    <w:rsid w:val="00AA44F6"/>
    <w:rsid w:val="00AA72DC"/>
    <w:rsid w:val="00AB4BC2"/>
    <w:rsid w:val="00AB6E5A"/>
    <w:rsid w:val="00AC3392"/>
    <w:rsid w:val="00AD4763"/>
    <w:rsid w:val="00AD482A"/>
    <w:rsid w:val="00AD5B1A"/>
    <w:rsid w:val="00AD5D46"/>
    <w:rsid w:val="00AE152B"/>
    <w:rsid w:val="00AE34FD"/>
    <w:rsid w:val="00AE570F"/>
    <w:rsid w:val="00AF4E13"/>
    <w:rsid w:val="00AF5761"/>
    <w:rsid w:val="00B03965"/>
    <w:rsid w:val="00B04343"/>
    <w:rsid w:val="00B04D90"/>
    <w:rsid w:val="00B075DB"/>
    <w:rsid w:val="00B13433"/>
    <w:rsid w:val="00B15E7A"/>
    <w:rsid w:val="00B33191"/>
    <w:rsid w:val="00B40034"/>
    <w:rsid w:val="00B43CC6"/>
    <w:rsid w:val="00B60557"/>
    <w:rsid w:val="00B71DC1"/>
    <w:rsid w:val="00BA416B"/>
    <w:rsid w:val="00BA5760"/>
    <w:rsid w:val="00BD18F6"/>
    <w:rsid w:val="00BD7869"/>
    <w:rsid w:val="00BE7C9D"/>
    <w:rsid w:val="00BF06A4"/>
    <w:rsid w:val="00BF527D"/>
    <w:rsid w:val="00C07D8F"/>
    <w:rsid w:val="00C26BB0"/>
    <w:rsid w:val="00C3578F"/>
    <w:rsid w:val="00C43E10"/>
    <w:rsid w:val="00C45749"/>
    <w:rsid w:val="00C52A40"/>
    <w:rsid w:val="00C70BA1"/>
    <w:rsid w:val="00C73B4B"/>
    <w:rsid w:val="00C85F19"/>
    <w:rsid w:val="00C959BB"/>
    <w:rsid w:val="00C95C7A"/>
    <w:rsid w:val="00C970D6"/>
    <w:rsid w:val="00CA1F9D"/>
    <w:rsid w:val="00CB33B6"/>
    <w:rsid w:val="00CB6992"/>
    <w:rsid w:val="00CC0B30"/>
    <w:rsid w:val="00CC20FD"/>
    <w:rsid w:val="00CD34E6"/>
    <w:rsid w:val="00CE65B2"/>
    <w:rsid w:val="00CF5F2B"/>
    <w:rsid w:val="00D077C7"/>
    <w:rsid w:val="00D205BB"/>
    <w:rsid w:val="00D35F17"/>
    <w:rsid w:val="00D36871"/>
    <w:rsid w:val="00D50B9B"/>
    <w:rsid w:val="00D53C43"/>
    <w:rsid w:val="00D65BAB"/>
    <w:rsid w:val="00D65F2F"/>
    <w:rsid w:val="00D716B7"/>
    <w:rsid w:val="00D76F3F"/>
    <w:rsid w:val="00D82934"/>
    <w:rsid w:val="00D91BBA"/>
    <w:rsid w:val="00D920CA"/>
    <w:rsid w:val="00D95512"/>
    <w:rsid w:val="00D95FC9"/>
    <w:rsid w:val="00DD0240"/>
    <w:rsid w:val="00DD1FA5"/>
    <w:rsid w:val="00DD3DAB"/>
    <w:rsid w:val="00DD7960"/>
    <w:rsid w:val="00DE4353"/>
    <w:rsid w:val="00DE4D75"/>
    <w:rsid w:val="00DF0E07"/>
    <w:rsid w:val="00E00687"/>
    <w:rsid w:val="00E15026"/>
    <w:rsid w:val="00E170E0"/>
    <w:rsid w:val="00E17995"/>
    <w:rsid w:val="00E208D2"/>
    <w:rsid w:val="00E251FF"/>
    <w:rsid w:val="00E26E0A"/>
    <w:rsid w:val="00E32C36"/>
    <w:rsid w:val="00E66ABE"/>
    <w:rsid w:val="00E748A2"/>
    <w:rsid w:val="00E751BD"/>
    <w:rsid w:val="00E91B44"/>
    <w:rsid w:val="00EA726C"/>
    <w:rsid w:val="00EB2054"/>
    <w:rsid w:val="00EE6751"/>
    <w:rsid w:val="00EE7B47"/>
    <w:rsid w:val="00EF292F"/>
    <w:rsid w:val="00F0019E"/>
    <w:rsid w:val="00F17697"/>
    <w:rsid w:val="00F2094B"/>
    <w:rsid w:val="00F21630"/>
    <w:rsid w:val="00F30D61"/>
    <w:rsid w:val="00F3100A"/>
    <w:rsid w:val="00F4345C"/>
    <w:rsid w:val="00F5189D"/>
    <w:rsid w:val="00F53FBC"/>
    <w:rsid w:val="00F64A4D"/>
    <w:rsid w:val="00F7265E"/>
    <w:rsid w:val="00F7638F"/>
    <w:rsid w:val="00F771BF"/>
    <w:rsid w:val="00F87C82"/>
    <w:rsid w:val="00F950D3"/>
    <w:rsid w:val="00FA59BD"/>
    <w:rsid w:val="00FB3942"/>
    <w:rsid w:val="00FC07DA"/>
    <w:rsid w:val="00FC2019"/>
    <w:rsid w:val="00FD14D7"/>
    <w:rsid w:val="00FD3FD9"/>
    <w:rsid w:val="00FE7D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20E2C"/>
  <w15:chartTrackingRefBased/>
  <w15:docId w15:val="{776A2344-9FC0-4DED-BD28-96E4BB92B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070F"/>
  </w:style>
  <w:style w:type="paragraph" w:styleId="Heading1">
    <w:name w:val="heading 1"/>
    <w:basedOn w:val="Normal"/>
    <w:next w:val="Normal"/>
    <w:link w:val="Heading1Char"/>
    <w:uiPriority w:val="9"/>
    <w:qFormat/>
    <w:rsid w:val="00A4070F"/>
    <w:pPr>
      <w:keepNext/>
      <w:keepLines/>
      <w:spacing w:before="320" w:after="0" w:line="240" w:lineRule="auto"/>
      <w:outlineLvl w:val="0"/>
    </w:pPr>
    <w:rPr>
      <w:rFonts w:asciiTheme="majorHAnsi" w:eastAsiaTheme="majorEastAsia" w:hAnsiTheme="majorHAnsi" w:cstheme="majorBidi"/>
      <w:color w:val="12727D" w:themeColor="accent1" w:themeShade="BF"/>
      <w:sz w:val="32"/>
      <w:szCs w:val="32"/>
    </w:rPr>
  </w:style>
  <w:style w:type="paragraph" w:styleId="Heading2">
    <w:name w:val="heading 2"/>
    <w:basedOn w:val="Normal"/>
    <w:next w:val="Normal"/>
    <w:link w:val="Heading2Char"/>
    <w:uiPriority w:val="9"/>
    <w:unhideWhenUsed/>
    <w:qFormat/>
    <w:rsid w:val="00A4070F"/>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A4070F"/>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semiHidden/>
    <w:unhideWhenUsed/>
    <w:qFormat/>
    <w:rsid w:val="00A4070F"/>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A4070F"/>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A4070F"/>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A4070F"/>
    <w:pPr>
      <w:keepNext/>
      <w:keepLines/>
      <w:spacing w:before="40" w:after="0"/>
      <w:outlineLvl w:val="6"/>
    </w:pPr>
    <w:rPr>
      <w:rFonts w:asciiTheme="majorHAnsi" w:eastAsiaTheme="majorEastAsia" w:hAnsiTheme="majorHAnsi" w:cstheme="majorBidi"/>
      <w:i/>
      <w:iCs/>
      <w:color w:val="0C4C53" w:themeColor="accent1" w:themeShade="80"/>
      <w:sz w:val="21"/>
      <w:szCs w:val="21"/>
    </w:rPr>
  </w:style>
  <w:style w:type="paragraph" w:styleId="Heading8">
    <w:name w:val="heading 8"/>
    <w:basedOn w:val="Normal"/>
    <w:next w:val="Normal"/>
    <w:link w:val="Heading8Char"/>
    <w:uiPriority w:val="9"/>
    <w:semiHidden/>
    <w:unhideWhenUsed/>
    <w:qFormat/>
    <w:rsid w:val="00A4070F"/>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semiHidden/>
    <w:unhideWhenUsed/>
    <w:qFormat/>
    <w:rsid w:val="00A4070F"/>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17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1768"/>
  </w:style>
  <w:style w:type="paragraph" w:styleId="Footer">
    <w:name w:val="footer"/>
    <w:basedOn w:val="Normal"/>
    <w:link w:val="FooterChar"/>
    <w:uiPriority w:val="99"/>
    <w:unhideWhenUsed/>
    <w:rsid w:val="009117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1768"/>
  </w:style>
  <w:style w:type="character" w:styleId="Hyperlink">
    <w:name w:val="Hyperlink"/>
    <w:basedOn w:val="DefaultParagraphFont"/>
    <w:uiPriority w:val="99"/>
    <w:unhideWhenUsed/>
    <w:rsid w:val="00586AD7"/>
    <w:rPr>
      <w:color w:val="F79646" w:themeColor="hyperlink"/>
      <w:u w:val="single"/>
    </w:rPr>
  </w:style>
  <w:style w:type="character" w:styleId="Mention">
    <w:name w:val="Mention"/>
    <w:basedOn w:val="DefaultParagraphFont"/>
    <w:uiPriority w:val="99"/>
    <w:semiHidden/>
    <w:unhideWhenUsed/>
    <w:rsid w:val="002E3FB1"/>
    <w:rPr>
      <w:color w:val="2B579A"/>
      <w:shd w:val="clear" w:color="auto" w:fill="E6E6E6"/>
    </w:rPr>
  </w:style>
  <w:style w:type="paragraph" w:styleId="ListParagraph">
    <w:name w:val="List Paragraph"/>
    <w:basedOn w:val="Normal"/>
    <w:link w:val="ListParagraphChar"/>
    <w:uiPriority w:val="34"/>
    <w:qFormat/>
    <w:rsid w:val="000C6ED4"/>
    <w:pPr>
      <w:ind w:left="720"/>
      <w:contextualSpacing/>
    </w:pPr>
  </w:style>
  <w:style w:type="character" w:customStyle="1" w:styleId="Heading1Char">
    <w:name w:val="Heading 1 Char"/>
    <w:basedOn w:val="DefaultParagraphFont"/>
    <w:link w:val="Heading1"/>
    <w:uiPriority w:val="9"/>
    <w:rsid w:val="00A4070F"/>
    <w:rPr>
      <w:rFonts w:asciiTheme="majorHAnsi" w:eastAsiaTheme="majorEastAsia" w:hAnsiTheme="majorHAnsi" w:cstheme="majorBidi"/>
      <w:color w:val="12727D" w:themeColor="accent1" w:themeShade="BF"/>
      <w:sz w:val="32"/>
      <w:szCs w:val="32"/>
    </w:rPr>
  </w:style>
  <w:style w:type="character" w:customStyle="1" w:styleId="Heading2Char">
    <w:name w:val="Heading 2 Char"/>
    <w:basedOn w:val="DefaultParagraphFont"/>
    <w:link w:val="Heading2"/>
    <w:uiPriority w:val="9"/>
    <w:rsid w:val="00A4070F"/>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A4070F"/>
    <w:rPr>
      <w:rFonts w:asciiTheme="majorHAnsi" w:eastAsiaTheme="majorEastAsia" w:hAnsiTheme="majorHAnsi" w:cstheme="majorBidi"/>
      <w:color w:val="1F497D" w:themeColor="text2"/>
      <w:sz w:val="24"/>
      <w:szCs w:val="24"/>
    </w:rPr>
  </w:style>
  <w:style w:type="paragraph" w:styleId="BalloonText">
    <w:name w:val="Balloon Text"/>
    <w:basedOn w:val="Normal"/>
    <w:link w:val="BalloonTextChar"/>
    <w:uiPriority w:val="99"/>
    <w:semiHidden/>
    <w:unhideWhenUsed/>
    <w:rsid w:val="00A14B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4BCE"/>
    <w:rPr>
      <w:rFonts w:ascii="Segoe UI" w:hAnsi="Segoe UI" w:cs="Segoe UI"/>
      <w:sz w:val="18"/>
      <w:szCs w:val="18"/>
    </w:rPr>
  </w:style>
  <w:style w:type="character" w:customStyle="1" w:styleId="normaltextrun">
    <w:name w:val="normaltextrun"/>
    <w:basedOn w:val="DefaultParagraphFont"/>
    <w:rsid w:val="00A14BCE"/>
  </w:style>
  <w:style w:type="table" w:styleId="GridTable3">
    <w:name w:val="Grid Table 3"/>
    <w:basedOn w:val="TableNormal"/>
    <w:uiPriority w:val="48"/>
    <w:rsid w:val="00A14BCE"/>
    <w:pPr>
      <w:spacing w:after="0" w:line="240" w:lineRule="auto"/>
    </w:pPr>
    <w:rPr>
      <w:lang w:val="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styleId="CommentReference">
    <w:name w:val="annotation reference"/>
    <w:basedOn w:val="DefaultParagraphFont"/>
    <w:uiPriority w:val="99"/>
    <w:semiHidden/>
    <w:unhideWhenUsed/>
    <w:rsid w:val="00026A20"/>
    <w:rPr>
      <w:sz w:val="16"/>
      <w:szCs w:val="16"/>
    </w:rPr>
  </w:style>
  <w:style w:type="paragraph" w:styleId="CommentText">
    <w:name w:val="annotation text"/>
    <w:basedOn w:val="Normal"/>
    <w:link w:val="CommentTextChar"/>
    <w:uiPriority w:val="99"/>
    <w:unhideWhenUsed/>
    <w:rsid w:val="00026A20"/>
    <w:pPr>
      <w:spacing w:line="240" w:lineRule="auto"/>
    </w:pPr>
  </w:style>
  <w:style w:type="character" w:customStyle="1" w:styleId="CommentTextChar">
    <w:name w:val="Comment Text Char"/>
    <w:basedOn w:val="DefaultParagraphFont"/>
    <w:link w:val="CommentText"/>
    <w:uiPriority w:val="99"/>
    <w:rsid w:val="00026A20"/>
    <w:rPr>
      <w:sz w:val="20"/>
      <w:szCs w:val="20"/>
    </w:rPr>
  </w:style>
  <w:style w:type="paragraph" w:styleId="CommentSubject">
    <w:name w:val="annotation subject"/>
    <w:basedOn w:val="CommentText"/>
    <w:next w:val="CommentText"/>
    <w:link w:val="CommentSubjectChar"/>
    <w:uiPriority w:val="99"/>
    <w:semiHidden/>
    <w:unhideWhenUsed/>
    <w:rsid w:val="00026A20"/>
    <w:rPr>
      <w:b/>
      <w:bCs/>
    </w:rPr>
  </w:style>
  <w:style w:type="character" w:customStyle="1" w:styleId="CommentSubjectChar">
    <w:name w:val="Comment Subject Char"/>
    <w:basedOn w:val="CommentTextChar"/>
    <w:link w:val="CommentSubject"/>
    <w:uiPriority w:val="99"/>
    <w:semiHidden/>
    <w:rsid w:val="00026A20"/>
    <w:rPr>
      <w:b/>
      <w:bCs/>
      <w:sz w:val="20"/>
      <w:szCs w:val="20"/>
    </w:rPr>
  </w:style>
  <w:style w:type="character" w:customStyle="1" w:styleId="ListParagraphChar">
    <w:name w:val="List Paragraph Char"/>
    <w:basedOn w:val="DefaultParagraphFont"/>
    <w:link w:val="ListParagraph"/>
    <w:uiPriority w:val="34"/>
    <w:rsid w:val="003610F4"/>
  </w:style>
  <w:style w:type="paragraph" w:customStyle="1" w:styleId="NormalCMSpi">
    <w:name w:val="Normal_CMSpi"/>
    <w:basedOn w:val="Normal"/>
    <w:link w:val="NormalCMSpiChar"/>
    <w:rsid w:val="003610F4"/>
    <w:pPr>
      <w:spacing w:after="200" w:line="276" w:lineRule="auto"/>
      <w:jc w:val="both"/>
    </w:pPr>
    <w:rPr>
      <w:snapToGrid w:val="0"/>
      <w:color w:val="404040" w:themeColor="text1" w:themeTint="BF"/>
      <w:lang w:val="en-GB"/>
    </w:rPr>
  </w:style>
  <w:style w:type="character" w:customStyle="1" w:styleId="NormalCMSpiChar">
    <w:name w:val="Normal_CMSpi Char"/>
    <w:basedOn w:val="DefaultParagraphFont"/>
    <w:link w:val="NormalCMSpi"/>
    <w:rsid w:val="003610F4"/>
    <w:rPr>
      <w:snapToGrid w:val="0"/>
      <w:color w:val="404040" w:themeColor="text1" w:themeTint="BF"/>
      <w:lang w:val="en-GB"/>
    </w:rPr>
  </w:style>
  <w:style w:type="character" w:customStyle="1" w:styleId="Heading4Char">
    <w:name w:val="Heading 4 Char"/>
    <w:basedOn w:val="DefaultParagraphFont"/>
    <w:link w:val="Heading4"/>
    <w:uiPriority w:val="9"/>
    <w:semiHidden/>
    <w:rsid w:val="00A4070F"/>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A4070F"/>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A4070F"/>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A4070F"/>
    <w:rPr>
      <w:rFonts w:asciiTheme="majorHAnsi" w:eastAsiaTheme="majorEastAsia" w:hAnsiTheme="majorHAnsi" w:cstheme="majorBidi"/>
      <w:i/>
      <w:iCs/>
      <w:color w:val="0C4C53" w:themeColor="accent1" w:themeShade="80"/>
      <w:sz w:val="21"/>
      <w:szCs w:val="21"/>
    </w:rPr>
  </w:style>
  <w:style w:type="character" w:customStyle="1" w:styleId="Heading8Char">
    <w:name w:val="Heading 8 Char"/>
    <w:basedOn w:val="DefaultParagraphFont"/>
    <w:link w:val="Heading8"/>
    <w:uiPriority w:val="9"/>
    <w:semiHidden/>
    <w:rsid w:val="00A4070F"/>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semiHidden/>
    <w:rsid w:val="00A4070F"/>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A4070F"/>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A4070F"/>
    <w:pPr>
      <w:spacing w:after="0" w:line="240" w:lineRule="auto"/>
      <w:contextualSpacing/>
    </w:pPr>
    <w:rPr>
      <w:rFonts w:asciiTheme="majorHAnsi" w:eastAsiaTheme="majorEastAsia" w:hAnsiTheme="majorHAnsi" w:cstheme="majorBidi"/>
      <w:color w:val="1899A7" w:themeColor="accent1"/>
      <w:spacing w:val="-10"/>
      <w:sz w:val="56"/>
      <w:szCs w:val="56"/>
    </w:rPr>
  </w:style>
  <w:style w:type="character" w:customStyle="1" w:styleId="TitleChar">
    <w:name w:val="Title Char"/>
    <w:basedOn w:val="DefaultParagraphFont"/>
    <w:link w:val="Title"/>
    <w:uiPriority w:val="10"/>
    <w:rsid w:val="00A4070F"/>
    <w:rPr>
      <w:rFonts w:asciiTheme="majorHAnsi" w:eastAsiaTheme="majorEastAsia" w:hAnsiTheme="majorHAnsi" w:cstheme="majorBidi"/>
      <w:color w:val="1899A7" w:themeColor="accent1"/>
      <w:spacing w:val="-10"/>
      <w:sz w:val="56"/>
      <w:szCs w:val="56"/>
    </w:rPr>
  </w:style>
  <w:style w:type="paragraph" w:styleId="Subtitle">
    <w:name w:val="Subtitle"/>
    <w:basedOn w:val="Normal"/>
    <w:next w:val="Normal"/>
    <w:link w:val="SubtitleChar"/>
    <w:uiPriority w:val="11"/>
    <w:qFormat/>
    <w:rsid w:val="00A4070F"/>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A4070F"/>
    <w:rPr>
      <w:rFonts w:asciiTheme="majorHAnsi" w:eastAsiaTheme="majorEastAsia" w:hAnsiTheme="majorHAnsi" w:cstheme="majorBidi"/>
      <w:sz w:val="24"/>
      <w:szCs w:val="24"/>
    </w:rPr>
  </w:style>
  <w:style w:type="character" w:styleId="Strong">
    <w:name w:val="Strong"/>
    <w:basedOn w:val="DefaultParagraphFont"/>
    <w:uiPriority w:val="22"/>
    <w:qFormat/>
    <w:rsid w:val="00A4070F"/>
    <w:rPr>
      <w:b/>
      <w:bCs/>
    </w:rPr>
  </w:style>
  <w:style w:type="character" w:styleId="Emphasis">
    <w:name w:val="Emphasis"/>
    <w:basedOn w:val="DefaultParagraphFont"/>
    <w:uiPriority w:val="20"/>
    <w:qFormat/>
    <w:rsid w:val="00A4070F"/>
    <w:rPr>
      <w:i/>
      <w:iCs/>
    </w:rPr>
  </w:style>
  <w:style w:type="paragraph" w:styleId="NoSpacing">
    <w:name w:val="No Spacing"/>
    <w:uiPriority w:val="1"/>
    <w:qFormat/>
    <w:rsid w:val="00A4070F"/>
    <w:pPr>
      <w:spacing w:after="0" w:line="240" w:lineRule="auto"/>
    </w:pPr>
  </w:style>
  <w:style w:type="paragraph" w:styleId="Quote">
    <w:name w:val="Quote"/>
    <w:basedOn w:val="Normal"/>
    <w:next w:val="Normal"/>
    <w:link w:val="QuoteChar"/>
    <w:uiPriority w:val="29"/>
    <w:qFormat/>
    <w:rsid w:val="00A4070F"/>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A4070F"/>
    <w:rPr>
      <w:i/>
      <w:iCs/>
      <w:color w:val="404040" w:themeColor="text1" w:themeTint="BF"/>
    </w:rPr>
  </w:style>
  <w:style w:type="paragraph" w:styleId="IntenseQuote">
    <w:name w:val="Intense Quote"/>
    <w:basedOn w:val="Normal"/>
    <w:next w:val="Normal"/>
    <w:link w:val="IntenseQuoteChar"/>
    <w:uiPriority w:val="30"/>
    <w:qFormat/>
    <w:rsid w:val="00A4070F"/>
    <w:pPr>
      <w:pBdr>
        <w:left w:val="single" w:sz="18" w:space="12" w:color="1899A7" w:themeColor="accent1"/>
      </w:pBdr>
      <w:spacing w:before="100" w:beforeAutospacing="1" w:line="300" w:lineRule="auto"/>
      <w:ind w:left="1224" w:right="1224"/>
    </w:pPr>
    <w:rPr>
      <w:rFonts w:asciiTheme="majorHAnsi" w:eastAsiaTheme="majorEastAsia" w:hAnsiTheme="majorHAnsi" w:cstheme="majorBidi"/>
      <w:color w:val="1899A7" w:themeColor="accent1"/>
      <w:sz w:val="28"/>
      <w:szCs w:val="28"/>
    </w:rPr>
  </w:style>
  <w:style w:type="character" w:customStyle="1" w:styleId="IntenseQuoteChar">
    <w:name w:val="Intense Quote Char"/>
    <w:basedOn w:val="DefaultParagraphFont"/>
    <w:link w:val="IntenseQuote"/>
    <w:uiPriority w:val="30"/>
    <w:rsid w:val="00A4070F"/>
    <w:rPr>
      <w:rFonts w:asciiTheme="majorHAnsi" w:eastAsiaTheme="majorEastAsia" w:hAnsiTheme="majorHAnsi" w:cstheme="majorBidi"/>
      <w:color w:val="1899A7" w:themeColor="accent1"/>
      <w:sz w:val="28"/>
      <w:szCs w:val="28"/>
    </w:rPr>
  </w:style>
  <w:style w:type="character" w:styleId="SubtleEmphasis">
    <w:name w:val="Subtle Emphasis"/>
    <w:basedOn w:val="DefaultParagraphFont"/>
    <w:uiPriority w:val="19"/>
    <w:qFormat/>
    <w:rsid w:val="00A4070F"/>
    <w:rPr>
      <w:i/>
      <w:iCs/>
      <w:color w:val="404040" w:themeColor="text1" w:themeTint="BF"/>
    </w:rPr>
  </w:style>
  <w:style w:type="character" w:styleId="IntenseEmphasis">
    <w:name w:val="Intense Emphasis"/>
    <w:basedOn w:val="DefaultParagraphFont"/>
    <w:uiPriority w:val="21"/>
    <w:qFormat/>
    <w:rsid w:val="00A4070F"/>
    <w:rPr>
      <w:b/>
      <w:bCs/>
      <w:i/>
      <w:iCs/>
    </w:rPr>
  </w:style>
  <w:style w:type="character" w:styleId="SubtleReference">
    <w:name w:val="Subtle Reference"/>
    <w:basedOn w:val="DefaultParagraphFont"/>
    <w:uiPriority w:val="31"/>
    <w:qFormat/>
    <w:rsid w:val="00A4070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A4070F"/>
    <w:rPr>
      <w:b/>
      <w:bCs/>
      <w:smallCaps/>
      <w:spacing w:val="5"/>
      <w:u w:val="single"/>
    </w:rPr>
  </w:style>
  <w:style w:type="character" w:styleId="BookTitle">
    <w:name w:val="Book Title"/>
    <w:basedOn w:val="DefaultParagraphFont"/>
    <w:uiPriority w:val="33"/>
    <w:qFormat/>
    <w:rsid w:val="00A4070F"/>
    <w:rPr>
      <w:b/>
      <w:bCs/>
      <w:smallCaps/>
    </w:rPr>
  </w:style>
  <w:style w:type="paragraph" w:styleId="TOCHeading">
    <w:name w:val="TOC Heading"/>
    <w:basedOn w:val="Heading1"/>
    <w:next w:val="Normal"/>
    <w:uiPriority w:val="39"/>
    <w:semiHidden/>
    <w:unhideWhenUsed/>
    <w:qFormat/>
    <w:rsid w:val="00A4070F"/>
    <w:pPr>
      <w:outlineLvl w:val="9"/>
    </w:pPr>
  </w:style>
  <w:style w:type="paragraph" w:styleId="FootnoteText">
    <w:name w:val="footnote text"/>
    <w:basedOn w:val="Normal"/>
    <w:link w:val="FootnoteTextChar"/>
    <w:uiPriority w:val="99"/>
    <w:semiHidden/>
    <w:unhideWhenUsed/>
    <w:rsid w:val="00C3578F"/>
    <w:pPr>
      <w:spacing w:after="0" w:line="240" w:lineRule="auto"/>
    </w:pPr>
    <w:rPr>
      <w:rFonts w:ascii="Calibri" w:eastAsia="Calibri" w:hAnsi="Calibri" w:cs="Times New Roman"/>
      <w:lang w:val="en-GB"/>
    </w:rPr>
  </w:style>
  <w:style w:type="character" w:customStyle="1" w:styleId="FootnoteTextChar">
    <w:name w:val="Footnote Text Char"/>
    <w:basedOn w:val="DefaultParagraphFont"/>
    <w:link w:val="FootnoteText"/>
    <w:uiPriority w:val="99"/>
    <w:semiHidden/>
    <w:rsid w:val="00C3578F"/>
    <w:rPr>
      <w:rFonts w:ascii="Calibri" w:eastAsia="Calibri" w:hAnsi="Calibri" w:cs="Times New Roman"/>
      <w:lang w:val="en-GB"/>
    </w:rPr>
  </w:style>
  <w:style w:type="character" w:styleId="FootnoteReference">
    <w:name w:val="footnote reference"/>
    <w:basedOn w:val="DefaultParagraphFont"/>
    <w:uiPriority w:val="99"/>
    <w:semiHidden/>
    <w:unhideWhenUsed/>
    <w:rsid w:val="00C357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457519">
      <w:bodyDiv w:val="1"/>
      <w:marLeft w:val="0"/>
      <w:marRight w:val="0"/>
      <w:marTop w:val="0"/>
      <w:marBottom w:val="0"/>
      <w:divBdr>
        <w:top w:val="none" w:sz="0" w:space="0" w:color="auto"/>
        <w:left w:val="none" w:sz="0" w:space="0" w:color="auto"/>
        <w:bottom w:val="none" w:sz="0" w:space="0" w:color="auto"/>
        <w:right w:val="none" w:sz="0" w:space="0" w:color="auto"/>
      </w:divBdr>
    </w:div>
    <w:div w:id="330989519">
      <w:bodyDiv w:val="1"/>
      <w:marLeft w:val="0"/>
      <w:marRight w:val="0"/>
      <w:marTop w:val="0"/>
      <w:marBottom w:val="0"/>
      <w:divBdr>
        <w:top w:val="none" w:sz="0" w:space="0" w:color="auto"/>
        <w:left w:val="none" w:sz="0" w:space="0" w:color="auto"/>
        <w:bottom w:val="none" w:sz="0" w:space="0" w:color="auto"/>
        <w:right w:val="none" w:sz="0" w:space="0" w:color="auto"/>
      </w:divBdr>
    </w:div>
    <w:div w:id="416445990">
      <w:bodyDiv w:val="1"/>
      <w:marLeft w:val="0"/>
      <w:marRight w:val="0"/>
      <w:marTop w:val="0"/>
      <w:marBottom w:val="0"/>
      <w:divBdr>
        <w:top w:val="none" w:sz="0" w:space="0" w:color="auto"/>
        <w:left w:val="none" w:sz="0" w:space="0" w:color="auto"/>
        <w:bottom w:val="none" w:sz="0" w:space="0" w:color="auto"/>
        <w:right w:val="none" w:sz="0" w:space="0" w:color="auto"/>
      </w:divBdr>
    </w:div>
    <w:div w:id="1154644917">
      <w:bodyDiv w:val="1"/>
      <w:marLeft w:val="0"/>
      <w:marRight w:val="0"/>
      <w:marTop w:val="0"/>
      <w:marBottom w:val="0"/>
      <w:divBdr>
        <w:top w:val="none" w:sz="0" w:space="0" w:color="auto"/>
        <w:left w:val="none" w:sz="0" w:space="0" w:color="auto"/>
        <w:bottom w:val="none" w:sz="0" w:space="0" w:color="auto"/>
        <w:right w:val="none" w:sz="0" w:space="0" w:color="auto"/>
      </w:divBdr>
    </w:div>
    <w:div w:id="1434589056">
      <w:bodyDiv w:val="1"/>
      <w:marLeft w:val="0"/>
      <w:marRight w:val="0"/>
      <w:marTop w:val="0"/>
      <w:marBottom w:val="0"/>
      <w:divBdr>
        <w:top w:val="none" w:sz="0" w:space="0" w:color="auto"/>
        <w:left w:val="none" w:sz="0" w:space="0" w:color="auto"/>
        <w:bottom w:val="none" w:sz="0" w:space="0" w:color="auto"/>
        <w:right w:val="none" w:sz="0" w:space="0" w:color="auto"/>
      </w:divBdr>
    </w:div>
    <w:div w:id="2100825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cms-pi.com" TargetMode="External"/><Relationship Id="rId2" Type="http://schemas.openxmlformats.org/officeDocument/2006/relationships/hyperlink" Target="mailto:info-us@cmspi.com" TargetMode="External"/><Relationship Id="rId1" Type="http://schemas.openxmlformats.org/officeDocument/2006/relationships/image" Target="media/image2.png"/><Relationship Id="rId6" Type="http://schemas.openxmlformats.org/officeDocument/2006/relationships/image" Target="media/image3.png"/><Relationship Id="rId5" Type="http://schemas.openxmlformats.org/officeDocument/2006/relationships/hyperlink" Target="http://www.cms-pi.com" TargetMode="External"/><Relationship Id="rId4" Type="http://schemas.openxmlformats.org/officeDocument/2006/relationships/hyperlink" Target="mailto:info-us@cmspi.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msouthall\OneDrive%20-%20CMS%20Payments%20Intelligence\Documents\Economics\Country%20Info\Australia\July%202021%20Consultation\Consultation%20response%20excel.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msouthall\OneDrive%20-%20CMS%20Payments%20Intelligence\Documents\Economics\Country%20Info\Australia\July%202021%20Consultation\Consultation%20response%20excel.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msouthall\OneDrive%20-%20CMS%20Payments%20Intelligence\Documents\Economics\Country%20Info\Australia\July%202021%20Consultation\Consultation%20response%20excel.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percentStacked"/>
        <c:varyColors val="0"/>
        <c:ser>
          <c:idx val="0"/>
          <c:order val="0"/>
          <c:tx>
            <c:v>Routable Transactions</c:v>
          </c:tx>
          <c:spPr>
            <a:solidFill>
              <a:schemeClr val="accent1"/>
            </a:solidFill>
            <a:ln>
              <a:noFill/>
            </a:ln>
            <a:effectLst/>
          </c:spPr>
          <c:cat>
            <c:strRef>
              <c:f>'Routing Calcs'!$A$6:$F$6</c:f>
              <c:strCache>
                <c:ptCount val="6"/>
                <c:pt idx="0">
                  <c:v>100% LCR</c:v>
                </c:pt>
                <c:pt idx="1">
                  <c:v>Limit to debit</c:v>
                </c:pt>
                <c:pt idx="2">
                  <c:v>Remove Global Network SNDCs</c:v>
                </c:pt>
                <c:pt idx="3">
                  <c:v>Limit to F2F</c:v>
                </c:pt>
                <c:pt idx="4">
                  <c:v>Limit to contactless</c:v>
                </c:pt>
                <c:pt idx="5">
                  <c:v>Remove digital wallets</c:v>
                </c:pt>
              </c:strCache>
            </c:strRef>
          </c:cat>
          <c:val>
            <c:numRef>
              <c:f>'Routing Calcs'!$A$7:$F$7</c:f>
              <c:numCache>
                <c:formatCode>0.00%</c:formatCode>
                <c:ptCount val="6"/>
                <c:pt idx="0" formatCode="0%">
                  <c:v>1</c:v>
                </c:pt>
                <c:pt idx="1">
                  <c:v>0.48410310087661923</c:v>
                </c:pt>
                <c:pt idx="2">
                  <c:v>0.45989794583278826</c:v>
                </c:pt>
                <c:pt idx="3">
                  <c:v>0.29893366479131239</c:v>
                </c:pt>
                <c:pt idx="4">
                  <c:v>7.960376764397803E-2</c:v>
                </c:pt>
                <c:pt idx="5">
                  <c:v>7.3235466232459787E-2</c:v>
                </c:pt>
              </c:numCache>
            </c:numRef>
          </c:val>
          <c:extLst>
            <c:ext xmlns:c16="http://schemas.microsoft.com/office/drawing/2014/chart" uri="{C3380CC4-5D6E-409C-BE32-E72D297353CC}">
              <c16:uniqueId val="{00000000-B7C5-4FC8-B96B-2434EC39C310}"/>
            </c:ext>
          </c:extLst>
        </c:ser>
        <c:ser>
          <c:idx val="1"/>
          <c:order val="1"/>
          <c:tx>
            <c:v>Total Card Transactions</c:v>
          </c:tx>
          <c:spPr>
            <a:solidFill>
              <a:schemeClr val="accent2"/>
            </a:solidFill>
            <a:ln>
              <a:noFill/>
            </a:ln>
            <a:effectLst/>
          </c:spPr>
          <c:cat>
            <c:strRef>
              <c:f>'Routing Calcs'!$A$6:$F$6</c:f>
              <c:strCache>
                <c:ptCount val="6"/>
                <c:pt idx="0">
                  <c:v>100% LCR</c:v>
                </c:pt>
                <c:pt idx="1">
                  <c:v>Limit to debit</c:v>
                </c:pt>
                <c:pt idx="2">
                  <c:v>Remove Global Network SNDCs</c:v>
                </c:pt>
                <c:pt idx="3">
                  <c:v>Limit to F2F</c:v>
                </c:pt>
                <c:pt idx="4">
                  <c:v>Limit to contactless</c:v>
                </c:pt>
                <c:pt idx="5">
                  <c:v>Remove digital wallets</c:v>
                </c:pt>
              </c:strCache>
            </c:strRef>
          </c:cat>
          <c:val>
            <c:numRef>
              <c:f>'Routing Calcs'!$A$8:$F$8</c:f>
              <c:numCache>
                <c:formatCode>0.00%</c:formatCode>
                <c:ptCount val="6"/>
                <c:pt idx="0" formatCode="0%">
                  <c:v>0</c:v>
                </c:pt>
                <c:pt idx="1">
                  <c:v>0.51589689912338077</c:v>
                </c:pt>
                <c:pt idx="2">
                  <c:v>0.54010205416721169</c:v>
                </c:pt>
                <c:pt idx="3">
                  <c:v>0.70106633520868766</c:v>
                </c:pt>
                <c:pt idx="4">
                  <c:v>0.92039623235602197</c:v>
                </c:pt>
                <c:pt idx="5">
                  <c:v>0.9267645337675402</c:v>
                </c:pt>
              </c:numCache>
            </c:numRef>
          </c:val>
          <c:extLst>
            <c:ext xmlns:c16="http://schemas.microsoft.com/office/drawing/2014/chart" uri="{C3380CC4-5D6E-409C-BE32-E72D297353CC}">
              <c16:uniqueId val="{00000001-B7C5-4FC8-B96B-2434EC39C310}"/>
            </c:ext>
          </c:extLst>
        </c:ser>
        <c:dLbls>
          <c:showLegendKey val="0"/>
          <c:showVal val="0"/>
          <c:showCatName val="0"/>
          <c:showSerName val="0"/>
          <c:showPercent val="0"/>
          <c:showBubbleSize val="0"/>
        </c:dLbls>
        <c:axId val="549362944"/>
        <c:axId val="549360864"/>
      </c:areaChart>
      <c:catAx>
        <c:axId val="549362944"/>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9360864"/>
        <c:crosses val="autoZero"/>
        <c:auto val="1"/>
        <c:lblAlgn val="ctr"/>
        <c:lblOffset val="100"/>
        <c:noMultiLvlLbl val="0"/>
      </c:catAx>
      <c:valAx>
        <c:axId val="5493608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Proportion of Domestic Transactions Available</a:t>
                </a:r>
                <a:r>
                  <a:rPr lang="en-US" baseline="0"/>
                  <a:t> for Merchant Routing</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9362944"/>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areaChart>
        <c:grouping val="stacked"/>
        <c:varyColors val="0"/>
        <c:ser>
          <c:idx val="0"/>
          <c:order val="0"/>
          <c:tx>
            <c:v>Merchant Cost</c:v>
          </c:tx>
          <c:spPr>
            <a:solidFill>
              <a:schemeClr val="accent5"/>
            </a:solidFill>
            <a:ln>
              <a:noFill/>
            </a:ln>
            <a:effectLst/>
          </c:spPr>
          <c:cat>
            <c:strRef>
              <c:f>'Routing Calcs'!$A$15:$F$15</c:f>
              <c:strCache>
                <c:ptCount val="6"/>
                <c:pt idx="0">
                  <c:v>100% LCR</c:v>
                </c:pt>
                <c:pt idx="1">
                  <c:v>Limit to debit</c:v>
                </c:pt>
                <c:pt idx="2">
                  <c:v>Remove Global Network SNDCs</c:v>
                </c:pt>
                <c:pt idx="3">
                  <c:v>Limit to F2F</c:v>
                </c:pt>
                <c:pt idx="4">
                  <c:v>Limit to contactless</c:v>
                </c:pt>
                <c:pt idx="5">
                  <c:v>Remove digital wallets</c:v>
                </c:pt>
              </c:strCache>
            </c:strRef>
          </c:cat>
          <c:val>
            <c:numRef>
              <c:f>'Routing Calcs'!$A$16:$F$16</c:f>
              <c:numCache>
                <c:formatCode>_("$"* #,##0.00_);_("$"* \(#,##0.00\);_("$"* "-"??_);_(@_)</c:formatCode>
                <c:ptCount val="6"/>
                <c:pt idx="0">
                  <c:v>1.6748759079544584</c:v>
                </c:pt>
                <c:pt idx="1">
                  <c:v>2.9582033699699819</c:v>
                </c:pt>
                <c:pt idx="2">
                  <c:v>3.018415284875605</c:v>
                </c:pt>
                <c:pt idx="3">
                  <c:v>3.4188245189979982</c:v>
                </c:pt>
                <c:pt idx="4">
                  <c:v>3.9644220613140995</c:v>
                </c:pt>
                <c:pt idx="5">
                  <c:v>3.9802636298555667</c:v>
                </c:pt>
              </c:numCache>
            </c:numRef>
          </c:val>
          <c:extLst>
            <c:ext xmlns:c16="http://schemas.microsoft.com/office/drawing/2014/chart" uri="{C3380CC4-5D6E-409C-BE32-E72D297353CC}">
              <c16:uniqueId val="{00000000-0DD0-47BB-A373-73A769B93C32}"/>
            </c:ext>
          </c:extLst>
        </c:ser>
        <c:ser>
          <c:idx val="1"/>
          <c:order val="1"/>
          <c:tx>
            <c:v>Additional Merchant Cost if No Routing is Available</c:v>
          </c:tx>
          <c:spPr>
            <a:solidFill>
              <a:schemeClr val="accent2"/>
            </a:solidFill>
            <a:ln>
              <a:noFill/>
            </a:ln>
            <a:effectLst/>
          </c:spPr>
          <c:cat>
            <c:strRef>
              <c:f>'Routing Calcs'!$A$15:$F$15</c:f>
              <c:strCache>
                <c:ptCount val="6"/>
                <c:pt idx="0">
                  <c:v>100% LCR</c:v>
                </c:pt>
                <c:pt idx="1">
                  <c:v>Limit to debit</c:v>
                </c:pt>
                <c:pt idx="2">
                  <c:v>Remove Global Network SNDCs</c:v>
                </c:pt>
                <c:pt idx="3">
                  <c:v>Limit to F2F</c:v>
                </c:pt>
                <c:pt idx="4">
                  <c:v>Limit to contactless</c:v>
                </c:pt>
                <c:pt idx="5">
                  <c:v>Remove digital wallets</c:v>
                </c:pt>
              </c:strCache>
            </c:strRef>
          </c:cat>
          <c:val>
            <c:numRef>
              <c:f>'Routing Calcs'!$A$17:$F$17</c:f>
              <c:numCache>
                <c:formatCode>_("$"* #,##0.00_);_("$"* \(#,##0.00\);_("$"* "-"??_);_(@_)</c:formatCode>
                <c:ptCount val="6"/>
                <c:pt idx="0">
                  <c:v>2.4875657601279846</c:v>
                </c:pt>
                <c:pt idx="1">
                  <c:v>1.2042382981124611</c:v>
                </c:pt>
                <c:pt idx="2">
                  <c:v>1.144026383206838</c:v>
                </c:pt>
                <c:pt idx="3">
                  <c:v>0.74361714908444476</c:v>
                </c:pt>
                <c:pt idx="4">
                  <c:v>0.19801960676834351</c:v>
                </c:pt>
                <c:pt idx="5">
                  <c:v>0.18217803822687628</c:v>
                </c:pt>
              </c:numCache>
            </c:numRef>
          </c:val>
          <c:extLst>
            <c:ext xmlns:c16="http://schemas.microsoft.com/office/drawing/2014/chart" uri="{C3380CC4-5D6E-409C-BE32-E72D297353CC}">
              <c16:uniqueId val="{00000001-0DD0-47BB-A373-73A769B93C32}"/>
            </c:ext>
          </c:extLst>
        </c:ser>
        <c:dLbls>
          <c:showLegendKey val="0"/>
          <c:showVal val="0"/>
          <c:showCatName val="0"/>
          <c:showSerName val="0"/>
          <c:showPercent val="0"/>
          <c:showBubbleSize val="0"/>
        </c:dLbls>
        <c:axId val="543076208"/>
        <c:axId val="543079536"/>
      </c:areaChart>
      <c:catAx>
        <c:axId val="543076208"/>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79536"/>
        <c:crossesAt val="0"/>
        <c:auto val="1"/>
        <c:lblAlgn val="ctr"/>
        <c:lblOffset val="100"/>
        <c:noMultiLvlLbl val="0"/>
      </c:catAx>
      <c:valAx>
        <c:axId val="543079536"/>
        <c:scaling>
          <c:orientation val="minMax"/>
          <c:max val="4.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Estimated</a:t>
                </a:r>
                <a:r>
                  <a:rPr lang="en-US" baseline="0"/>
                  <a:t> Annual Merchant Cost (AUD bn)</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quot;$&quot;* #,##0.0_);_(&quot;$&quot;* \(#,##0.0\);_(&quot;$&quot;* &quot;-&quot;?_);_(@_)"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307620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'Local Debit Networks'!$B$9</c:f>
              <c:strCache>
                <c:ptCount val="1"/>
                <c:pt idx="0">
                  <c:v>Local Network (Germany)</c:v>
                </c:pt>
              </c:strCache>
            </c:strRef>
          </c:tx>
          <c:spPr>
            <a:ln w="28575" cap="rnd">
              <a:solidFill>
                <a:schemeClr val="accent1"/>
              </a:solidFill>
              <a:round/>
            </a:ln>
            <a:effectLst/>
          </c:spPr>
          <c:marker>
            <c:symbol val="none"/>
          </c:marker>
          <c:cat>
            <c:numRef>
              <c:f>'Local Debit Networks'!$C$3:$G$3</c:f>
              <c:numCache>
                <c:formatCode>General</c:formatCode>
                <c:ptCount val="5"/>
                <c:pt idx="0">
                  <c:v>2015</c:v>
                </c:pt>
                <c:pt idx="1">
                  <c:v>2016</c:v>
                </c:pt>
                <c:pt idx="2">
                  <c:v>2017</c:v>
                </c:pt>
                <c:pt idx="3">
                  <c:v>2018</c:v>
                </c:pt>
                <c:pt idx="4">
                  <c:v>2019</c:v>
                </c:pt>
              </c:numCache>
            </c:numRef>
          </c:cat>
          <c:val>
            <c:numRef>
              <c:f>'Local Debit Networks'!$C$9:$G$9</c:f>
              <c:numCache>
                <c:formatCode>0%</c:formatCode>
                <c:ptCount val="5"/>
                <c:pt idx="0">
                  <c:v>0.57573354480570971</c:v>
                </c:pt>
                <c:pt idx="1">
                  <c:v>0.578335832083958</c:v>
                </c:pt>
                <c:pt idx="2">
                  <c:v>0.57379943502824859</c:v>
                </c:pt>
                <c:pt idx="3">
                  <c:v>0.59296800760215396</c:v>
                </c:pt>
                <c:pt idx="4">
                  <c:v>0.6061381074168799</c:v>
                </c:pt>
              </c:numCache>
            </c:numRef>
          </c:val>
          <c:smooth val="0"/>
          <c:extLst>
            <c:ext xmlns:c16="http://schemas.microsoft.com/office/drawing/2014/chart" uri="{C3380CC4-5D6E-409C-BE32-E72D297353CC}">
              <c16:uniqueId val="{00000000-C209-4A6E-B6D7-DA9CF631765A}"/>
            </c:ext>
          </c:extLst>
        </c:ser>
        <c:ser>
          <c:idx val="1"/>
          <c:order val="1"/>
          <c:tx>
            <c:strRef>
              <c:f>'Local Debit Networks'!$B$10</c:f>
              <c:strCache>
                <c:ptCount val="1"/>
                <c:pt idx="0">
                  <c:v>Global Network (Germany)</c:v>
                </c:pt>
              </c:strCache>
            </c:strRef>
          </c:tx>
          <c:spPr>
            <a:ln w="28575" cap="rnd">
              <a:solidFill>
                <a:schemeClr val="accent1"/>
              </a:solidFill>
              <a:prstDash val="sysDash"/>
              <a:round/>
            </a:ln>
            <a:effectLst/>
          </c:spPr>
          <c:marker>
            <c:symbol val="none"/>
          </c:marker>
          <c:cat>
            <c:numRef>
              <c:f>'Local Debit Networks'!$C$3:$G$3</c:f>
              <c:numCache>
                <c:formatCode>General</c:formatCode>
                <c:ptCount val="5"/>
                <c:pt idx="0">
                  <c:v>2015</c:v>
                </c:pt>
                <c:pt idx="1">
                  <c:v>2016</c:v>
                </c:pt>
                <c:pt idx="2">
                  <c:v>2017</c:v>
                </c:pt>
                <c:pt idx="3">
                  <c:v>2018</c:v>
                </c:pt>
                <c:pt idx="4">
                  <c:v>2019</c:v>
                </c:pt>
              </c:numCache>
            </c:numRef>
          </c:cat>
          <c:val>
            <c:numRef>
              <c:f>'Local Debit Networks'!$C$10:$G$10</c:f>
              <c:numCache>
                <c:formatCode>0%</c:formatCode>
                <c:ptCount val="5"/>
                <c:pt idx="0">
                  <c:v>0.35408406026962735</c:v>
                </c:pt>
                <c:pt idx="1">
                  <c:v>0.35232383808095952</c:v>
                </c:pt>
                <c:pt idx="2">
                  <c:v>0.3559322033898305</c:v>
                </c:pt>
                <c:pt idx="3">
                  <c:v>0.33987963256255943</c:v>
                </c:pt>
                <c:pt idx="4">
                  <c:v>0.32907075873827796</c:v>
                </c:pt>
              </c:numCache>
            </c:numRef>
          </c:val>
          <c:smooth val="0"/>
          <c:extLst>
            <c:ext xmlns:c16="http://schemas.microsoft.com/office/drawing/2014/chart" uri="{C3380CC4-5D6E-409C-BE32-E72D297353CC}">
              <c16:uniqueId val="{00000001-C209-4A6E-B6D7-DA9CF631765A}"/>
            </c:ext>
          </c:extLst>
        </c:ser>
        <c:ser>
          <c:idx val="2"/>
          <c:order val="2"/>
          <c:tx>
            <c:strRef>
              <c:f>'Local Debit Networks'!$B$25</c:f>
              <c:strCache>
                <c:ptCount val="1"/>
                <c:pt idx="0">
                  <c:v>Local Network (Italy)</c:v>
                </c:pt>
              </c:strCache>
            </c:strRef>
          </c:tx>
          <c:spPr>
            <a:ln w="28575" cap="rnd">
              <a:solidFill>
                <a:schemeClr val="accent5"/>
              </a:solidFill>
              <a:round/>
            </a:ln>
            <a:effectLst/>
          </c:spPr>
          <c:marker>
            <c:symbol val="none"/>
          </c:marker>
          <c:cat>
            <c:numRef>
              <c:f>'Local Debit Networks'!$C$3:$G$3</c:f>
              <c:numCache>
                <c:formatCode>General</c:formatCode>
                <c:ptCount val="5"/>
                <c:pt idx="0">
                  <c:v>2015</c:v>
                </c:pt>
                <c:pt idx="1">
                  <c:v>2016</c:v>
                </c:pt>
                <c:pt idx="2">
                  <c:v>2017</c:v>
                </c:pt>
                <c:pt idx="3">
                  <c:v>2018</c:v>
                </c:pt>
                <c:pt idx="4">
                  <c:v>2019</c:v>
                </c:pt>
              </c:numCache>
            </c:numRef>
          </c:cat>
          <c:val>
            <c:numRef>
              <c:f>'Local Debit Networks'!$C$25:$G$25</c:f>
              <c:numCache>
                <c:formatCode>0%</c:formatCode>
                <c:ptCount val="5"/>
                <c:pt idx="0">
                  <c:v>0.30916275654139469</c:v>
                </c:pt>
                <c:pt idx="1">
                  <c:v>0.29959542519648147</c:v>
                </c:pt>
                <c:pt idx="2">
                  <c:v>0.27779735140010764</c:v>
                </c:pt>
                <c:pt idx="3">
                  <c:v>0.2486582662341312</c:v>
                </c:pt>
                <c:pt idx="4">
                  <c:v>0.23905276683818208</c:v>
                </c:pt>
              </c:numCache>
            </c:numRef>
          </c:val>
          <c:smooth val="0"/>
          <c:extLst>
            <c:ext xmlns:c16="http://schemas.microsoft.com/office/drawing/2014/chart" uri="{C3380CC4-5D6E-409C-BE32-E72D297353CC}">
              <c16:uniqueId val="{00000002-C209-4A6E-B6D7-DA9CF631765A}"/>
            </c:ext>
          </c:extLst>
        </c:ser>
        <c:ser>
          <c:idx val="3"/>
          <c:order val="3"/>
          <c:tx>
            <c:strRef>
              <c:f>'Local Debit Networks'!$B$26</c:f>
              <c:strCache>
                <c:ptCount val="1"/>
                <c:pt idx="0">
                  <c:v>Global Network (Italy)</c:v>
                </c:pt>
              </c:strCache>
            </c:strRef>
          </c:tx>
          <c:spPr>
            <a:ln w="28575" cap="rnd">
              <a:solidFill>
                <a:schemeClr val="accent5"/>
              </a:solidFill>
              <a:prstDash val="sysDash"/>
              <a:round/>
            </a:ln>
            <a:effectLst/>
          </c:spPr>
          <c:marker>
            <c:symbol val="none"/>
          </c:marker>
          <c:cat>
            <c:numRef>
              <c:f>'Local Debit Networks'!$C$3:$G$3</c:f>
              <c:numCache>
                <c:formatCode>General</c:formatCode>
                <c:ptCount val="5"/>
                <c:pt idx="0">
                  <c:v>2015</c:v>
                </c:pt>
                <c:pt idx="1">
                  <c:v>2016</c:v>
                </c:pt>
                <c:pt idx="2">
                  <c:v>2017</c:v>
                </c:pt>
                <c:pt idx="3">
                  <c:v>2018</c:v>
                </c:pt>
                <c:pt idx="4">
                  <c:v>2019</c:v>
                </c:pt>
              </c:numCache>
            </c:numRef>
          </c:cat>
          <c:val>
            <c:numRef>
              <c:f>'Local Debit Networks'!$C$26:$G$26</c:f>
              <c:numCache>
                <c:formatCode>0%</c:formatCode>
                <c:ptCount val="5"/>
                <c:pt idx="0">
                  <c:v>0.57263899322444722</c:v>
                </c:pt>
                <c:pt idx="1">
                  <c:v>0.593245399227323</c:v>
                </c:pt>
                <c:pt idx="2">
                  <c:v>0.62706569902378961</c:v>
                </c:pt>
                <c:pt idx="3">
                  <c:v>0.66599120541730505</c:v>
                </c:pt>
                <c:pt idx="4">
                  <c:v>0.67521264409738779</c:v>
                </c:pt>
              </c:numCache>
            </c:numRef>
          </c:val>
          <c:smooth val="0"/>
          <c:extLst>
            <c:ext xmlns:c16="http://schemas.microsoft.com/office/drawing/2014/chart" uri="{C3380CC4-5D6E-409C-BE32-E72D297353CC}">
              <c16:uniqueId val="{00000003-C209-4A6E-B6D7-DA9CF631765A}"/>
            </c:ext>
          </c:extLst>
        </c:ser>
        <c:dLbls>
          <c:showLegendKey val="0"/>
          <c:showVal val="0"/>
          <c:showCatName val="0"/>
          <c:showSerName val="0"/>
          <c:showPercent val="0"/>
          <c:showBubbleSize val="0"/>
        </c:dLbls>
        <c:smooth val="0"/>
        <c:axId val="1468300800"/>
        <c:axId val="1468304544"/>
      </c:lineChart>
      <c:catAx>
        <c:axId val="1468300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8304544"/>
        <c:crosses val="autoZero"/>
        <c:auto val="1"/>
        <c:lblAlgn val="ctr"/>
        <c:lblOffset val="100"/>
        <c:noMultiLvlLbl val="0"/>
      </c:catAx>
      <c:valAx>
        <c:axId val="14683045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Market Share by</a:t>
                </a:r>
                <a:r>
                  <a:rPr lang="en-US" baseline="0"/>
                  <a:t> Value</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8300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CMSPI">
  <a:themeElements>
    <a:clrScheme name="CMSPI Branding">
      <a:dk1>
        <a:sysClr val="windowText" lastClr="000000"/>
      </a:dk1>
      <a:lt1>
        <a:sysClr val="window" lastClr="FFFFFF"/>
      </a:lt1>
      <a:dk2>
        <a:srgbClr val="1F497D"/>
      </a:dk2>
      <a:lt2>
        <a:srgbClr val="EEECE1"/>
      </a:lt2>
      <a:accent1>
        <a:srgbClr val="1899A7"/>
      </a:accent1>
      <a:accent2>
        <a:srgbClr val="FCD06C"/>
      </a:accent2>
      <a:accent3>
        <a:srgbClr val="07545C"/>
      </a:accent3>
      <a:accent4>
        <a:srgbClr val="8E8E8E"/>
      </a:accent4>
      <a:accent5>
        <a:srgbClr val="DC5125"/>
      </a:accent5>
      <a:accent6>
        <a:srgbClr val="76923C"/>
      </a:accent6>
      <a:hlink>
        <a:srgbClr val="F79646"/>
      </a:hlink>
      <a:folHlink>
        <a:srgbClr val="80008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098683DCCBD94391A90790FAF1B909" ma:contentTypeVersion="12" ma:contentTypeDescription="Create a new document." ma:contentTypeScope="" ma:versionID="71e0c468ce78f029f32fab36b8d2ba52">
  <xsd:schema xmlns:xsd="http://www.w3.org/2001/XMLSchema" xmlns:xs="http://www.w3.org/2001/XMLSchema" xmlns:p="http://schemas.microsoft.com/office/2006/metadata/properties" xmlns:ns2="78ae4fae-ae31-4f79-b41f-977fc9a39e9f" xmlns:ns3="1a09608a-4e59-4694-9e78-5c2859ffc7e9" targetNamespace="http://schemas.microsoft.com/office/2006/metadata/properties" ma:root="true" ma:fieldsID="7cd143537db5801e662ab10be377ed81" ns2:_="" ns3:_="">
    <xsd:import namespace="78ae4fae-ae31-4f79-b41f-977fc9a39e9f"/>
    <xsd:import namespace="1a09608a-4e59-4694-9e78-5c2859ffc7e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ae4fae-ae31-4f79-b41f-977fc9a39e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09608a-4e59-4694-9e78-5c2859ffc7e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0C7FFB-53D8-454F-82BE-9340915B31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ae4fae-ae31-4f79-b41f-977fc9a39e9f"/>
    <ds:schemaRef ds:uri="1a09608a-4e59-4694-9e78-5c2859ffc7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71DB0A-6E2E-4BDB-B6BF-5C8A8361AD10}">
  <ds:schemaRefs>
    <ds:schemaRef ds:uri="http://schemas.openxmlformats.org/officeDocument/2006/bibliography"/>
  </ds:schemaRefs>
</ds:datastoreItem>
</file>

<file path=customXml/itemProps3.xml><?xml version="1.0" encoding="utf-8"?>
<ds:datastoreItem xmlns:ds="http://schemas.openxmlformats.org/officeDocument/2006/customXml" ds:itemID="{ACA5693A-4B59-411C-BD1C-DD529BD73972}">
  <ds:schemaRefs>
    <ds:schemaRef ds:uri="http://schemas.microsoft.com/sharepoint/v3/contenttype/forms"/>
  </ds:schemaRefs>
</ds:datastoreItem>
</file>

<file path=customXml/itemProps4.xml><?xml version="1.0" encoding="utf-8"?>
<ds:datastoreItem xmlns:ds="http://schemas.openxmlformats.org/officeDocument/2006/customXml" ds:itemID="{1107CAAF-A46C-4876-BF73-C02E4FD7EC9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2904</Words>
  <Characters>16559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Robbie MacDiarmid</dc:creator>
  <cp:keywords/>
  <dc:description/>
  <cp:lastModifiedBy>Martha Southall</cp:lastModifiedBy>
  <cp:revision>2</cp:revision>
  <dcterms:created xsi:type="dcterms:W3CDTF">2021-07-07T21:45:00Z</dcterms:created>
  <dcterms:modified xsi:type="dcterms:W3CDTF">2021-07-07T21:45:00Z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0x010100EF098683DCCBD94391A90790FAF1B909</vt:lpwstr>
  </property>
  <property fmtid="{D5CDD505-2E9C-101B-9397-08002B2CF9AE}" pid="3" name="_NewReviewCycle">
    <vt:lpwstr/>
  </property>
  <property fmtid="{D5CDD505-2E9C-101B-9397-08002B2CF9AE}" pid="4" name="CustomerId">
    <vt:lpwstr>cmspi</vt:lpwstr>
  </property>
  <property fmtid="{D5CDD505-2E9C-101B-9397-08002B2CF9AE}" pid="5" name="TemplateId">
    <vt:lpwstr>637376852369635903</vt:lpwstr>
  </property>
  <property fmtid="{D5CDD505-2E9C-101B-9397-08002B2CF9AE}" pid="6" name="UserProfileId">
    <vt:lpwstr>637006913378836905</vt:lpwstr>
  </property>
</Properties>
</file>