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E2B4C" w14:textId="323674BC" w:rsidR="00C831A0" w:rsidRPr="00BD1CE4" w:rsidRDefault="00C831A0" w:rsidP="006261E7">
      <w:pPr>
        <w:spacing w:before="120" w:after="240" w:line="276" w:lineRule="auto"/>
        <w:contextualSpacing/>
        <w:rPr>
          <w:rFonts w:cs="Arial"/>
          <w:color w:val="auto"/>
          <w:lang w:val="en-AU"/>
        </w:rPr>
      </w:pPr>
      <w:r w:rsidRPr="00BD1CE4">
        <w:rPr>
          <w:rFonts w:cs="Arial"/>
          <w:color w:val="auto"/>
          <w:lang w:val="en-AU"/>
        </w:rPr>
        <w:t>9 July 2021</w:t>
      </w:r>
    </w:p>
    <w:p w14:paraId="229002D2" w14:textId="77777777" w:rsidR="00C831A0" w:rsidRPr="00BD1CE4" w:rsidRDefault="00C831A0" w:rsidP="006261E7">
      <w:pPr>
        <w:spacing w:before="120" w:after="240" w:line="276" w:lineRule="auto"/>
        <w:contextualSpacing/>
        <w:rPr>
          <w:rFonts w:cs="Arial"/>
          <w:color w:val="auto"/>
          <w:lang w:val="en-AU"/>
        </w:rPr>
      </w:pPr>
    </w:p>
    <w:p w14:paraId="1B05B6BC" w14:textId="421AED5C" w:rsidR="006261E7" w:rsidRPr="00BD1CE4" w:rsidRDefault="00835039" w:rsidP="006261E7">
      <w:pPr>
        <w:spacing w:before="120" w:after="240" w:line="276" w:lineRule="auto"/>
        <w:contextualSpacing/>
        <w:rPr>
          <w:rFonts w:cs="Arial"/>
          <w:color w:val="auto"/>
          <w:lang w:val="en-AU"/>
        </w:rPr>
      </w:pPr>
      <w:r>
        <w:rPr>
          <w:rFonts w:cs="Arial"/>
          <w:color w:val="auto"/>
          <w:lang w:val="en-AU"/>
        </w:rPr>
        <w:t>D</w:t>
      </w:r>
      <w:r w:rsidR="006261E7" w:rsidRPr="00BD1CE4">
        <w:rPr>
          <w:rFonts w:cs="Arial"/>
          <w:color w:val="auto"/>
          <w:lang w:val="en-AU"/>
        </w:rPr>
        <w:t xml:space="preserve">r Tony Richards </w:t>
      </w:r>
    </w:p>
    <w:p w14:paraId="4540009F" w14:textId="77777777" w:rsidR="006261E7" w:rsidRPr="00BD1CE4" w:rsidRDefault="006261E7" w:rsidP="006261E7">
      <w:pPr>
        <w:spacing w:before="120" w:after="240" w:line="276" w:lineRule="auto"/>
        <w:contextualSpacing/>
        <w:rPr>
          <w:rFonts w:cs="Arial"/>
          <w:color w:val="auto"/>
          <w:lang w:val="en-AU"/>
        </w:rPr>
      </w:pPr>
      <w:r w:rsidRPr="00BD1CE4">
        <w:rPr>
          <w:rFonts w:cs="Arial"/>
          <w:color w:val="auto"/>
          <w:lang w:val="en-AU"/>
        </w:rPr>
        <w:t xml:space="preserve">Head of Payments Policy Department </w:t>
      </w:r>
    </w:p>
    <w:p w14:paraId="4364A1B0" w14:textId="77777777" w:rsidR="006261E7" w:rsidRPr="00BD1CE4" w:rsidRDefault="006261E7" w:rsidP="006261E7">
      <w:pPr>
        <w:spacing w:before="120" w:after="240" w:line="276" w:lineRule="auto"/>
        <w:contextualSpacing/>
        <w:rPr>
          <w:rFonts w:cs="Arial"/>
          <w:color w:val="auto"/>
          <w:lang w:val="en-AU"/>
        </w:rPr>
      </w:pPr>
      <w:r w:rsidRPr="00BD1CE4">
        <w:rPr>
          <w:rFonts w:cs="Arial"/>
          <w:color w:val="auto"/>
          <w:lang w:val="en-AU"/>
        </w:rPr>
        <w:t xml:space="preserve">Reserve Bank of Australia </w:t>
      </w:r>
    </w:p>
    <w:p w14:paraId="1E35C82D" w14:textId="77777777" w:rsidR="006261E7" w:rsidRPr="00BD1CE4" w:rsidRDefault="006261E7" w:rsidP="006261E7">
      <w:pPr>
        <w:spacing w:before="120" w:after="240" w:line="276" w:lineRule="auto"/>
        <w:contextualSpacing/>
        <w:rPr>
          <w:rFonts w:cs="Arial"/>
          <w:color w:val="auto"/>
          <w:lang w:val="en-AU"/>
        </w:rPr>
      </w:pPr>
    </w:p>
    <w:p w14:paraId="104D1F5F" w14:textId="136EC967" w:rsidR="006261E7" w:rsidRPr="00BD1CE4" w:rsidRDefault="006261E7" w:rsidP="006261E7">
      <w:pPr>
        <w:spacing w:before="120" w:after="240" w:line="276" w:lineRule="auto"/>
        <w:contextualSpacing/>
        <w:rPr>
          <w:rFonts w:cs="Arial"/>
          <w:color w:val="auto"/>
          <w:lang w:val="en-AU"/>
        </w:rPr>
      </w:pPr>
      <w:r w:rsidRPr="00BD1CE4">
        <w:rPr>
          <w:rFonts w:cs="Arial"/>
          <w:color w:val="auto"/>
          <w:lang w:val="en-AU"/>
        </w:rPr>
        <w:t xml:space="preserve">Via email: </w:t>
      </w:r>
      <w:hyperlink r:id="rId8" w:history="1">
        <w:r w:rsidRPr="00BD1CE4">
          <w:rPr>
            <w:rStyle w:val="Hyperlink"/>
            <w:rFonts w:cs="Arial"/>
          </w:rPr>
          <w:t>pysubmissions@rba.gov.au</w:t>
        </w:r>
      </w:hyperlink>
      <w:r w:rsidRPr="00BD1CE4">
        <w:rPr>
          <w:rFonts w:cs="Arial"/>
        </w:rPr>
        <w:t xml:space="preserve"> </w:t>
      </w:r>
    </w:p>
    <w:p w14:paraId="3011E6EC" w14:textId="2E92C120" w:rsidR="00610FF7" w:rsidRDefault="00610FF7" w:rsidP="006261E7">
      <w:pPr>
        <w:rPr>
          <w:rFonts w:cs="Arial"/>
        </w:rPr>
      </w:pPr>
    </w:p>
    <w:p w14:paraId="4F07A6E4" w14:textId="77777777" w:rsidR="00835039" w:rsidRPr="00BD1CE4" w:rsidRDefault="00835039" w:rsidP="006261E7">
      <w:pPr>
        <w:rPr>
          <w:rFonts w:cs="Arial"/>
        </w:rPr>
      </w:pPr>
    </w:p>
    <w:p w14:paraId="742B89DF" w14:textId="002209E6" w:rsidR="006261E7" w:rsidRPr="00BD1CE4" w:rsidRDefault="004F4F94" w:rsidP="002435E1">
      <w:pPr>
        <w:spacing w:before="120" w:after="240" w:line="276" w:lineRule="auto"/>
        <w:rPr>
          <w:rFonts w:cs="Arial"/>
        </w:rPr>
      </w:pPr>
      <w:r w:rsidRPr="00BD1CE4">
        <w:rPr>
          <w:rFonts w:cs="Arial"/>
        </w:rPr>
        <w:t xml:space="preserve">Dear </w:t>
      </w:r>
      <w:r w:rsidR="00835039">
        <w:rPr>
          <w:rFonts w:cs="Arial"/>
        </w:rPr>
        <w:t>D</w:t>
      </w:r>
      <w:r w:rsidRPr="00BD1CE4">
        <w:rPr>
          <w:rFonts w:cs="Arial"/>
        </w:rPr>
        <w:t xml:space="preserve">r Richards </w:t>
      </w:r>
    </w:p>
    <w:p w14:paraId="572E35FA" w14:textId="3846A9F5" w:rsidR="004F4F94" w:rsidRPr="00BD1CE4" w:rsidRDefault="004F4F94" w:rsidP="002435E1">
      <w:pPr>
        <w:spacing w:before="120" w:after="240" w:line="276" w:lineRule="auto"/>
        <w:rPr>
          <w:rFonts w:cs="Arial"/>
          <w:b/>
          <w:bCs/>
        </w:rPr>
      </w:pPr>
      <w:r w:rsidRPr="00BD1CE4">
        <w:rPr>
          <w:rFonts w:cs="Arial"/>
          <w:b/>
          <w:bCs/>
        </w:rPr>
        <w:t xml:space="preserve">Review of Retail Payments Regulation – Preliminary Conclusions </w:t>
      </w:r>
    </w:p>
    <w:p w14:paraId="09F2DE2B" w14:textId="0F1B6747" w:rsidR="00B67347" w:rsidRPr="00BD1CE4" w:rsidRDefault="00B67347" w:rsidP="002435E1">
      <w:pPr>
        <w:spacing w:before="120" w:after="240" w:line="276" w:lineRule="auto"/>
        <w:rPr>
          <w:rFonts w:cs="Arial"/>
        </w:rPr>
      </w:pPr>
      <w:r w:rsidRPr="00BD1CE4">
        <w:rPr>
          <w:rFonts w:cs="Arial"/>
        </w:rPr>
        <w:t xml:space="preserve">COBA appreciates the opportunity to provide a submission </w:t>
      </w:r>
      <w:r w:rsidR="00886041">
        <w:rPr>
          <w:rFonts w:cs="Arial"/>
        </w:rPr>
        <w:t xml:space="preserve">in response to </w:t>
      </w:r>
      <w:r w:rsidR="00FB415F" w:rsidRPr="00BD1CE4">
        <w:rPr>
          <w:rFonts w:cs="Arial"/>
        </w:rPr>
        <w:t xml:space="preserve">the Reserve Bank’s Preliminary Conclusions from its Review of Retail Payments Regulation. </w:t>
      </w:r>
    </w:p>
    <w:p w14:paraId="7A38A27A" w14:textId="77777777" w:rsidR="004505CA" w:rsidRPr="00BD1CE4" w:rsidRDefault="004505CA" w:rsidP="002435E1">
      <w:pPr>
        <w:spacing w:before="120" w:after="240" w:line="276" w:lineRule="auto"/>
        <w:rPr>
          <w:rFonts w:cs="Arial"/>
        </w:rPr>
      </w:pPr>
      <w:r w:rsidRPr="00BD1CE4">
        <w:rPr>
          <w:rFonts w:cs="Arial"/>
        </w:rPr>
        <w:t xml:space="preserve">COBA is the industry association for Australia’s customer owned banking institutions (mutual banks, credit unions and building societies). COBA members are an important part of Australia’s payments system, providing a wide range of payment products and services to 4.5 million customers. </w:t>
      </w:r>
    </w:p>
    <w:p w14:paraId="60FC3716" w14:textId="3EAC7B83" w:rsidR="00FB415F" w:rsidRPr="00BD1CE4" w:rsidRDefault="004505CA" w:rsidP="002435E1">
      <w:pPr>
        <w:spacing w:before="120" w:after="240" w:line="276" w:lineRule="auto"/>
        <w:rPr>
          <w:rFonts w:cs="Arial"/>
        </w:rPr>
      </w:pPr>
      <w:r w:rsidRPr="00BD1CE4">
        <w:rPr>
          <w:rFonts w:cs="Arial"/>
        </w:rPr>
        <w:t>Collectively, our sector has $147 billion in assets. Customer owned banking institutions account for around two thirds of the total number of domestic Authorised Deposit-taking Institutions (ADIs) and deliver competition and market leading levels of customer satisfaction in the retail banking market.</w:t>
      </w:r>
    </w:p>
    <w:p w14:paraId="7833C507" w14:textId="77777777" w:rsidR="004505CA" w:rsidRPr="00BD1CE4" w:rsidRDefault="004505CA" w:rsidP="002435E1">
      <w:pPr>
        <w:spacing w:before="120" w:after="240" w:line="276" w:lineRule="auto"/>
        <w:rPr>
          <w:rFonts w:cs="Arial"/>
          <w:lang w:val="en-AU"/>
        </w:rPr>
      </w:pPr>
      <w:r w:rsidRPr="00BD1CE4">
        <w:rPr>
          <w:rFonts w:cs="Arial"/>
          <w:lang w:val="en-AU"/>
        </w:rPr>
        <w:t>COBA members provide their customers with a wide range of credit card and debit card products and, as a sector, we bring a card issuer and cardholder perspective to regulatory policy debates about payment cards.</w:t>
      </w:r>
    </w:p>
    <w:p w14:paraId="241A1F87" w14:textId="3941C346" w:rsidR="004505CA" w:rsidRPr="00BD1CE4" w:rsidRDefault="004505CA" w:rsidP="002435E1">
      <w:pPr>
        <w:spacing w:before="120" w:after="240" w:line="276" w:lineRule="auto"/>
        <w:rPr>
          <w:rFonts w:cs="Arial"/>
          <w:color w:val="001B31"/>
        </w:rPr>
      </w:pPr>
      <w:r w:rsidRPr="00BD1CE4">
        <w:rPr>
          <w:rFonts w:cs="Arial"/>
          <w:color w:val="001B31"/>
        </w:rPr>
        <w:t>As smaller players in a banking market dominated by the four major banks, COBA members rely on outsourcing to obtain efficiencies and economies of scale. This applies to core banking systems, data processing and other services but is particularly important in relation to access to the payments system.</w:t>
      </w:r>
      <w:r w:rsidR="00D72834">
        <w:rPr>
          <w:rFonts w:cs="Arial"/>
          <w:color w:val="001B31"/>
        </w:rPr>
        <w:t xml:space="preserve"> </w:t>
      </w:r>
      <w:r w:rsidRPr="00BD1CE4">
        <w:rPr>
          <w:rFonts w:cs="Arial"/>
          <w:color w:val="001B31"/>
        </w:rPr>
        <w:t xml:space="preserve">The key providers of payments system access for COBA members are Cuscal, Indue and ASL. These providers’ services include participation in the international card schemes (Visa and Mastercard) and </w:t>
      </w:r>
      <w:proofErr w:type="spellStart"/>
      <w:r w:rsidRPr="00BD1CE4">
        <w:rPr>
          <w:rFonts w:cs="Arial"/>
          <w:color w:val="001B31"/>
        </w:rPr>
        <w:t>eftpos</w:t>
      </w:r>
      <w:proofErr w:type="spellEnd"/>
      <w:r w:rsidRPr="00BD1CE4">
        <w:rPr>
          <w:rFonts w:cs="Arial"/>
          <w:color w:val="001B31"/>
        </w:rPr>
        <w:t xml:space="preserve">, the New Payments Platform (NPP), direct entry, BPAY, ATM networks, digital applications and cheque issuance. </w:t>
      </w:r>
    </w:p>
    <w:p w14:paraId="4CC90BEF" w14:textId="2473B656" w:rsidR="00BD1CE4" w:rsidRPr="00BD1CE4" w:rsidRDefault="00BD1CE4" w:rsidP="002435E1">
      <w:pPr>
        <w:spacing w:before="120" w:after="240" w:line="276" w:lineRule="auto"/>
        <w:rPr>
          <w:rFonts w:cs="Arial"/>
        </w:rPr>
      </w:pPr>
      <w:r w:rsidRPr="00BD1CE4">
        <w:rPr>
          <w:rFonts w:cs="Arial"/>
        </w:rPr>
        <w:t xml:space="preserve">COBA members are typically issuer-only and </w:t>
      </w:r>
      <w:r w:rsidR="00640035">
        <w:rPr>
          <w:rFonts w:cs="Arial"/>
        </w:rPr>
        <w:t xml:space="preserve">generally </w:t>
      </w:r>
      <w:r w:rsidRPr="00BD1CE4">
        <w:rPr>
          <w:rFonts w:cs="Arial"/>
        </w:rPr>
        <w:t>do not compete in the merchant acquiring sector. The key decision-making factor for COBA members in the payments space is the needs of their customers as consumers.</w:t>
      </w:r>
    </w:p>
    <w:p w14:paraId="6D6FA0FE" w14:textId="26EB674E" w:rsidR="00DC72B1" w:rsidRDefault="00DC72B1" w:rsidP="002435E1">
      <w:pPr>
        <w:spacing w:before="120" w:after="240" w:line="276" w:lineRule="auto"/>
        <w:rPr>
          <w:rFonts w:cs="Arial"/>
          <w:b/>
          <w:bCs/>
        </w:rPr>
      </w:pPr>
      <w:r>
        <w:rPr>
          <w:rFonts w:cs="Arial"/>
          <w:b/>
          <w:bCs/>
        </w:rPr>
        <w:t xml:space="preserve">Key points: </w:t>
      </w:r>
    </w:p>
    <w:p w14:paraId="6DCAE745" w14:textId="40B85ED9" w:rsidR="006C432B" w:rsidRPr="00861ACC" w:rsidRDefault="006C432B" w:rsidP="002435E1">
      <w:pPr>
        <w:numPr>
          <w:ilvl w:val="0"/>
          <w:numId w:val="44"/>
        </w:numPr>
        <w:shd w:val="clear" w:color="auto" w:fill="FFFFFF"/>
        <w:spacing w:before="120" w:after="240" w:line="276" w:lineRule="auto"/>
        <w:rPr>
          <w:rFonts w:cs="Arial"/>
          <w:b/>
          <w:bCs/>
          <w:color w:val="auto"/>
          <w:lang w:val="en-AU"/>
        </w:rPr>
      </w:pPr>
      <w:r w:rsidRPr="00861ACC">
        <w:rPr>
          <w:rFonts w:cs="Arial"/>
          <w:b/>
          <w:bCs/>
          <w:color w:val="auto"/>
          <w:lang w:val="en-AU"/>
        </w:rPr>
        <w:t xml:space="preserve">COBA supports the RBA’s proposal </w:t>
      </w:r>
      <w:r w:rsidR="00861ACC" w:rsidRPr="00861ACC">
        <w:rPr>
          <w:rFonts w:cs="Arial"/>
          <w:b/>
          <w:bCs/>
          <w:color w:val="auto"/>
          <w:lang w:val="en-AU"/>
        </w:rPr>
        <w:t xml:space="preserve">not to extend any requirements to issue </w:t>
      </w:r>
      <w:r w:rsidR="00861ACC">
        <w:rPr>
          <w:rFonts w:cs="Arial"/>
          <w:b/>
          <w:bCs/>
          <w:color w:val="auto"/>
          <w:lang w:val="en-AU"/>
        </w:rPr>
        <w:t>dual network debit cards (</w:t>
      </w:r>
      <w:r w:rsidR="00861ACC" w:rsidRPr="00861ACC">
        <w:rPr>
          <w:rFonts w:cs="Arial"/>
          <w:b/>
          <w:bCs/>
          <w:color w:val="auto"/>
          <w:lang w:val="en-AU"/>
        </w:rPr>
        <w:t>DNDCs</w:t>
      </w:r>
      <w:r w:rsidR="00861ACC">
        <w:rPr>
          <w:rFonts w:cs="Arial"/>
          <w:b/>
          <w:bCs/>
          <w:color w:val="auto"/>
          <w:lang w:val="en-AU"/>
        </w:rPr>
        <w:t>)</w:t>
      </w:r>
      <w:r w:rsidR="00861ACC" w:rsidRPr="00861ACC">
        <w:rPr>
          <w:rFonts w:cs="Arial"/>
          <w:b/>
          <w:bCs/>
          <w:color w:val="auto"/>
          <w:lang w:val="en-AU"/>
        </w:rPr>
        <w:t xml:space="preserve"> beyond the major banks.   </w:t>
      </w:r>
    </w:p>
    <w:p w14:paraId="034C578A" w14:textId="65AC122F" w:rsidR="00F77253" w:rsidRPr="00154D51" w:rsidRDefault="00154D51" w:rsidP="002435E1">
      <w:pPr>
        <w:pStyle w:val="ListParagraph"/>
        <w:numPr>
          <w:ilvl w:val="0"/>
          <w:numId w:val="44"/>
        </w:numPr>
        <w:spacing w:before="120" w:after="240" w:line="276" w:lineRule="auto"/>
        <w:contextualSpacing w:val="0"/>
        <w:rPr>
          <w:rFonts w:cs="Arial"/>
          <w:b/>
          <w:bCs/>
          <w:color w:val="auto"/>
          <w:lang w:val="en-AU"/>
        </w:rPr>
      </w:pPr>
      <w:r w:rsidRPr="00154D51">
        <w:rPr>
          <w:rFonts w:cs="Arial"/>
          <w:b/>
          <w:bCs/>
          <w:color w:val="auto"/>
          <w:lang w:val="en-AU"/>
        </w:rPr>
        <w:t xml:space="preserve">Outside of major banks, issuance of DNDCs should remain optional, based on </w:t>
      </w:r>
      <w:r w:rsidR="00F77253" w:rsidRPr="00154D51">
        <w:rPr>
          <w:rFonts w:cs="Arial"/>
          <w:b/>
          <w:bCs/>
          <w:color w:val="auto"/>
          <w:lang w:val="en-AU"/>
        </w:rPr>
        <w:t xml:space="preserve">commercial considerations of the individual issuers and the needs of their customers. </w:t>
      </w:r>
    </w:p>
    <w:p w14:paraId="14DEE464" w14:textId="0FD29601" w:rsidR="00F77253" w:rsidRPr="00DC72B1" w:rsidRDefault="00F77253" w:rsidP="002435E1">
      <w:pPr>
        <w:pStyle w:val="ListParagraph"/>
        <w:numPr>
          <w:ilvl w:val="0"/>
          <w:numId w:val="44"/>
        </w:numPr>
        <w:spacing w:before="120" w:after="240" w:line="276" w:lineRule="auto"/>
        <w:contextualSpacing w:val="0"/>
        <w:rPr>
          <w:rFonts w:cs="Arial"/>
          <w:b/>
          <w:bCs/>
        </w:rPr>
      </w:pPr>
      <w:r>
        <w:rPr>
          <w:rFonts w:cs="Arial"/>
          <w:b/>
          <w:bCs/>
        </w:rPr>
        <w:lastRenderedPageBreak/>
        <w:t xml:space="preserve">COBA strongly opposes calls </w:t>
      </w:r>
      <w:r w:rsidR="00154D51">
        <w:rPr>
          <w:rFonts w:cs="Arial"/>
          <w:b/>
          <w:bCs/>
        </w:rPr>
        <w:t xml:space="preserve">from </w:t>
      </w:r>
      <w:r w:rsidR="00861ACC">
        <w:rPr>
          <w:rFonts w:cs="Arial"/>
          <w:b/>
          <w:bCs/>
        </w:rPr>
        <w:t>retail sector industry bodies</w:t>
      </w:r>
      <w:r w:rsidR="00154D51">
        <w:rPr>
          <w:rFonts w:cs="Arial"/>
          <w:b/>
          <w:bCs/>
        </w:rPr>
        <w:t xml:space="preserve"> </w:t>
      </w:r>
      <w:r>
        <w:rPr>
          <w:rFonts w:cs="Arial"/>
          <w:b/>
          <w:bCs/>
        </w:rPr>
        <w:t xml:space="preserve">to make DNDC issuance mandatory for all banks. </w:t>
      </w:r>
    </w:p>
    <w:p w14:paraId="3D05C8AA" w14:textId="77777777" w:rsidR="00BA365F" w:rsidRPr="0075023D" w:rsidRDefault="00BA365F" w:rsidP="002435E1">
      <w:pPr>
        <w:pStyle w:val="ListParagraph"/>
        <w:numPr>
          <w:ilvl w:val="0"/>
          <w:numId w:val="44"/>
        </w:numPr>
        <w:spacing w:before="120" w:after="240" w:line="276" w:lineRule="auto"/>
        <w:contextualSpacing w:val="0"/>
        <w:rPr>
          <w:rFonts w:cs="Arial"/>
          <w:color w:val="auto"/>
          <w:lang w:val="en-AU"/>
        </w:rPr>
      </w:pPr>
      <w:r>
        <w:rPr>
          <w:rFonts w:cs="Arial"/>
          <w:b/>
          <w:bCs/>
          <w:color w:val="auto"/>
          <w:lang w:val="en-US"/>
        </w:rPr>
        <w:t xml:space="preserve">COBA </w:t>
      </w:r>
      <w:r w:rsidRPr="0075023D">
        <w:rPr>
          <w:rFonts w:cs="Arial"/>
          <w:b/>
          <w:bCs/>
          <w:color w:val="auto"/>
          <w:lang w:val="en-US"/>
        </w:rPr>
        <w:t>members are concerned about any reduction in interchange fee caps, especially if it results in a net reduction of interchange revenue for smaller issuers. Revenue from interchange fees is a crucial component in funding our members’ payments offerings for their customers.</w:t>
      </w:r>
    </w:p>
    <w:p w14:paraId="4525CA26" w14:textId="2580A378" w:rsidR="00F77253" w:rsidRDefault="00F77253" w:rsidP="002435E1">
      <w:pPr>
        <w:pStyle w:val="ListParagraph"/>
        <w:numPr>
          <w:ilvl w:val="0"/>
          <w:numId w:val="44"/>
        </w:numPr>
        <w:spacing w:before="120" w:after="240" w:line="276" w:lineRule="auto"/>
        <w:contextualSpacing w:val="0"/>
        <w:rPr>
          <w:rFonts w:cs="Arial"/>
          <w:b/>
          <w:bCs/>
          <w:color w:val="auto"/>
          <w:lang w:val="en-AU"/>
        </w:rPr>
      </w:pPr>
      <w:r w:rsidRPr="0075023D">
        <w:rPr>
          <w:rFonts w:cs="Arial"/>
          <w:b/>
          <w:bCs/>
          <w:color w:val="auto"/>
          <w:lang w:val="en-AU"/>
        </w:rPr>
        <w:t xml:space="preserve">The operating environment for </w:t>
      </w:r>
      <w:r>
        <w:rPr>
          <w:rFonts w:cs="Arial"/>
          <w:b/>
          <w:bCs/>
          <w:color w:val="auto"/>
          <w:lang w:val="en-AU"/>
        </w:rPr>
        <w:t>smaller ADIs, including all COBA members,</w:t>
      </w:r>
      <w:r w:rsidRPr="0075023D">
        <w:rPr>
          <w:rFonts w:cs="Arial"/>
          <w:b/>
          <w:bCs/>
          <w:color w:val="auto"/>
          <w:lang w:val="en-AU"/>
        </w:rPr>
        <w:t xml:space="preserve"> is challenging due to low interest rates and related margin squeeze</w:t>
      </w:r>
      <w:r w:rsidR="00D72834">
        <w:rPr>
          <w:rFonts w:cs="Arial"/>
          <w:b/>
          <w:bCs/>
          <w:color w:val="auto"/>
          <w:lang w:val="en-AU"/>
        </w:rPr>
        <w:t xml:space="preserve"> and the growing regulatory compliance cost burden</w:t>
      </w:r>
      <w:r w:rsidRPr="0075023D">
        <w:rPr>
          <w:rFonts w:cs="Arial"/>
          <w:b/>
          <w:bCs/>
          <w:color w:val="auto"/>
          <w:lang w:val="en-AU"/>
        </w:rPr>
        <w:t>, underlin</w:t>
      </w:r>
      <w:r w:rsidR="00D72834">
        <w:rPr>
          <w:rFonts w:cs="Arial"/>
          <w:b/>
          <w:bCs/>
          <w:color w:val="auto"/>
          <w:lang w:val="en-AU"/>
        </w:rPr>
        <w:t>in</w:t>
      </w:r>
      <w:r w:rsidRPr="0075023D">
        <w:rPr>
          <w:rFonts w:cs="Arial"/>
          <w:b/>
          <w:bCs/>
          <w:color w:val="auto"/>
          <w:lang w:val="en-AU"/>
        </w:rPr>
        <w:t>g the need to reduce costs and increase non-interest income.</w:t>
      </w:r>
    </w:p>
    <w:p w14:paraId="02F0EB54" w14:textId="6E802575" w:rsidR="00C25EA7" w:rsidRPr="00BD1CE4" w:rsidRDefault="00C25EA7" w:rsidP="002435E1">
      <w:pPr>
        <w:spacing w:before="120" w:after="240" w:line="276" w:lineRule="auto"/>
        <w:rPr>
          <w:rFonts w:cs="Arial"/>
          <w:b/>
          <w:bCs/>
        </w:rPr>
      </w:pPr>
      <w:r w:rsidRPr="00BD1CE4">
        <w:rPr>
          <w:rFonts w:cs="Arial"/>
          <w:b/>
          <w:bCs/>
        </w:rPr>
        <w:t xml:space="preserve">Dual network debit card issuance </w:t>
      </w:r>
    </w:p>
    <w:p w14:paraId="2627F8F7" w14:textId="24125501" w:rsidR="00F77253" w:rsidRDefault="00F77253" w:rsidP="002435E1">
      <w:pPr>
        <w:spacing w:before="120" w:after="240" w:line="276" w:lineRule="auto"/>
        <w:rPr>
          <w:rFonts w:cs="Arial"/>
        </w:rPr>
      </w:pPr>
      <w:r>
        <w:rPr>
          <w:rFonts w:cs="Arial"/>
        </w:rPr>
        <w:t>COBA supports the RBA’s preliminary conclusion to mandate dual network debit cards (DNDC) for the major banks only</w:t>
      </w:r>
      <w:r w:rsidR="009D7FD6">
        <w:rPr>
          <w:rFonts w:cs="Arial"/>
        </w:rPr>
        <w:t xml:space="preserve">. </w:t>
      </w:r>
      <w:r>
        <w:rPr>
          <w:rFonts w:cs="Arial"/>
        </w:rPr>
        <w:t xml:space="preserve"> </w:t>
      </w:r>
    </w:p>
    <w:p w14:paraId="54960547" w14:textId="728DEED2" w:rsidR="000E0CBE" w:rsidRDefault="000E0CBE" w:rsidP="002435E1">
      <w:pPr>
        <w:spacing w:before="120" w:after="240" w:line="276" w:lineRule="auto"/>
        <w:rPr>
          <w:rFonts w:cs="Arial"/>
        </w:rPr>
      </w:pPr>
      <w:r>
        <w:rPr>
          <w:rFonts w:cs="Arial"/>
        </w:rPr>
        <w:t xml:space="preserve">In the consultation paper, the RBA has identified several </w:t>
      </w:r>
      <w:r w:rsidR="00F77253">
        <w:rPr>
          <w:rFonts w:cs="Arial"/>
        </w:rPr>
        <w:t xml:space="preserve">policy options </w:t>
      </w:r>
      <w:r w:rsidR="00D72834">
        <w:rPr>
          <w:rFonts w:cs="Arial"/>
        </w:rPr>
        <w:t>relating to</w:t>
      </w:r>
      <w:r w:rsidR="00F77253">
        <w:rPr>
          <w:rFonts w:cs="Arial"/>
        </w:rPr>
        <w:t xml:space="preserve"> DNDCs to achieve its objective of</w:t>
      </w:r>
      <w:r w:rsidR="00861ACC">
        <w:rPr>
          <w:rFonts w:cs="Arial"/>
        </w:rPr>
        <w:t xml:space="preserve"> enabling</w:t>
      </w:r>
      <w:r w:rsidR="00D72834">
        <w:rPr>
          <w:rFonts w:cs="Arial"/>
        </w:rPr>
        <w:t xml:space="preserve"> and promoting</w:t>
      </w:r>
      <w:r w:rsidR="00F77253">
        <w:rPr>
          <w:rFonts w:cs="Arial"/>
        </w:rPr>
        <w:t xml:space="preserve"> least cost routing (LCR) for merchants. It noted </w:t>
      </w:r>
      <w:r w:rsidR="00EB3C12">
        <w:rPr>
          <w:rFonts w:cs="Arial"/>
        </w:rPr>
        <w:t>challenges</w:t>
      </w:r>
      <w:r>
        <w:rPr>
          <w:rFonts w:cs="Arial"/>
        </w:rPr>
        <w:t xml:space="preserve"> to the viability of LCR, including a “growing number of small and medium-sized card issuers choosing to issue single-network debit cards (SNDCs) instead of DNDCs”.</w:t>
      </w:r>
      <w:r>
        <w:rPr>
          <w:rStyle w:val="FootnoteReference"/>
          <w:rFonts w:cs="Arial"/>
        </w:rPr>
        <w:footnoteReference w:id="1"/>
      </w:r>
      <w:r>
        <w:rPr>
          <w:rFonts w:cs="Arial"/>
        </w:rPr>
        <w:t xml:space="preserve"> </w:t>
      </w:r>
    </w:p>
    <w:p w14:paraId="24415EFF" w14:textId="425D1410" w:rsidR="00C25EA7" w:rsidRPr="00BD1CE4" w:rsidRDefault="00C25EA7" w:rsidP="002435E1">
      <w:pPr>
        <w:spacing w:before="120" w:after="240" w:line="276" w:lineRule="auto"/>
        <w:rPr>
          <w:rFonts w:cs="Arial"/>
        </w:rPr>
      </w:pPr>
      <w:r w:rsidRPr="00BD1CE4">
        <w:rPr>
          <w:rFonts w:cs="Arial"/>
        </w:rPr>
        <w:t>The</w:t>
      </w:r>
      <w:r w:rsidR="00F77253">
        <w:rPr>
          <w:rFonts w:cs="Arial"/>
        </w:rPr>
        <w:t xml:space="preserve"> policy options considered by the RBA</w:t>
      </w:r>
      <w:r w:rsidRPr="00BD1CE4">
        <w:rPr>
          <w:rFonts w:cs="Arial"/>
        </w:rPr>
        <w:t xml:space="preserve"> included: </w:t>
      </w:r>
    </w:p>
    <w:p w14:paraId="0F9C8945" w14:textId="00D864DC" w:rsidR="00C25EA7" w:rsidRPr="00BD1CE4" w:rsidRDefault="00C25EA7" w:rsidP="002435E1">
      <w:pPr>
        <w:spacing w:before="120" w:after="240" w:line="276" w:lineRule="auto"/>
        <w:ind w:left="720"/>
        <w:rPr>
          <w:rFonts w:cs="Arial"/>
          <w:i/>
          <w:iCs/>
        </w:rPr>
      </w:pPr>
      <w:r w:rsidRPr="00BD1CE4">
        <w:rPr>
          <w:rFonts w:cs="Arial"/>
          <w:i/>
          <w:iCs/>
        </w:rPr>
        <w:t xml:space="preserve">Option 1: Maintain current arrangements </w:t>
      </w:r>
    </w:p>
    <w:p w14:paraId="08A1FB0E" w14:textId="16BE8E6D" w:rsidR="00C25EA7" w:rsidRPr="00BD1CE4" w:rsidRDefault="00C25EA7" w:rsidP="002435E1">
      <w:pPr>
        <w:spacing w:before="120" w:after="240" w:line="276" w:lineRule="auto"/>
        <w:ind w:left="720"/>
        <w:rPr>
          <w:rFonts w:cs="Arial"/>
          <w:i/>
          <w:iCs/>
        </w:rPr>
      </w:pPr>
      <w:r w:rsidRPr="00BD1CE4">
        <w:rPr>
          <w:rFonts w:cs="Arial"/>
          <w:i/>
          <w:iCs/>
        </w:rPr>
        <w:t xml:space="preserve">Option 2: Explicit expectations of DNDC issuance for the major banks </w:t>
      </w:r>
    </w:p>
    <w:p w14:paraId="6D44FB39" w14:textId="77777777" w:rsidR="00C25EA7" w:rsidRPr="00BD1CE4" w:rsidRDefault="00C25EA7" w:rsidP="002435E1">
      <w:pPr>
        <w:spacing w:before="120" w:after="240" w:line="276" w:lineRule="auto"/>
        <w:ind w:left="720"/>
        <w:rPr>
          <w:rFonts w:cs="Arial"/>
          <w:i/>
          <w:iCs/>
        </w:rPr>
      </w:pPr>
      <w:r w:rsidRPr="00BD1CE4">
        <w:rPr>
          <w:rFonts w:cs="Arial"/>
          <w:i/>
          <w:iCs/>
        </w:rPr>
        <w:t xml:space="preserve">Option 3: Regulation mandating DNDC issuance for the major banks and medium sized issuers. </w:t>
      </w:r>
    </w:p>
    <w:p w14:paraId="17DD2090" w14:textId="77777777" w:rsidR="00EF45C1" w:rsidRDefault="000E0CBE" w:rsidP="002435E1">
      <w:pPr>
        <w:spacing w:before="120" w:after="240" w:line="276" w:lineRule="auto"/>
        <w:rPr>
          <w:rFonts w:cs="Arial"/>
        </w:rPr>
      </w:pPr>
      <w:r>
        <w:rPr>
          <w:rFonts w:cs="Arial"/>
        </w:rPr>
        <w:t>The RBA’s</w:t>
      </w:r>
      <w:r w:rsidR="00C25EA7" w:rsidRPr="00BD1CE4">
        <w:rPr>
          <w:rFonts w:cs="Arial"/>
        </w:rPr>
        <w:t xml:space="preserve"> preliminary assessment found that </w:t>
      </w:r>
      <w:r w:rsidR="00C25EA7" w:rsidRPr="000E0CBE">
        <w:rPr>
          <w:rFonts w:cs="Arial"/>
          <w:i/>
          <w:iCs/>
        </w:rPr>
        <w:t>Option 2</w:t>
      </w:r>
      <w:r>
        <w:rPr>
          <w:rFonts w:cs="Arial"/>
          <w:i/>
          <w:iCs/>
        </w:rPr>
        <w:t>:</w:t>
      </w:r>
      <w:r>
        <w:rPr>
          <w:rFonts w:cs="Arial"/>
        </w:rPr>
        <w:t xml:space="preserve"> </w:t>
      </w:r>
      <w:r>
        <w:rPr>
          <w:rFonts w:cs="Arial"/>
          <w:i/>
          <w:iCs/>
        </w:rPr>
        <w:t xml:space="preserve">Explicit expectations of DNDC issuance for the major banks </w:t>
      </w:r>
      <w:r w:rsidR="00C25EA7" w:rsidRPr="00BD1CE4">
        <w:rPr>
          <w:rFonts w:cs="Arial"/>
        </w:rPr>
        <w:t>is the most appropriate course of action at this point in time</w:t>
      </w:r>
      <w:r w:rsidR="00EF45C1">
        <w:rPr>
          <w:rFonts w:cs="Arial"/>
        </w:rPr>
        <w:t xml:space="preserve">. </w:t>
      </w:r>
      <w:r w:rsidR="00C25EA7" w:rsidRPr="00BD1CE4">
        <w:rPr>
          <w:rFonts w:cs="Arial"/>
        </w:rPr>
        <w:t xml:space="preserve"> </w:t>
      </w:r>
    </w:p>
    <w:p w14:paraId="6C4DAACF" w14:textId="7CD6A6FF" w:rsidR="00EB1E24" w:rsidRDefault="00EF45C1" w:rsidP="002435E1">
      <w:pPr>
        <w:spacing w:before="120" w:after="240" w:line="276" w:lineRule="auto"/>
        <w:rPr>
          <w:rFonts w:cs="Arial"/>
        </w:rPr>
      </w:pPr>
      <w:r>
        <w:rPr>
          <w:rFonts w:cs="Arial"/>
        </w:rPr>
        <w:t>C</w:t>
      </w:r>
      <w:r w:rsidR="00EB1E24" w:rsidRPr="00BD1CE4">
        <w:rPr>
          <w:rFonts w:cs="Arial"/>
        </w:rPr>
        <w:t xml:space="preserve">OBA supports the RBA’s intention to pursue </w:t>
      </w:r>
      <w:r w:rsidR="00EB1E24" w:rsidRPr="00BD1CE4">
        <w:rPr>
          <w:rFonts w:cs="Arial"/>
          <w:i/>
          <w:iCs/>
        </w:rPr>
        <w:t>Option 2</w:t>
      </w:r>
      <w:r w:rsidR="00EB1E24" w:rsidRPr="00BD1CE4">
        <w:rPr>
          <w:rFonts w:cs="Arial"/>
        </w:rPr>
        <w:t xml:space="preserve">. </w:t>
      </w:r>
      <w:r>
        <w:rPr>
          <w:rFonts w:cs="Arial"/>
        </w:rPr>
        <w:t>As the RBA notes, the costs imposed by mandating DNDCs for mid-sized and smaller issuers would be prohibitive from a</w:t>
      </w:r>
      <w:r w:rsidR="00C576AE">
        <w:rPr>
          <w:rFonts w:cs="Arial"/>
        </w:rPr>
        <w:t>n operational and</w:t>
      </w:r>
      <w:r>
        <w:rPr>
          <w:rFonts w:cs="Arial"/>
        </w:rPr>
        <w:t xml:space="preserve"> competition perspective and disadvantage smaller issuers who do not operate at the same scale as major banks.  </w:t>
      </w:r>
    </w:p>
    <w:p w14:paraId="5C4B87DC" w14:textId="4A0FDFA8" w:rsidR="00EF45C1" w:rsidRPr="00BD1CE4" w:rsidRDefault="00EF45C1" w:rsidP="002435E1">
      <w:pPr>
        <w:spacing w:before="120" w:after="240" w:line="276" w:lineRule="auto"/>
        <w:ind w:left="720"/>
        <w:rPr>
          <w:rFonts w:cs="Arial"/>
        </w:rPr>
      </w:pPr>
      <w:r>
        <w:rPr>
          <w:rFonts w:cs="Arial"/>
          <w:i/>
          <w:iCs/>
        </w:rPr>
        <w:t>“</w:t>
      </w:r>
      <w:r w:rsidRPr="00BD1CE4">
        <w:rPr>
          <w:rFonts w:cs="Arial"/>
          <w:i/>
          <w:iCs/>
        </w:rPr>
        <w:t>On balance</w:t>
      </w:r>
      <w:r w:rsidR="00D72834">
        <w:rPr>
          <w:rFonts w:cs="Arial"/>
          <w:i/>
          <w:iCs/>
        </w:rPr>
        <w:t>…</w:t>
      </w:r>
      <w:r w:rsidRPr="00BD1CE4">
        <w:rPr>
          <w:rFonts w:cs="Arial"/>
          <w:i/>
          <w:iCs/>
        </w:rPr>
        <w:t>the Board is not convinced that the likely economy</w:t>
      </w:r>
      <w:r w:rsidR="00D72834">
        <w:rPr>
          <w:rFonts w:cs="Arial"/>
          <w:i/>
          <w:iCs/>
        </w:rPr>
        <w:t xml:space="preserve"> </w:t>
      </w:r>
      <w:r w:rsidRPr="00BD1CE4">
        <w:rPr>
          <w:rFonts w:cs="Arial"/>
          <w:i/>
          <w:iCs/>
        </w:rPr>
        <w:t>wide benefits from a requirement on mid-sized (and possibly also smaller) issuers under Option 3 outweigh the clear costs that would be imposed on these issuers, including on their ability to compete with the major banks.</w:t>
      </w:r>
      <w:r>
        <w:rPr>
          <w:rFonts w:cs="Arial"/>
          <w:i/>
          <w:iCs/>
        </w:rPr>
        <w:t>”</w:t>
      </w:r>
      <w:r w:rsidRPr="00EF45C1">
        <w:rPr>
          <w:rStyle w:val="FootnoteReference"/>
          <w:rFonts w:cs="Arial"/>
          <w:i/>
          <w:iCs/>
        </w:rPr>
        <w:t xml:space="preserve"> </w:t>
      </w:r>
      <w:r w:rsidRPr="00BD1CE4">
        <w:rPr>
          <w:rStyle w:val="FootnoteReference"/>
          <w:rFonts w:cs="Arial"/>
          <w:i/>
          <w:iCs/>
        </w:rPr>
        <w:footnoteReference w:id="2"/>
      </w:r>
    </w:p>
    <w:p w14:paraId="7BA69EAD" w14:textId="15428971" w:rsidR="00EF45C1" w:rsidRDefault="00EF45C1" w:rsidP="002435E1">
      <w:pPr>
        <w:spacing w:before="120" w:after="240" w:line="276" w:lineRule="auto"/>
        <w:rPr>
          <w:rFonts w:cs="Arial"/>
        </w:rPr>
      </w:pPr>
      <w:r>
        <w:rPr>
          <w:rFonts w:cs="Arial"/>
        </w:rPr>
        <w:lastRenderedPageBreak/>
        <w:t xml:space="preserve">In COBA’s view, the RBA’s proposal </w:t>
      </w:r>
      <w:r w:rsidR="008F2092">
        <w:rPr>
          <w:rFonts w:cs="Arial"/>
        </w:rPr>
        <w:t xml:space="preserve">in </w:t>
      </w:r>
      <w:r w:rsidR="008F2092">
        <w:rPr>
          <w:rFonts w:cs="Arial"/>
          <w:i/>
          <w:iCs/>
        </w:rPr>
        <w:t xml:space="preserve">Option 2 </w:t>
      </w:r>
      <w:r w:rsidRPr="00BD1CE4">
        <w:rPr>
          <w:rFonts w:cs="Arial"/>
        </w:rPr>
        <w:t xml:space="preserve">strikes the right balance between the </w:t>
      </w:r>
      <w:r>
        <w:rPr>
          <w:rFonts w:cs="Arial"/>
        </w:rPr>
        <w:t xml:space="preserve">allowing non-major banks to issue products based their own </w:t>
      </w:r>
      <w:r w:rsidRPr="00BD1CE4">
        <w:rPr>
          <w:rFonts w:cs="Arial"/>
        </w:rPr>
        <w:t>commercial considerations and the RBA’s</w:t>
      </w:r>
      <w:r w:rsidR="00F30AEF">
        <w:rPr>
          <w:rFonts w:cs="Arial"/>
        </w:rPr>
        <w:t xml:space="preserve"> objective of enabling</w:t>
      </w:r>
      <w:r w:rsidRPr="00BD1CE4">
        <w:rPr>
          <w:rFonts w:cs="Arial"/>
        </w:rPr>
        <w:t xml:space="preserve"> LCR</w:t>
      </w:r>
      <w:r>
        <w:rPr>
          <w:rFonts w:cs="Arial"/>
        </w:rPr>
        <w:t xml:space="preserve">. </w:t>
      </w:r>
    </w:p>
    <w:p w14:paraId="09E17F42" w14:textId="15E9B5CF" w:rsidR="009A14D3" w:rsidRDefault="00872549" w:rsidP="002435E1">
      <w:pPr>
        <w:spacing w:before="120" w:after="240" w:line="276" w:lineRule="auto"/>
        <w:rPr>
          <w:rFonts w:cs="Arial"/>
          <w:b/>
          <w:bCs/>
        </w:rPr>
      </w:pPr>
      <w:r>
        <w:rPr>
          <w:rFonts w:cs="Arial"/>
          <w:b/>
          <w:bCs/>
        </w:rPr>
        <w:t>Position</w:t>
      </w:r>
      <w:r w:rsidRPr="00EB3C12">
        <w:rPr>
          <w:rFonts w:cs="Arial"/>
          <w:b/>
          <w:bCs/>
        </w:rPr>
        <w:t xml:space="preserve"> </w:t>
      </w:r>
      <w:r w:rsidR="009A14D3" w:rsidRPr="00EB3C12">
        <w:rPr>
          <w:rFonts w:cs="Arial"/>
          <w:b/>
          <w:bCs/>
        </w:rPr>
        <w:t xml:space="preserve">of </w:t>
      </w:r>
      <w:r>
        <w:rPr>
          <w:rFonts w:cs="Arial"/>
          <w:b/>
          <w:bCs/>
        </w:rPr>
        <w:t xml:space="preserve">retail sector </w:t>
      </w:r>
      <w:r w:rsidR="009A14D3" w:rsidRPr="00EB3C12">
        <w:rPr>
          <w:rFonts w:cs="Arial"/>
          <w:b/>
          <w:bCs/>
        </w:rPr>
        <w:t xml:space="preserve">lobby </w:t>
      </w:r>
      <w:r w:rsidR="009A14D3">
        <w:rPr>
          <w:rFonts w:cs="Arial"/>
          <w:b/>
          <w:bCs/>
        </w:rPr>
        <w:t>groups</w:t>
      </w:r>
    </w:p>
    <w:p w14:paraId="2ADBBE0D" w14:textId="124E029F" w:rsidR="009A14D3" w:rsidRDefault="00F30AEF" w:rsidP="002435E1">
      <w:pPr>
        <w:spacing w:before="120" w:after="240" w:line="276" w:lineRule="auto"/>
        <w:rPr>
          <w:rFonts w:cs="Arial"/>
        </w:rPr>
      </w:pPr>
      <w:r>
        <w:rPr>
          <w:rFonts w:cs="Arial"/>
        </w:rPr>
        <w:t>We note that some</w:t>
      </w:r>
      <w:r w:rsidR="009A14D3" w:rsidRPr="00BD1CE4">
        <w:rPr>
          <w:rFonts w:cs="Arial"/>
        </w:rPr>
        <w:t xml:space="preserve"> stakeholders </w:t>
      </w:r>
      <w:r>
        <w:rPr>
          <w:rFonts w:cs="Arial"/>
        </w:rPr>
        <w:t>are calling for issuance of DNDCs to be mandatory for all banks.</w:t>
      </w:r>
      <w:r w:rsidR="009A14D3" w:rsidRPr="00BD1CE4">
        <w:rPr>
          <w:rFonts w:cs="Arial"/>
        </w:rPr>
        <w:t xml:space="preserve"> </w:t>
      </w:r>
    </w:p>
    <w:p w14:paraId="4B16BF9B" w14:textId="5565FE4A" w:rsidR="009A14D3" w:rsidRPr="00EB3C12" w:rsidRDefault="009A14D3" w:rsidP="002435E1">
      <w:pPr>
        <w:spacing w:before="120" w:after="240" w:line="276" w:lineRule="auto"/>
        <w:rPr>
          <w:rFonts w:cs="Arial"/>
        </w:rPr>
      </w:pPr>
      <w:r w:rsidRPr="00EB3C12">
        <w:rPr>
          <w:rFonts w:cs="Arial"/>
        </w:rPr>
        <w:t>In a recent open lette</w:t>
      </w:r>
      <w:r>
        <w:rPr>
          <w:rFonts w:cs="Arial"/>
        </w:rPr>
        <w:t>r</w:t>
      </w:r>
      <w:r w:rsidRPr="00EB3C12">
        <w:rPr>
          <w:rFonts w:cs="Arial"/>
        </w:rPr>
        <w:t>,</w:t>
      </w:r>
      <w:r w:rsidR="00123611">
        <w:rPr>
          <w:rStyle w:val="FootnoteReference"/>
          <w:rFonts w:cs="Arial"/>
        </w:rPr>
        <w:footnoteReference w:id="3"/>
      </w:r>
      <w:r w:rsidRPr="00EB3C12">
        <w:rPr>
          <w:rFonts w:cs="Arial"/>
        </w:rPr>
        <w:t xml:space="preserve">  </w:t>
      </w:r>
      <w:r w:rsidR="00861ACC">
        <w:rPr>
          <w:rFonts w:cs="Arial"/>
        </w:rPr>
        <w:t xml:space="preserve">retail sector </w:t>
      </w:r>
      <w:r>
        <w:rPr>
          <w:rFonts w:cs="Arial"/>
        </w:rPr>
        <w:t>lobby groups</w:t>
      </w:r>
      <w:r w:rsidRPr="00EB3C12">
        <w:rPr>
          <w:rFonts w:cs="Arial"/>
        </w:rPr>
        <w:t xml:space="preserve"> </w:t>
      </w:r>
      <w:r w:rsidR="00F30AEF">
        <w:rPr>
          <w:rFonts w:cs="Arial"/>
        </w:rPr>
        <w:t>say urgent regulation is needed, including that:</w:t>
      </w:r>
      <w:r w:rsidRPr="00EB3C12">
        <w:rPr>
          <w:rFonts w:cs="Arial"/>
        </w:rPr>
        <w:t xml:space="preserve"> </w:t>
      </w:r>
    </w:p>
    <w:p w14:paraId="120D899A" w14:textId="77777777" w:rsidR="009A14D3" w:rsidRPr="00123611" w:rsidRDefault="009A14D3" w:rsidP="00123611">
      <w:pPr>
        <w:spacing w:before="120" w:after="240" w:line="276" w:lineRule="auto"/>
        <w:ind w:left="720"/>
        <w:rPr>
          <w:rFonts w:cs="Arial"/>
          <w:i/>
          <w:iCs/>
        </w:rPr>
      </w:pPr>
      <w:r w:rsidRPr="00123611">
        <w:rPr>
          <w:rFonts w:cs="Arial"/>
          <w:i/>
          <w:iCs/>
        </w:rPr>
        <w:t>Multi Network Debit Cards (MNDCs) are mandatory as part of every bank’s social obligation to promote competition in Australia.</w:t>
      </w:r>
    </w:p>
    <w:p w14:paraId="6C056AD9" w14:textId="16F9224D" w:rsidR="00861ACC" w:rsidRDefault="009A14D3" w:rsidP="002435E1">
      <w:pPr>
        <w:spacing w:before="120" w:after="240" w:line="276" w:lineRule="auto"/>
        <w:rPr>
          <w:rFonts w:cs="Arial"/>
        </w:rPr>
      </w:pPr>
      <w:r w:rsidRPr="009A14D3">
        <w:rPr>
          <w:rFonts w:cs="Arial"/>
        </w:rPr>
        <w:t xml:space="preserve">COBA opposes the proposal to mandate MDNCs for all banks. This </w:t>
      </w:r>
      <w:r w:rsidR="00861ACC">
        <w:rPr>
          <w:rFonts w:cs="Arial"/>
        </w:rPr>
        <w:t xml:space="preserve">would be a dramatic intervention in the market, </w:t>
      </w:r>
      <w:r w:rsidR="000007DD">
        <w:rPr>
          <w:rFonts w:cs="Arial"/>
        </w:rPr>
        <w:t xml:space="preserve">removing choice from issuers, </w:t>
      </w:r>
      <w:r w:rsidR="00861ACC">
        <w:rPr>
          <w:rFonts w:cs="Arial"/>
        </w:rPr>
        <w:t>hitting smaller</w:t>
      </w:r>
      <w:r w:rsidR="000007DD">
        <w:rPr>
          <w:rFonts w:cs="Arial"/>
        </w:rPr>
        <w:t xml:space="preserve"> issuers</w:t>
      </w:r>
      <w:r w:rsidR="00861ACC">
        <w:rPr>
          <w:rFonts w:cs="Arial"/>
        </w:rPr>
        <w:t xml:space="preserve"> hardest</w:t>
      </w:r>
      <w:r w:rsidR="000007DD">
        <w:rPr>
          <w:rFonts w:cs="Arial"/>
        </w:rPr>
        <w:t>, harming competition in banking,</w:t>
      </w:r>
      <w:r w:rsidR="00861ACC">
        <w:rPr>
          <w:rFonts w:cs="Arial"/>
        </w:rPr>
        <w:t xml:space="preserve"> and removing the incentive for</w:t>
      </w:r>
      <w:r w:rsidR="000007DD">
        <w:rPr>
          <w:rFonts w:cs="Arial"/>
        </w:rPr>
        <w:t xml:space="preserve"> debit card</w:t>
      </w:r>
      <w:r w:rsidR="00861ACC">
        <w:rPr>
          <w:rFonts w:cs="Arial"/>
        </w:rPr>
        <w:t xml:space="preserve"> schemes to innovate and improve their offering to attract issuers.</w:t>
      </w:r>
    </w:p>
    <w:p w14:paraId="08E9FAC8" w14:textId="655B289A" w:rsidR="004E225B" w:rsidRPr="004E225B" w:rsidRDefault="004E225B" w:rsidP="002435E1">
      <w:pPr>
        <w:spacing w:before="120" w:after="240" w:line="276" w:lineRule="auto"/>
        <w:rPr>
          <w:rFonts w:cs="Arial"/>
          <w:b/>
          <w:bCs/>
        </w:rPr>
      </w:pPr>
      <w:r w:rsidRPr="004E225B">
        <w:rPr>
          <w:rFonts w:cs="Arial"/>
          <w:b/>
          <w:bCs/>
        </w:rPr>
        <w:t xml:space="preserve">Choice for issuers </w:t>
      </w:r>
    </w:p>
    <w:p w14:paraId="2A6A1D6B" w14:textId="094A77FE" w:rsidR="00EF45C1" w:rsidRDefault="00EF45C1" w:rsidP="002435E1">
      <w:pPr>
        <w:spacing w:before="120" w:after="240" w:line="276" w:lineRule="auto"/>
        <w:rPr>
          <w:rFonts w:cs="Arial"/>
        </w:rPr>
      </w:pPr>
      <w:r>
        <w:rPr>
          <w:rFonts w:cs="Arial"/>
        </w:rPr>
        <w:t>A</w:t>
      </w:r>
      <w:r w:rsidRPr="00842DF2">
        <w:rPr>
          <w:rFonts w:cs="Arial"/>
        </w:rPr>
        <w:t xml:space="preserve"> majority of COBA members offer DNDCs and may choose to continue to do so</w:t>
      </w:r>
      <w:r>
        <w:rPr>
          <w:rFonts w:cs="Arial"/>
        </w:rPr>
        <w:t xml:space="preserve">. However, members have </w:t>
      </w:r>
      <w:r w:rsidRPr="00BD1CE4">
        <w:rPr>
          <w:rFonts w:cs="Arial"/>
        </w:rPr>
        <w:t>expressed a strong desire for the issuance of DNDCs to remain a choice, based on commercial considerations of the individual issuers and the needs of their customers.</w:t>
      </w:r>
    </w:p>
    <w:p w14:paraId="3C6A12BD" w14:textId="72D6660E" w:rsidR="00227332" w:rsidRDefault="00227332" w:rsidP="002435E1">
      <w:pPr>
        <w:spacing w:before="120" w:after="240" w:line="276" w:lineRule="auto"/>
        <w:rPr>
          <w:rFonts w:cs="Arial"/>
        </w:rPr>
      </w:pPr>
      <w:r>
        <w:rPr>
          <w:rFonts w:cs="Arial"/>
        </w:rPr>
        <w:t xml:space="preserve">The RBA’s preliminary conclusion for </w:t>
      </w:r>
      <w:r w:rsidRPr="009D7FD6">
        <w:rPr>
          <w:rFonts w:cs="Arial"/>
          <w:i/>
          <w:iCs/>
        </w:rPr>
        <w:t>Option 2</w:t>
      </w:r>
      <w:r>
        <w:rPr>
          <w:rFonts w:cs="Arial"/>
        </w:rPr>
        <w:t xml:space="preserve">, would </w:t>
      </w:r>
      <w:r w:rsidR="000007DD">
        <w:rPr>
          <w:rFonts w:cs="Arial"/>
        </w:rPr>
        <w:t>continue to allow</w:t>
      </w:r>
      <w:r>
        <w:rPr>
          <w:rFonts w:cs="Arial"/>
        </w:rPr>
        <w:t xml:space="preserve"> this choice for COBA members. </w:t>
      </w:r>
    </w:p>
    <w:p w14:paraId="307970A1" w14:textId="4A4E48B4" w:rsidR="00C576AE" w:rsidRDefault="00C576AE" w:rsidP="002435E1">
      <w:pPr>
        <w:spacing w:before="120" w:after="240" w:line="276" w:lineRule="auto"/>
        <w:rPr>
          <w:rFonts w:cs="Arial"/>
        </w:rPr>
      </w:pPr>
      <w:r>
        <w:rPr>
          <w:rFonts w:cs="Arial"/>
        </w:rPr>
        <w:t xml:space="preserve">Our members consider a range of factors when deciding what payment products and services they offer to their customers. These factors include customer needs, functionality, safety and security and cost. Members work with their payments service providers, such as Cuscal, Indue and ASL, to identify and issue products that best match the needs of their </w:t>
      </w:r>
      <w:r w:rsidR="009D7FD6">
        <w:rPr>
          <w:rFonts w:cs="Arial"/>
        </w:rPr>
        <w:t xml:space="preserve">organisations and customers. </w:t>
      </w:r>
      <w:r>
        <w:rPr>
          <w:rFonts w:cs="Arial"/>
        </w:rPr>
        <w:t xml:space="preserve"> </w:t>
      </w:r>
    </w:p>
    <w:p w14:paraId="2EFA63F3" w14:textId="452DA3B2" w:rsidR="00227332" w:rsidRDefault="00D72834" w:rsidP="002435E1">
      <w:pPr>
        <w:spacing w:before="120" w:after="240" w:line="276" w:lineRule="auto"/>
        <w:rPr>
          <w:rFonts w:cs="Arial"/>
        </w:rPr>
      </w:pPr>
      <w:r>
        <w:rPr>
          <w:rFonts w:cs="Arial"/>
        </w:rPr>
        <w:t>H</w:t>
      </w:r>
      <w:r w:rsidR="00227332">
        <w:rPr>
          <w:rFonts w:cs="Arial"/>
        </w:rPr>
        <w:t>aving two schemes</w:t>
      </w:r>
      <w:r>
        <w:rPr>
          <w:rFonts w:cs="Arial"/>
        </w:rPr>
        <w:t xml:space="preserve"> may</w:t>
      </w:r>
      <w:r w:rsidR="00227332">
        <w:rPr>
          <w:rFonts w:cs="Arial"/>
        </w:rPr>
        <w:t xml:space="preserve"> provide cardholders with little additional functionality</w:t>
      </w:r>
      <w:r w:rsidR="009D7FD6" w:rsidRPr="009D7FD6">
        <w:rPr>
          <w:rFonts w:cs="Arial"/>
        </w:rPr>
        <w:t xml:space="preserve"> </w:t>
      </w:r>
      <w:r w:rsidR="009D7FD6">
        <w:rPr>
          <w:rFonts w:cs="Arial"/>
        </w:rPr>
        <w:t>despite the additional costs incurred</w:t>
      </w:r>
      <w:r w:rsidR="000007DD">
        <w:rPr>
          <w:rFonts w:cs="Arial"/>
        </w:rPr>
        <w:t xml:space="preserve"> by the issuer</w:t>
      </w:r>
      <w:r w:rsidR="009D7FD6">
        <w:rPr>
          <w:rFonts w:cs="Arial"/>
        </w:rPr>
        <w:t xml:space="preserve">. </w:t>
      </w:r>
      <w:r w:rsidR="00227332">
        <w:rPr>
          <w:rFonts w:cs="Arial"/>
        </w:rPr>
        <w:t xml:space="preserve">It should be up to COBA members to decide whether they continue to offer this product to consumers, based on the value it offers their customer base.  </w:t>
      </w:r>
    </w:p>
    <w:p w14:paraId="786F18AF" w14:textId="592E6F89" w:rsidR="0000440B" w:rsidRDefault="0000440B" w:rsidP="002435E1">
      <w:pPr>
        <w:spacing w:before="120" w:after="240" w:line="276" w:lineRule="auto"/>
        <w:rPr>
          <w:rFonts w:cs="Arial"/>
          <w:color w:val="auto"/>
        </w:rPr>
      </w:pPr>
      <w:r>
        <w:rPr>
          <w:rFonts w:cs="Arial"/>
          <w:color w:val="auto"/>
        </w:rPr>
        <w:t>I</w:t>
      </w:r>
      <w:r w:rsidRPr="0075023D">
        <w:rPr>
          <w:rFonts w:cs="Arial"/>
          <w:color w:val="auto"/>
        </w:rPr>
        <w:t xml:space="preserve">f the RBA were to mandate issuance of </w:t>
      </w:r>
      <w:r w:rsidR="00066088">
        <w:rPr>
          <w:rFonts w:cs="Arial"/>
          <w:color w:val="auto"/>
        </w:rPr>
        <w:t>D</w:t>
      </w:r>
      <w:r>
        <w:rPr>
          <w:rFonts w:cs="Arial"/>
          <w:color w:val="auto"/>
        </w:rPr>
        <w:t>N</w:t>
      </w:r>
      <w:r w:rsidRPr="0075023D">
        <w:rPr>
          <w:rFonts w:cs="Arial"/>
          <w:color w:val="auto"/>
        </w:rPr>
        <w:t xml:space="preserve">DCs </w:t>
      </w:r>
      <w:r w:rsidR="00066088">
        <w:rPr>
          <w:rFonts w:cs="Arial"/>
          <w:color w:val="auto"/>
        </w:rPr>
        <w:t>for</w:t>
      </w:r>
      <w:r w:rsidRPr="0075023D">
        <w:rPr>
          <w:rFonts w:cs="Arial"/>
          <w:color w:val="auto"/>
        </w:rPr>
        <w:t xml:space="preserve"> all </w:t>
      </w:r>
      <w:r>
        <w:rPr>
          <w:rFonts w:cs="Arial"/>
          <w:color w:val="auto"/>
        </w:rPr>
        <w:t>banks</w:t>
      </w:r>
      <w:r w:rsidRPr="0075023D">
        <w:rPr>
          <w:rFonts w:cs="Arial"/>
          <w:color w:val="auto"/>
        </w:rPr>
        <w:t xml:space="preserve">, this </w:t>
      </w:r>
      <w:r w:rsidR="0012309D">
        <w:rPr>
          <w:rFonts w:cs="Arial"/>
          <w:color w:val="auto"/>
        </w:rPr>
        <w:t>c</w:t>
      </w:r>
      <w:r w:rsidRPr="0075023D">
        <w:rPr>
          <w:rFonts w:cs="Arial"/>
          <w:color w:val="auto"/>
        </w:rPr>
        <w:t>ould reduce incentives for schemes to innovate and improve their offering to attract new issuers and keep existing issuers.</w:t>
      </w:r>
      <w:r w:rsidR="00D72834">
        <w:rPr>
          <w:rFonts w:cs="Arial"/>
          <w:color w:val="auto"/>
        </w:rPr>
        <w:t xml:space="preserve"> </w:t>
      </w:r>
      <w:r>
        <w:rPr>
          <w:rFonts w:cs="Arial"/>
          <w:color w:val="auto"/>
        </w:rPr>
        <w:t xml:space="preserve">Regulatory intervention to mandate that certain scheme be issued on all debit cards would interfere with market forces, and potentially stifle innovation in the market. </w:t>
      </w:r>
    </w:p>
    <w:p w14:paraId="64E4FE19" w14:textId="7A6DFB8E" w:rsidR="00E606D5" w:rsidRDefault="0012309D" w:rsidP="002435E1">
      <w:pPr>
        <w:spacing w:before="120" w:after="240" w:line="276" w:lineRule="auto"/>
        <w:rPr>
          <w:rFonts w:cs="Arial"/>
          <w:color w:val="auto"/>
        </w:rPr>
      </w:pPr>
      <w:r>
        <w:rPr>
          <w:rFonts w:cs="Arial"/>
          <w:color w:val="auto"/>
        </w:rPr>
        <w:t>An</w:t>
      </w:r>
      <w:r w:rsidR="009B485A">
        <w:rPr>
          <w:rFonts w:cs="Arial"/>
          <w:color w:val="auto"/>
        </w:rPr>
        <w:t>y</w:t>
      </w:r>
      <w:r>
        <w:rPr>
          <w:rFonts w:cs="Arial"/>
          <w:color w:val="auto"/>
        </w:rPr>
        <w:t xml:space="preserve"> intervention that would require mandatory DNDC issuance by all banks </w:t>
      </w:r>
      <w:r w:rsidR="00E606D5" w:rsidRPr="00FD527F">
        <w:rPr>
          <w:rFonts w:cs="Arial"/>
          <w:color w:val="auto"/>
        </w:rPr>
        <w:t>would</w:t>
      </w:r>
      <w:r w:rsidR="00E606D5">
        <w:rPr>
          <w:rFonts w:cs="Arial"/>
          <w:color w:val="auto"/>
        </w:rPr>
        <w:t xml:space="preserve"> also</w:t>
      </w:r>
      <w:r w:rsidR="00E606D5" w:rsidRPr="00FD527F">
        <w:rPr>
          <w:rFonts w:cs="Arial"/>
          <w:color w:val="auto"/>
        </w:rPr>
        <w:t xml:space="preserve"> mean that </w:t>
      </w:r>
      <w:r>
        <w:rPr>
          <w:rFonts w:cs="Arial"/>
          <w:color w:val="auto"/>
        </w:rPr>
        <w:t xml:space="preserve">institutions would </w:t>
      </w:r>
      <w:r w:rsidR="00E606D5" w:rsidRPr="00FD527F">
        <w:rPr>
          <w:rFonts w:cs="Arial"/>
          <w:color w:val="auto"/>
        </w:rPr>
        <w:t>be offering a product based on factors other than their own commercial considerations and the needs of their customers.</w:t>
      </w:r>
    </w:p>
    <w:p w14:paraId="146054E2" w14:textId="349F6AE6" w:rsidR="004E225B" w:rsidRDefault="004E225B" w:rsidP="002435E1">
      <w:pPr>
        <w:spacing w:before="120" w:after="240" w:line="276" w:lineRule="auto"/>
        <w:rPr>
          <w:color w:val="auto"/>
        </w:rPr>
      </w:pPr>
    </w:p>
    <w:p w14:paraId="62D4D1E5" w14:textId="77777777" w:rsidR="00A92442" w:rsidRPr="004E225B" w:rsidRDefault="00A92442" w:rsidP="002435E1">
      <w:pPr>
        <w:spacing w:before="120" w:after="240" w:line="276" w:lineRule="auto"/>
        <w:rPr>
          <w:color w:val="auto"/>
        </w:rPr>
      </w:pPr>
    </w:p>
    <w:p w14:paraId="617950E4" w14:textId="2071D544" w:rsidR="00EF45C1" w:rsidRPr="00647BC9" w:rsidRDefault="00EF45C1" w:rsidP="002435E1">
      <w:pPr>
        <w:spacing w:before="120" w:after="240" w:line="276" w:lineRule="auto"/>
        <w:rPr>
          <w:rFonts w:cs="Arial"/>
        </w:rPr>
      </w:pPr>
      <w:r w:rsidRPr="00B615CF">
        <w:rPr>
          <w:rFonts w:cs="Arial"/>
          <w:b/>
          <w:bCs/>
        </w:rPr>
        <w:lastRenderedPageBreak/>
        <w:t>Cost</w:t>
      </w:r>
      <w:r>
        <w:rPr>
          <w:rFonts w:cs="Arial"/>
          <w:b/>
          <w:bCs/>
        </w:rPr>
        <w:t xml:space="preserve"> implications of DNDCs for smaller issuers </w:t>
      </w:r>
    </w:p>
    <w:p w14:paraId="62588E31" w14:textId="43BF6155" w:rsidR="00EF45C1" w:rsidRDefault="00E50331" w:rsidP="002435E1">
      <w:pPr>
        <w:spacing w:before="120" w:after="240" w:line="276" w:lineRule="auto"/>
        <w:rPr>
          <w:rFonts w:cs="Arial"/>
        </w:rPr>
      </w:pPr>
      <w:r>
        <w:rPr>
          <w:rFonts w:cs="Arial"/>
        </w:rPr>
        <w:t xml:space="preserve">The RBA has recognised the additional costs that arise from supporting two networks given the largely overlapping functionality provided by the debit schemes. </w:t>
      </w:r>
      <w:r w:rsidR="00EF45C1">
        <w:rPr>
          <w:rFonts w:cs="Arial"/>
        </w:rPr>
        <w:t xml:space="preserve">It has also </w:t>
      </w:r>
      <w:r w:rsidR="00517337">
        <w:rPr>
          <w:rFonts w:cs="Arial"/>
        </w:rPr>
        <w:t>acknowledged</w:t>
      </w:r>
      <w:r w:rsidR="00EF45C1">
        <w:rPr>
          <w:rFonts w:cs="Arial"/>
        </w:rPr>
        <w:t xml:space="preserve"> the significant challenges that these costs impose on smaller issuers, who have smaller customer bases and are less able to distribute the costs</w:t>
      </w:r>
      <w:r w:rsidR="00AA31CE">
        <w:rPr>
          <w:rFonts w:cs="Arial"/>
        </w:rPr>
        <w:t>.</w:t>
      </w:r>
      <w:r w:rsidR="00EF45C1" w:rsidRPr="00E50C80">
        <w:rPr>
          <w:rStyle w:val="FootnoteReference"/>
          <w:rFonts w:cs="Arial"/>
        </w:rPr>
        <w:footnoteReference w:id="4"/>
      </w:r>
    </w:p>
    <w:p w14:paraId="61182554" w14:textId="10AE4F3E" w:rsidR="00EF45C1" w:rsidRDefault="00EA38F8" w:rsidP="002435E1">
      <w:pPr>
        <w:spacing w:before="120" w:after="240" w:line="276" w:lineRule="auto"/>
        <w:rPr>
          <w:color w:val="000000" w:themeColor="text1"/>
        </w:rPr>
      </w:pPr>
      <w:r>
        <w:rPr>
          <w:rFonts w:cstheme="minorHAnsi"/>
          <w:color w:val="000000"/>
        </w:rPr>
        <w:t>Generally, s</w:t>
      </w:r>
      <w:r w:rsidR="00EF45C1">
        <w:rPr>
          <w:rFonts w:cstheme="minorHAnsi"/>
          <w:color w:val="000000"/>
        </w:rPr>
        <w:t>mall issuers a</w:t>
      </w:r>
      <w:r w:rsidR="00EF45C1" w:rsidRPr="00A64E7B">
        <w:rPr>
          <w:color w:val="000000" w:themeColor="text1"/>
        </w:rPr>
        <w:t>re subject to relatively higher regulatory costs due to the fixed cost factor and this hampers their capacity to grow and expand into new markets.</w:t>
      </w:r>
    </w:p>
    <w:p w14:paraId="66BC5505" w14:textId="02AB27E3" w:rsidR="00EF45C1" w:rsidRDefault="00D72834" w:rsidP="002435E1">
      <w:pPr>
        <w:spacing w:before="120" w:after="240" w:line="276" w:lineRule="auto"/>
        <w:rPr>
          <w:rFonts w:cs="Arial"/>
        </w:rPr>
      </w:pPr>
      <w:r>
        <w:rPr>
          <w:rFonts w:cs="Arial"/>
        </w:rPr>
        <w:t>As noted above, w</w:t>
      </w:r>
      <w:r w:rsidR="00EF45C1" w:rsidRPr="00842DF2">
        <w:rPr>
          <w:rFonts w:cs="Arial"/>
        </w:rPr>
        <w:t>hile a majority of COBA members offer DNDCs and may choose to continue to do so, the duplication in systems and compliance costs does impose a considerable</w:t>
      </w:r>
      <w:r w:rsidR="00E50331">
        <w:rPr>
          <w:rFonts w:cs="Arial"/>
        </w:rPr>
        <w:t xml:space="preserve"> cost</w:t>
      </w:r>
      <w:r w:rsidR="00EF45C1" w:rsidRPr="00842DF2">
        <w:rPr>
          <w:rFonts w:cs="Arial"/>
        </w:rPr>
        <w:t xml:space="preserve"> burden on issuers with relatively small portfolios. This applies to all COBA members, including our largest members. </w:t>
      </w:r>
    </w:p>
    <w:p w14:paraId="5BEC4203" w14:textId="1927744E" w:rsidR="00EA38F8" w:rsidRDefault="007C60B7" w:rsidP="002435E1">
      <w:pPr>
        <w:spacing w:before="120" w:after="240" w:line="276" w:lineRule="auto"/>
        <w:rPr>
          <w:rFonts w:cs="Arial"/>
        </w:rPr>
      </w:pPr>
      <w:r>
        <w:rPr>
          <w:rFonts w:cs="Arial"/>
        </w:rPr>
        <w:t>Cuscal has provided COBA with the following insights about these costs.</w:t>
      </w:r>
    </w:p>
    <w:p w14:paraId="1B3E103A" w14:textId="3FC50085" w:rsidR="00EA38F8" w:rsidRPr="00A92442" w:rsidRDefault="00A92442" w:rsidP="002435E1">
      <w:pPr>
        <w:spacing w:before="120" w:after="240" w:line="276" w:lineRule="auto"/>
        <w:ind w:left="720"/>
        <w:rPr>
          <w:i/>
          <w:iCs/>
        </w:rPr>
      </w:pPr>
      <w:r w:rsidRPr="00A92442">
        <w:rPr>
          <w:i/>
          <w:iCs/>
        </w:rPr>
        <w:t>“</w:t>
      </w:r>
      <w:r w:rsidR="00EA38F8" w:rsidRPr="00A92442">
        <w:rPr>
          <w:i/>
          <w:iCs/>
        </w:rPr>
        <w:t xml:space="preserve">The key cost in supporting dual network cards are compliance and operating costs. </w:t>
      </w:r>
      <w:r w:rsidR="00EA38F8" w:rsidRPr="00A92442">
        <w:rPr>
          <w:i/>
          <w:iCs/>
          <w:lang w:val="en-US"/>
        </w:rPr>
        <w:t>There are also additional costs associated with physical card production incorporating two schemes, the need for two card types to be supported in digital wallets and the requirement for &amp; fees associated with membership of two Schemes</w:t>
      </w:r>
      <w:r w:rsidR="00EA38F8" w:rsidRPr="00A92442">
        <w:rPr>
          <w:i/>
          <w:iCs/>
        </w:rPr>
        <w:t xml:space="preserve">. Each of Visa, Mastercard and </w:t>
      </w:r>
      <w:proofErr w:type="spellStart"/>
      <w:r w:rsidR="00EA38F8" w:rsidRPr="00A92442">
        <w:rPr>
          <w:i/>
          <w:iCs/>
        </w:rPr>
        <w:t>eftpos</w:t>
      </w:r>
      <w:proofErr w:type="spellEnd"/>
      <w:r w:rsidR="00EA38F8" w:rsidRPr="00A92442">
        <w:rPr>
          <w:i/>
          <w:iCs/>
        </w:rPr>
        <w:t xml:space="preserve"> release two mandated major technical upgrades per year. This is in addition to other rule changes and technical updates which are distributed on a regular basis throughout the year. </w:t>
      </w:r>
    </w:p>
    <w:p w14:paraId="3701367F" w14:textId="77777777" w:rsidR="00EA38F8" w:rsidRPr="00A92442" w:rsidRDefault="00EA38F8" w:rsidP="002435E1">
      <w:pPr>
        <w:spacing w:before="120" w:after="240" w:line="276" w:lineRule="auto"/>
        <w:ind w:left="720"/>
        <w:rPr>
          <w:i/>
          <w:iCs/>
        </w:rPr>
      </w:pPr>
      <w:r w:rsidRPr="00A92442">
        <w:rPr>
          <w:i/>
          <w:iCs/>
        </w:rPr>
        <w:t xml:space="preserve">These major scheme releases have increased significantly in volume and complexity, and hence cost, over the past two years. A key driver - accounting for around 60% of compliance costs - has been the requirement from </w:t>
      </w:r>
      <w:proofErr w:type="spellStart"/>
      <w:r w:rsidRPr="00A92442">
        <w:rPr>
          <w:i/>
          <w:iCs/>
        </w:rPr>
        <w:t>eftpos</w:t>
      </w:r>
      <w:proofErr w:type="spellEnd"/>
      <w:r w:rsidRPr="00A92442">
        <w:rPr>
          <w:i/>
          <w:iCs/>
        </w:rPr>
        <w:t xml:space="preserve"> for issuers to make continued changes to their product to bring it closer to the (domestic) functionality of international scheme cards. </w:t>
      </w:r>
    </w:p>
    <w:p w14:paraId="719C7B8D" w14:textId="58275568" w:rsidR="00EA38F8" w:rsidRPr="00A92442" w:rsidRDefault="00EA38F8" w:rsidP="002435E1">
      <w:pPr>
        <w:spacing w:before="120" w:after="240" w:line="276" w:lineRule="auto"/>
        <w:ind w:left="720"/>
        <w:rPr>
          <w:i/>
          <w:iCs/>
        </w:rPr>
      </w:pPr>
      <w:r w:rsidRPr="00A92442">
        <w:rPr>
          <w:i/>
          <w:iCs/>
        </w:rPr>
        <w:t>Such mandates require changes not only with sponsors like Cuscal, but also the issuing institution’s core banking platform providers, card management vendors and other third parties required to run their card businesses.</w:t>
      </w:r>
    </w:p>
    <w:p w14:paraId="38C8EA22" w14:textId="36812D83" w:rsidR="00EA38F8" w:rsidRPr="00A92442" w:rsidRDefault="00EA38F8" w:rsidP="002435E1">
      <w:pPr>
        <w:spacing w:before="120" w:after="240" w:line="276" w:lineRule="auto"/>
        <w:ind w:left="720"/>
        <w:rPr>
          <w:i/>
          <w:iCs/>
        </w:rPr>
      </w:pPr>
      <w:r w:rsidRPr="00A92442">
        <w:rPr>
          <w:i/>
          <w:iCs/>
        </w:rPr>
        <w:t>Smaller issuers suffer a disproportionate cost per cardholder to support DNDC</w:t>
      </w:r>
      <w:r w:rsidR="007C60B7" w:rsidRPr="00A92442">
        <w:rPr>
          <w:i/>
          <w:iCs/>
        </w:rPr>
        <w:t>s</w:t>
      </w:r>
      <w:r w:rsidRPr="00A92442">
        <w:rPr>
          <w:i/>
          <w:iCs/>
        </w:rPr>
        <w:t xml:space="preserve">, due to the need to comply with the mandates of both schemes, which requires a significant investment from the organisation. Smaller issuers have limited budgets and lack the scale in their programs to meet these costs. As scheme compliance is mandated, this has become a priority spend and an opportunity cost to other activities. The outcome of needing to cover these costs is a reduction or elimination in funding for development and innovation elsewhere and abandoning opportunities to reduce fees to cardholders. The challenge is that while mandated, compliance for </w:t>
      </w:r>
      <w:proofErr w:type="spellStart"/>
      <w:r w:rsidRPr="00A92442">
        <w:rPr>
          <w:i/>
          <w:iCs/>
        </w:rPr>
        <w:t>eftpos</w:t>
      </w:r>
      <w:proofErr w:type="spellEnd"/>
      <w:r w:rsidRPr="00A92442">
        <w:rPr>
          <w:i/>
          <w:iCs/>
        </w:rPr>
        <w:t xml:space="preserve"> is not delivering new or better product features for customers, as these are already part of the features they receive from the other international schemes.</w:t>
      </w:r>
    </w:p>
    <w:p w14:paraId="3FA7F558" w14:textId="301257B8" w:rsidR="00A92442" w:rsidRPr="00A92442" w:rsidRDefault="00EA38F8" w:rsidP="002435E1">
      <w:pPr>
        <w:spacing w:before="120" w:after="240" w:line="276" w:lineRule="auto"/>
        <w:ind w:left="720"/>
        <w:rPr>
          <w:i/>
          <w:iCs/>
        </w:rPr>
      </w:pPr>
      <w:r w:rsidRPr="00A92442">
        <w:rPr>
          <w:i/>
          <w:iCs/>
        </w:rPr>
        <w:t>A further cost in supporting dual network cards is the disparity in back</w:t>
      </w:r>
      <w:r w:rsidR="007C60B7" w:rsidRPr="00A92442">
        <w:rPr>
          <w:i/>
          <w:iCs/>
        </w:rPr>
        <w:t>-</w:t>
      </w:r>
      <w:r w:rsidRPr="00A92442">
        <w:rPr>
          <w:i/>
          <w:iCs/>
        </w:rPr>
        <w:t xml:space="preserve">office processes, such as settlement and general ledger reconciliation, as well as fraud monitoring and dispute management, with each scheme having its own rules, limits and processes. This adds </w:t>
      </w:r>
      <w:r w:rsidRPr="00A92442">
        <w:rPr>
          <w:i/>
          <w:iCs/>
        </w:rPr>
        <w:lastRenderedPageBreak/>
        <w:t>complexity to the base requirements of financial institutions to run these necessary processes. It also means twice the training, twice the processes and twice the oversight.</w:t>
      </w:r>
      <w:r w:rsidR="00A92442" w:rsidRPr="00A92442">
        <w:rPr>
          <w:i/>
          <w:iCs/>
        </w:rPr>
        <w:t>”</w:t>
      </w:r>
      <w:r w:rsidR="00A92442">
        <w:rPr>
          <w:rStyle w:val="FootnoteReference"/>
          <w:i/>
          <w:iCs/>
        </w:rPr>
        <w:footnoteReference w:id="5"/>
      </w:r>
      <w:r w:rsidRPr="00A92442">
        <w:rPr>
          <w:i/>
          <w:iCs/>
        </w:rPr>
        <w:t xml:space="preserve"> </w:t>
      </w:r>
    </w:p>
    <w:p w14:paraId="3CE2CA1F" w14:textId="77FF784F" w:rsidR="009D7FD6" w:rsidRDefault="00DA07A3" w:rsidP="002435E1">
      <w:pPr>
        <w:spacing w:before="120" w:after="240" w:line="276" w:lineRule="auto"/>
        <w:rPr>
          <w:rFonts w:cs="Arial"/>
          <w:b/>
          <w:bCs/>
        </w:rPr>
      </w:pPr>
      <w:r>
        <w:rPr>
          <w:rFonts w:cs="Arial"/>
          <w:b/>
          <w:bCs/>
        </w:rPr>
        <w:t xml:space="preserve">Thresholds for mandated DNDC issuance </w:t>
      </w:r>
    </w:p>
    <w:p w14:paraId="2E5B8AB0" w14:textId="2F2CA682" w:rsidR="0017783A" w:rsidRDefault="0017783A" w:rsidP="002435E1">
      <w:pPr>
        <w:spacing w:before="120" w:after="240" w:line="276" w:lineRule="auto"/>
        <w:rPr>
          <w:rFonts w:cs="Arial"/>
          <w:i/>
          <w:iCs/>
        </w:rPr>
      </w:pPr>
      <w:r>
        <w:rPr>
          <w:rFonts w:cs="Arial"/>
        </w:rPr>
        <w:t xml:space="preserve">In </w:t>
      </w:r>
      <w:r w:rsidR="009A7D38">
        <w:rPr>
          <w:rFonts w:cs="Arial"/>
        </w:rPr>
        <w:t>considering</w:t>
      </w:r>
      <w:r>
        <w:rPr>
          <w:rFonts w:cs="Arial"/>
        </w:rPr>
        <w:t xml:space="preserve"> the policy position for DNDCs, the RBA </w:t>
      </w:r>
      <w:r w:rsidR="009A7D38">
        <w:rPr>
          <w:rFonts w:cs="Arial"/>
        </w:rPr>
        <w:t>called for stakeholder feedback on a proposal to implement</w:t>
      </w:r>
      <w:r>
        <w:rPr>
          <w:rFonts w:cs="Arial"/>
        </w:rPr>
        <w:t xml:space="preserve"> a regulation mandating DNDC issuance for major banks and medium sized issuers (</w:t>
      </w:r>
      <w:r w:rsidRPr="0017783A">
        <w:rPr>
          <w:rFonts w:cs="Arial"/>
          <w:i/>
          <w:iCs/>
        </w:rPr>
        <w:t>Option</w:t>
      </w:r>
      <w:r>
        <w:rPr>
          <w:rFonts w:cs="Arial"/>
          <w:i/>
          <w:iCs/>
        </w:rPr>
        <w:t xml:space="preserve"> 3):</w:t>
      </w:r>
    </w:p>
    <w:p w14:paraId="4FB77E5B" w14:textId="08E458C8" w:rsidR="00207689" w:rsidRPr="00207689" w:rsidRDefault="008B5C09" w:rsidP="002435E1">
      <w:pPr>
        <w:spacing w:before="120" w:after="240" w:line="276" w:lineRule="auto"/>
        <w:ind w:left="720"/>
        <w:rPr>
          <w:rFonts w:cs="Arial"/>
          <w:i/>
          <w:iCs/>
        </w:rPr>
      </w:pPr>
      <w:r w:rsidRPr="00BD1CE4">
        <w:rPr>
          <w:rFonts w:cs="Arial"/>
          <w:i/>
          <w:iCs/>
        </w:rPr>
        <w:t>“While the question of where to set the threshold would be a matter for judgement, the Board is interested in stakeholder views regarding a requirement that any authorised deposit-taking institution (ADI) accounting for more than 1 per cent of household deposits would be required to continue to issue DNDCs (Option 3)</w:t>
      </w:r>
      <w:r w:rsidR="00207689">
        <w:rPr>
          <w:rFonts w:cs="Arial"/>
          <w:i/>
          <w:iCs/>
        </w:rPr>
        <w:t>.</w:t>
      </w:r>
      <w:r w:rsidRPr="00BD1CE4">
        <w:rPr>
          <w:rFonts w:cs="Arial"/>
          <w:i/>
          <w:iCs/>
        </w:rPr>
        <w:t>”</w:t>
      </w:r>
      <w:r w:rsidR="0017783A">
        <w:rPr>
          <w:rStyle w:val="FootnoteReference"/>
          <w:rFonts w:cs="Arial"/>
          <w:i/>
          <w:iCs/>
        </w:rPr>
        <w:footnoteReference w:id="6"/>
      </w:r>
    </w:p>
    <w:p w14:paraId="7363FE5D" w14:textId="7BC13F0A" w:rsidR="0017783A" w:rsidRPr="00CC16A2" w:rsidRDefault="0017783A" w:rsidP="002435E1">
      <w:pPr>
        <w:spacing w:before="120" w:after="240" w:line="276" w:lineRule="auto"/>
        <w:rPr>
          <w:rFonts w:cs="Arial"/>
          <w:b/>
          <w:bCs/>
        </w:rPr>
      </w:pPr>
      <w:r>
        <w:rPr>
          <w:rFonts w:cs="Arial"/>
        </w:rPr>
        <w:t xml:space="preserve">The </w:t>
      </w:r>
      <w:r w:rsidRPr="00237371">
        <w:rPr>
          <w:rFonts w:cs="Arial"/>
          <w:i/>
          <w:iCs/>
        </w:rPr>
        <w:t xml:space="preserve">1 per cent of household deposits </w:t>
      </w:r>
      <w:r w:rsidRPr="00237371">
        <w:rPr>
          <w:rFonts w:cs="Arial"/>
        </w:rPr>
        <w:t xml:space="preserve">threshold </w:t>
      </w:r>
      <w:r>
        <w:rPr>
          <w:rFonts w:cs="Arial"/>
        </w:rPr>
        <w:t xml:space="preserve">used to determine medium-sized ADIs poses challenges for some of COBA’s larger members. </w:t>
      </w:r>
    </w:p>
    <w:p w14:paraId="7D2481DB" w14:textId="114E13BC" w:rsidR="0017783A" w:rsidRDefault="0017783A" w:rsidP="002435E1">
      <w:pPr>
        <w:spacing w:before="120" w:after="240" w:line="276" w:lineRule="auto"/>
        <w:rPr>
          <w:rFonts w:cs="Arial"/>
        </w:rPr>
      </w:pPr>
      <w:r>
        <w:rPr>
          <w:rFonts w:cs="Arial"/>
        </w:rPr>
        <w:t>The below chart shows ADIs that hold 1 per cent or more of household deposits.</w:t>
      </w:r>
      <w:r>
        <w:rPr>
          <w:rStyle w:val="FootnoteReference"/>
          <w:rFonts w:cs="Arial"/>
        </w:rPr>
        <w:footnoteReference w:id="7"/>
      </w:r>
      <w:r>
        <w:rPr>
          <w:rFonts w:cs="Arial"/>
        </w:rPr>
        <w:t xml:space="preserve"> It also includes </w:t>
      </w:r>
      <w:r w:rsidR="007C60B7">
        <w:rPr>
          <w:rFonts w:cs="Arial"/>
        </w:rPr>
        <w:t xml:space="preserve">three </w:t>
      </w:r>
      <w:r>
        <w:rPr>
          <w:rFonts w:cs="Arial"/>
        </w:rPr>
        <w:t xml:space="preserve">COBA members who are approaching the </w:t>
      </w:r>
      <w:r w:rsidRPr="00146844">
        <w:rPr>
          <w:rFonts w:cs="Arial"/>
          <w:i/>
          <w:iCs/>
        </w:rPr>
        <w:t>1 per cent</w:t>
      </w:r>
      <w:r>
        <w:rPr>
          <w:rFonts w:cs="Arial"/>
        </w:rPr>
        <w:t xml:space="preserve"> threshold. </w:t>
      </w:r>
    </w:p>
    <w:p w14:paraId="1DE861B7" w14:textId="1276C965" w:rsidR="00066088" w:rsidRPr="00CC16A2" w:rsidRDefault="00FD527F" w:rsidP="002435E1">
      <w:pPr>
        <w:spacing w:before="120" w:after="240" w:line="276" w:lineRule="auto"/>
        <w:rPr>
          <w:rFonts w:cs="Arial"/>
        </w:rPr>
      </w:pPr>
      <w:r>
        <w:rPr>
          <w:rFonts w:cs="Arial"/>
          <w:noProof/>
        </w:rPr>
        <w:drawing>
          <wp:inline distT="0" distB="0" distL="0" distR="0" wp14:anchorId="66A2EF29" wp14:editId="58E23E24">
            <wp:extent cx="5825433" cy="426365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38468" cy="4273197"/>
                    </a:xfrm>
                    <a:prstGeom prst="rect">
                      <a:avLst/>
                    </a:prstGeom>
                    <a:noFill/>
                  </pic:spPr>
                </pic:pic>
              </a:graphicData>
            </a:graphic>
          </wp:inline>
        </w:drawing>
      </w:r>
    </w:p>
    <w:p w14:paraId="586FC92A" w14:textId="6C5F0C4A" w:rsidR="00066088" w:rsidRDefault="00066088" w:rsidP="002435E1">
      <w:pPr>
        <w:spacing w:before="120" w:after="240" w:line="276" w:lineRule="auto"/>
        <w:rPr>
          <w:rFonts w:cs="Arial"/>
        </w:rPr>
      </w:pPr>
      <w:r>
        <w:rPr>
          <w:rFonts w:cs="Arial"/>
        </w:rPr>
        <w:lastRenderedPageBreak/>
        <w:t xml:space="preserve">COBA is concerned that while our members </w:t>
      </w:r>
      <w:r w:rsidR="00E95F5E">
        <w:rPr>
          <w:rFonts w:cs="Arial"/>
        </w:rPr>
        <w:t xml:space="preserve">are </w:t>
      </w:r>
      <w:r>
        <w:rPr>
          <w:rFonts w:cs="Arial"/>
        </w:rPr>
        <w:t xml:space="preserve">yet reach the </w:t>
      </w:r>
      <w:r w:rsidRPr="000725F3">
        <w:rPr>
          <w:rFonts w:cs="Arial"/>
          <w:i/>
          <w:iCs/>
        </w:rPr>
        <w:t>1 per cent</w:t>
      </w:r>
      <w:r>
        <w:rPr>
          <w:rFonts w:cs="Arial"/>
        </w:rPr>
        <w:t xml:space="preserve"> threshold, it is likely that as </w:t>
      </w:r>
      <w:r w:rsidR="009A7D38">
        <w:rPr>
          <w:rFonts w:cs="Arial"/>
        </w:rPr>
        <w:t xml:space="preserve">household deposit </w:t>
      </w:r>
      <w:r>
        <w:rPr>
          <w:rFonts w:cs="Arial"/>
        </w:rPr>
        <w:t xml:space="preserve">balances grow, they could be captured within this threshold within </w:t>
      </w:r>
      <w:r w:rsidR="000725F3">
        <w:rPr>
          <w:rFonts w:cs="Arial"/>
        </w:rPr>
        <w:t xml:space="preserve">the foreseeable future. </w:t>
      </w:r>
    </w:p>
    <w:p w14:paraId="2FAF9437" w14:textId="75094237" w:rsidR="00237371" w:rsidRPr="00237371" w:rsidRDefault="000725F3" w:rsidP="002435E1">
      <w:pPr>
        <w:spacing w:before="120" w:after="240" w:line="276" w:lineRule="auto"/>
        <w:rPr>
          <w:color w:val="auto"/>
        </w:rPr>
      </w:pPr>
      <w:r>
        <w:rPr>
          <w:rFonts w:cs="Arial"/>
        </w:rPr>
        <w:t xml:space="preserve">Once </w:t>
      </w:r>
      <w:r w:rsidR="00066088">
        <w:rPr>
          <w:rFonts w:cs="Arial"/>
        </w:rPr>
        <w:t xml:space="preserve">COBA members </w:t>
      </w:r>
      <w:r>
        <w:rPr>
          <w:rFonts w:cs="Arial"/>
        </w:rPr>
        <w:t>reach</w:t>
      </w:r>
      <w:r w:rsidR="007C60B7">
        <w:rPr>
          <w:rFonts w:cs="Arial"/>
        </w:rPr>
        <w:t>ed</w:t>
      </w:r>
      <w:r>
        <w:rPr>
          <w:rFonts w:cs="Arial"/>
        </w:rPr>
        <w:t xml:space="preserve"> the</w:t>
      </w:r>
      <w:r>
        <w:rPr>
          <w:rFonts w:cs="Arial"/>
          <w:i/>
          <w:iCs/>
        </w:rPr>
        <w:t xml:space="preserve">1 per cent </w:t>
      </w:r>
      <w:r>
        <w:rPr>
          <w:rFonts w:cs="Arial"/>
        </w:rPr>
        <w:t>threshold</w:t>
      </w:r>
      <w:r w:rsidR="007C60B7">
        <w:rPr>
          <w:rFonts w:cs="Arial"/>
        </w:rPr>
        <w:t xml:space="preserve"> they</w:t>
      </w:r>
      <w:r w:rsidR="00066088">
        <w:rPr>
          <w:rFonts w:cs="Arial"/>
        </w:rPr>
        <w:t xml:space="preserve"> would be subject to the same fixed costs for </w:t>
      </w:r>
      <w:r w:rsidR="007C60B7">
        <w:rPr>
          <w:rFonts w:cs="Arial"/>
        </w:rPr>
        <w:t xml:space="preserve">mandatory </w:t>
      </w:r>
      <w:r w:rsidR="00066088">
        <w:rPr>
          <w:rFonts w:cs="Arial"/>
        </w:rPr>
        <w:t xml:space="preserve">DNDC issuance as institutions </w:t>
      </w:r>
      <w:r w:rsidR="009A7D38">
        <w:rPr>
          <w:rFonts w:cs="Arial"/>
        </w:rPr>
        <w:t>more than 20 t</w:t>
      </w:r>
      <w:r w:rsidR="00066088">
        <w:rPr>
          <w:rFonts w:cs="Arial"/>
        </w:rPr>
        <w:t>imes their size</w:t>
      </w:r>
      <w:r w:rsidR="00237371" w:rsidRPr="00237371">
        <w:rPr>
          <w:color w:val="auto"/>
        </w:rPr>
        <w:t xml:space="preserve">. This is unfair and should be addressed by a change in the </w:t>
      </w:r>
      <w:r w:rsidR="00237371">
        <w:rPr>
          <w:color w:val="auto"/>
        </w:rPr>
        <w:t>threshold metric for determining medium-sized ADIs</w:t>
      </w:r>
      <w:r w:rsidR="00527F76">
        <w:rPr>
          <w:color w:val="auto"/>
        </w:rPr>
        <w:t>,</w:t>
      </w:r>
      <w:r w:rsidR="00237371">
        <w:rPr>
          <w:color w:val="auto"/>
        </w:rPr>
        <w:t xml:space="preserve"> should the RBA decide to </w:t>
      </w:r>
      <w:r w:rsidR="00527F76">
        <w:rPr>
          <w:color w:val="auto"/>
        </w:rPr>
        <w:t xml:space="preserve">pursue </w:t>
      </w:r>
      <w:r w:rsidR="00527F76">
        <w:rPr>
          <w:i/>
          <w:iCs/>
          <w:color w:val="auto"/>
        </w:rPr>
        <w:t>Option 3</w:t>
      </w:r>
      <w:r w:rsidR="00237371" w:rsidRPr="00237371">
        <w:rPr>
          <w:color w:val="auto"/>
        </w:rPr>
        <w:t>.</w:t>
      </w:r>
    </w:p>
    <w:p w14:paraId="757CB71E" w14:textId="5378B8EB" w:rsidR="00237371" w:rsidRPr="00BE3109" w:rsidRDefault="00237371" w:rsidP="002435E1">
      <w:pPr>
        <w:spacing w:before="120" w:after="240" w:line="276" w:lineRule="auto"/>
        <w:rPr>
          <w:rFonts w:cs="Arial"/>
          <w:i/>
          <w:iCs/>
        </w:rPr>
      </w:pPr>
      <w:r w:rsidRPr="00BE3109">
        <w:rPr>
          <w:rFonts w:cs="Arial"/>
          <w:i/>
          <w:iCs/>
        </w:rPr>
        <w:t xml:space="preserve">Household deposits do not accurately reflect </w:t>
      </w:r>
      <w:r w:rsidR="00BE3109">
        <w:rPr>
          <w:rFonts w:cs="Arial"/>
          <w:i/>
          <w:iCs/>
        </w:rPr>
        <w:t xml:space="preserve">share of debit card market </w:t>
      </w:r>
    </w:p>
    <w:p w14:paraId="4614D834" w14:textId="36ADED32" w:rsidR="00237371" w:rsidRDefault="00237371" w:rsidP="002435E1">
      <w:pPr>
        <w:spacing w:before="120" w:after="240" w:line="276" w:lineRule="auto"/>
        <w:rPr>
          <w:rFonts w:cs="Arial"/>
          <w:highlight w:val="yellow"/>
        </w:rPr>
      </w:pPr>
      <w:r w:rsidRPr="00237371">
        <w:rPr>
          <w:rFonts w:cs="Arial"/>
        </w:rPr>
        <w:t xml:space="preserve">COBA notes that the metric of household deposits proposed by the RBA does not directly correlate to the market share of the card payments market. </w:t>
      </w:r>
      <w:r w:rsidR="00854E49">
        <w:rPr>
          <w:rFonts w:cs="Arial"/>
        </w:rPr>
        <w:t xml:space="preserve">For </w:t>
      </w:r>
      <w:r w:rsidRPr="00237371">
        <w:rPr>
          <w:rFonts w:cs="Arial"/>
        </w:rPr>
        <w:t>COBA</w:t>
      </w:r>
      <w:r w:rsidR="00854E49">
        <w:rPr>
          <w:rFonts w:cs="Arial"/>
        </w:rPr>
        <w:t xml:space="preserve"> members, our market share in household deposits is proportionately higher than our market share in the card payments space. </w:t>
      </w:r>
    </w:p>
    <w:p w14:paraId="65BE65B2" w14:textId="3E67F79E" w:rsidR="00BE3109" w:rsidRPr="00E95F5E" w:rsidRDefault="00BE3109" w:rsidP="002435E1">
      <w:pPr>
        <w:spacing w:before="120" w:after="240" w:line="276" w:lineRule="auto"/>
        <w:rPr>
          <w:rFonts w:cs="Arial"/>
          <w:i/>
          <w:iCs/>
        </w:rPr>
      </w:pPr>
      <w:r w:rsidRPr="00BD1CE4">
        <w:rPr>
          <w:rFonts w:cs="Arial"/>
        </w:rPr>
        <w:t xml:space="preserve">In terms of a threshold for mandatory issuance of DNDCs, the simplest approach, and one that recognises the reality of Australia’s banking </w:t>
      </w:r>
      <w:r w:rsidR="00E95F5E" w:rsidRPr="00BD1CE4">
        <w:rPr>
          <w:rFonts w:cs="Arial"/>
        </w:rPr>
        <w:t>oligopoly</w:t>
      </w:r>
      <w:r w:rsidR="00E95F5E">
        <w:rPr>
          <w:rFonts w:cs="Arial"/>
        </w:rPr>
        <w:t xml:space="preserve"> is the approach outlined by the RBA in </w:t>
      </w:r>
      <w:r w:rsidR="00E95F5E">
        <w:rPr>
          <w:rFonts w:cs="Arial"/>
          <w:i/>
          <w:iCs/>
        </w:rPr>
        <w:t xml:space="preserve">Option 2. </w:t>
      </w:r>
    </w:p>
    <w:p w14:paraId="3A24C7F9" w14:textId="77777777" w:rsidR="008B5C09" w:rsidRDefault="008B5C09" w:rsidP="002435E1">
      <w:pPr>
        <w:spacing w:before="120" w:after="240" w:line="276" w:lineRule="auto"/>
        <w:rPr>
          <w:rFonts w:cs="Arial"/>
        </w:rPr>
      </w:pPr>
      <w:r w:rsidRPr="00BD1CE4">
        <w:rPr>
          <w:rFonts w:cs="Arial"/>
        </w:rPr>
        <w:t>Alternatively, the threshold could be based on cards on issue. This threshold should be set at a high enough level, e.g. 1 million cards, to avoid capturing smaller ADIs.</w:t>
      </w:r>
    </w:p>
    <w:p w14:paraId="768D0B15" w14:textId="2D54F5EC" w:rsidR="006076D7" w:rsidRDefault="006076D7" w:rsidP="002435E1">
      <w:pPr>
        <w:spacing w:before="120" w:after="240" w:line="276" w:lineRule="auto"/>
        <w:rPr>
          <w:rFonts w:cs="Arial"/>
          <w:b/>
          <w:bCs/>
        </w:rPr>
      </w:pPr>
      <w:r w:rsidRPr="00BD1CE4">
        <w:rPr>
          <w:rFonts w:cs="Arial"/>
          <w:b/>
          <w:bCs/>
        </w:rPr>
        <w:t xml:space="preserve">Proposed interchange </w:t>
      </w:r>
      <w:r w:rsidR="00A61AA6">
        <w:rPr>
          <w:rFonts w:cs="Arial"/>
          <w:b/>
          <w:bCs/>
        </w:rPr>
        <w:t>reform</w:t>
      </w:r>
      <w:r w:rsidRPr="00BD1CE4">
        <w:rPr>
          <w:rFonts w:cs="Arial"/>
          <w:b/>
          <w:bCs/>
        </w:rPr>
        <w:t xml:space="preserve"> </w:t>
      </w:r>
    </w:p>
    <w:p w14:paraId="30DCDC45" w14:textId="187BD06F" w:rsidR="008461A7" w:rsidRDefault="008461A7" w:rsidP="002435E1">
      <w:pPr>
        <w:spacing w:before="120" w:after="240" w:line="276" w:lineRule="auto"/>
        <w:rPr>
          <w:rFonts w:cs="Arial"/>
        </w:rPr>
      </w:pPr>
      <w:r>
        <w:rPr>
          <w:rFonts w:cs="Arial"/>
        </w:rPr>
        <w:t xml:space="preserve">COBA supports the RBA’s preliminary conclusion </w:t>
      </w:r>
      <w:r w:rsidR="00E50331">
        <w:rPr>
          <w:rFonts w:cs="Arial"/>
        </w:rPr>
        <w:t xml:space="preserve">that it does not see a strong case for significant reforms to interchange regulations. </w:t>
      </w:r>
      <w:r w:rsidR="002F3D29">
        <w:rPr>
          <w:rFonts w:cs="Arial"/>
        </w:rPr>
        <w:t>Our members</w:t>
      </w:r>
      <w:r w:rsidR="00F819C2">
        <w:rPr>
          <w:rFonts w:cs="Arial"/>
        </w:rPr>
        <w:t xml:space="preserve"> agree that the current interchange fee regime is operating effectively and should remain unchanged, providing stability for all stakeholders.  </w:t>
      </w:r>
    </w:p>
    <w:p w14:paraId="207CEE79" w14:textId="724E754C" w:rsidR="00AD0D59" w:rsidRDefault="003C52A7" w:rsidP="002435E1">
      <w:pPr>
        <w:spacing w:before="120" w:after="240" w:line="276" w:lineRule="auto"/>
        <w:rPr>
          <w:rFonts w:cs="Arial"/>
        </w:rPr>
      </w:pPr>
      <w:r>
        <w:rPr>
          <w:rFonts w:cs="Arial"/>
        </w:rPr>
        <w:t>However, COBA members are concerned by</w:t>
      </w:r>
      <w:r w:rsidR="00F819C2">
        <w:rPr>
          <w:rFonts w:cs="Arial"/>
        </w:rPr>
        <w:t xml:space="preserve"> the RBA</w:t>
      </w:r>
      <w:r w:rsidR="00AD0D59">
        <w:rPr>
          <w:rFonts w:cs="Arial"/>
        </w:rPr>
        <w:t>’s</w:t>
      </w:r>
      <w:r w:rsidR="00F819C2">
        <w:rPr>
          <w:rFonts w:cs="Arial"/>
        </w:rPr>
        <w:t xml:space="preserve"> specific proposals </w:t>
      </w:r>
      <w:r w:rsidR="00517337">
        <w:rPr>
          <w:rFonts w:cs="Arial"/>
        </w:rPr>
        <w:t>to reform</w:t>
      </w:r>
      <w:r w:rsidR="00F819C2">
        <w:rPr>
          <w:rFonts w:cs="Arial"/>
        </w:rPr>
        <w:t xml:space="preserve"> the</w:t>
      </w:r>
      <w:r w:rsidR="00AD0D59">
        <w:rPr>
          <w:rFonts w:cs="Arial"/>
        </w:rPr>
        <w:t xml:space="preserve"> cents-based debit interchange caps for DNDCs and SNDCs:</w:t>
      </w:r>
    </w:p>
    <w:p w14:paraId="5BA5C17D" w14:textId="6BCCF2FD" w:rsidR="00AD0D59" w:rsidRPr="00AD0D59" w:rsidRDefault="00AD0D59" w:rsidP="002435E1">
      <w:pPr>
        <w:spacing w:before="120" w:after="240" w:line="276" w:lineRule="auto"/>
        <w:ind w:left="720"/>
        <w:rPr>
          <w:rFonts w:cs="Arial"/>
          <w:i/>
          <w:iCs/>
        </w:rPr>
      </w:pPr>
      <w:r>
        <w:rPr>
          <w:rFonts w:cs="Arial"/>
          <w:i/>
          <w:iCs/>
        </w:rPr>
        <w:t>“</w:t>
      </w:r>
      <w:r w:rsidRPr="00AD0D59">
        <w:rPr>
          <w:rFonts w:cs="Arial"/>
          <w:i/>
          <w:iCs/>
        </w:rPr>
        <w:t>Reducing the cents-based cap, to 10 cents for DNDCs (and all prepaid cards) and 6 cents for SNDCs (Option 2), would go some way to addressing the Board’s concerns about the cost of payments for some low-value transactions, particularly at smaller merchants, without significantly changing the structure of the overall interchange framework. It would also reduce the disparity between the cost to small and large merchants for accepting similar transactions</w:t>
      </w:r>
      <w:r w:rsidR="00835039">
        <w:rPr>
          <w:rFonts w:cs="Arial"/>
          <w:i/>
          <w:iCs/>
        </w:rPr>
        <w:t>.</w:t>
      </w:r>
      <w:r>
        <w:rPr>
          <w:rFonts w:cs="Arial"/>
          <w:i/>
          <w:iCs/>
        </w:rPr>
        <w:t>”</w:t>
      </w:r>
      <w:r>
        <w:rPr>
          <w:rStyle w:val="FootnoteReference"/>
          <w:rFonts w:cs="Arial"/>
          <w:i/>
          <w:iCs/>
        </w:rPr>
        <w:footnoteReference w:id="8"/>
      </w:r>
    </w:p>
    <w:p w14:paraId="13F6A749" w14:textId="35D72507" w:rsidR="00A61AA6" w:rsidRPr="00AD0D59" w:rsidRDefault="00517337" w:rsidP="002435E1">
      <w:pPr>
        <w:spacing w:before="120" w:after="240" w:line="276" w:lineRule="auto"/>
        <w:rPr>
          <w:rFonts w:cs="Arial"/>
        </w:rPr>
      </w:pPr>
      <w:r>
        <w:rPr>
          <w:rFonts w:cs="Arial"/>
        </w:rPr>
        <w:t xml:space="preserve">There is heightened sensitivity around potential reductions in debit interchange fees </w:t>
      </w:r>
      <w:r w:rsidR="00A61AA6" w:rsidRPr="00AD0D59">
        <w:rPr>
          <w:rFonts w:cs="Arial"/>
        </w:rPr>
        <w:t>in the current operating environment due to the squeeze on margins from historically low interest rates</w:t>
      </w:r>
      <w:r w:rsidR="00261E89">
        <w:rPr>
          <w:rFonts w:cs="Arial"/>
        </w:rPr>
        <w:t xml:space="preserve"> and the growing regulatory compliance cost burden</w:t>
      </w:r>
      <w:r w:rsidR="00A61AA6" w:rsidRPr="00AD0D59">
        <w:rPr>
          <w:rFonts w:cs="Arial"/>
        </w:rPr>
        <w:t>.</w:t>
      </w:r>
      <w:r w:rsidR="00781393">
        <w:rPr>
          <w:rFonts w:cs="Arial"/>
        </w:rPr>
        <w:t xml:space="preserve"> </w:t>
      </w:r>
    </w:p>
    <w:p w14:paraId="712F8F61" w14:textId="77777777" w:rsidR="00517337" w:rsidRDefault="00517337" w:rsidP="002435E1">
      <w:pPr>
        <w:spacing w:before="120" w:after="240" w:line="276" w:lineRule="auto"/>
      </w:pPr>
      <w:r>
        <w:rPr>
          <w:rFonts w:cs="Arial"/>
        </w:rPr>
        <w:t>As noted in our earlier submission to the RBA’s review, t</w:t>
      </w:r>
      <w:r>
        <w:t xml:space="preserve">he current interchange standards which came into effect in July 2017 saw a one-third reduction in the weighted-average interchange fee benchmark for debit cards and changes to the assessment of the credit card benchmark to prevent upward drift in fees. These were further examples of RBA interventions to benefit merchants at the expense of card issuers and potentially cardholders. </w:t>
      </w:r>
    </w:p>
    <w:p w14:paraId="489C7F4A" w14:textId="77777777" w:rsidR="00517337" w:rsidRDefault="00517337" w:rsidP="002435E1">
      <w:pPr>
        <w:spacing w:before="120" w:after="240" w:line="276" w:lineRule="auto"/>
      </w:pPr>
      <w:r>
        <w:lastRenderedPageBreak/>
        <w:t xml:space="preserve">Finding the right balance of fairness, competition and efficiency requires all stakeholders to bear in mind that interchange fees are a means for card issuers to recover some of the costs they sustain to provide benefits to merchants. </w:t>
      </w:r>
    </w:p>
    <w:p w14:paraId="564E7640" w14:textId="1EF5EDAE" w:rsidR="00A61AA6" w:rsidRPr="00AD0D59" w:rsidRDefault="00A61AA6" w:rsidP="002435E1">
      <w:pPr>
        <w:spacing w:before="120" w:after="240" w:line="276" w:lineRule="auto"/>
        <w:rPr>
          <w:rFonts w:cs="Arial"/>
        </w:rPr>
      </w:pPr>
      <w:r w:rsidRPr="00AD0D59">
        <w:rPr>
          <w:rFonts w:cs="Arial"/>
        </w:rPr>
        <w:t xml:space="preserve">Revenue from interchange fees is a crucial component in funding our members’ payments offerings for their customers. As noted above, our members are issuers only and </w:t>
      </w:r>
      <w:r w:rsidR="00261E89">
        <w:rPr>
          <w:rFonts w:cs="Arial"/>
        </w:rPr>
        <w:t xml:space="preserve">generally </w:t>
      </w:r>
      <w:r w:rsidRPr="00AD0D59">
        <w:rPr>
          <w:rFonts w:cs="Arial"/>
        </w:rPr>
        <w:t xml:space="preserve">do not provide acquiring services. </w:t>
      </w:r>
    </w:p>
    <w:p w14:paraId="306F7B88" w14:textId="069C75B2" w:rsidR="00A61AA6" w:rsidRDefault="00A61AA6" w:rsidP="002435E1">
      <w:pPr>
        <w:spacing w:before="120" w:after="240" w:line="276" w:lineRule="auto"/>
        <w:rPr>
          <w:rFonts w:cs="Arial"/>
        </w:rPr>
      </w:pPr>
      <w:r w:rsidRPr="00AD0D59">
        <w:rPr>
          <w:rFonts w:cs="Arial"/>
        </w:rPr>
        <w:t xml:space="preserve">This means that interchange revenue is particularly important to ensuring issuers can continue to support their existing payment offering for their customers </w:t>
      </w:r>
      <w:r w:rsidR="00517337">
        <w:rPr>
          <w:rFonts w:cs="Arial"/>
        </w:rPr>
        <w:t>–</w:t>
      </w:r>
      <w:r w:rsidRPr="00AD0D59">
        <w:rPr>
          <w:rFonts w:cs="Arial"/>
        </w:rPr>
        <w:t xml:space="preserve"> </w:t>
      </w:r>
      <w:r w:rsidR="00517337">
        <w:rPr>
          <w:rFonts w:cs="Arial"/>
        </w:rPr>
        <w:t>which in turn provides</w:t>
      </w:r>
      <w:r w:rsidRPr="00AD0D59">
        <w:rPr>
          <w:rFonts w:cs="Arial"/>
        </w:rPr>
        <w:t xml:space="preserve"> benefits to merchants - and to fund new and innovative payment methods in the future. A further reduction in interchange revenue will disproportionately impact issuer-only small ADIs, such as COBA members, and have flow on effects for competition in the payments space</w:t>
      </w:r>
      <w:r>
        <w:rPr>
          <w:rFonts w:cs="Arial"/>
        </w:rPr>
        <w:t xml:space="preserve">. </w:t>
      </w:r>
    </w:p>
    <w:p w14:paraId="3B5BF18D" w14:textId="06CE81CA" w:rsidR="00261E89" w:rsidRDefault="00261E89" w:rsidP="002435E1">
      <w:pPr>
        <w:spacing w:before="120" w:after="240" w:line="276" w:lineRule="auto"/>
        <w:rPr>
          <w:rFonts w:cs="Arial"/>
        </w:rPr>
      </w:pPr>
      <w:r>
        <w:rPr>
          <w:rFonts w:cs="Arial"/>
        </w:rPr>
        <w:t>We note the RBA’s proposal to set a lower cents-based interchange cap for SNDC transactions than for DNDC transactions is intended to limit the possibility of schemes using interchange rates to incentivise SNDC issuance.</w:t>
      </w:r>
    </w:p>
    <w:p w14:paraId="3B55E5D2" w14:textId="5BC57E9A" w:rsidR="00261E89" w:rsidRDefault="00261E89" w:rsidP="002435E1">
      <w:pPr>
        <w:spacing w:before="120" w:after="240" w:line="276" w:lineRule="auto"/>
        <w:rPr>
          <w:rFonts w:cs="Arial"/>
        </w:rPr>
      </w:pPr>
      <w:r>
        <w:rPr>
          <w:rFonts w:cs="Arial"/>
        </w:rPr>
        <w:t>Rather than intervene to punish issuers of SNDCs, it would be preferable for the RBA to require schemes not to distinguish between SNDCs and DNDCs in terms of interchange rates.</w:t>
      </w:r>
    </w:p>
    <w:p w14:paraId="25C0952F" w14:textId="77777777" w:rsidR="001A50AF" w:rsidRDefault="00261E89" w:rsidP="002435E1">
      <w:pPr>
        <w:spacing w:before="120" w:after="240" w:line="276" w:lineRule="auto"/>
      </w:pPr>
      <w:r>
        <w:rPr>
          <w:rFonts w:cs="Arial"/>
        </w:rPr>
        <w:t xml:space="preserve">This would just as effectively address the RBA’s view </w:t>
      </w:r>
      <w:r>
        <w:t>that it is not appropriate for schemes to provide issuers with interchange-based incentives to issue SNDCs.</w:t>
      </w:r>
    </w:p>
    <w:p w14:paraId="3D2B7633" w14:textId="15A2E890" w:rsidR="003D2102" w:rsidRPr="003D2102" w:rsidRDefault="003D2102" w:rsidP="002435E1">
      <w:pPr>
        <w:spacing w:before="120" w:after="240" w:line="276" w:lineRule="auto"/>
        <w:rPr>
          <w:rFonts w:cs="Arial"/>
        </w:rPr>
      </w:pPr>
      <w:r>
        <w:rPr>
          <w:rFonts w:cs="Arial"/>
        </w:rPr>
        <w:t xml:space="preserve">Thank you for the opportunity to provide this submission. </w:t>
      </w:r>
      <w:r w:rsidRPr="003D2102">
        <w:rPr>
          <w:rFonts w:cs="Arial"/>
        </w:rPr>
        <w:t>Please do</w:t>
      </w:r>
      <w:r w:rsidR="00835039">
        <w:rPr>
          <w:rFonts w:cs="Arial"/>
        </w:rPr>
        <w:t xml:space="preserve"> not</w:t>
      </w:r>
      <w:r w:rsidRPr="003D2102">
        <w:rPr>
          <w:rFonts w:cs="Arial"/>
        </w:rPr>
        <w:t xml:space="preserve"> hesitate to contact Luke Lawler</w:t>
      </w:r>
      <w:r>
        <w:rPr>
          <w:rFonts w:cs="Arial"/>
        </w:rPr>
        <w:t>, Director - Policy (</w:t>
      </w:r>
      <w:hyperlink r:id="rId10" w:history="1">
        <w:r w:rsidRPr="00157B79">
          <w:rPr>
            <w:rStyle w:val="Hyperlink"/>
            <w:rFonts w:cs="Arial"/>
          </w:rPr>
          <w:t>llawler@coba.asn.au</w:t>
        </w:r>
      </w:hyperlink>
      <w:r>
        <w:rPr>
          <w:rFonts w:cs="Arial"/>
        </w:rPr>
        <w:t>) or Maryanna Vasilareas, Senior Policy Adviser (</w:t>
      </w:r>
      <w:hyperlink r:id="rId11" w:history="1">
        <w:r w:rsidRPr="00157B79">
          <w:rPr>
            <w:rStyle w:val="Hyperlink"/>
            <w:rFonts w:cs="Arial"/>
          </w:rPr>
          <w:t>mvasilareas@coba.asn.au</w:t>
        </w:r>
      </w:hyperlink>
      <w:r>
        <w:rPr>
          <w:rFonts w:cs="Arial"/>
        </w:rPr>
        <w:t xml:space="preserve">) </w:t>
      </w:r>
      <w:r w:rsidRPr="003D2102">
        <w:rPr>
          <w:rFonts w:cs="Arial"/>
        </w:rPr>
        <w:t>to discuss any</w:t>
      </w:r>
      <w:r>
        <w:rPr>
          <w:rFonts w:cs="Arial"/>
        </w:rPr>
        <w:t xml:space="preserve"> </w:t>
      </w:r>
      <w:r w:rsidRPr="003D2102">
        <w:rPr>
          <w:rFonts w:cs="Arial"/>
        </w:rPr>
        <w:t>aspect of this submission.</w:t>
      </w:r>
    </w:p>
    <w:p w14:paraId="2B947B73" w14:textId="682800BE" w:rsidR="00835039" w:rsidRDefault="003D2102" w:rsidP="002435E1">
      <w:pPr>
        <w:spacing w:before="120" w:after="240" w:line="276" w:lineRule="auto"/>
        <w:rPr>
          <w:rFonts w:cs="Arial"/>
        </w:rPr>
      </w:pPr>
      <w:r w:rsidRPr="003D2102">
        <w:rPr>
          <w:rFonts w:cs="Arial"/>
        </w:rPr>
        <w:t>Yours sincerely</w:t>
      </w:r>
    </w:p>
    <w:p w14:paraId="468E240D" w14:textId="4FA85601" w:rsidR="006076D7" w:rsidRDefault="00B62312" w:rsidP="002435E1">
      <w:pPr>
        <w:spacing w:before="120" w:after="240" w:line="276" w:lineRule="auto"/>
        <w:rPr>
          <w:rFonts w:cs="Arial"/>
        </w:rPr>
      </w:pPr>
      <w:r>
        <w:rPr>
          <w:noProof/>
        </w:rPr>
        <w:drawing>
          <wp:inline distT="0" distB="0" distL="0" distR="0" wp14:anchorId="0832DAAC" wp14:editId="21FBB15B">
            <wp:extent cx="1460500" cy="447573"/>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4121" cy="454812"/>
                    </a:xfrm>
                    <a:prstGeom prst="rect">
                      <a:avLst/>
                    </a:prstGeom>
                    <a:noFill/>
                    <a:ln>
                      <a:noFill/>
                    </a:ln>
                  </pic:spPr>
                </pic:pic>
              </a:graphicData>
            </a:graphic>
          </wp:inline>
        </w:drawing>
      </w:r>
    </w:p>
    <w:p w14:paraId="178C707F" w14:textId="3DABF8F7" w:rsidR="003D2102" w:rsidRPr="003D2102" w:rsidRDefault="00A52C7D" w:rsidP="002435E1">
      <w:pPr>
        <w:spacing w:before="120" w:after="240" w:line="276" w:lineRule="auto"/>
        <w:rPr>
          <w:rFonts w:cs="Arial"/>
          <w:b/>
          <w:bCs/>
        </w:rPr>
      </w:pPr>
      <w:r>
        <w:rPr>
          <w:rFonts w:cs="Arial"/>
          <w:b/>
          <w:bCs/>
        </w:rPr>
        <w:t>Michael Lawrence</w:t>
      </w:r>
      <w:r>
        <w:rPr>
          <w:rFonts w:cs="Arial"/>
          <w:b/>
          <w:bCs/>
        </w:rPr>
        <w:br/>
      </w:r>
      <w:r w:rsidR="003D2102" w:rsidRPr="003D2102">
        <w:rPr>
          <w:rFonts w:cs="Arial"/>
          <w:b/>
          <w:bCs/>
        </w:rPr>
        <w:t>Chief Executive Officer</w:t>
      </w:r>
      <w:r w:rsidR="003D2102" w:rsidRPr="003D2102">
        <w:rPr>
          <w:rFonts w:cs="Arial"/>
          <w:b/>
          <w:bCs/>
        </w:rPr>
        <w:cr/>
      </w:r>
    </w:p>
    <w:sectPr w:rsidR="003D2102" w:rsidRPr="003D2102" w:rsidSect="002F4735">
      <w:headerReference w:type="default" r:id="rId13"/>
      <w:footerReference w:type="default" r:id="rId14"/>
      <w:headerReference w:type="first" r:id="rId15"/>
      <w:footerReference w:type="first" r:id="rId16"/>
      <w:pgSz w:w="11906" w:h="16838" w:code="9"/>
      <w:pgMar w:top="1418" w:right="1274" w:bottom="1702" w:left="1559" w:header="687" w:footer="64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BA699" w14:textId="77777777" w:rsidR="00E76122" w:rsidRDefault="00E76122" w:rsidP="00133F49">
      <w:pPr>
        <w:spacing w:before="0" w:after="0" w:line="240" w:lineRule="auto"/>
      </w:pPr>
      <w:r>
        <w:separator/>
      </w:r>
    </w:p>
  </w:endnote>
  <w:endnote w:type="continuationSeparator" w:id="0">
    <w:p w14:paraId="4C1FF8FB" w14:textId="77777777" w:rsidR="00E76122" w:rsidRDefault="00E76122" w:rsidP="00133F4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LT Pro">
    <w:altName w:val="Arial"/>
    <w:panose1 w:val="00000000000000000000"/>
    <w:charset w:val="00"/>
    <w:family w:val="swiss"/>
    <w:notTrueType/>
    <w:pitch w:val="variable"/>
    <w:sig w:usb0="A00002AF" w:usb1="5000204A" w:usb2="00000000" w:usb3="00000000" w:csb0="00000097"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CDC59" w14:textId="77777777" w:rsidR="00610FF7" w:rsidRPr="008B782F" w:rsidRDefault="00610FF7" w:rsidP="004B593A">
    <w:pPr>
      <w:pStyle w:val="Footer"/>
      <w:rPr>
        <w:color w:val="808080" w:themeColor="background1" w:themeShade="80"/>
        <w:sz w:val="11"/>
        <w:szCs w:val="11"/>
      </w:rPr>
    </w:pPr>
    <w:r w:rsidRPr="008B782F">
      <w:rPr>
        <w:color w:val="808080" w:themeColor="background1" w:themeShade="80"/>
        <w:sz w:val="11"/>
        <w:szCs w:val="11"/>
      </w:rPr>
      <w:t>Customer Owned Banking Association Limited ABN 98 137 780 897</w:t>
    </w:r>
    <w:r>
      <w:rPr>
        <w:color w:val="808080" w:themeColor="background1" w:themeShade="80"/>
        <w:sz w:val="11"/>
        <w:szCs w:val="11"/>
      </w:rPr>
      <w:tab/>
    </w:r>
    <w:r>
      <w:rPr>
        <w:color w:val="808080" w:themeColor="background1" w:themeShade="80"/>
        <w:sz w:val="11"/>
        <w:szCs w:val="11"/>
      </w:rPr>
      <w:tab/>
    </w:r>
    <w:r w:rsidRPr="002A10CF">
      <w:rPr>
        <w:color w:val="808080" w:themeColor="background1" w:themeShade="80"/>
        <w:sz w:val="11"/>
        <w:szCs w:val="11"/>
      </w:rPr>
      <w:fldChar w:fldCharType="begin"/>
    </w:r>
    <w:r w:rsidRPr="002A10CF">
      <w:rPr>
        <w:color w:val="808080" w:themeColor="background1" w:themeShade="80"/>
        <w:sz w:val="11"/>
        <w:szCs w:val="11"/>
      </w:rPr>
      <w:instrText xml:space="preserve"> PAGE   \* MERGEFORMAT </w:instrText>
    </w:r>
    <w:r w:rsidRPr="002A10CF">
      <w:rPr>
        <w:color w:val="808080" w:themeColor="background1" w:themeShade="80"/>
        <w:sz w:val="11"/>
        <w:szCs w:val="11"/>
      </w:rPr>
      <w:fldChar w:fldCharType="separate"/>
    </w:r>
    <w:r w:rsidRPr="002A10CF">
      <w:rPr>
        <w:noProof/>
        <w:color w:val="808080" w:themeColor="background1" w:themeShade="80"/>
        <w:sz w:val="11"/>
        <w:szCs w:val="11"/>
      </w:rPr>
      <w:t>1</w:t>
    </w:r>
    <w:r w:rsidRPr="002A10CF">
      <w:rPr>
        <w:noProof/>
        <w:color w:val="808080" w:themeColor="background1" w:themeShade="80"/>
        <w:sz w:val="11"/>
        <w:szCs w:val="1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07484" w14:textId="77777777" w:rsidR="00F863FA" w:rsidRPr="00BE57AC" w:rsidRDefault="00BE57AC">
    <w:pPr>
      <w:pStyle w:val="Footer"/>
      <w:rPr>
        <w:color w:val="808080" w:themeColor="background1" w:themeShade="80"/>
        <w:sz w:val="11"/>
        <w:szCs w:val="11"/>
      </w:rPr>
    </w:pPr>
    <w:r w:rsidRPr="008B782F">
      <w:rPr>
        <w:noProof/>
        <w:color w:val="808080" w:themeColor="background1" w:themeShade="80"/>
        <w:sz w:val="11"/>
        <w:szCs w:val="11"/>
      </w:rPr>
      <mc:AlternateContent>
        <mc:Choice Requires="wps">
          <w:drawing>
            <wp:anchor distT="0" distB="0" distL="114300" distR="114300" simplePos="0" relativeHeight="251667456" behindDoc="1" locked="0" layoutInCell="1" allowOverlap="1" wp14:anchorId="33E38C4A" wp14:editId="3B89B233">
              <wp:simplePos x="0" y="0"/>
              <wp:positionH relativeFrom="page">
                <wp:posOffset>5200650</wp:posOffset>
              </wp:positionH>
              <wp:positionV relativeFrom="page">
                <wp:posOffset>9677400</wp:posOffset>
              </wp:positionV>
              <wp:extent cx="2371725" cy="11430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371725" cy="1143000"/>
                      </a:xfrm>
                      <a:prstGeom prst="rect">
                        <a:avLst/>
                      </a:prstGeom>
                      <a:noFill/>
                      <a:ln w="6350">
                        <a:noFill/>
                      </a:ln>
                    </wps:spPr>
                    <wps:txbx>
                      <w:txbxContent>
                        <w:p w14:paraId="2C8614A9" w14:textId="77777777" w:rsidR="00BE57AC" w:rsidRDefault="00BE57AC" w:rsidP="00BE57AC">
                          <w:pPr>
                            <w:spacing w:before="0" w:after="0" w:line="180" w:lineRule="exact"/>
                            <w:rPr>
                              <w:sz w:val="14"/>
                              <w:szCs w:val="14"/>
                            </w:rPr>
                          </w:pPr>
                          <w:r w:rsidRPr="004B593A">
                            <w:rPr>
                              <w:sz w:val="14"/>
                              <w:szCs w:val="14"/>
                            </w:rPr>
                            <w:t>Suite 403, Level 4, 151 Castlereagh Street,</w:t>
                          </w:r>
                          <w:r w:rsidRPr="004B593A">
                            <w:rPr>
                              <w:sz w:val="14"/>
                              <w:szCs w:val="14"/>
                            </w:rPr>
                            <w:br/>
                            <w:t>Sydney NSW 2000</w:t>
                          </w:r>
                        </w:p>
                        <w:p w14:paraId="2ED371D6" w14:textId="77777777" w:rsidR="00BE57AC" w:rsidRPr="004B593A" w:rsidRDefault="00BE57AC" w:rsidP="00BE57AC">
                          <w:pPr>
                            <w:spacing w:before="100" w:after="0" w:line="180" w:lineRule="exact"/>
                            <w:rPr>
                              <w:sz w:val="14"/>
                              <w:szCs w:val="14"/>
                            </w:rPr>
                          </w:pPr>
                          <w:r>
                            <w:rPr>
                              <w:sz w:val="14"/>
                              <w:szCs w:val="14"/>
                            </w:rPr>
                            <w:t>Suite 4C, 16 National Circuit,</w:t>
                          </w:r>
                          <w:r>
                            <w:rPr>
                              <w:sz w:val="14"/>
                              <w:szCs w:val="14"/>
                            </w:rPr>
                            <w:br/>
                            <w:t>Barton ACT 2600</w:t>
                          </w:r>
                        </w:p>
                        <w:p w14:paraId="00C2DB70" w14:textId="77777777" w:rsidR="00BE57AC" w:rsidRPr="004B593A" w:rsidRDefault="00BE57AC" w:rsidP="00BE57AC">
                          <w:pPr>
                            <w:spacing w:before="100" w:after="0" w:line="180" w:lineRule="exact"/>
                            <w:rPr>
                              <w:b/>
                              <w:color w:val="006182" w:themeColor="accent1"/>
                              <w:sz w:val="14"/>
                              <w:szCs w:val="14"/>
                            </w:rPr>
                          </w:pPr>
                          <w:r w:rsidRPr="004B593A">
                            <w:rPr>
                              <w:b/>
                              <w:color w:val="006182" w:themeColor="accent1"/>
                              <w:sz w:val="14"/>
                              <w:szCs w:val="14"/>
                            </w:rPr>
                            <w:t>Customerownedbanking.asn.au</w:t>
                          </w:r>
                        </w:p>
                      </w:txbxContent>
                    </wps:txbx>
                    <wps:bodyPr rot="0" spcFirstLastPara="0" vertOverflow="overflow" horzOverflow="overflow" vert="horz" wrap="square" lIns="0" tIns="0" rIns="432000" bIns="43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E38C4A" id="_x0000_t202" coordsize="21600,21600" o:spt="202" path="m,l,21600r21600,l21600,xe">
              <v:stroke joinstyle="miter"/>
              <v:path gradientshapeok="t" o:connecttype="rect"/>
            </v:shapetype>
            <v:shape id="Text Box 3" o:spid="_x0000_s1026" type="#_x0000_t202" style="position:absolute;margin-left:409.5pt;margin-top:762pt;width:186.75pt;height:90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" filled="f" stroked="f" strokeweight=".5pt">
              <v:textbox inset="0,0,12mm,12mm">
                <w:txbxContent>
                  <w:p w14:paraId="2C8614A9" w14:textId="77777777" w:rsidR="00BE57AC" w:rsidRDefault="00BE57AC" w:rsidP="00BE57AC">
                    <w:pPr>
                      <w:spacing w:before="0" w:after="0" w:line="180" w:lineRule="exact"/>
                      <w:rPr>
                        <w:sz w:val="14"/>
                        <w:szCs w:val="14"/>
                      </w:rPr>
                    </w:pPr>
                    <w:r w:rsidRPr="004B593A">
                      <w:rPr>
                        <w:sz w:val="14"/>
                        <w:szCs w:val="14"/>
                      </w:rPr>
                      <w:t>Suite 403, Level 4, 151 Castlereagh Street,</w:t>
                    </w:r>
                    <w:r w:rsidRPr="004B593A">
                      <w:rPr>
                        <w:sz w:val="14"/>
                        <w:szCs w:val="14"/>
                      </w:rPr>
                      <w:br/>
                      <w:t>Sydney NSW 2000</w:t>
                    </w:r>
                  </w:p>
                  <w:p w14:paraId="2ED371D6" w14:textId="77777777" w:rsidR="00BE57AC" w:rsidRPr="004B593A" w:rsidRDefault="00BE57AC" w:rsidP="00BE57AC">
                    <w:pPr>
                      <w:spacing w:before="100" w:after="0" w:line="180" w:lineRule="exact"/>
                      <w:rPr>
                        <w:sz w:val="14"/>
                        <w:szCs w:val="14"/>
                      </w:rPr>
                    </w:pPr>
                    <w:r>
                      <w:rPr>
                        <w:sz w:val="14"/>
                        <w:szCs w:val="14"/>
                      </w:rPr>
                      <w:t>Suite 4C, 16 National Circuit,</w:t>
                    </w:r>
                    <w:r>
                      <w:rPr>
                        <w:sz w:val="14"/>
                        <w:szCs w:val="14"/>
                      </w:rPr>
                      <w:br/>
                      <w:t>Barton ACT 2600</w:t>
                    </w:r>
                  </w:p>
                  <w:p w14:paraId="00C2DB70" w14:textId="77777777" w:rsidR="00BE57AC" w:rsidRPr="004B593A" w:rsidRDefault="00BE57AC" w:rsidP="00BE57AC">
                    <w:pPr>
                      <w:spacing w:before="100" w:after="0" w:line="180" w:lineRule="exact"/>
                      <w:rPr>
                        <w:b/>
                        <w:color w:val="006182" w:themeColor="accent1"/>
                        <w:sz w:val="14"/>
                        <w:szCs w:val="14"/>
                      </w:rPr>
                    </w:pPr>
                    <w:r w:rsidRPr="004B593A">
                      <w:rPr>
                        <w:b/>
                        <w:color w:val="006182" w:themeColor="accent1"/>
                        <w:sz w:val="14"/>
                        <w:szCs w:val="14"/>
                      </w:rPr>
                      <w:t>Customerownedbanking.asn.au</w:t>
                    </w:r>
                  </w:p>
                </w:txbxContent>
              </v:textbox>
              <w10:wrap anchorx="page" anchory="page"/>
            </v:shape>
          </w:pict>
        </mc:Fallback>
      </mc:AlternateContent>
    </w:r>
    <w:r w:rsidRPr="008B782F">
      <w:rPr>
        <w:color w:val="808080" w:themeColor="background1" w:themeShade="80"/>
        <w:sz w:val="11"/>
        <w:szCs w:val="11"/>
      </w:rPr>
      <w:t>Customer Owned Banking Association Limited ABN 98 137 780 897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A3E4D" w14:textId="77777777" w:rsidR="00E76122" w:rsidRDefault="00E76122" w:rsidP="00133F49">
      <w:pPr>
        <w:spacing w:before="0" w:after="0" w:line="240" w:lineRule="auto"/>
      </w:pPr>
      <w:r>
        <w:separator/>
      </w:r>
    </w:p>
  </w:footnote>
  <w:footnote w:type="continuationSeparator" w:id="0">
    <w:p w14:paraId="0AA77BE7" w14:textId="77777777" w:rsidR="00E76122" w:rsidRDefault="00E76122" w:rsidP="00133F49">
      <w:pPr>
        <w:spacing w:before="0" w:after="0" w:line="240" w:lineRule="auto"/>
      </w:pPr>
      <w:r>
        <w:continuationSeparator/>
      </w:r>
    </w:p>
  </w:footnote>
  <w:footnote w:id="1">
    <w:p w14:paraId="67E16E0A" w14:textId="5A79C905" w:rsidR="000E0CBE" w:rsidRPr="000E0CBE" w:rsidRDefault="000E0CBE">
      <w:pPr>
        <w:pStyle w:val="FootnoteText"/>
        <w:rPr>
          <w:lang w:val="en-US"/>
        </w:rPr>
      </w:pPr>
      <w:r>
        <w:rPr>
          <w:rStyle w:val="FootnoteReference"/>
        </w:rPr>
        <w:footnoteRef/>
      </w:r>
      <w:r>
        <w:t xml:space="preserve"> </w:t>
      </w:r>
      <w:hyperlink r:id="rId1" w:history="1">
        <w:r w:rsidRPr="00AA2A1F">
          <w:rPr>
            <w:rStyle w:val="Hyperlink"/>
          </w:rPr>
          <w:t>https://www.rba.gov.au/payments-and-infrastructure/review-of-retail-payments-regulation/consultation-paper-202105/pdf/review-of-retail-payments-regulation-consultation-paper-202105.pdf</w:t>
        </w:r>
      </w:hyperlink>
    </w:p>
  </w:footnote>
  <w:footnote w:id="2">
    <w:p w14:paraId="1345E0FE" w14:textId="77777777" w:rsidR="00EF45C1" w:rsidRPr="00C25EA7" w:rsidRDefault="00EF45C1" w:rsidP="00EF45C1">
      <w:pPr>
        <w:pStyle w:val="FootnoteText"/>
        <w:rPr>
          <w:lang w:val="en-US"/>
        </w:rPr>
      </w:pPr>
      <w:r>
        <w:rPr>
          <w:rStyle w:val="FootnoteReference"/>
        </w:rPr>
        <w:footnoteRef/>
      </w:r>
      <w:r>
        <w:t xml:space="preserve"> </w:t>
      </w:r>
      <w:hyperlink r:id="rId2" w:history="1">
        <w:r w:rsidRPr="00AA2A1F">
          <w:rPr>
            <w:rStyle w:val="Hyperlink"/>
          </w:rPr>
          <w:t>https://www.rba.gov.au/payments-and-infrastructure/review-of-retail-payments-regulation/consultation-paper-202105/pdf/review-of-retail-payments-regulation-consultation-paper-202105.pdf</w:t>
        </w:r>
      </w:hyperlink>
      <w:r>
        <w:t xml:space="preserve"> </w:t>
      </w:r>
    </w:p>
  </w:footnote>
  <w:footnote w:id="3">
    <w:p w14:paraId="5FBA19A8" w14:textId="77777777" w:rsidR="00123611" w:rsidRPr="008B5C09" w:rsidRDefault="00123611" w:rsidP="00123611">
      <w:pPr>
        <w:pStyle w:val="FootnoteText"/>
        <w:rPr>
          <w:lang w:val="en-US"/>
        </w:rPr>
      </w:pPr>
      <w:r>
        <w:rPr>
          <w:rStyle w:val="FootnoteReference"/>
        </w:rPr>
        <w:footnoteRef/>
      </w:r>
      <w:r>
        <w:t xml:space="preserve"> </w:t>
      </w:r>
      <w:hyperlink r:id="rId3" w:history="1">
        <w:r w:rsidRPr="007935F5">
          <w:rPr>
            <w:rStyle w:val="Hyperlink"/>
          </w:rPr>
          <w:t>https://www.cosboa.org.au/post/open-letter-from-business-organisations-seeking-urgent-action-on-debit-payments</w:t>
        </w:r>
      </w:hyperlink>
      <w:r>
        <w:t xml:space="preserve"> </w:t>
      </w:r>
    </w:p>
  </w:footnote>
  <w:footnote w:id="4">
    <w:p w14:paraId="13A1219D" w14:textId="77777777" w:rsidR="00EF45C1" w:rsidRPr="006F3999" w:rsidRDefault="00EF45C1" w:rsidP="00EF45C1">
      <w:pPr>
        <w:pStyle w:val="FootnoteText"/>
        <w:rPr>
          <w:lang w:val="en-US"/>
        </w:rPr>
      </w:pPr>
      <w:r>
        <w:rPr>
          <w:rStyle w:val="FootnoteReference"/>
        </w:rPr>
        <w:footnoteRef/>
      </w:r>
      <w:r>
        <w:t xml:space="preserve"> </w:t>
      </w:r>
      <w:hyperlink r:id="rId4" w:history="1">
        <w:r w:rsidRPr="00AA2A1F">
          <w:rPr>
            <w:rStyle w:val="Hyperlink"/>
          </w:rPr>
          <w:t>https://www.rba.gov.au/payments-and-infrastructure/review-of-retail-payments-regulation/consultation-paper-202105/pdf/review-of-retail-payments-regulation-consultation-paper-202105.pdf</w:t>
        </w:r>
      </w:hyperlink>
    </w:p>
  </w:footnote>
  <w:footnote w:id="5">
    <w:p w14:paraId="4ABBEB23" w14:textId="7C448028" w:rsidR="00A92442" w:rsidRPr="00A92442" w:rsidRDefault="00A92442">
      <w:pPr>
        <w:pStyle w:val="FootnoteText"/>
        <w:rPr>
          <w:lang w:val="en-US"/>
        </w:rPr>
      </w:pPr>
      <w:r>
        <w:rPr>
          <w:rStyle w:val="FootnoteReference"/>
        </w:rPr>
        <w:footnoteRef/>
      </w:r>
      <w:r>
        <w:t xml:space="preserve"> </w:t>
      </w:r>
      <w:r>
        <w:rPr>
          <w:lang w:val="en-US"/>
        </w:rPr>
        <w:t>Brief from Cuscal, produced in 2020</w:t>
      </w:r>
    </w:p>
  </w:footnote>
  <w:footnote w:id="6">
    <w:p w14:paraId="3B2EB823" w14:textId="3E176002" w:rsidR="0017783A" w:rsidRPr="0017783A" w:rsidRDefault="0017783A">
      <w:pPr>
        <w:pStyle w:val="FootnoteText"/>
        <w:rPr>
          <w:lang w:val="en-US"/>
        </w:rPr>
      </w:pPr>
      <w:r>
        <w:rPr>
          <w:rStyle w:val="FootnoteReference"/>
        </w:rPr>
        <w:footnoteRef/>
      </w:r>
      <w:r>
        <w:t xml:space="preserve"> </w:t>
      </w:r>
      <w:hyperlink r:id="rId5" w:history="1">
        <w:r w:rsidRPr="00157B79">
          <w:rPr>
            <w:rStyle w:val="Hyperlink"/>
          </w:rPr>
          <w:t>https://www.rba.gov.au/payments-and-infrastructure/review-of-retail-payments-regulation/consultation-paper-202105/pdf/review-of-retail-payments-regulation-consultation-paper-202105.pdf</w:t>
        </w:r>
      </w:hyperlink>
      <w:r>
        <w:t xml:space="preserve"> </w:t>
      </w:r>
    </w:p>
  </w:footnote>
  <w:footnote w:id="7">
    <w:p w14:paraId="7C96B367" w14:textId="77777777" w:rsidR="0017783A" w:rsidRPr="006F6F68" w:rsidRDefault="0017783A" w:rsidP="0017783A">
      <w:pPr>
        <w:pStyle w:val="FootnoteText"/>
        <w:rPr>
          <w:lang w:val="en-US"/>
        </w:rPr>
      </w:pPr>
      <w:r>
        <w:rPr>
          <w:rStyle w:val="FootnoteReference"/>
        </w:rPr>
        <w:footnoteRef/>
      </w:r>
      <w:r>
        <w:t xml:space="preserve"> May 2021 Monthly ADI statistics – APRA</w:t>
      </w:r>
    </w:p>
  </w:footnote>
  <w:footnote w:id="8">
    <w:p w14:paraId="3F73F5E8" w14:textId="0836AA56" w:rsidR="00AD0D59" w:rsidRPr="00AD0D59" w:rsidRDefault="00AD0D59">
      <w:pPr>
        <w:pStyle w:val="FootnoteText"/>
        <w:rPr>
          <w:lang w:val="en-US"/>
        </w:rPr>
      </w:pPr>
      <w:r>
        <w:rPr>
          <w:rStyle w:val="FootnoteReference"/>
        </w:rPr>
        <w:footnoteRef/>
      </w:r>
      <w:r>
        <w:t xml:space="preserve"> </w:t>
      </w:r>
      <w:hyperlink r:id="rId6" w:history="1">
        <w:r w:rsidRPr="00AA2A1F">
          <w:rPr>
            <w:rStyle w:val="Hyperlink"/>
          </w:rPr>
          <w:t>https://www.rba.gov.au/payments-and-infrastructure/review-of-retail-payments-regulation/consultation-paper-202105/pdf/review-of-retail-payments-regulation-consultation-paper-202105.pdf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0022C" w14:textId="7C8EA0DC" w:rsidR="00610FF7" w:rsidRPr="000C178F" w:rsidRDefault="00207689" w:rsidP="008276DA">
    <w:pPr>
      <w:pStyle w:val="Headertext"/>
      <w:rPr>
        <w:lang w:val="en-AU"/>
      </w:rPr>
    </w:pPr>
    <w:r>
      <w:rPr>
        <w:lang w:val="en-AU"/>
      </w:rPr>
      <w:t xml:space="preserve">COBA submission to RBA review of Retail Payments Regulation – May 2021 Consultation Paper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58B32" w14:textId="77777777" w:rsidR="00610FF7" w:rsidRDefault="00F863FA" w:rsidP="00133F49">
    <w:pPr>
      <w:pStyle w:val="Header"/>
    </w:pPr>
    <w:r>
      <w:rPr>
        <w:noProof/>
        <w:sz w:val="18"/>
        <w:szCs w:val="18"/>
      </w:rPr>
      <w:drawing>
        <wp:anchor distT="0" distB="0" distL="114300" distR="114300" simplePos="0" relativeHeight="251665408" behindDoc="0" locked="1" layoutInCell="1" allowOverlap="1" wp14:anchorId="3D04C899" wp14:editId="7B906AD9">
          <wp:simplePos x="0" y="0"/>
          <wp:positionH relativeFrom="margin">
            <wp:align>right</wp:align>
          </wp:positionH>
          <wp:positionV relativeFrom="page">
            <wp:posOffset>521970</wp:posOffset>
          </wp:positionV>
          <wp:extent cx="1763395" cy="727075"/>
          <wp:effectExtent l="0" t="0" r="825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A_colour_RGB.png"/>
                  <pic:cNvPicPr/>
                </pic:nvPicPr>
                <pic:blipFill>
                  <a:blip r:embed="rId1">
                    <a:extLst>
                      <a:ext uri="{28A0092B-C50C-407E-A947-70E740481C1C}">
                        <a14:useLocalDpi xmlns:a14="http://schemas.microsoft.com/office/drawing/2010/main" val="0"/>
                      </a:ext>
                    </a:extLst>
                  </a:blip>
                  <a:stretch>
                    <a:fillRect/>
                  </a:stretch>
                </pic:blipFill>
                <pic:spPr>
                  <a:xfrm>
                    <a:off x="0" y="0"/>
                    <a:ext cx="1763395" cy="727075"/>
                  </a:xfrm>
                  <a:prstGeom prst="rect">
                    <a:avLst/>
                  </a:prstGeom>
                </pic:spPr>
              </pic:pic>
            </a:graphicData>
          </a:graphic>
          <wp14:sizeRelH relativeFrom="margin">
            <wp14:pctWidth>0</wp14:pctWidth>
          </wp14:sizeRelH>
          <wp14:sizeRelV relativeFrom="margin">
            <wp14:pctHeight>0</wp14:pctHeight>
          </wp14:sizeRelV>
        </wp:anchor>
      </w:drawing>
    </w:r>
    <w:r w:rsidR="00610FF7">
      <w:rPr>
        <w:noProof/>
        <w:sz w:val="18"/>
        <w:szCs w:val="18"/>
      </w:rPr>
      <mc:AlternateContent>
        <mc:Choice Requires="wps">
          <w:drawing>
            <wp:anchor distT="0" distB="0" distL="114300" distR="114300" simplePos="0" relativeHeight="251663360" behindDoc="1" locked="0" layoutInCell="1" allowOverlap="1" wp14:anchorId="6E5FFBCB" wp14:editId="734B896A">
              <wp:simplePos x="0" y="0"/>
              <wp:positionH relativeFrom="page">
                <wp:posOffset>0</wp:posOffset>
              </wp:positionH>
              <wp:positionV relativeFrom="page">
                <wp:posOffset>609600</wp:posOffset>
              </wp:positionV>
              <wp:extent cx="7558405" cy="612000"/>
              <wp:effectExtent l="0" t="0" r="0" b="0"/>
              <wp:wrapTopAndBottom/>
              <wp:docPr id="148" name="Rectangle 148"/>
              <wp:cNvGraphicFramePr/>
              <a:graphic xmlns:a="http://schemas.openxmlformats.org/drawingml/2006/main">
                <a:graphicData uri="http://schemas.microsoft.com/office/word/2010/wordprocessingShape">
                  <wps:wsp>
                    <wps:cNvSpPr/>
                    <wps:spPr>
                      <a:xfrm>
                        <a:off x="0" y="0"/>
                        <a:ext cx="7558405" cy="612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1D96A" id="Rectangle 148" o:spid="_x0000_s1026" style="position:absolute;margin-left:0;margin-top:48pt;width:595.15pt;height:48.2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" filled="f" stroked="f" strokeweight="1pt">
              <w10:wrap type="topAndBottom"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5D8391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EAAFF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4841E2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44A456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4D40CF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A10E3A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C90E4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BCA646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948C5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AF6ED9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106AF6"/>
    <w:multiLevelType w:val="hybridMultilevel"/>
    <w:tmpl w:val="B67062E6"/>
    <w:lvl w:ilvl="0" w:tplc="28E8C568">
      <w:numFmt w:val="bullet"/>
      <w:lvlText w:val="•"/>
      <w:lvlJc w:val="left"/>
      <w:pPr>
        <w:ind w:left="1080" w:hanging="720"/>
      </w:pPr>
      <w:rPr>
        <w:rFonts w:ascii="Arial" w:eastAsiaTheme="minorEastAsia" w:hAnsi="Arial" w:cs="Arial" w:hint="default"/>
      </w:rPr>
    </w:lvl>
    <w:lvl w:ilvl="1" w:tplc="931C05A0">
      <w:numFmt w:val="bullet"/>
      <w:lvlText w:val=""/>
      <w:lvlJc w:val="left"/>
      <w:pPr>
        <w:ind w:left="1800" w:hanging="720"/>
      </w:pPr>
      <w:rPr>
        <w:rFonts w:ascii="Symbol" w:eastAsiaTheme="minorEastAsia" w:hAnsi="Symbo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F3D466D"/>
    <w:multiLevelType w:val="hybridMultilevel"/>
    <w:tmpl w:val="2214A7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F6C678D"/>
    <w:multiLevelType w:val="multilevel"/>
    <w:tmpl w:val="07629034"/>
    <w:styleLink w:val="KCBullets"/>
    <w:lvl w:ilvl="0">
      <w:start w:val="1"/>
      <w:numFmt w:val="bullet"/>
      <w:lvlText w:val=""/>
      <w:lvlJc w:val="left"/>
      <w:pPr>
        <w:ind w:left="284" w:hanging="284"/>
      </w:pPr>
      <w:rPr>
        <w:rFonts w:ascii="Symbol" w:hAnsi="Symbol" w:hint="default"/>
        <w:color w:val="auto"/>
      </w:rPr>
    </w:lvl>
    <w:lvl w:ilvl="1">
      <w:start w:val="1"/>
      <w:numFmt w:val="bullet"/>
      <w:lvlText w:val="–"/>
      <w:lvlJc w:val="left"/>
      <w:pPr>
        <w:ind w:left="568" w:hanging="284"/>
      </w:pPr>
      <w:rPr>
        <w:rFonts w:ascii="Arial" w:hAnsi="Arial" w:hint="default"/>
        <w:color w:val="001B31" w:themeColor="text2"/>
      </w:rPr>
    </w:lvl>
    <w:lvl w:ilvl="2">
      <w:start w:val="1"/>
      <w:numFmt w:val="bullet"/>
      <w:lvlText w:val="»"/>
      <w:lvlJc w:val="left"/>
      <w:pPr>
        <w:ind w:left="852" w:hanging="284"/>
      </w:pPr>
      <w:rPr>
        <w:rFonts w:ascii="Arial" w:hAnsi="Arial" w:hint="default"/>
        <w:color w:val="001B31" w:themeColor="text2"/>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13" w15:restartNumberingAfterBreak="0">
    <w:nsid w:val="15FC13F1"/>
    <w:multiLevelType w:val="hybridMultilevel"/>
    <w:tmpl w:val="9030FA5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15:restartNumberingAfterBreak="0">
    <w:nsid w:val="178D2B23"/>
    <w:multiLevelType w:val="hybridMultilevel"/>
    <w:tmpl w:val="49A0CDC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19F1618D"/>
    <w:multiLevelType w:val="multilevel"/>
    <w:tmpl w:val="803CF862"/>
    <w:styleLink w:val="List1Numbered"/>
    <w:lvl w:ilvl="0">
      <w:start w:val="1"/>
      <w:numFmt w:val="decimal"/>
      <w:pStyle w:val="List1Numbered1"/>
      <w:lvlText w:val="%1."/>
      <w:lvlJc w:val="left"/>
      <w:pPr>
        <w:ind w:left="284" w:hanging="284"/>
      </w:pPr>
      <w:rPr>
        <w:rFonts w:hint="default"/>
        <w:b w:val="0"/>
        <w:i w:val="0"/>
        <w:color w:val="auto"/>
      </w:rPr>
    </w:lvl>
    <w:lvl w:ilvl="1">
      <w:start w:val="1"/>
      <w:numFmt w:val="lowerLetter"/>
      <w:pStyle w:val="List1Numbered2"/>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16" w15:restartNumberingAfterBreak="0">
    <w:nsid w:val="1A501474"/>
    <w:multiLevelType w:val="hybridMultilevel"/>
    <w:tmpl w:val="BEDCAA5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7" w15:restartNumberingAfterBreak="0">
    <w:nsid w:val="1CC862E1"/>
    <w:multiLevelType w:val="multilevel"/>
    <w:tmpl w:val="C284D0B0"/>
    <w:styleLink w:val="FigureNumbers"/>
    <w:lvl w:ilvl="0">
      <w:start w:val="1"/>
      <w:numFmt w:val="decimal"/>
      <w:lvlText w:val="Figure %1."/>
      <w:lvlJc w:val="left"/>
      <w:pPr>
        <w:ind w:left="1134" w:hanging="1134"/>
      </w:pPr>
      <w:rPr>
        <w:rFonts w:hint="default"/>
        <w:b/>
        <w:i w:val="0"/>
        <w:caps w:val="0"/>
        <w:color w:val="006182" w:themeColor="accent1"/>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EA312FA"/>
    <w:multiLevelType w:val="hybridMultilevel"/>
    <w:tmpl w:val="817A8F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0336ADE"/>
    <w:multiLevelType w:val="multilevel"/>
    <w:tmpl w:val="131EEC6C"/>
    <w:styleLink w:val="TableNumbers"/>
    <w:lvl w:ilvl="0">
      <w:start w:val="1"/>
      <w:numFmt w:val="decimal"/>
      <w:pStyle w:val="TableTitle"/>
      <w:lvlText w:val="Table %1."/>
      <w:lvlJc w:val="left"/>
      <w:pPr>
        <w:ind w:left="1134" w:hanging="1134"/>
      </w:pPr>
      <w:rPr>
        <w:rFonts w:hint="default"/>
        <w:b/>
        <w:i w:val="0"/>
        <w:caps w:val="0"/>
        <w:color w:val="006182" w:themeColor="accent1"/>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2BA632A9"/>
    <w:multiLevelType w:val="multilevel"/>
    <w:tmpl w:val="99524306"/>
    <w:lvl w:ilvl="0">
      <w:start w:val="1"/>
      <w:numFmt w:val="upperLetter"/>
      <w:suff w:val="space"/>
      <w:lvlText w:val="Appendix %1 –"/>
      <w:lvlJc w:val="left"/>
      <w:pPr>
        <w:ind w:left="2126" w:hanging="2126"/>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2D890E47"/>
    <w:multiLevelType w:val="hybridMultilevel"/>
    <w:tmpl w:val="E628387E"/>
    <w:lvl w:ilvl="0" w:tplc="6B982C78">
      <w:start w:val="1"/>
      <w:numFmt w:val="decimal"/>
      <w:pStyle w:val="SourceNotesNumbered"/>
      <w:lvlText w:val="%1."/>
      <w:lvlJc w:val="left"/>
      <w:pPr>
        <w:ind w:left="720" w:hanging="360"/>
      </w:pPr>
      <w:rPr>
        <w:rFonts w:hint="default"/>
        <w:caps w:val="0"/>
        <w:vanish w:val="0"/>
        <w:color w:val="000000" w:themeColor="text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FA45508"/>
    <w:multiLevelType w:val="multilevel"/>
    <w:tmpl w:val="9F7A7A8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581946"/>
    <w:multiLevelType w:val="hybridMultilevel"/>
    <w:tmpl w:val="7E7E31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02D42CF"/>
    <w:multiLevelType w:val="hybridMultilevel"/>
    <w:tmpl w:val="855818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1396E59"/>
    <w:multiLevelType w:val="multilevel"/>
    <w:tmpl w:val="FE688822"/>
    <w:styleLink w:val="BoxedBullets"/>
    <w:lvl w:ilvl="0">
      <w:start w:val="1"/>
      <w:numFmt w:val="bullet"/>
      <w:pStyle w:val="Boxed1Bullet"/>
      <w:lvlText w:val=""/>
      <w:lvlJc w:val="left"/>
      <w:pPr>
        <w:tabs>
          <w:tab w:val="num" w:pos="284"/>
        </w:tabs>
        <w:ind w:left="567" w:hanging="283"/>
      </w:pPr>
      <w:rPr>
        <w:rFonts w:ascii="Symbol" w:hAnsi="Symbol" w:hint="default"/>
        <w:color w:val="auto"/>
      </w:rPr>
    </w:lvl>
    <w:lvl w:ilvl="1">
      <w:start w:val="1"/>
      <w:numFmt w:val="bullet"/>
      <w:pStyle w:val="Boxed2Bullet"/>
      <w:lvlText w:val=""/>
      <w:lvlJc w:val="left"/>
      <w:pPr>
        <w:tabs>
          <w:tab w:val="num" w:pos="284"/>
        </w:tabs>
        <w:ind w:left="567" w:hanging="283"/>
      </w:pPr>
      <w:rPr>
        <w:rFonts w:ascii="Symbol" w:hAnsi="Symbol" w:hint="default"/>
        <w:color w:val="auto"/>
      </w:rPr>
    </w:lvl>
    <w:lvl w:ilvl="2">
      <w:start w:val="1"/>
      <w:numFmt w:val="bullet"/>
      <w:lvlText w:val="–"/>
      <w:lvlJc w:val="left"/>
      <w:pPr>
        <w:ind w:left="624" w:hanging="340"/>
      </w:pPr>
      <w:rPr>
        <w:rFonts w:ascii="Arial" w:hAnsi="Arial" w:hint="default"/>
        <w:color w:val="001B31" w:themeColor="text2"/>
      </w:rPr>
    </w:lvl>
    <w:lvl w:ilvl="3">
      <w:start w:val="1"/>
      <w:numFmt w:val="bullet"/>
      <w:lvlText w:val="»"/>
      <w:lvlJc w:val="left"/>
      <w:pPr>
        <w:ind w:left="794" w:hanging="510"/>
      </w:pPr>
      <w:rPr>
        <w:rFonts w:ascii="Arial" w:hAnsi="Arial" w:hint="default"/>
        <w:color w:val="001B31" w:themeColor="text2"/>
      </w:rPr>
    </w:lvl>
    <w:lvl w:ilvl="4">
      <w:start w:val="1"/>
      <w:numFmt w:val="lowerLetter"/>
      <w:lvlText w:val="(%5)"/>
      <w:lvlJc w:val="left"/>
      <w:pPr>
        <w:ind w:left="850" w:hanging="170"/>
      </w:pPr>
      <w:rPr>
        <w:rFonts w:hint="default"/>
      </w:rPr>
    </w:lvl>
    <w:lvl w:ilvl="5">
      <w:start w:val="1"/>
      <w:numFmt w:val="lowerRoman"/>
      <w:lvlText w:val="(%6)"/>
      <w:lvlJc w:val="left"/>
      <w:pPr>
        <w:ind w:left="1020" w:hanging="170"/>
      </w:pPr>
      <w:rPr>
        <w:rFonts w:hint="default"/>
      </w:rPr>
    </w:lvl>
    <w:lvl w:ilvl="6">
      <w:start w:val="1"/>
      <w:numFmt w:val="decimal"/>
      <w:lvlText w:val="%7."/>
      <w:lvlJc w:val="left"/>
      <w:pPr>
        <w:ind w:left="1190" w:hanging="170"/>
      </w:pPr>
      <w:rPr>
        <w:rFonts w:hint="default"/>
      </w:rPr>
    </w:lvl>
    <w:lvl w:ilvl="7">
      <w:start w:val="1"/>
      <w:numFmt w:val="lowerLetter"/>
      <w:lvlText w:val="%8."/>
      <w:lvlJc w:val="left"/>
      <w:pPr>
        <w:ind w:left="1360" w:hanging="170"/>
      </w:pPr>
      <w:rPr>
        <w:rFonts w:hint="default"/>
      </w:rPr>
    </w:lvl>
    <w:lvl w:ilvl="8">
      <w:start w:val="1"/>
      <w:numFmt w:val="lowerRoman"/>
      <w:lvlText w:val="%9."/>
      <w:lvlJc w:val="left"/>
      <w:pPr>
        <w:ind w:left="1530" w:hanging="170"/>
      </w:pPr>
      <w:rPr>
        <w:rFonts w:hint="default"/>
      </w:rPr>
    </w:lvl>
  </w:abstractNum>
  <w:abstractNum w:abstractNumId="26" w15:restartNumberingAfterBreak="0">
    <w:nsid w:val="433C0584"/>
    <w:multiLevelType w:val="hybridMultilevel"/>
    <w:tmpl w:val="9C169E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0517343"/>
    <w:multiLevelType w:val="multilevel"/>
    <w:tmpl w:val="131EEC6C"/>
    <w:numStyleLink w:val="TableNumbers"/>
  </w:abstractNum>
  <w:abstractNum w:abstractNumId="28" w15:restartNumberingAfterBreak="0">
    <w:nsid w:val="535249AF"/>
    <w:multiLevelType w:val="multilevel"/>
    <w:tmpl w:val="A41689A2"/>
    <w:styleLink w:val="AppendixNumbers"/>
    <w:lvl w:ilvl="0">
      <w:start w:val="1"/>
      <w:numFmt w:val="upperLetter"/>
      <w:pStyle w:val="AppendixNumbered"/>
      <w:suff w:val="space"/>
      <w:lvlText w:val="Appendix %1 –"/>
      <w:lvlJc w:val="left"/>
      <w:pPr>
        <w:ind w:left="2126" w:hanging="2126"/>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5563048B"/>
    <w:multiLevelType w:val="multilevel"/>
    <w:tmpl w:val="C284D0B0"/>
    <w:numStyleLink w:val="FigureNumbers"/>
  </w:abstractNum>
  <w:abstractNum w:abstractNumId="30" w15:restartNumberingAfterBreak="0">
    <w:nsid w:val="56DB5F4C"/>
    <w:multiLevelType w:val="multilevel"/>
    <w:tmpl w:val="4E929216"/>
    <w:styleLink w:val="NumberedHeadings"/>
    <w:lvl w:ilvl="0">
      <w:start w:val="1"/>
      <w:numFmt w:val="decimal"/>
      <w:pStyle w:val="Heading1Numbered"/>
      <w:lvlText w:val="%1."/>
      <w:lvlJc w:val="left"/>
      <w:pPr>
        <w:ind w:left="567" w:hanging="567"/>
      </w:pPr>
      <w:rPr>
        <w:rFonts w:hint="default"/>
      </w:rPr>
    </w:lvl>
    <w:lvl w:ilvl="1">
      <w:start w:val="1"/>
      <w:numFmt w:val="decimal"/>
      <w:pStyle w:val="Heading2Numbered"/>
      <w:lvlText w:val="%1.%2"/>
      <w:lvlJc w:val="left"/>
      <w:pPr>
        <w:ind w:left="851" w:hanging="851"/>
      </w:pPr>
      <w:rPr>
        <w:rFonts w:hint="default"/>
      </w:rPr>
    </w:lvl>
    <w:lvl w:ilvl="2">
      <w:start w:val="1"/>
      <w:numFmt w:val="decimal"/>
      <w:pStyle w:val="Heading3Numbered"/>
      <w:lvlText w:val="%1.%2.%3"/>
      <w:lvlJc w:val="left"/>
      <w:pPr>
        <w:ind w:left="851" w:hanging="851"/>
      </w:pPr>
      <w:rPr>
        <w:rFonts w:hint="default"/>
      </w:rPr>
    </w:lvl>
    <w:lvl w:ilvl="3">
      <w:start w:val="1"/>
      <w:numFmt w:val="decimal"/>
      <w:pStyle w:val="Heading4Numbered"/>
      <w:lvlText w:val="%1.%2.%3.%4"/>
      <w:lvlJc w:val="left"/>
      <w:pPr>
        <w:ind w:left="1134" w:hanging="1134"/>
      </w:pPr>
      <w:rPr>
        <w:rFonts w:hint="default"/>
      </w:rPr>
    </w:lvl>
    <w:lvl w:ilvl="4">
      <w:start w:val="1"/>
      <w:numFmt w:val="decimal"/>
      <w:lvlText w:val="%1.%2.%3.%4.%5"/>
      <w:lvlJc w:val="left"/>
      <w:pPr>
        <w:ind w:left="1418" w:hanging="1418"/>
      </w:pPr>
      <w:rPr>
        <w:rFonts w:hint="default"/>
      </w:rPr>
    </w:lvl>
    <w:lvl w:ilvl="5">
      <w:start w:val="1"/>
      <w:numFmt w:val="decimal"/>
      <w:lvlText w:val="%1.%2.%3.%4.%5.%6"/>
      <w:lvlJc w:val="left"/>
      <w:pPr>
        <w:ind w:left="1701" w:hanging="1701"/>
      </w:pPr>
      <w:rPr>
        <w:rFonts w:hint="default"/>
      </w:rPr>
    </w:lvl>
    <w:lvl w:ilvl="6">
      <w:start w:val="1"/>
      <w:numFmt w:val="decimal"/>
      <w:lvlText w:val="%1.%2.%3.%4.%5.%6.%7"/>
      <w:lvlJc w:val="left"/>
      <w:pPr>
        <w:ind w:left="1701" w:hanging="170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57CB5EA7"/>
    <w:multiLevelType w:val="hybridMultilevel"/>
    <w:tmpl w:val="D7F68A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8615703"/>
    <w:multiLevelType w:val="multilevel"/>
    <w:tmpl w:val="803CF862"/>
    <w:numStyleLink w:val="List1Numbered"/>
  </w:abstractNum>
  <w:abstractNum w:abstractNumId="33" w15:restartNumberingAfterBreak="0">
    <w:nsid w:val="5BF51665"/>
    <w:multiLevelType w:val="multilevel"/>
    <w:tmpl w:val="D9B6D91E"/>
    <w:lvl w:ilvl="0">
      <w:start w:val="1"/>
      <w:numFmt w:val="decimal"/>
      <w:lvlText w:val="%1."/>
      <w:lvlJc w:val="left"/>
      <w:pPr>
        <w:ind w:left="567" w:hanging="567"/>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1134" w:hanging="1134"/>
      </w:pPr>
      <w:rPr>
        <w:rFonts w:hint="default"/>
      </w:rPr>
    </w:lvl>
    <w:lvl w:ilvl="4">
      <w:start w:val="1"/>
      <w:numFmt w:val="decimal"/>
      <w:lvlText w:val="%1.%2.%3.%4.%5"/>
      <w:lvlJc w:val="left"/>
      <w:pPr>
        <w:ind w:left="1418" w:hanging="1418"/>
      </w:pPr>
      <w:rPr>
        <w:rFonts w:hint="default"/>
      </w:rPr>
    </w:lvl>
    <w:lvl w:ilvl="5">
      <w:start w:val="1"/>
      <w:numFmt w:val="decimal"/>
      <w:lvlText w:val="%1.%2.%3.%4.%5.%6"/>
      <w:lvlJc w:val="left"/>
      <w:pPr>
        <w:ind w:left="1701" w:hanging="1701"/>
      </w:pPr>
      <w:rPr>
        <w:rFonts w:hint="default"/>
      </w:rPr>
    </w:lvl>
    <w:lvl w:ilvl="6">
      <w:start w:val="1"/>
      <w:numFmt w:val="decimal"/>
      <w:lvlText w:val="%1.%2.%3.%4.%5.%6.%7"/>
      <w:lvlJc w:val="left"/>
      <w:pPr>
        <w:ind w:left="1701" w:hanging="170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D4F423B"/>
    <w:multiLevelType w:val="multilevel"/>
    <w:tmpl w:val="3A1CA15A"/>
    <w:lvl w:ilvl="0">
      <w:start w:val="1"/>
      <w:numFmt w:val="bullet"/>
      <w:lvlText w:val=""/>
      <w:lvlJc w:val="left"/>
      <w:pPr>
        <w:ind w:left="284" w:hanging="284"/>
      </w:pPr>
      <w:rPr>
        <w:rFonts w:ascii="Symbol" w:hAnsi="Symbol" w:hint="default"/>
        <w:color w:val="auto"/>
      </w:rPr>
    </w:lvl>
    <w:lvl w:ilvl="1">
      <w:start w:val="1"/>
      <w:numFmt w:val="bullet"/>
      <w:lvlText w:val="–"/>
      <w:lvlJc w:val="left"/>
      <w:pPr>
        <w:ind w:left="568" w:hanging="284"/>
      </w:pPr>
      <w:rPr>
        <w:rFonts w:ascii="Arial" w:hAnsi="Arial" w:hint="default"/>
        <w:color w:val="auto"/>
      </w:rPr>
    </w:lvl>
    <w:lvl w:ilvl="2">
      <w:start w:val="1"/>
      <w:numFmt w:val="bullet"/>
      <w:lvlText w:val="»"/>
      <w:lvlJc w:val="left"/>
      <w:pPr>
        <w:ind w:left="852" w:hanging="284"/>
      </w:pPr>
      <w:rPr>
        <w:rFonts w:ascii="Arial" w:hAnsi="Arial" w:hint="default"/>
        <w:color w:val="auto"/>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35" w15:restartNumberingAfterBreak="0">
    <w:nsid w:val="711B6FE5"/>
    <w:multiLevelType w:val="multilevel"/>
    <w:tmpl w:val="C1B6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8A4D83"/>
    <w:multiLevelType w:val="multilevel"/>
    <w:tmpl w:val="4A7CCC2C"/>
    <w:styleLink w:val="DefaultBullets"/>
    <w:lvl w:ilvl="0">
      <w:start w:val="1"/>
      <w:numFmt w:val="bullet"/>
      <w:pStyle w:val="Bullet1"/>
      <w:lvlText w:val=""/>
      <w:lvlJc w:val="left"/>
      <w:pPr>
        <w:ind w:left="284" w:hanging="284"/>
      </w:pPr>
      <w:rPr>
        <w:rFonts w:ascii="Symbol" w:hAnsi="Symbol" w:hint="default"/>
        <w:color w:val="auto"/>
      </w:rPr>
    </w:lvl>
    <w:lvl w:ilvl="1">
      <w:start w:val="1"/>
      <w:numFmt w:val="bullet"/>
      <w:pStyle w:val="Bullet2"/>
      <w:lvlText w:val="–"/>
      <w:lvlJc w:val="left"/>
      <w:pPr>
        <w:ind w:left="568" w:hanging="284"/>
      </w:pPr>
      <w:rPr>
        <w:rFonts w:ascii="Arial" w:hAnsi="Arial" w:hint="default"/>
        <w:color w:val="auto"/>
      </w:rPr>
    </w:lvl>
    <w:lvl w:ilvl="2">
      <w:start w:val="1"/>
      <w:numFmt w:val="bullet"/>
      <w:pStyle w:val="Bullet3"/>
      <w:lvlText w:val="»"/>
      <w:lvlJc w:val="left"/>
      <w:pPr>
        <w:ind w:left="852" w:hanging="284"/>
      </w:pPr>
      <w:rPr>
        <w:rFonts w:ascii="Arial" w:hAnsi="Arial" w:hint="default"/>
        <w:color w:val="auto"/>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37" w15:restartNumberingAfterBreak="0">
    <w:nsid w:val="790B67C4"/>
    <w:multiLevelType w:val="multilevel"/>
    <w:tmpl w:val="6EA66300"/>
    <w:lvl w:ilvl="0">
      <w:start w:val="1"/>
      <w:numFmt w:val="bullet"/>
      <w:lvlText w:val=""/>
      <w:lvlJc w:val="left"/>
      <w:pPr>
        <w:tabs>
          <w:tab w:val="num" w:pos="284"/>
        </w:tabs>
        <w:ind w:left="567" w:hanging="283"/>
      </w:pPr>
      <w:rPr>
        <w:rFonts w:ascii="Symbol" w:hAnsi="Symbol" w:hint="default"/>
        <w:color w:val="auto"/>
      </w:rPr>
    </w:lvl>
    <w:lvl w:ilvl="1">
      <w:start w:val="1"/>
      <w:numFmt w:val="bullet"/>
      <w:lvlText w:val=""/>
      <w:lvlJc w:val="left"/>
      <w:pPr>
        <w:tabs>
          <w:tab w:val="num" w:pos="284"/>
        </w:tabs>
        <w:ind w:left="567" w:hanging="283"/>
      </w:pPr>
      <w:rPr>
        <w:rFonts w:ascii="Symbol" w:hAnsi="Symbol" w:hint="default"/>
        <w:color w:val="auto"/>
      </w:rPr>
    </w:lvl>
    <w:lvl w:ilvl="2">
      <w:start w:val="1"/>
      <w:numFmt w:val="bullet"/>
      <w:lvlText w:val="–"/>
      <w:lvlJc w:val="left"/>
      <w:pPr>
        <w:ind w:left="624" w:hanging="340"/>
      </w:pPr>
      <w:rPr>
        <w:rFonts w:ascii="Arial" w:hAnsi="Arial" w:hint="default"/>
        <w:color w:val="001B31" w:themeColor="text2"/>
      </w:rPr>
    </w:lvl>
    <w:lvl w:ilvl="3">
      <w:start w:val="1"/>
      <w:numFmt w:val="bullet"/>
      <w:lvlText w:val="»"/>
      <w:lvlJc w:val="left"/>
      <w:pPr>
        <w:ind w:left="794" w:hanging="510"/>
      </w:pPr>
      <w:rPr>
        <w:rFonts w:ascii="Arial" w:hAnsi="Arial" w:hint="default"/>
        <w:color w:val="001B31" w:themeColor="text2"/>
      </w:rPr>
    </w:lvl>
    <w:lvl w:ilvl="4">
      <w:start w:val="1"/>
      <w:numFmt w:val="lowerLetter"/>
      <w:lvlText w:val="(%5)"/>
      <w:lvlJc w:val="left"/>
      <w:pPr>
        <w:ind w:left="850" w:hanging="170"/>
      </w:pPr>
      <w:rPr>
        <w:rFonts w:hint="default"/>
      </w:rPr>
    </w:lvl>
    <w:lvl w:ilvl="5">
      <w:start w:val="1"/>
      <w:numFmt w:val="lowerRoman"/>
      <w:lvlText w:val="(%6)"/>
      <w:lvlJc w:val="left"/>
      <w:pPr>
        <w:ind w:left="1020" w:hanging="170"/>
      </w:pPr>
      <w:rPr>
        <w:rFonts w:hint="default"/>
      </w:rPr>
    </w:lvl>
    <w:lvl w:ilvl="6">
      <w:start w:val="1"/>
      <w:numFmt w:val="decimal"/>
      <w:lvlText w:val="%7."/>
      <w:lvlJc w:val="left"/>
      <w:pPr>
        <w:ind w:left="1190" w:hanging="170"/>
      </w:pPr>
      <w:rPr>
        <w:rFonts w:hint="default"/>
      </w:rPr>
    </w:lvl>
    <w:lvl w:ilvl="7">
      <w:start w:val="1"/>
      <w:numFmt w:val="lowerLetter"/>
      <w:lvlText w:val="%8."/>
      <w:lvlJc w:val="left"/>
      <w:pPr>
        <w:ind w:left="1360" w:hanging="170"/>
      </w:pPr>
      <w:rPr>
        <w:rFonts w:hint="default"/>
      </w:rPr>
    </w:lvl>
    <w:lvl w:ilvl="8">
      <w:start w:val="1"/>
      <w:numFmt w:val="lowerRoman"/>
      <w:lvlText w:val="%9."/>
      <w:lvlJc w:val="left"/>
      <w:pPr>
        <w:ind w:left="1530" w:hanging="170"/>
      </w:pPr>
      <w:rPr>
        <w:rFonts w:hint="default"/>
      </w:rPr>
    </w:lvl>
  </w:abstractNum>
  <w:abstractNum w:abstractNumId="38" w15:restartNumberingAfterBreak="0">
    <w:nsid w:val="7B9E34AC"/>
    <w:multiLevelType w:val="hybridMultilevel"/>
    <w:tmpl w:val="E63E8E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0"/>
  </w:num>
  <w:num w:numId="2">
    <w:abstractNumId w:val="28"/>
  </w:num>
  <w:num w:numId="3">
    <w:abstractNumId w:val="37"/>
  </w:num>
  <w:num w:numId="4">
    <w:abstractNumId w:val="37"/>
  </w:num>
  <w:num w:numId="5">
    <w:abstractNumId w:val="25"/>
  </w:num>
  <w:num w:numId="6">
    <w:abstractNumId w:val="34"/>
  </w:num>
  <w:num w:numId="7">
    <w:abstractNumId w:val="34"/>
  </w:num>
  <w:num w:numId="8">
    <w:abstractNumId w:val="34"/>
  </w:num>
  <w:num w:numId="9">
    <w:abstractNumId w:val="36"/>
  </w:num>
  <w:num w:numId="10">
    <w:abstractNumId w:val="17"/>
  </w:num>
  <w:num w:numId="11">
    <w:abstractNumId w:val="29"/>
  </w:num>
  <w:num w:numId="12">
    <w:abstractNumId w:val="33"/>
  </w:num>
  <w:num w:numId="13">
    <w:abstractNumId w:val="33"/>
  </w:num>
  <w:num w:numId="14">
    <w:abstractNumId w:val="33"/>
  </w:num>
  <w:num w:numId="15">
    <w:abstractNumId w:val="33"/>
  </w:num>
  <w:num w:numId="16">
    <w:abstractNumId w:val="12"/>
  </w:num>
  <w:num w:numId="17">
    <w:abstractNumId w:val="15"/>
  </w:num>
  <w:num w:numId="18">
    <w:abstractNumId w:val="32"/>
  </w:num>
  <w:num w:numId="19">
    <w:abstractNumId w:val="32"/>
  </w:num>
  <w:num w:numId="20">
    <w:abstractNumId w:val="32"/>
  </w:num>
  <w:num w:numId="21">
    <w:abstractNumId w:val="30"/>
  </w:num>
  <w:num w:numId="22">
    <w:abstractNumId w:val="21"/>
  </w:num>
  <w:num w:numId="23">
    <w:abstractNumId w:val="19"/>
  </w:num>
  <w:num w:numId="24">
    <w:abstractNumId w:val="27"/>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18"/>
  </w:num>
  <w:num w:numId="36">
    <w:abstractNumId w:val="24"/>
  </w:num>
  <w:num w:numId="37">
    <w:abstractNumId w:val="26"/>
  </w:num>
  <w:num w:numId="38">
    <w:abstractNumId w:val="10"/>
  </w:num>
  <w:num w:numId="39">
    <w:abstractNumId w:val="14"/>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num>
  <w:num w:numId="42">
    <w:abstractNumId w:val="38"/>
  </w:num>
  <w:num w:numId="43">
    <w:abstractNumId w:val="11"/>
  </w:num>
  <w:num w:numId="44">
    <w:abstractNumId w:val="23"/>
  </w:num>
  <w:num w:numId="45">
    <w:abstractNumId w:val="31"/>
  </w:num>
  <w:num w:numId="46">
    <w:abstractNumId w:val="16"/>
  </w:num>
  <w:num w:numId="47">
    <w:abstractNumId w:val="35"/>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BD5"/>
    <w:rsid w:val="000007DD"/>
    <w:rsid w:val="0000440B"/>
    <w:rsid w:val="00032503"/>
    <w:rsid w:val="00066088"/>
    <w:rsid w:val="000725F3"/>
    <w:rsid w:val="000732D5"/>
    <w:rsid w:val="00094936"/>
    <w:rsid w:val="000A678C"/>
    <w:rsid w:val="000C178F"/>
    <w:rsid w:val="000D193B"/>
    <w:rsid w:val="000E0CBE"/>
    <w:rsid w:val="00103CB9"/>
    <w:rsid w:val="00111A00"/>
    <w:rsid w:val="00115FCF"/>
    <w:rsid w:val="0012309D"/>
    <w:rsid w:val="00123611"/>
    <w:rsid w:val="00133F49"/>
    <w:rsid w:val="00142DE4"/>
    <w:rsid w:val="00146844"/>
    <w:rsid w:val="00146E8F"/>
    <w:rsid w:val="00154CC3"/>
    <w:rsid w:val="00154D51"/>
    <w:rsid w:val="0017783A"/>
    <w:rsid w:val="001A50AF"/>
    <w:rsid w:val="001D0CE3"/>
    <w:rsid w:val="001D6204"/>
    <w:rsid w:val="001E32CC"/>
    <w:rsid w:val="00207689"/>
    <w:rsid w:val="002177F5"/>
    <w:rsid w:val="00224266"/>
    <w:rsid w:val="00227332"/>
    <w:rsid w:val="002305C6"/>
    <w:rsid w:val="00237371"/>
    <w:rsid w:val="002435E1"/>
    <w:rsid w:val="00260737"/>
    <w:rsid w:val="00261E89"/>
    <w:rsid w:val="00271F68"/>
    <w:rsid w:val="002A10CF"/>
    <w:rsid w:val="002D341E"/>
    <w:rsid w:val="002F3D29"/>
    <w:rsid w:val="002F4735"/>
    <w:rsid w:val="00327BE0"/>
    <w:rsid w:val="00374BD5"/>
    <w:rsid w:val="0037566C"/>
    <w:rsid w:val="00386CD0"/>
    <w:rsid w:val="00397904"/>
    <w:rsid w:val="00397E58"/>
    <w:rsid w:val="003C52A7"/>
    <w:rsid w:val="003D2102"/>
    <w:rsid w:val="00400584"/>
    <w:rsid w:val="0040365A"/>
    <w:rsid w:val="004325F9"/>
    <w:rsid w:val="004373A4"/>
    <w:rsid w:val="004505CA"/>
    <w:rsid w:val="00452551"/>
    <w:rsid w:val="004602D1"/>
    <w:rsid w:val="00476DFE"/>
    <w:rsid w:val="004B558E"/>
    <w:rsid w:val="004B593A"/>
    <w:rsid w:val="004B6003"/>
    <w:rsid w:val="004E225B"/>
    <w:rsid w:val="004F3868"/>
    <w:rsid w:val="004F4F94"/>
    <w:rsid w:val="004F5E0D"/>
    <w:rsid w:val="00517337"/>
    <w:rsid w:val="00527F76"/>
    <w:rsid w:val="005412EB"/>
    <w:rsid w:val="00565598"/>
    <w:rsid w:val="00567792"/>
    <w:rsid w:val="0058303A"/>
    <w:rsid w:val="005B0B29"/>
    <w:rsid w:val="006076D7"/>
    <w:rsid w:val="00610FF7"/>
    <w:rsid w:val="006244D4"/>
    <w:rsid w:val="006261E7"/>
    <w:rsid w:val="00640035"/>
    <w:rsid w:val="00643F50"/>
    <w:rsid w:val="00647BC9"/>
    <w:rsid w:val="006549BA"/>
    <w:rsid w:val="00655DFF"/>
    <w:rsid w:val="0067541A"/>
    <w:rsid w:val="006C432B"/>
    <w:rsid w:val="006E34E9"/>
    <w:rsid w:val="006F3999"/>
    <w:rsid w:val="006F6F68"/>
    <w:rsid w:val="00724340"/>
    <w:rsid w:val="0073220C"/>
    <w:rsid w:val="00734DF0"/>
    <w:rsid w:val="00760069"/>
    <w:rsid w:val="00781393"/>
    <w:rsid w:val="00787FB2"/>
    <w:rsid w:val="0079184B"/>
    <w:rsid w:val="007C60B7"/>
    <w:rsid w:val="008276DA"/>
    <w:rsid w:val="00835039"/>
    <w:rsid w:val="00842DF2"/>
    <w:rsid w:val="008461A7"/>
    <w:rsid w:val="00847441"/>
    <w:rsid w:val="00854BFC"/>
    <w:rsid w:val="00854E49"/>
    <w:rsid w:val="00861ACC"/>
    <w:rsid w:val="00866BDB"/>
    <w:rsid w:val="0087073E"/>
    <w:rsid w:val="00872549"/>
    <w:rsid w:val="00884BE6"/>
    <w:rsid w:val="00886041"/>
    <w:rsid w:val="008B5C09"/>
    <w:rsid w:val="008B6A45"/>
    <w:rsid w:val="008B782F"/>
    <w:rsid w:val="008D471E"/>
    <w:rsid w:val="008F2092"/>
    <w:rsid w:val="008F7656"/>
    <w:rsid w:val="00902F35"/>
    <w:rsid w:val="009A14D3"/>
    <w:rsid w:val="009A7D38"/>
    <w:rsid w:val="009B1C71"/>
    <w:rsid w:val="009B4293"/>
    <w:rsid w:val="009B485A"/>
    <w:rsid w:val="009C5823"/>
    <w:rsid w:val="009D7FD6"/>
    <w:rsid w:val="00A52C7D"/>
    <w:rsid w:val="00A540BF"/>
    <w:rsid w:val="00A61AA6"/>
    <w:rsid w:val="00A92442"/>
    <w:rsid w:val="00AA31CE"/>
    <w:rsid w:val="00AB45B5"/>
    <w:rsid w:val="00AD0D59"/>
    <w:rsid w:val="00AD3991"/>
    <w:rsid w:val="00AD3B01"/>
    <w:rsid w:val="00B101B3"/>
    <w:rsid w:val="00B1626E"/>
    <w:rsid w:val="00B220D4"/>
    <w:rsid w:val="00B22163"/>
    <w:rsid w:val="00B26475"/>
    <w:rsid w:val="00B46489"/>
    <w:rsid w:val="00B615CF"/>
    <w:rsid w:val="00B62312"/>
    <w:rsid w:val="00B67347"/>
    <w:rsid w:val="00B70295"/>
    <w:rsid w:val="00B87D9A"/>
    <w:rsid w:val="00BA365F"/>
    <w:rsid w:val="00BD1CE4"/>
    <w:rsid w:val="00BD2192"/>
    <w:rsid w:val="00BE26D9"/>
    <w:rsid w:val="00BE2941"/>
    <w:rsid w:val="00BE3109"/>
    <w:rsid w:val="00BE57AC"/>
    <w:rsid w:val="00C1180F"/>
    <w:rsid w:val="00C13C94"/>
    <w:rsid w:val="00C25EA7"/>
    <w:rsid w:val="00C5062A"/>
    <w:rsid w:val="00C576AE"/>
    <w:rsid w:val="00C62622"/>
    <w:rsid w:val="00C831A0"/>
    <w:rsid w:val="00CC16A2"/>
    <w:rsid w:val="00CF57FA"/>
    <w:rsid w:val="00D0195C"/>
    <w:rsid w:val="00D328CB"/>
    <w:rsid w:val="00D72834"/>
    <w:rsid w:val="00DA07A3"/>
    <w:rsid w:val="00DC72B1"/>
    <w:rsid w:val="00DE177C"/>
    <w:rsid w:val="00E50331"/>
    <w:rsid w:val="00E50C80"/>
    <w:rsid w:val="00E606D5"/>
    <w:rsid w:val="00E63189"/>
    <w:rsid w:val="00E676D1"/>
    <w:rsid w:val="00E76122"/>
    <w:rsid w:val="00E90FC8"/>
    <w:rsid w:val="00E95F5E"/>
    <w:rsid w:val="00EA38F8"/>
    <w:rsid w:val="00EB1E24"/>
    <w:rsid w:val="00EB3C12"/>
    <w:rsid w:val="00ED7C37"/>
    <w:rsid w:val="00EE3044"/>
    <w:rsid w:val="00EF45C1"/>
    <w:rsid w:val="00F17786"/>
    <w:rsid w:val="00F239AE"/>
    <w:rsid w:val="00F30AEF"/>
    <w:rsid w:val="00F30B11"/>
    <w:rsid w:val="00F3604E"/>
    <w:rsid w:val="00F40165"/>
    <w:rsid w:val="00F77253"/>
    <w:rsid w:val="00F819C2"/>
    <w:rsid w:val="00F81CD7"/>
    <w:rsid w:val="00F863FA"/>
    <w:rsid w:val="00FA16D8"/>
    <w:rsid w:val="00FB415F"/>
    <w:rsid w:val="00FD527F"/>
    <w:rsid w:val="00FE6C25"/>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F5BD03"/>
  <w15:chartTrackingRefBased/>
  <w15:docId w15:val="{303828AD-738F-4D03-A98D-95CC80372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1B31" w:themeColor="text2"/>
        <w:lang w:val="en-GB" w:eastAsia="zh-CN" w:bidi="ar-SA"/>
      </w:rPr>
    </w:rPrDefault>
    <w:pPrDefault>
      <w:pPr>
        <w:spacing w:before="180"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3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33"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FF7"/>
    <w:pPr>
      <w:spacing w:before="240"/>
    </w:pPr>
    <w:rPr>
      <w:rFonts w:ascii="Arial" w:hAnsi="Arial"/>
    </w:rPr>
  </w:style>
  <w:style w:type="paragraph" w:styleId="Heading1">
    <w:name w:val="heading 1"/>
    <w:basedOn w:val="Normal"/>
    <w:next w:val="Normal"/>
    <w:link w:val="Heading1Char"/>
    <w:uiPriority w:val="9"/>
    <w:qFormat/>
    <w:rsid w:val="00B87D9A"/>
    <w:pPr>
      <w:keepNext/>
      <w:keepLines/>
      <w:pageBreakBefore/>
      <w:spacing w:before="0" w:after="480" w:line="560" w:lineRule="atLeast"/>
      <w:outlineLvl w:val="0"/>
    </w:pPr>
    <w:rPr>
      <w:rFonts w:eastAsiaTheme="majorEastAsia" w:cstheme="majorBidi"/>
      <w:color w:val="006182" w:themeColor="accent1"/>
      <w:spacing w:val="-6"/>
      <w:sz w:val="48"/>
      <w:szCs w:val="32"/>
    </w:rPr>
  </w:style>
  <w:style w:type="paragraph" w:styleId="Heading2">
    <w:name w:val="heading 2"/>
    <w:basedOn w:val="Normal"/>
    <w:next w:val="Normal"/>
    <w:link w:val="Heading2Char"/>
    <w:uiPriority w:val="9"/>
    <w:qFormat/>
    <w:rsid w:val="00B87D9A"/>
    <w:pPr>
      <w:keepNext/>
      <w:keepLines/>
      <w:spacing w:before="360" w:line="360" w:lineRule="atLeast"/>
      <w:outlineLvl w:val="1"/>
    </w:pPr>
    <w:rPr>
      <w:rFonts w:eastAsiaTheme="majorEastAsia" w:cstheme="majorBidi"/>
      <w:b/>
      <w:color w:val="006182" w:themeColor="accent1"/>
      <w:sz w:val="30"/>
      <w:szCs w:val="26"/>
    </w:rPr>
  </w:style>
  <w:style w:type="paragraph" w:styleId="Heading3">
    <w:name w:val="heading 3"/>
    <w:basedOn w:val="Normal"/>
    <w:next w:val="Normal"/>
    <w:link w:val="Heading3Char"/>
    <w:uiPriority w:val="9"/>
    <w:qFormat/>
    <w:rsid w:val="00B87D9A"/>
    <w:pPr>
      <w:keepNext/>
      <w:keepLines/>
      <w:spacing w:before="360" w:line="280" w:lineRule="atLeast"/>
      <w:outlineLvl w:val="2"/>
    </w:pPr>
    <w:rPr>
      <w:rFonts w:eastAsiaTheme="majorEastAsia" w:cstheme="majorBidi"/>
      <w:b/>
      <w:color w:val="006182" w:themeColor="accent1"/>
      <w:sz w:val="24"/>
      <w:szCs w:val="24"/>
    </w:rPr>
  </w:style>
  <w:style w:type="paragraph" w:styleId="Heading4">
    <w:name w:val="heading 4"/>
    <w:basedOn w:val="Normal"/>
    <w:next w:val="Normal"/>
    <w:link w:val="Heading4Char"/>
    <w:uiPriority w:val="9"/>
    <w:unhideWhenUsed/>
    <w:qFormat/>
    <w:rsid w:val="00133F49"/>
    <w:pPr>
      <w:keepNext/>
      <w:keepLines/>
      <w:outlineLvl w:val="3"/>
    </w:pPr>
    <w:rPr>
      <w:rFonts w:eastAsiaTheme="majorEastAsia" w:cstheme="majorBidi"/>
      <w:iCs/>
      <w:color w:val="22B7C4" w:themeColor="accent2"/>
      <w:sz w:val="24"/>
    </w:rPr>
  </w:style>
  <w:style w:type="paragraph" w:styleId="Heading5">
    <w:name w:val="heading 5"/>
    <w:basedOn w:val="Normal"/>
    <w:next w:val="Normal"/>
    <w:link w:val="Heading5Char"/>
    <w:uiPriority w:val="9"/>
    <w:semiHidden/>
    <w:unhideWhenUsed/>
    <w:qFormat/>
    <w:rsid w:val="00B87D9A"/>
    <w:pPr>
      <w:keepNext/>
      <w:keepLines/>
      <w:spacing w:before="40" w:after="0"/>
      <w:outlineLvl w:val="4"/>
    </w:pPr>
    <w:rPr>
      <w:rFonts w:eastAsiaTheme="majorEastAsia" w:cstheme="majorBidi"/>
      <w:color w:val="0048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33F49"/>
    <w:pPr>
      <w:tabs>
        <w:tab w:val="center" w:pos="4513"/>
        <w:tab w:val="right" w:pos="9026"/>
      </w:tabs>
      <w:spacing w:before="0" w:after="0" w:line="180" w:lineRule="atLeast"/>
    </w:pPr>
    <w:rPr>
      <w:rFonts w:asciiTheme="majorHAnsi" w:hAnsiTheme="majorHAnsi"/>
      <w:color w:val="006182" w:themeColor="accent1"/>
      <w:sz w:val="14"/>
    </w:rPr>
  </w:style>
  <w:style w:type="character" w:customStyle="1" w:styleId="HeaderChar">
    <w:name w:val="Header Char"/>
    <w:basedOn w:val="DefaultParagraphFont"/>
    <w:link w:val="Header"/>
    <w:uiPriority w:val="99"/>
    <w:rsid w:val="00133F49"/>
    <w:rPr>
      <w:rFonts w:asciiTheme="majorHAnsi" w:hAnsiTheme="majorHAnsi"/>
      <w:color w:val="006182" w:themeColor="accent1"/>
      <w:sz w:val="14"/>
    </w:rPr>
  </w:style>
  <w:style w:type="paragraph" w:styleId="Footer">
    <w:name w:val="footer"/>
    <w:basedOn w:val="Normal"/>
    <w:link w:val="FooterChar"/>
    <w:uiPriority w:val="99"/>
    <w:rsid w:val="00643F50"/>
    <w:pPr>
      <w:tabs>
        <w:tab w:val="center" w:pos="4513"/>
        <w:tab w:val="right" w:pos="9026"/>
      </w:tabs>
      <w:spacing w:before="0" w:after="0" w:line="180" w:lineRule="atLeast"/>
    </w:pPr>
    <w:rPr>
      <w:sz w:val="16"/>
    </w:rPr>
  </w:style>
  <w:style w:type="character" w:customStyle="1" w:styleId="FooterChar">
    <w:name w:val="Footer Char"/>
    <w:basedOn w:val="DefaultParagraphFont"/>
    <w:link w:val="Footer"/>
    <w:uiPriority w:val="99"/>
    <w:rsid w:val="00643F50"/>
    <w:rPr>
      <w:rFonts w:ascii="Arial" w:hAnsi="Arial"/>
      <w:sz w:val="16"/>
    </w:rPr>
  </w:style>
  <w:style w:type="character" w:customStyle="1" w:styleId="Heading2Char">
    <w:name w:val="Heading 2 Char"/>
    <w:basedOn w:val="DefaultParagraphFont"/>
    <w:link w:val="Heading2"/>
    <w:uiPriority w:val="9"/>
    <w:rsid w:val="00B87D9A"/>
    <w:rPr>
      <w:rFonts w:ascii="Arial" w:eastAsiaTheme="majorEastAsia" w:hAnsi="Arial" w:cstheme="majorBidi"/>
      <w:b/>
      <w:color w:val="006182" w:themeColor="accent1"/>
      <w:sz w:val="30"/>
      <w:szCs w:val="26"/>
    </w:rPr>
  </w:style>
  <w:style w:type="paragraph" w:customStyle="1" w:styleId="AppendixNumbered">
    <w:name w:val="Appendix Numbered"/>
    <w:basedOn w:val="Heading2"/>
    <w:uiPriority w:val="11"/>
    <w:qFormat/>
    <w:rsid w:val="00B87D9A"/>
    <w:pPr>
      <w:pageBreakBefore/>
      <w:numPr>
        <w:numId w:val="2"/>
      </w:numPr>
    </w:pPr>
  </w:style>
  <w:style w:type="numbering" w:customStyle="1" w:styleId="AppendixNumbers">
    <w:name w:val="Appendix Numbers"/>
    <w:uiPriority w:val="99"/>
    <w:rsid w:val="00133F49"/>
    <w:pPr>
      <w:numPr>
        <w:numId w:val="2"/>
      </w:numPr>
    </w:pPr>
  </w:style>
  <w:style w:type="paragraph" w:customStyle="1" w:styleId="Boxed1Text">
    <w:name w:val="Boxed 1 Text"/>
    <w:basedOn w:val="Normal"/>
    <w:uiPriority w:val="29"/>
    <w:qFormat/>
    <w:rsid w:val="0087073E"/>
    <w:pPr>
      <w:pBdr>
        <w:top w:val="single" w:sz="4" w:space="14" w:color="9FE7EE" w:themeColor="accent2" w:themeTint="66"/>
        <w:left w:val="single" w:sz="4" w:space="14" w:color="9FE7EE" w:themeColor="accent2" w:themeTint="66"/>
        <w:bottom w:val="single" w:sz="4" w:space="14" w:color="9FE7EE" w:themeColor="accent2" w:themeTint="66"/>
        <w:right w:val="single" w:sz="4" w:space="14" w:color="9FE7EE" w:themeColor="accent2" w:themeTint="66"/>
      </w:pBdr>
      <w:shd w:val="clear" w:color="auto" w:fill="9FE7EE" w:themeFill="accent2" w:themeFillTint="66"/>
      <w:spacing w:after="60"/>
      <w:ind w:left="284" w:right="284"/>
    </w:pPr>
  </w:style>
  <w:style w:type="paragraph" w:customStyle="1" w:styleId="Boxed1Bullet">
    <w:name w:val="Boxed 1 Bullet"/>
    <w:basedOn w:val="Boxed1Text"/>
    <w:uiPriority w:val="30"/>
    <w:qFormat/>
    <w:rsid w:val="00133F49"/>
    <w:pPr>
      <w:numPr>
        <w:numId w:val="5"/>
      </w:numPr>
    </w:pPr>
  </w:style>
  <w:style w:type="paragraph" w:customStyle="1" w:styleId="Boxed1Heading">
    <w:name w:val="Boxed 1 Heading"/>
    <w:basedOn w:val="Boxed1Text"/>
    <w:uiPriority w:val="29"/>
    <w:qFormat/>
    <w:rsid w:val="0087073E"/>
    <w:pPr>
      <w:keepNext/>
    </w:pPr>
    <w:rPr>
      <w:b/>
      <w:sz w:val="22"/>
    </w:rPr>
  </w:style>
  <w:style w:type="paragraph" w:customStyle="1" w:styleId="Boxed2Text">
    <w:name w:val="Boxed 2 Text"/>
    <w:basedOn w:val="Boxed1Text"/>
    <w:uiPriority w:val="31"/>
    <w:qFormat/>
    <w:rsid w:val="00133F49"/>
    <w:pPr>
      <w:pBdr>
        <w:top w:val="single" w:sz="4" w:space="14" w:color="006182" w:themeColor="accent1"/>
        <w:left w:val="single" w:sz="4" w:space="14" w:color="006182" w:themeColor="accent1"/>
        <w:bottom w:val="single" w:sz="4" w:space="14" w:color="006182" w:themeColor="accent1"/>
        <w:right w:val="single" w:sz="4" w:space="14" w:color="006182" w:themeColor="accent1"/>
      </w:pBdr>
      <w:shd w:val="clear" w:color="auto" w:fill="auto"/>
    </w:pPr>
  </w:style>
  <w:style w:type="paragraph" w:customStyle="1" w:styleId="Boxed2Bullet">
    <w:name w:val="Boxed 2 Bullet"/>
    <w:basedOn w:val="Boxed2Text"/>
    <w:uiPriority w:val="32"/>
    <w:qFormat/>
    <w:rsid w:val="00133F49"/>
    <w:pPr>
      <w:numPr>
        <w:ilvl w:val="1"/>
        <w:numId w:val="5"/>
      </w:numPr>
    </w:pPr>
  </w:style>
  <w:style w:type="paragraph" w:customStyle="1" w:styleId="Boxed2Heading">
    <w:name w:val="Boxed 2 Heading"/>
    <w:basedOn w:val="Boxed2Text"/>
    <w:uiPriority w:val="31"/>
    <w:qFormat/>
    <w:rsid w:val="00133F49"/>
    <w:pPr>
      <w:keepNext/>
    </w:pPr>
    <w:rPr>
      <w:b/>
      <w:sz w:val="22"/>
    </w:rPr>
  </w:style>
  <w:style w:type="numbering" w:customStyle="1" w:styleId="BoxedBullets">
    <w:name w:val="Boxed Bullets"/>
    <w:uiPriority w:val="99"/>
    <w:rsid w:val="00133F49"/>
    <w:pPr>
      <w:numPr>
        <w:numId w:val="5"/>
      </w:numPr>
    </w:pPr>
  </w:style>
  <w:style w:type="paragraph" w:customStyle="1" w:styleId="Bullet1">
    <w:name w:val="Bullet 1"/>
    <w:basedOn w:val="Normal"/>
    <w:uiPriority w:val="2"/>
    <w:qFormat/>
    <w:rsid w:val="00643F50"/>
    <w:pPr>
      <w:numPr>
        <w:numId w:val="9"/>
      </w:numPr>
      <w:spacing w:before="80" w:after="80" w:line="240" w:lineRule="auto"/>
      <w:contextualSpacing/>
    </w:pPr>
  </w:style>
  <w:style w:type="paragraph" w:customStyle="1" w:styleId="Bullet2">
    <w:name w:val="Bullet 2"/>
    <w:basedOn w:val="Normal"/>
    <w:uiPriority w:val="2"/>
    <w:qFormat/>
    <w:rsid w:val="00133F49"/>
    <w:pPr>
      <w:numPr>
        <w:ilvl w:val="1"/>
        <w:numId w:val="9"/>
      </w:numPr>
    </w:pPr>
  </w:style>
  <w:style w:type="paragraph" w:customStyle="1" w:styleId="Bullet3">
    <w:name w:val="Bullet 3"/>
    <w:basedOn w:val="Normal"/>
    <w:uiPriority w:val="2"/>
    <w:qFormat/>
    <w:rsid w:val="00133F49"/>
    <w:pPr>
      <w:numPr>
        <w:ilvl w:val="2"/>
        <w:numId w:val="9"/>
      </w:numPr>
    </w:pPr>
  </w:style>
  <w:style w:type="paragraph" w:styleId="Caption">
    <w:name w:val="caption"/>
    <w:basedOn w:val="Normal"/>
    <w:next w:val="Normal"/>
    <w:uiPriority w:val="19"/>
    <w:qFormat/>
    <w:rsid w:val="00133F49"/>
    <w:pPr>
      <w:spacing w:before="0" w:after="200"/>
    </w:pPr>
    <w:rPr>
      <w:rFonts w:asciiTheme="majorHAnsi" w:hAnsiTheme="majorHAnsi"/>
      <w:iCs/>
      <w:caps/>
      <w:szCs w:val="18"/>
    </w:rPr>
  </w:style>
  <w:style w:type="numbering" w:customStyle="1" w:styleId="DefaultBullets">
    <w:name w:val="Default Bullets"/>
    <w:uiPriority w:val="99"/>
    <w:rsid w:val="00133F49"/>
    <w:pPr>
      <w:numPr>
        <w:numId w:val="9"/>
      </w:numPr>
    </w:pPr>
  </w:style>
  <w:style w:type="table" w:customStyle="1" w:styleId="DefaultTable1">
    <w:name w:val="Default Table 1"/>
    <w:basedOn w:val="GridTable5Dark-Accent1"/>
    <w:uiPriority w:val="99"/>
    <w:rsid w:val="004325F9"/>
    <w:pPr>
      <w:spacing w:before="60" w:after="60"/>
    </w:pPr>
    <w:rPr>
      <w:rFonts w:eastAsiaTheme="minorHAnsi"/>
      <w:color w:val="auto"/>
      <w:sz w:val="18"/>
      <w:lang w:val="en-AU" w:eastAsia="en-US"/>
    </w:rPr>
    <w:tblPr>
      <w:tblBorders>
        <w:top w:val="single" w:sz="4" w:space="0" w:color="001B31" w:themeColor="text2"/>
        <w:left w:val="single" w:sz="4" w:space="0" w:color="001B31" w:themeColor="text2"/>
        <w:bottom w:val="single" w:sz="4" w:space="0" w:color="001B31" w:themeColor="text2"/>
        <w:right w:val="single" w:sz="4" w:space="0" w:color="001B31" w:themeColor="text2"/>
        <w:insideH w:val="single" w:sz="4" w:space="0" w:color="001B31" w:themeColor="text2"/>
        <w:insideV w:val="single" w:sz="4" w:space="0" w:color="001B31" w:themeColor="text2"/>
      </w:tblBorders>
      <w:tblCellMar>
        <w:top w:w="57" w:type="dxa"/>
        <w:bottom w:w="57" w:type="dxa"/>
      </w:tblCellMar>
    </w:tblPr>
    <w:trPr>
      <w:cantSplit/>
    </w:trPr>
    <w:tcPr>
      <w:shd w:val="clear" w:color="auto" w:fill="auto"/>
    </w:tcPr>
    <w:tblStylePr w:type="firstRow">
      <w:pPr>
        <w:wordWrap/>
        <w:spacing w:beforeLines="0" w:before="60" w:beforeAutospacing="0" w:afterLines="0" w:after="60" w:afterAutospacing="0" w:line="240" w:lineRule="auto"/>
      </w:pPr>
      <w:rPr>
        <w:rFonts w:asciiTheme="majorHAnsi" w:hAnsiTheme="majorHAnsi"/>
        <w:b/>
        <w:bCs/>
        <w:caps w:val="0"/>
        <w:smallCaps w:val="0"/>
        <w:color w:val="FFFFFF" w:themeColor="background1"/>
        <w:sz w:val="18"/>
      </w:rPr>
      <w:tblPr/>
      <w:tcPr>
        <w:tcBorders>
          <w:top w:val="single" w:sz="4" w:space="0" w:color="001B31" w:themeColor="text2"/>
          <w:left w:val="single" w:sz="4" w:space="0" w:color="001B31" w:themeColor="text2"/>
          <w:bottom w:val="single" w:sz="4" w:space="0" w:color="001B31" w:themeColor="text2"/>
          <w:right w:val="single" w:sz="4" w:space="0" w:color="001B31" w:themeColor="text2"/>
          <w:insideH w:val="single" w:sz="4" w:space="0" w:color="001B31" w:themeColor="text2"/>
          <w:insideV w:val="single" w:sz="4" w:space="0" w:color="001B31" w:themeColor="text2"/>
        </w:tcBorders>
        <w:shd w:val="clear" w:color="auto" w:fill="006182" w:themeFill="accent1"/>
      </w:tcPr>
    </w:tblStylePr>
    <w:tblStylePr w:type="lastRow">
      <w:rPr>
        <w:b/>
        <w:bCs/>
        <w:color w:val="000000" w:themeColor="text1"/>
      </w:rPr>
      <w:tblPr/>
      <w:tcPr>
        <w:tcBorders>
          <w:top w:val="single" w:sz="4" w:space="0" w:color="001B31" w:themeColor="text2"/>
          <w:left w:val="single" w:sz="4" w:space="0" w:color="001B31" w:themeColor="text2"/>
          <w:bottom w:val="single" w:sz="4" w:space="0" w:color="001B31" w:themeColor="text2"/>
          <w:right w:val="single" w:sz="4" w:space="0" w:color="001B31" w:themeColor="text2"/>
          <w:insideH w:val="single" w:sz="4" w:space="0" w:color="001B31" w:themeColor="text2"/>
          <w:insideV w:val="single" w:sz="4" w:space="0" w:color="001B31" w:themeColor="text2"/>
        </w:tcBorders>
        <w:shd w:val="clear" w:color="auto" w:fill="BFBFBF" w:themeFill="background1" w:themeFillShade="BF"/>
      </w:tcPr>
    </w:tblStylePr>
    <w:tblStylePr w:type="firstCol">
      <w:rPr>
        <w:b/>
        <w:bCs/>
        <w:color w:val="FFFFFF" w:themeColor="background1"/>
      </w:rPr>
      <w:tblPr/>
      <w:tcPr>
        <w:tcBorders>
          <w:top w:val="single" w:sz="4" w:space="0" w:color="001B31" w:themeColor="text2"/>
          <w:left w:val="single" w:sz="4" w:space="0" w:color="001B31" w:themeColor="text2"/>
          <w:bottom w:val="single" w:sz="4" w:space="0" w:color="001B31" w:themeColor="text2"/>
          <w:right w:val="single" w:sz="4" w:space="0" w:color="001B31" w:themeColor="text2"/>
          <w:insideH w:val="single" w:sz="4" w:space="0" w:color="001B31" w:themeColor="text2"/>
          <w:insideV w:val="single" w:sz="4" w:space="0" w:color="001B31" w:themeColor="text2"/>
        </w:tcBorders>
        <w:shd w:val="clear" w:color="auto" w:fill="006182" w:themeFill="accent1"/>
      </w:tcPr>
    </w:tblStylePr>
    <w:tblStylePr w:type="lastCol">
      <w:pPr>
        <w:jc w:val="right"/>
      </w:pPr>
      <w:rPr>
        <w:b/>
        <w:bCs/>
        <w:color w:val="000000" w:themeColor="text1"/>
      </w:rPr>
      <w:tblPr/>
      <w:tcPr>
        <w:tcBorders>
          <w:top w:val="single" w:sz="4" w:space="0" w:color="001B31" w:themeColor="text2"/>
          <w:left w:val="single" w:sz="4" w:space="0" w:color="001B31" w:themeColor="text2"/>
          <w:bottom w:val="single" w:sz="4" w:space="0" w:color="001B31" w:themeColor="text2"/>
          <w:right w:val="single" w:sz="4" w:space="0" w:color="001B31" w:themeColor="text2"/>
          <w:insideH w:val="single" w:sz="4" w:space="0" w:color="001B31" w:themeColor="text2"/>
          <w:insideV w:val="single" w:sz="4" w:space="0" w:color="001B31" w:themeColor="text2"/>
        </w:tcBorders>
        <w:shd w:val="clear" w:color="auto" w:fill="BFBFBF" w:themeFill="background1" w:themeFillShade="BF"/>
      </w:tcPr>
    </w:tblStylePr>
    <w:tblStylePr w:type="band1Vert">
      <w:tblPr/>
      <w:tcPr>
        <w:shd w:val="clear" w:color="auto" w:fill="B3EBFF" w:themeFill="accent1" w:themeFillTint="33"/>
      </w:tcPr>
    </w:tblStylePr>
    <w:tblStylePr w:type="band2Vert">
      <w:tblPr/>
      <w:tcPr>
        <w:shd w:val="clear" w:color="auto" w:fill="67D8FF" w:themeFill="accent1" w:themeFillTint="66"/>
      </w:tcPr>
    </w:tblStylePr>
    <w:tblStylePr w:type="band1Horz">
      <w:tblPr/>
      <w:tcPr>
        <w:shd w:val="clear" w:color="auto" w:fill="B3EBFF" w:themeFill="accent1" w:themeFillTint="33"/>
      </w:tcPr>
    </w:tblStylePr>
    <w:tblStylePr w:type="band2Horz">
      <w:tblPr/>
      <w:tcPr>
        <w:shd w:val="clear" w:color="auto" w:fill="67D8FF" w:themeFill="accent1" w:themeFillTint="66"/>
      </w:tcPr>
    </w:tblStylePr>
  </w:style>
  <w:style w:type="table" w:styleId="GridTable5Dark-Accent1">
    <w:name w:val="Grid Table 5 Dark Accent 1"/>
    <w:basedOn w:val="TableNormal"/>
    <w:uiPriority w:val="50"/>
    <w:rsid w:val="00133F4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3EB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1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1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1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182" w:themeFill="accent1"/>
      </w:tcPr>
    </w:tblStylePr>
    <w:tblStylePr w:type="band1Vert">
      <w:tblPr/>
      <w:tcPr>
        <w:shd w:val="clear" w:color="auto" w:fill="67D8FF" w:themeFill="accent1" w:themeFillTint="66"/>
      </w:tcPr>
    </w:tblStylePr>
    <w:tblStylePr w:type="band1Horz">
      <w:tblPr/>
      <w:tcPr>
        <w:shd w:val="clear" w:color="auto" w:fill="67D8FF" w:themeFill="accent1" w:themeFillTint="66"/>
      </w:tcPr>
    </w:tblStylePr>
  </w:style>
  <w:style w:type="table" w:customStyle="1" w:styleId="DefaultTable2">
    <w:name w:val="Default Table 2"/>
    <w:basedOn w:val="TableNormal"/>
    <w:uiPriority w:val="99"/>
    <w:rsid w:val="00133F49"/>
    <w:pPr>
      <w:spacing w:after="0"/>
    </w:pPr>
    <w:rPr>
      <w:rFonts w:eastAsiaTheme="minorHAnsi"/>
      <w:lang w:val="en-AU" w:eastAsia="en-US"/>
    </w:rPr>
    <w:tblPr>
      <w:tblStyleRowBandSize w:val="1"/>
      <w:tblStyleColBandSize w:val="1"/>
      <w:tblBorders>
        <w:top w:val="single" w:sz="4" w:space="0" w:color="22B7C4" w:themeColor="accent2"/>
        <w:left w:val="single" w:sz="4" w:space="0" w:color="22B7C4" w:themeColor="accent2"/>
        <w:bottom w:val="single" w:sz="4" w:space="0" w:color="22B7C4" w:themeColor="accent2"/>
        <w:right w:val="single" w:sz="4" w:space="0" w:color="22B7C4" w:themeColor="accent2"/>
        <w:insideH w:val="single" w:sz="4" w:space="0" w:color="22B7C4" w:themeColor="accent2"/>
        <w:insideV w:val="single" w:sz="4" w:space="0" w:color="22B7C4" w:themeColor="accent2"/>
      </w:tblBorders>
      <w:tblCellMar>
        <w:top w:w="28" w:type="dxa"/>
        <w:left w:w="57" w:type="dxa"/>
        <w:bottom w:w="28" w:type="dxa"/>
        <w:right w:w="57" w:type="dxa"/>
      </w:tblCellMar>
    </w:tblPr>
    <w:tblStylePr w:type="firstRow">
      <w:rPr>
        <w:b/>
      </w:rPr>
      <w:tblPr/>
      <w:tcPr>
        <w:shd w:val="clear" w:color="auto" w:fill="22B7C4" w:themeFill="accent2"/>
      </w:tcPr>
    </w:tblStylePr>
    <w:tblStylePr w:type="lastRow">
      <w:rPr>
        <w:b/>
      </w:rPr>
      <w:tblPr/>
      <w:tcPr>
        <w:shd w:val="clear" w:color="auto" w:fill="D9D9D9" w:themeFill="background1" w:themeFillShade="D9"/>
      </w:tcPr>
    </w:tblStylePr>
    <w:tblStylePr w:type="firstCol">
      <w:rPr>
        <w:b/>
      </w:rPr>
      <w:tblPr/>
      <w:tcPr>
        <w:shd w:val="clear" w:color="auto" w:fill="D9D9D9" w:themeFill="background1" w:themeFillShade="D9"/>
      </w:tcPr>
    </w:tblStylePr>
    <w:tblStylePr w:type="lastCol">
      <w:rPr>
        <w:b/>
      </w:rPr>
      <w:tblPr/>
      <w:tcPr>
        <w:shd w:val="clear" w:color="auto" w:fill="D9D9D9" w:themeFill="background1" w:themeFillShade="D9"/>
      </w:tcPr>
    </w:tblStylePr>
    <w:tblStylePr w:type="band1Vert">
      <w:tblPr/>
      <w:tcPr>
        <w:shd w:val="clear" w:color="auto" w:fill="F2F2F2" w:themeFill="background1" w:themeFillShade="F2"/>
      </w:tcPr>
    </w:tblStylePr>
    <w:tblStylePr w:type="band2Vert">
      <w:tblPr/>
      <w:tcPr>
        <w:shd w:val="clear" w:color="auto" w:fill="FFFFFF" w:themeFill="background1"/>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character" w:styleId="Emphasis">
    <w:name w:val="Emphasis"/>
    <w:basedOn w:val="DefaultParagraphFont"/>
    <w:uiPriority w:val="33"/>
    <w:qFormat/>
    <w:rsid w:val="00133F49"/>
    <w:rPr>
      <w:i/>
      <w:iCs/>
    </w:rPr>
  </w:style>
  <w:style w:type="numbering" w:customStyle="1" w:styleId="FigureNumbers">
    <w:name w:val="Figure Numbers"/>
    <w:uiPriority w:val="99"/>
    <w:rsid w:val="00133F49"/>
    <w:pPr>
      <w:numPr>
        <w:numId w:val="10"/>
      </w:numPr>
    </w:pPr>
  </w:style>
  <w:style w:type="paragraph" w:customStyle="1" w:styleId="FigureTitle">
    <w:name w:val="Figure Title"/>
    <w:basedOn w:val="Normal"/>
    <w:uiPriority w:val="12"/>
    <w:qFormat/>
    <w:rsid w:val="00133F49"/>
    <w:pPr>
      <w:keepNext/>
    </w:pPr>
    <w:rPr>
      <w:rFonts w:asciiTheme="majorHAnsi" w:hAnsiTheme="majorHAnsi"/>
    </w:rPr>
  </w:style>
  <w:style w:type="character" w:styleId="FollowedHyperlink">
    <w:name w:val="FollowedHyperlink"/>
    <w:basedOn w:val="DefaultParagraphFont"/>
    <w:uiPriority w:val="99"/>
    <w:rsid w:val="00133F49"/>
    <w:rPr>
      <w:color w:val="0070C0"/>
      <w:u w:val="single"/>
    </w:rPr>
  </w:style>
  <w:style w:type="character" w:styleId="FootnoteReference">
    <w:name w:val="footnote reference"/>
    <w:basedOn w:val="DefaultParagraphFont"/>
    <w:uiPriority w:val="9"/>
    <w:rsid w:val="00133F49"/>
    <w:rPr>
      <w:vertAlign w:val="superscript"/>
    </w:rPr>
  </w:style>
  <w:style w:type="paragraph" w:styleId="FootnoteText">
    <w:name w:val="footnote text"/>
    <w:basedOn w:val="Normal"/>
    <w:link w:val="FootnoteTextChar"/>
    <w:uiPriority w:val="9"/>
    <w:rsid w:val="00133F49"/>
    <w:pPr>
      <w:spacing w:before="60" w:after="60"/>
    </w:pPr>
    <w:rPr>
      <w:sz w:val="18"/>
    </w:rPr>
  </w:style>
  <w:style w:type="character" w:customStyle="1" w:styleId="FootnoteTextChar">
    <w:name w:val="Footnote Text Char"/>
    <w:basedOn w:val="DefaultParagraphFont"/>
    <w:link w:val="FootnoteText"/>
    <w:uiPriority w:val="9"/>
    <w:rsid w:val="00133F49"/>
    <w:rPr>
      <w:rFonts w:eastAsiaTheme="minorHAnsi"/>
      <w:color w:val="001B31" w:themeColor="text2"/>
      <w:sz w:val="18"/>
      <w:szCs w:val="16"/>
      <w:lang w:val="en-AU" w:eastAsia="en-US"/>
    </w:rPr>
  </w:style>
  <w:style w:type="character" w:customStyle="1" w:styleId="Heading1Char">
    <w:name w:val="Heading 1 Char"/>
    <w:basedOn w:val="DefaultParagraphFont"/>
    <w:link w:val="Heading1"/>
    <w:uiPriority w:val="9"/>
    <w:rsid w:val="00B87D9A"/>
    <w:rPr>
      <w:rFonts w:ascii="Arial" w:eastAsiaTheme="majorEastAsia" w:hAnsi="Arial" w:cstheme="majorBidi"/>
      <w:color w:val="006182" w:themeColor="accent1"/>
      <w:spacing w:val="-6"/>
      <w:sz w:val="48"/>
      <w:szCs w:val="32"/>
    </w:rPr>
  </w:style>
  <w:style w:type="paragraph" w:customStyle="1" w:styleId="Heading1Numbered">
    <w:name w:val="Heading 1 Numbered"/>
    <w:basedOn w:val="Heading1"/>
    <w:uiPriority w:val="10"/>
    <w:qFormat/>
    <w:rsid w:val="00133F49"/>
    <w:pPr>
      <w:numPr>
        <w:numId w:val="21"/>
      </w:numPr>
    </w:pPr>
  </w:style>
  <w:style w:type="paragraph" w:customStyle="1" w:styleId="Heading2Numbered">
    <w:name w:val="Heading 2 Numbered"/>
    <w:basedOn w:val="Heading2"/>
    <w:uiPriority w:val="10"/>
    <w:qFormat/>
    <w:rsid w:val="00133F49"/>
    <w:pPr>
      <w:numPr>
        <w:ilvl w:val="1"/>
        <w:numId w:val="21"/>
      </w:numPr>
    </w:pPr>
  </w:style>
  <w:style w:type="character" w:customStyle="1" w:styleId="Heading3Char">
    <w:name w:val="Heading 3 Char"/>
    <w:basedOn w:val="DefaultParagraphFont"/>
    <w:link w:val="Heading3"/>
    <w:uiPriority w:val="9"/>
    <w:rsid w:val="00B87D9A"/>
    <w:rPr>
      <w:rFonts w:ascii="Arial" w:eastAsiaTheme="majorEastAsia" w:hAnsi="Arial" w:cstheme="majorBidi"/>
      <w:b/>
      <w:color w:val="006182" w:themeColor="accent1"/>
      <w:sz w:val="24"/>
      <w:szCs w:val="24"/>
    </w:rPr>
  </w:style>
  <w:style w:type="paragraph" w:customStyle="1" w:styleId="Heading3Numbered">
    <w:name w:val="Heading 3 Numbered"/>
    <w:basedOn w:val="Heading3"/>
    <w:uiPriority w:val="10"/>
    <w:qFormat/>
    <w:rsid w:val="00133F49"/>
    <w:pPr>
      <w:numPr>
        <w:ilvl w:val="2"/>
        <w:numId w:val="21"/>
      </w:numPr>
    </w:pPr>
  </w:style>
  <w:style w:type="character" w:customStyle="1" w:styleId="Heading4Char">
    <w:name w:val="Heading 4 Char"/>
    <w:basedOn w:val="DefaultParagraphFont"/>
    <w:link w:val="Heading4"/>
    <w:uiPriority w:val="9"/>
    <w:rsid w:val="00133F49"/>
    <w:rPr>
      <w:rFonts w:eastAsiaTheme="majorEastAsia" w:cstheme="majorBidi"/>
      <w:iCs/>
      <w:color w:val="22B7C4" w:themeColor="accent2"/>
      <w:sz w:val="24"/>
      <w:szCs w:val="16"/>
      <w:lang w:val="en-AU" w:eastAsia="en-US"/>
    </w:rPr>
  </w:style>
  <w:style w:type="paragraph" w:customStyle="1" w:styleId="Heading4Numbered">
    <w:name w:val="Heading 4 Numbered"/>
    <w:basedOn w:val="Heading4"/>
    <w:uiPriority w:val="10"/>
    <w:unhideWhenUsed/>
    <w:qFormat/>
    <w:rsid w:val="00133F49"/>
    <w:pPr>
      <w:numPr>
        <w:ilvl w:val="3"/>
        <w:numId w:val="21"/>
      </w:numPr>
    </w:pPr>
  </w:style>
  <w:style w:type="character" w:styleId="Hyperlink">
    <w:name w:val="Hyperlink"/>
    <w:basedOn w:val="DefaultParagraphFont"/>
    <w:uiPriority w:val="99"/>
    <w:unhideWhenUsed/>
    <w:rsid w:val="00133F49"/>
    <w:rPr>
      <w:color w:val="0070C0"/>
      <w:u w:val="single"/>
    </w:rPr>
  </w:style>
  <w:style w:type="character" w:styleId="IntenseEmphasis">
    <w:name w:val="Intense Emphasis"/>
    <w:basedOn w:val="DefaultParagraphFont"/>
    <w:uiPriority w:val="33"/>
    <w:qFormat/>
    <w:rsid w:val="0087073E"/>
    <w:rPr>
      <w:rFonts w:ascii="Arial" w:hAnsi="Arial"/>
      <w:b/>
      <w:i/>
      <w:iCs/>
      <w:color w:val="001B31" w:themeColor="text2"/>
      <w:sz w:val="20"/>
    </w:rPr>
  </w:style>
  <w:style w:type="paragraph" w:customStyle="1" w:styleId="IntroPara">
    <w:name w:val="Intro Para"/>
    <w:basedOn w:val="Normal"/>
    <w:uiPriority w:val="1"/>
    <w:qFormat/>
    <w:rsid w:val="00643F50"/>
    <w:pPr>
      <w:spacing w:after="240" w:line="400" w:lineRule="atLeast"/>
      <w:contextualSpacing/>
    </w:pPr>
    <w:rPr>
      <w:color w:val="22B7C4" w:themeColor="accent2"/>
      <w:sz w:val="28"/>
    </w:rPr>
  </w:style>
  <w:style w:type="numbering" w:customStyle="1" w:styleId="KCBullets">
    <w:name w:val="KC Bullets"/>
    <w:uiPriority w:val="99"/>
    <w:rsid w:val="00133F49"/>
    <w:pPr>
      <w:numPr>
        <w:numId w:val="16"/>
      </w:numPr>
    </w:pPr>
  </w:style>
  <w:style w:type="numbering" w:customStyle="1" w:styleId="List1Numbered">
    <w:name w:val="List 1 Numbered"/>
    <w:uiPriority w:val="99"/>
    <w:rsid w:val="00133F49"/>
    <w:pPr>
      <w:numPr>
        <w:numId w:val="17"/>
      </w:numPr>
    </w:pPr>
  </w:style>
  <w:style w:type="paragraph" w:customStyle="1" w:styleId="List1Numbered1">
    <w:name w:val="List 1 Numbered 1"/>
    <w:basedOn w:val="Normal"/>
    <w:uiPriority w:val="2"/>
    <w:qFormat/>
    <w:rsid w:val="00133F49"/>
    <w:pPr>
      <w:numPr>
        <w:numId w:val="20"/>
      </w:numPr>
    </w:pPr>
  </w:style>
  <w:style w:type="paragraph" w:customStyle="1" w:styleId="List1Numbered2">
    <w:name w:val="List 1 Numbered 2"/>
    <w:basedOn w:val="Normal"/>
    <w:uiPriority w:val="2"/>
    <w:qFormat/>
    <w:rsid w:val="00133F49"/>
    <w:pPr>
      <w:numPr>
        <w:ilvl w:val="1"/>
        <w:numId w:val="20"/>
      </w:numPr>
    </w:pPr>
  </w:style>
  <w:style w:type="paragraph" w:customStyle="1" w:styleId="List1Numbered3">
    <w:name w:val="List 1 Numbered 3"/>
    <w:basedOn w:val="Normal"/>
    <w:uiPriority w:val="2"/>
    <w:qFormat/>
    <w:rsid w:val="00133F49"/>
    <w:pPr>
      <w:ind w:left="851"/>
    </w:pPr>
  </w:style>
  <w:style w:type="paragraph" w:styleId="NoSpacing">
    <w:name w:val="No Spacing"/>
    <w:uiPriority w:val="1"/>
    <w:qFormat/>
    <w:rsid w:val="00643F50"/>
    <w:pPr>
      <w:contextualSpacing/>
    </w:pPr>
    <w:rPr>
      <w:rFonts w:ascii="Arial" w:eastAsiaTheme="minorHAnsi" w:hAnsi="Arial"/>
      <w:lang w:val="en-AU" w:eastAsia="en-US"/>
    </w:rPr>
  </w:style>
  <w:style w:type="paragraph" w:customStyle="1" w:styleId="NormalIndent5mm">
    <w:name w:val="Normal Indent 5mm"/>
    <w:basedOn w:val="Normal"/>
    <w:qFormat/>
    <w:rsid w:val="00133F49"/>
    <w:pPr>
      <w:ind w:left="284"/>
    </w:pPr>
  </w:style>
  <w:style w:type="numbering" w:customStyle="1" w:styleId="NumberedHeadings">
    <w:name w:val="Numbered Headings"/>
    <w:uiPriority w:val="99"/>
    <w:rsid w:val="00133F49"/>
    <w:pPr>
      <w:numPr>
        <w:numId w:val="21"/>
      </w:numPr>
    </w:pPr>
  </w:style>
  <w:style w:type="paragraph" w:customStyle="1" w:styleId="PullOut">
    <w:name w:val="Pull Out"/>
    <w:basedOn w:val="Normal"/>
    <w:uiPriority w:val="22"/>
    <w:qFormat/>
    <w:rsid w:val="00133F49"/>
    <w:pPr>
      <w:spacing w:line="340" w:lineRule="atLeast"/>
      <w:ind w:left="567" w:right="567"/>
    </w:pPr>
    <w:rPr>
      <w:color w:val="22B7C4" w:themeColor="accent2"/>
      <w:sz w:val="24"/>
    </w:rPr>
  </w:style>
  <w:style w:type="paragraph" w:customStyle="1" w:styleId="SourceNotes">
    <w:name w:val="Source Notes"/>
    <w:basedOn w:val="Normal"/>
    <w:uiPriority w:val="21"/>
    <w:qFormat/>
    <w:rsid w:val="00133F49"/>
    <w:pPr>
      <w:spacing w:before="60" w:after="60"/>
    </w:pPr>
  </w:style>
  <w:style w:type="paragraph" w:customStyle="1" w:styleId="SourceNotesHeading">
    <w:name w:val="Source Notes Heading"/>
    <w:basedOn w:val="SourceNotes"/>
    <w:uiPriority w:val="20"/>
    <w:qFormat/>
    <w:rsid w:val="00133F49"/>
    <w:rPr>
      <w:rFonts w:asciiTheme="majorHAnsi" w:hAnsiTheme="majorHAnsi"/>
      <w:b/>
    </w:rPr>
  </w:style>
  <w:style w:type="paragraph" w:customStyle="1" w:styleId="SourceNotesNumbered">
    <w:name w:val="Source Notes Numbered"/>
    <w:basedOn w:val="SourceNotes"/>
    <w:uiPriority w:val="21"/>
    <w:qFormat/>
    <w:rsid w:val="00133F49"/>
    <w:pPr>
      <w:numPr>
        <w:numId w:val="22"/>
      </w:numPr>
    </w:pPr>
  </w:style>
  <w:style w:type="character" w:styleId="Strong">
    <w:name w:val="Strong"/>
    <w:basedOn w:val="DefaultParagraphFont"/>
    <w:uiPriority w:val="22"/>
    <w:qFormat/>
    <w:rsid w:val="0087073E"/>
    <w:rPr>
      <w:rFonts w:ascii="Arial" w:hAnsi="Arial"/>
      <w:b/>
      <w:bCs/>
      <w:color w:val="001B31" w:themeColor="text2"/>
      <w:sz w:val="20"/>
    </w:rPr>
  </w:style>
  <w:style w:type="paragraph" w:styleId="Subtitle">
    <w:name w:val="Subtitle"/>
    <w:basedOn w:val="Normal"/>
    <w:next w:val="Normal"/>
    <w:link w:val="SubtitleChar"/>
    <w:uiPriority w:val="23"/>
    <w:qFormat/>
    <w:rsid w:val="00133F49"/>
    <w:pPr>
      <w:keepLines/>
      <w:numPr>
        <w:ilvl w:val="1"/>
      </w:numPr>
      <w:spacing w:before="360" w:after="360" w:line="400" w:lineRule="atLeast"/>
      <w:contextualSpacing/>
    </w:pPr>
    <w:rPr>
      <w:color w:val="E6E7E8" w:themeColor="background2"/>
      <w:sz w:val="36"/>
      <w:szCs w:val="22"/>
    </w:rPr>
  </w:style>
  <w:style w:type="character" w:customStyle="1" w:styleId="SubtitleChar">
    <w:name w:val="Subtitle Char"/>
    <w:basedOn w:val="DefaultParagraphFont"/>
    <w:link w:val="Subtitle"/>
    <w:uiPriority w:val="23"/>
    <w:rsid w:val="00133F49"/>
    <w:rPr>
      <w:color w:val="E6E7E8" w:themeColor="background2"/>
      <w:sz w:val="36"/>
      <w:lang w:val="en-AU" w:eastAsia="en-US"/>
    </w:rPr>
  </w:style>
  <w:style w:type="table" w:styleId="TableGrid">
    <w:name w:val="Table Grid"/>
    <w:basedOn w:val="TableNormal"/>
    <w:uiPriority w:val="39"/>
    <w:rsid w:val="00133F49"/>
    <w:pPr>
      <w:spacing w:after="0"/>
    </w:pPr>
    <w:rPr>
      <w:rFonts w:eastAsiaTheme="minorHAnsi"/>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TableNumbers">
    <w:name w:val="Table Numbers"/>
    <w:uiPriority w:val="99"/>
    <w:rsid w:val="00133F49"/>
    <w:pPr>
      <w:numPr>
        <w:numId w:val="23"/>
      </w:numPr>
    </w:pPr>
  </w:style>
  <w:style w:type="paragraph" w:customStyle="1" w:styleId="TableTitle">
    <w:name w:val="Table Title"/>
    <w:basedOn w:val="FigureTitle"/>
    <w:uiPriority w:val="12"/>
    <w:qFormat/>
    <w:rsid w:val="00133F49"/>
    <w:pPr>
      <w:numPr>
        <w:numId w:val="24"/>
      </w:numPr>
    </w:pPr>
  </w:style>
  <w:style w:type="paragraph" w:styleId="Title">
    <w:name w:val="Title"/>
    <w:basedOn w:val="Normal"/>
    <w:next w:val="Normal"/>
    <w:link w:val="TitleChar"/>
    <w:uiPriority w:val="22"/>
    <w:qFormat/>
    <w:rsid w:val="00610FF7"/>
    <w:pPr>
      <w:keepLines/>
      <w:spacing w:before="0" w:after="0" w:line="240" w:lineRule="auto"/>
      <w:contextualSpacing/>
      <w:outlineLvl w:val="0"/>
    </w:pPr>
    <w:rPr>
      <w:rFonts w:eastAsiaTheme="majorEastAsia" w:cstheme="majorBidi"/>
      <w:kern w:val="28"/>
      <w:sz w:val="32"/>
      <w:szCs w:val="56"/>
    </w:rPr>
  </w:style>
  <w:style w:type="character" w:customStyle="1" w:styleId="TitleChar">
    <w:name w:val="Title Char"/>
    <w:basedOn w:val="DefaultParagraphFont"/>
    <w:link w:val="Title"/>
    <w:uiPriority w:val="22"/>
    <w:rsid w:val="00610FF7"/>
    <w:rPr>
      <w:rFonts w:ascii="Arial" w:eastAsiaTheme="majorEastAsia" w:hAnsi="Arial" w:cstheme="majorBidi"/>
      <w:kern w:val="28"/>
      <w:sz w:val="32"/>
      <w:szCs w:val="56"/>
    </w:rPr>
  </w:style>
  <w:style w:type="paragraph" w:styleId="TOC1">
    <w:name w:val="toc 1"/>
    <w:basedOn w:val="Normal"/>
    <w:next w:val="Normal"/>
    <w:autoRedefine/>
    <w:uiPriority w:val="39"/>
    <w:rsid w:val="00133F49"/>
    <w:pPr>
      <w:keepNext/>
      <w:tabs>
        <w:tab w:val="right" w:pos="9628"/>
      </w:tabs>
      <w:spacing w:line="340" w:lineRule="atLeast"/>
    </w:pPr>
    <w:rPr>
      <w:rFonts w:asciiTheme="majorHAnsi" w:hAnsiTheme="majorHAnsi"/>
      <w:b/>
      <w:u w:val="single" w:color="22B7C4" w:themeColor="accent2"/>
    </w:rPr>
  </w:style>
  <w:style w:type="paragraph" w:styleId="TOC2">
    <w:name w:val="toc 2"/>
    <w:basedOn w:val="Normal"/>
    <w:next w:val="Normal"/>
    <w:autoRedefine/>
    <w:uiPriority w:val="39"/>
    <w:rsid w:val="00133F49"/>
    <w:pPr>
      <w:tabs>
        <w:tab w:val="right" w:pos="9628"/>
      </w:tabs>
      <w:spacing w:before="60" w:after="60"/>
      <w:ind w:left="567" w:hanging="567"/>
    </w:pPr>
    <w:rPr>
      <w:rFonts w:asciiTheme="majorHAnsi" w:hAnsiTheme="majorHAnsi"/>
      <w:b/>
    </w:rPr>
  </w:style>
  <w:style w:type="paragraph" w:styleId="TOC3">
    <w:name w:val="toc 3"/>
    <w:basedOn w:val="Normal"/>
    <w:next w:val="Normal"/>
    <w:autoRedefine/>
    <w:uiPriority w:val="39"/>
    <w:rsid w:val="00133F49"/>
    <w:pPr>
      <w:tabs>
        <w:tab w:val="right" w:pos="9628"/>
      </w:tabs>
      <w:spacing w:before="60" w:after="60"/>
      <w:ind w:left="1134" w:hanging="567"/>
    </w:pPr>
  </w:style>
  <w:style w:type="paragraph" w:styleId="TOC4">
    <w:name w:val="toc 4"/>
    <w:basedOn w:val="Normal"/>
    <w:next w:val="Normal"/>
    <w:autoRedefine/>
    <w:uiPriority w:val="39"/>
    <w:rsid w:val="00133F49"/>
    <w:pPr>
      <w:tabs>
        <w:tab w:val="right" w:pos="9628"/>
      </w:tabs>
      <w:spacing w:before="60" w:after="60"/>
      <w:ind w:left="1135" w:hanging="851"/>
    </w:pPr>
  </w:style>
  <w:style w:type="paragraph" w:styleId="TOCHeading">
    <w:name w:val="TOC Heading"/>
    <w:basedOn w:val="Heading1"/>
    <w:next w:val="Normal"/>
    <w:uiPriority w:val="39"/>
    <w:qFormat/>
    <w:rsid w:val="00133F49"/>
    <w:pPr>
      <w:outlineLvl w:val="9"/>
    </w:pPr>
  </w:style>
  <w:style w:type="paragraph" w:customStyle="1" w:styleId="Address">
    <w:name w:val="Address"/>
    <w:basedOn w:val="Normal"/>
    <w:qFormat/>
    <w:rsid w:val="00B87D9A"/>
    <w:pPr>
      <w:spacing w:before="720" w:after="720" w:line="280" w:lineRule="atLeast"/>
      <w:contextualSpacing/>
    </w:pPr>
    <w:rPr>
      <w:lang w:val="en-AU"/>
    </w:rPr>
  </w:style>
  <w:style w:type="paragraph" w:customStyle="1" w:styleId="IncreasedSpace">
    <w:name w:val="Increased Space"/>
    <w:basedOn w:val="Normal"/>
    <w:qFormat/>
    <w:rsid w:val="00A540BF"/>
    <w:pPr>
      <w:spacing w:before="320" w:after="320"/>
    </w:pPr>
    <w:rPr>
      <w:lang w:val="en-AU"/>
    </w:rPr>
  </w:style>
  <w:style w:type="paragraph" w:styleId="BalloonText">
    <w:name w:val="Balloon Text"/>
    <w:basedOn w:val="Normal"/>
    <w:link w:val="BalloonTextChar"/>
    <w:uiPriority w:val="99"/>
    <w:semiHidden/>
    <w:unhideWhenUsed/>
    <w:rsid w:val="00E676D1"/>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76D1"/>
    <w:rPr>
      <w:rFonts w:ascii="Segoe UI" w:hAnsi="Segoe UI" w:cs="Segoe UI"/>
      <w:sz w:val="18"/>
      <w:szCs w:val="18"/>
    </w:rPr>
  </w:style>
  <w:style w:type="paragraph" w:styleId="Date">
    <w:name w:val="Date"/>
    <w:basedOn w:val="Normal"/>
    <w:next w:val="Normal"/>
    <w:link w:val="DateChar"/>
    <w:uiPriority w:val="99"/>
    <w:unhideWhenUsed/>
    <w:rsid w:val="008B782F"/>
    <w:pPr>
      <w:spacing w:before="0" w:after="900"/>
    </w:pPr>
  </w:style>
  <w:style w:type="character" w:customStyle="1" w:styleId="DateChar">
    <w:name w:val="Date Char"/>
    <w:basedOn w:val="DefaultParagraphFont"/>
    <w:link w:val="Date"/>
    <w:uiPriority w:val="99"/>
    <w:rsid w:val="008B782F"/>
  </w:style>
  <w:style w:type="paragraph" w:styleId="ListParagraph">
    <w:name w:val="List Paragraph"/>
    <w:basedOn w:val="Normal"/>
    <w:uiPriority w:val="34"/>
    <w:qFormat/>
    <w:rsid w:val="00643F50"/>
    <w:pPr>
      <w:ind w:left="720"/>
      <w:contextualSpacing/>
    </w:pPr>
  </w:style>
  <w:style w:type="paragraph" w:customStyle="1" w:styleId="Footnote">
    <w:name w:val="Footnote"/>
    <w:basedOn w:val="FootnoteText"/>
    <w:link w:val="FootnoteChar"/>
    <w:qFormat/>
    <w:rsid w:val="00B87D9A"/>
    <w:rPr>
      <w:sz w:val="16"/>
      <w:szCs w:val="16"/>
    </w:rPr>
  </w:style>
  <w:style w:type="character" w:customStyle="1" w:styleId="Heading5Char">
    <w:name w:val="Heading 5 Char"/>
    <w:basedOn w:val="DefaultParagraphFont"/>
    <w:link w:val="Heading5"/>
    <w:uiPriority w:val="9"/>
    <w:semiHidden/>
    <w:rsid w:val="00B87D9A"/>
    <w:rPr>
      <w:rFonts w:ascii="Arial" w:eastAsiaTheme="majorEastAsia" w:hAnsi="Arial" w:cstheme="majorBidi"/>
      <w:color w:val="004861" w:themeColor="accent1" w:themeShade="BF"/>
    </w:rPr>
  </w:style>
  <w:style w:type="character" w:customStyle="1" w:styleId="FootnoteChar">
    <w:name w:val="Footnote Char"/>
    <w:basedOn w:val="FootnoteTextChar"/>
    <w:link w:val="Footnote"/>
    <w:rsid w:val="00B87D9A"/>
    <w:rPr>
      <w:rFonts w:ascii="Arial" w:eastAsiaTheme="minorHAnsi" w:hAnsi="Arial"/>
      <w:color w:val="001B31" w:themeColor="text2"/>
      <w:sz w:val="16"/>
      <w:szCs w:val="16"/>
      <w:lang w:val="en-AU" w:eastAsia="en-US"/>
    </w:rPr>
  </w:style>
  <w:style w:type="paragraph" w:customStyle="1" w:styleId="Headertext">
    <w:name w:val="Header text"/>
    <w:basedOn w:val="Header"/>
    <w:link w:val="HeadertextChar"/>
    <w:qFormat/>
    <w:rsid w:val="008276DA"/>
    <w:rPr>
      <w:rFonts w:ascii="Arial" w:hAnsi="Arial"/>
    </w:rPr>
  </w:style>
  <w:style w:type="character" w:customStyle="1" w:styleId="HeadertextChar">
    <w:name w:val="Header text Char"/>
    <w:basedOn w:val="HeaderChar"/>
    <w:link w:val="Headertext"/>
    <w:rsid w:val="008276DA"/>
    <w:rPr>
      <w:rFonts w:ascii="Arial" w:hAnsi="Arial"/>
      <w:color w:val="006182" w:themeColor="accent1"/>
      <w:sz w:val="14"/>
    </w:rPr>
  </w:style>
  <w:style w:type="character" w:styleId="UnresolvedMention">
    <w:name w:val="Unresolved Mention"/>
    <w:basedOn w:val="DefaultParagraphFont"/>
    <w:uiPriority w:val="99"/>
    <w:semiHidden/>
    <w:unhideWhenUsed/>
    <w:rsid w:val="004373A4"/>
    <w:rPr>
      <w:color w:val="605E5C"/>
      <w:shd w:val="clear" w:color="auto" w:fill="E1DFDD"/>
    </w:rPr>
  </w:style>
  <w:style w:type="character" w:styleId="CommentReference">
    <w:name w:val="annotation reference"/>
    <w:basedOn w:val="DefaultParagraphFont"/>
    <w:uiPriority w:val="99"/>
    <w:semiHidden/>
    <w:unhideWhenUsed/>
    <w:rsid w:val="002177F5"/>
    <w:rPr>
      <w:sz w:val="16"/>
      <w:szCs w:val="16"/>
    </w:rPr>
  </w:style>
  <w:style w:type="paragraph" w:styleId="CommentText">
    <w:name w:val="annotation text"/>
    <w:basedOn w:val="Normal"/>
    <w:link w:val="CommentTextChar"/>
    <w:uiPriority w:val="99"/>
    <w:unhideWhenUsed/>
    <w:rsid w:val="002177F5"/>
    <w:pPr>
      <w:spacing w:line="240" w:lineRule="auto"/>
    </w:pPr>
  </w:style>
  <w:style w:type="character" w:customStyle="1" w:styleId="CommentTextChar">
    <w:name w:val="Comment Text Char"/>
    <w:basedOn w:val="DefaultParagraphFont"/>
    <w:link w:val="CommentText"/>
    <w:uiPriority w:val="99"/>
    <w:rsid w:val="002177F5"/>
    <w:rPr>
      <w:rFonts w:ascii="Arial" w:hAnsi="Arial"/>
    </w:rPr>
  </w:style>
  <w:style w:type="paragraph" w:styleId="CommentSubject">
    <w:name w:val="annotation subject"/>
    <w:basedOn w:val="CommentText"/>
    <w:next w:val="CommentText"/>
    <w:link w:val="CommentSubjectChar"/>
    <w:uiPriority w:val="99"/>
    <w:semiHidden/>
    <w:unhideWhenUsed/>
    <w:rsid w:val="002177F5"/>
    <w:rPr>
      <w:b/>
      <w:bCs/>
    </w:rPr>
  </w:style>
  <w:style w:type="character" w:customStyle="1" w:styleId="CommentSubjectChar">
    <w:name w:val="Comment Subject Char"/>
    <w:basedOn w:val="CommentTextChar"/>
    <w:link w:val="CommentSubject"/>
    <w:uiPriority w:val="99"/>
    <w:semiHidden/>
    <w:rsid w:val="002177F5"/>
    <w:rPr>
      <w:rFonts w:ascii="Arial" w:hAnsi="Arial"/>
      <w:b/>
      <w:bCs/>
    </w:rPr>
  </w:style>
  <w:style w:type="paragraph" w:styleId="NormalWeb">
    <w:name w:val="Normal (Web)"/>
    <w:basedOn w:val="Normal"/>
    <w:uiPriority w:val="99"/>
    <w:semiHidden/>
    <w:unhideWhenUsed/>
    <w:rsid w:val="00227332"/>
    <w:pPr>
      <w:spacing w:before="100" w:beforeAutospacing="1" w:after="100" w:afterAutospacing="1" w:line="240" w:lineRule="auto"/>
    </w:pPr>
    <w:rPr>
      <w:rFonts w:ascii="Times New Roman" w:eastAsia="Times New Roman" w:hAnsi="Times New Roman" w:cs="Times New Roman"/>
      <w:color w:val="auto"/>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30944">
      <w:bodyDiv w:val="1"/>
      <w:marLeft w:val="0"/>
      <w:marRight w:val="0"/>
      <w:marTop w:val="0"/>
      <w:marBottom w:val="0"/>
      <w:divBdr>
        <w:top w:val="none" w:sz="0" w:space="0" w:color="auto"/>
        <w:left w:val="none" w:sz="0" w:space="0" w:color="auto"/>
        <w:bottom w:val="none" w:sz="0" w:space="0" w:color="auto"/>
        <w:right w:val="none" w:sz="0" w:space="0" w:color="auto"/>
      </w:divBdr>
    </w:div>
    <w:div w:id="336156501">
      <w:bodyDiv w:val="1"/>
      <w:marLeft w:val="0"/>
      <w:marRight w:val="0"/>
      <w:marTop w:val="0"/>
      <w:marBottom w:val="0"/>
      <w:divBdr>
        <w:top w:val="none" w:sz="0" w:space="0" w:color="auto"/>
        <w:left w:val="none" w:sz="0" w:space="0" w:color="auto"/>
        <w:bottom w:val="none" w:sz="0" w:space="0" w:color="auto"/>
        <w:right w:val="none" w:sz="0" w:space="0" w:color="auto"/>
      </w:divBdr>
    </w:div>
    <w:div w:id="597368837">
      <w:bodyDiv w:val="1"/>
      <w:marLeft w:val="0"/>
      <w:marRight w:val="0"/>
      <w:marTop w:val="0"/>
      <w:marBottom w:val="0"/>
      <w:divBdr>
        <w:top w:val="none" w:sz="0" w:space="0" w:color="auto"/>
        <w:left w:val="none" w:sz="0" w:space="0" w:color="auto"/>
        <w:bottom w:val="none" w:sz="0" w:space="0" w:color="auto"/>
        <w:right w:val="none" w:sz="0" w:space="0" w:color="auto"/>
      </w:divBdr>
    </w:div>
    <w:div w:id="647780106">
      <w:bodyDiv w:val="1"/>
      <w:marLeft w:val="0"/>
      <w:marRight w:val="0"/>
      <w:marTop w:val="0"/>
      <w:marBottom w:val="0"/>
      <w:divBdr>
        <w:top w:val="none" w:sz="0" w:space="0" w:color="auto"/>
        <w:left w:val="none" w:sz="0" w:space="0" w:color="auto"/>
        <w:bottom w:val="none" w:sz="0" w:space="0" w:color="auto"/>
        <w:right w:val="none" w:sz="0" w:space="0" w:color="auto"/>
      </w:divBdr>
    </w:div>
    <w:div w:id="855118566">
      <w:bodyDiv w:val="1"/>
      <w:marLeft w:val="0"/>
      <w:marRight w:val="0"/>
      <w:marTop w:val="0"/>
      <w:marBottom w:val="0"/>
      <w:divBdr>
        <w:top w:val="none" w:sz="0" w:space="0" w:color="auto"/>
        <w:left w:val="none" w:sz="0" w:space="0" w:color="auto"/>
        <w:bottom w:val="none" w:sz="0" w:space="0" w:color="auto"/>
        <w:right w:val="none" w:sz="0" w:space="0" w:color="auto"/>
      </w:divBdr>
    </w:div>
    <w:div w:id="896278225">
      <w:bodyDiv w:val="1"/>
      <w:marLeft w:val="0"/>
      <w:marRight w:val="0"/>
      <w:marTop w:val="0"/>
      <w:marBottom w:val="0"/>
      <w:divBdr>
        <w:top w:val="none" w:sz="0" w:space="0" w:color="auto"/>
        <w:left w:val="none" w:sz="0" w:space="0" w:color="auto"/>
        <w:bottom w:val="none" w:sz="0" w:space="0" w:color="auto"/>
        <w:right w:val="none" w:sz="0" w:space="0" w:color="auto"/>
      </w:divBdr>
    </w:div>
    <w:div w:id="1664357350">
      <w:bodyDiv w:val="1"/>
      <w:marLeft w:val="0"/>
      <w:marRight w:val="0"/>
      <w:marTop w:val="0"/>
      <w:marBottom w:val="0"/>
      <w:divBdr>
        <w:top w:val="none" w:sz="0" w:space="0" w:color="auto"/>
        <w:left w:val="none" w:sz="0" w:space="0" w:color="auto"/>
        <w:bottom w:val="none" w:sz="0" w:space="0" w:color="auto"/>
        <w:right w:val="none" w:sz="0" w:space="0" w:color="auto"/>
      </w:divBdr>
    </w:div>
    <w:div w:id="187184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vasilareas@coba.asn.a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llawler@coba.asn.au"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sboa.org.au/post/open-letter-from-business-organisations-seeking-urgent-action-on-debit-payments" TargetMode="External"/><Relationship Id="rId2" Type="http://schemas.openxmlformats.org/officeDocument/2006/relationships/hyperlink" Target="https://www.rba.gov.au/payments-and-infrastructure/review-of-retail-payments-regulation/consultation-paper-202105/pdf/review-of-retail-payments-regulation-consultation-paper-202105.pdf" TargetMode="External"/><Relationship Id="rId1" Type="http://schemas.openxmlformats.org/officeDocument/2006/relationships/hyperlink" Target="https://www.rba.gov.au/payments-and-infrastructure/review-of-retail-payments-regulation/consultation-paper-202105/pdf/review-of-retail-payments-regulation-consultation-paper-202105.pdf" TargetMode="External"/><Relationship Id="rId6" Type="http://schemas.openxmlformats.org/officeDocument/2006/relationships/hyperlink" Target="https://www.rba.gov.au/payments-and-infrastructure/review-of-retail-payments-regulation/consultation-paper-202105/pdf/review-of-retail-payments-regulation-consultation-paper-202105.pdf" TargetMode="External"/><Relationship Id="rId5" Type="http://schemas.openxmlformats.org/officeDocument/2006/relationships/hyperlink" Target="https://www.rba.gov.au/payments-and-infrastructure/review-of-retail-payments-regulation/consultation-paper-202105/pdf/review-of-retail-payments-regulation-consultation-paper-202105.pdf" TargetMode="External"/><Relationship Id="rId4" Type="http://schemas.openxmlformats.org/officeDocument/2006/relationships/hyperlink" Target="https://www.rba.gov.au/payments-and-infrastructure/review-of-retail-payments-regulation/consultation-paper-202105/pdf/review-of-retail-payments-regulation-consultation-paper-202105.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COBA 2019">
      <a:dk1>
        <a:sysClr val="windowText" lastClr="000000"/>
      </a:dk1>
      <a:lt1>
        <a:sysClr val="window" lastClr="FFFFFF"/>
      </a:lt1>
      <a:dk2>
        <a:srgbClr val="001B31"/>
      </a:dk2>
      <a:lt2>
        <a:srgbClr val="E6E7E8"/>
      </a:lt2>
      <a:accent1>
        <a:srgbClr val="006182"/>
      </a:accent1>
      <a:accent2>
        <a:srgbClr val="22B7C4"/>
      </a:accent2>
      <a:accent3>
        <a:srgbClr val="E88B1C"/>
      </a:accent3>
      <a:accent4>
        <a:srgbClr val="EEC711"/>
      </a:accent4>
      <a:accent5>
        <a:srgbClr val="9E1F63"/>
      </a:accent5>
      <a:accent6>
        <a:srgbClr val="E12E44"/>
      </a:accent6>
      <a:hlink>
        <a:srgbClr val="006182"/>
      </a:hlink>
      <a:folHlink>
        <a:srgbClr val="006182"/>
      </a:folHlink>
    </a:clrScheme>
    <a:fontScheme name="COBA 2019">
      <a:majorFont>
        <a:latin typeface="Helvetica LT Pro"/>
        <a:ea typeface=""/>
        <a:cs typeface=""/>
      </a:majorFont>
      <a:minorFont>
        <a:latin typeface="Helvetica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271FA-E348-4E4E-95C1-75E9BF88D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2389</Words>
  <Characters>13618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Maryanna Vasilareas</dc:creator>
  <cp:keywords/>
  <dc:description/>
  <cp:lastModifiedBy>Maryanna Vasilareas</cp:lastModifiedBy>
  <cp:revision>3</cp:revision>
  <cp:lastPrinted>2018-11-01T01:14:00Z</cp:lastPrinted>
  <dcterms:created xsi:type="dcterms:W3CDTF">2021-07-09T02:22:00Z</dcterms:created>
  <dcterms:modified xsi:type="dcterms:W3CDTF">2021-07-09T02:23:00Z</dcterms:modified>
</cp:coreProperties>
</file>