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06FDD8" w14:textId="77777777" w:rsidR="00645486" w:rsidRDefault="00645486" w:rsidP="00645486">
      <w:pPr>
        <w:tabs>
          <w:tab w:val="num" w:pos="720"/>
        </w:tabs>
        <w:ind w:left="360" w:hanging="360"/>
        <w:jc w:val="both"/>
        <w:rPr>
          <w:b/>
          <w:bCs/>
          <w:highlight w:val="yellow"/>
        </w:rPr>
      </w:pPr>
    </w:p>
    <w:p w14:paraId="4F583300" w14:textId="77777777" w:rsidR="003859D4" w:rsidRDefault="003859D4" w:rsidP="00645486">
      <w:pPr>
        <w:tabs>
          <w:tab w:val="num" w:pos="720"/>
        </w:tabs>
        <w:ind w:left="360" w:hanging="360"/>
        <w:jc w:val="both"/>
      </w:pPr>
    </w:p>
    <w:p w14:paraId="05A9554E" w14:textId="77777777" w:rsidR="003859D4" w:rsidRPr="001A41A1" w:rsidRDefault="003859D4" w:rsidP="00645486">
      <w:pPr>
        <w:tabs>
          <w:tab w:val="num" w:pos="720"/>
        </w:tabs>
        <w:jc w:val="both"/>
        <w:rPr>
          <w:rFonts w:ascii="Arial" w:hAnsi="Arial" w:cs="Arial"/>
          <w:szCs w:val="20"/>
        </w:rPr>
      </w:pPr>
      <w:r w:rsidRPr="001A41A1">
        <w:rPr>
          <w:rFonts w:ascii="Arial" w:hAnsi="Arial" w:cs="Arial"/>
          <w:szCs w:val="20"/>
        </w:rPr>
        <w:t xml:space="preserve">Head of Payments Policy Department, </w:t>
      </w: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p>
    <w:p w14:paraId="4C3A3DB1" w14:textId="77777777" w:rsidR="003859D4" w:rsidRPr="001A41A1" w:rsidRDefault="003859D4" w:rsidP="00511F75">
      <w:pPr>
        <w:tabs>
          <w:tab w:val="num" w:pos="720"/>
        </w:tabs>
        <w:rPr>
          <w:rFonts w:ascii="Arial" w:hAnsi="Arial" w:cs="Arial"/>
          <w:szCs w:val="20"/>
        </w:rPr>
      </w:pPr>
      <w:r w:rsidRPr="001A41A1">
        <w:rPr>
          <w:rFonts w:ascii="Arial" w:hAnsi="Arial" w:cs="Arial"/>
          <w:szCs w:val="20"/>
        </w:rPr>
        <w:t>Reserve Bank of Australia</w:t>
      </w:r>
      <w:r w:rsidRPr="001A41A1">
        <w:rPr>
          <w:rFonts w:ascii="Arial" w:hAnsi="Arial" w:cs="Arial"/>
          <w:szCs w:val="20"/>
        </w:rPr>
        <w:br/>
        <w:t>GPO Box 3947</w:t>
      </w:r>
      <w:r w:rsidRPr="001A41A1">
        <w:rPr>
          <w:rFonts w:ascii="Arial" w:hAnsi="Arial" w:cs="Arial"/>
          <w:szCs w:val="20"/>
        </w:rPr>
        <w:br/>
        <w:t>Sydney NSW 2001</w:t>
      </w:r>
    </w:p>
    <w:p w14:paraId="715D9D85" w14:textId="77777777" w:rsidR="003859D4" w:rsidRPr="001A41A1" w:rsidRDefault="001E2B2F" w:rsidP="00645486">
      <w:pPr>
        <w:tabs>
          <w:tab w:val="num" w:pos="720"/>
        </w:tabs>
        <w:jc w:val="both"/>
        <w:rPr>
          <w:rFonts w:ascii="Arial" w:hAnsi="Arial" w:cs="Arial"/>
          <w:szCs w:val="20"/>
        </w:rPr>
      </w:pPr>
      <w:hyperlink r:id="rId11" w:history="1">
        <w:r w:rsidR="52AEFC06" w:rsidRPr="3869C4D0">
          <w:rPr>
            <w:rStyle w:val="Hyperlink"/>
            <w:rFonts w:ascii="Arial" w:hAnsi="Arial" w:cs="Arial"/>
          </w:rPr>
          <w:t>pysubmissions@rba.gov.au</w:t>
        </w:r>
      </w:hyperlink>
      <w:r w:rsidR="52AEFC06" w:rsidRPr="3869C4D0">
        <w:rPr>
          <w:rFonts w:ascii="Arial" w:hAnsi="Arial" w:cs="Arial"/>
        </w:rPr>
        <w:t xml:space="preserve"> </w:t>
      </w:r>
      <w:r w:rsidR="003859D4">
        <w:rPr>
          <w:rFonts w:ascii="Arial" w:hAnsi="Arial" w:cs="Arial"/>
          <w:szCs w:val="20"/>
        </w:rPr>
        <w:tab/>
      </w:r>
      <w:r w:rsidR="003859D4">
        <w:rPr>
          <w:rFonts w:ascii="Arial" w:hAnsi="Arial" w:cs="Arial"/>
          <w:szCs w:val="20"/>
        </w:rPr>
        <w:tab/>
      </w:r>
      <w:r w:rsidR="003859D4">
        <w:rPr>
          <w:rFonts w:ascii="Arial" w:hAnsi="Arial" w:cs="Arial"/>
          <w:szCs w:val="20"/>
        </w:rPr>
        <w:tab/>
      </w:r>
      <w:r w:rsidR="003859D4">
        <w:rPr>
          <w:rFonts w:ascii="Arial" w:hAnsi="Arial" w:cs="Arial"/>
          <w:szCs w:val="20"/>
        </w:rPr>
        <w:tab/>
      </w:r>
      <w:r w:rsidR="003859D4">
        <w:rPr>
          <w:rFonts w:ascii="Arial" w:hAnsi="Arial" w:cs="Arial"/>
          <w:szCs w:val="20"/>
        </w:rPr>
        <w:tab/>
      </w:r>
      <w:r w:rsidR="003859D4">
        <w:rPr>
          <w:rFonts w:ascii="Arial" w:hAnsi="Arial" w:cs="Arial"/>
          <w:szCs w:val="20"/>
        </w:rPr>
        <w:tab/>
      </w:r>
      <w:r w:rsidR="003859D4">
        <w:rPr>
          <w:rFonts w:ascii="Arial" w:hAnsi="Arial" w:cs="Arial"/>
          <w:szCs w:val="20"/>
        </w:rPr>
        <w:tab/>
      </w:r>
      <w:r w:rsidR="003859D4">
        <w:rPr>
          <w:noProof/>
        </w:rPr>
        <w:drawing>
          <wp:inline distT="0" distB="0" distL="0" distR="0" wp14:anchorId="13466DC9" wp14:editId="0FEE6D5F">
            <wp:extent cx="468379" cy="301702"/>
            <wp:effectExtent l="0" t="0" r="0" b="3175"/>
            <wp:docPr id="4" name="Picture 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shape&#10;&#10;Description automatically generated"/>
                    <pic:cNvPicPr/>
                  </pic:nvPicPr>
                  <pic:blipFill rotWithShape="1">
                    <a:blip r:embed="rId12" cstate="print">
                      <a:extLst>
                        <a:ext uri="{28A0092B-C50C-407E-A947-70E740481C1C}">
                          <a14:useLocalDpi xmlns:a14="http://schemas.microsoft.com/office/drawing/2010/main" val="0"/>
                        </a:ext>
                      </a:extLst>
                    </a:blip>
                    <a:srcRect t="48967"/>
                    <a:stretch/>
                  </pic:blipFill>
                  <pic:spPr bwMode="auto">
                    <a:xfrm>
                      <a:off x="0" y="0"/>
                      <a:ext cx="489176" cy="315098"/>
                    </a:xfrm>
                    <a:prstGeom prst="rect">
                      <a:avLst/>
                    </a:prstGeom>
                    <a:ln>
                      <a:noFill/>
                    </a:ln>
                    <a:extLst>
                      <a:ext uri="{53640926-AAD7-44D8-BBD7-CCE9431645EC}">
                        <a14:shadowObscured xmlns:a14="http://schemas.microsoft.com/office/drawing/2010/main"/>
                      </a:ext>
                    </a:extLst>
                  </pic:spPr>
                </pic:pic>
              </a:graphicData>
            </a:graphic>
          </wp:inline>
        </w:drawing>
      </w:r>
    </w:p>
    <w:p w14:paraId="2F70D893" w14:textId="77777777" w:rsidR="003859D4" w:rsidRPr="001A41A1" w:rsidRDefault="003859D4" w:rsidP="00645486">
      <w:pPr>
        <w:tabs>
          <w:tab w:val="num" w:pos="720"/>
        </w:tabs>
        <w:jc w:val="both"/>
        <w:rPr>
          <w:rFonts w:ascii="Arial" w:hAnsi="Arial" w:cs="Arial"/>
          <w:szCs w:val="20"/>
        </w:rPr>
      </w:pPr>
    </w:p>
    <w:p w14:paraId="1731508D" w14:textId="77777777" w:rsidR="003859D4" w:rsidRPr="001A41A1" w:rsidRDefault="003859D4" w:rsidP="00645486">
      <w:pPr>
        <w:tabs>
          <w:tab w:val="num" w:pos="720"/>
        </w:tabs>
        <w:jc w:val="both"/>
        <w:rPr>
          <w:rFonts w:ascii="Arial" w:hAnsi="Arial" w:cs="Arial"/>
          <w:szCs w:val="20"/>
        </w:rPr>
      </w:pPr>
      <w:r>
        <w:rPr>
          <w:rFonts w:ascii="Arial" w:hAnsi="Arial" w:cs="Arial"/>
          <w:szCs w:val="20"/>
        </w:rPr>
        <w:t>9 July</w:t>
      </w:r>
      <w:r w:rsidRPr="001A41A1">
        <w:rPr>
          <w:rFonts w:ascii="Arial" w:hAnsi="Arial" w:cs="Arial"/>
          <w:szCs w:val="20"/>
        </w:rPr>
        <w:t xml:space="preserve"> 202</w:t>
      </w:r>
      <w:r>
        <w:rPr>
          <w:rFonts w:ascii="Arial" w:hAnsi="Arial" w:cs="Arial"/>
          <w:szCs w:val="20"/>
        </w:rPr>
        <w:t>1</w:t>
      </w:r>
    </w:p>
    <w:p w14:paraId="59EC0032" w14:textId="77777777" w:rsidR="003859D4" w:rsidRPr="001A41A1" w:rsidRDefault="003859D4" w:rsidP="00645486">
      <w:pPr>
        <w:tabs>
          <w:tab w:val="num" w:pos="720"/>
        </w:tabs>
        <w:jc w:val="both"/>
        <w:rPr>
          <w:rFonts w:ascii="Arial" w:hAnsi="Arial" w:cs="Arial"/>
          <w:szCs w:val="20"/>
        </w:rPr>
      </w:pPr>
    </w:p>
    <w:p w14:paraId="4F62124A" w14:textId="77777777" w:rsidR="003859D4" w:rsidRPr="001A41A1" w:rsidRDefault="003859D4" w:rsidP="00645486">
      <w:pPr>
        <w:tabs>
          <w:tab w:val="num" w:pos="720"/>
        </w:tabs>
        <w:jc w:val="both"/>
        <w:rPr>
          <w:rFonts w:ascii="Arial" w:hAnsi="Arial" w:cs="Arial"/>
          <w:szCs w:val="20"/>
        </w:rPr>
      </w:pPr>
      <w:r w:rsidRPr="001A41A1">
        <w:rPr>
          <w:rFonts w:ascii="Arial" w:hAnsi="Arial" w:cs="Arial"/>
          <w:szCs w:val="20"/>
        </w:rPr>
        <w:t>Dear Dr Richards,</w:t>
      </w:r>
    </w:p>
    <w:p w14:paraId="00648584" w14:textId="77777777" w:rsidR="003859D4" w:rsidRPr="001A41A1" w:rsidRDefault="003859D4" w:rsidP="00645486">
      <w:pPr>
        <w:tabs>
          <w:tab w:val="num" w:pos="720"/>
        </w:tabs>
        <w:jc w:val="both"/>
        <w:rPr>
          <w:rFonts w:ascii="Arial" w:hAnsi="Arial" w:cs="Arial"/>
          <w:szCs w:val="20"/>
        </w:rPr>
      </w:pPr>
    </w:p>
    <w:p w14:paraId="2B62CA42" w14:textId="5C6BA4C6" w:rsidR="003859D4" w:rsidRPr="001A41A1" w:rsidRDefault="003859D4" w:rsidP="00645486">
      <w:pPr>
        <w:tabs>
          <w:tab w:val="num" w:pos="720"/>
        </w:tabs>
        <w:jc w:val="both"/>
        <w:rPr>
          <w:rFonts w:ascii="Arial" w:hAnsi="Arial" w:cs="Arial"/>
          <w:b/>
          <w:u w:val="single"/>
        </w:rPr>
      </w:pPr>
      <w:r w:rsidRPr="0DAB75B4">
        <w:rPr>
          <w:rFonts w:ascii="Arial" w:hAnsi="Arial" w:cs="Arial"/>
          <w:b/>
          <w:u w:val="single"/>
        </w:rPr>
        <w:t>Response to the Review of Retail Payments Regulation: Consultation Paper</w:t>
      </w:r>
    </w:p>
    <w:p w14:paraId="07F60D63" w14:textId="77777777" w:rsidR="003859D4" w:rsidRPr="001A41A1" w:rsidRDefault="003859D4" w:rsidP="00645486">
      <w:pPr>
        <w:tabs>
          <w:tab w:val="num" w:pos="720"/>
        </w:tabs>
        <w:jc w:val="both"/>
        <w:rPr>
          <w:rFonts w:ascii="Arial" w:hAnsi="Arial" w:cs="Arial"/>
          <w:szCs w:val="20"/>
        </w:rPr>
      </w:pPr>
    </w:p>
    <w:p w14:paraId="056C54CD" w14:textId="2209CB87" w:rsidR="003859D4" w:rsidRDefault="003859D4" w:rsidP="00645486">
      <w:pPr>
        <w:tabs>
          <w:tab w:val="num" w:pos="720"/>
        </w:tabs>
        <w:jc w:val="both"/>
        <w:rPr>
          <w:rFonts w:ascii="Arial" w:hAnsi="Arial" w:cs="Arial"/>
        </w:rPr>
      </w:pPr>
      <w:r w:rsidRPr="3869C4D0">
        <w:rPr>
          <w:rFonts w:ascii="Arial" w:hAnsi="Arial" w:cs="Arial"/>
        </w:rPr>
        <w:t xml:space="preserve">Payments regulation is at a critical juncture. The payments landscape is changing fast and the absence of regulation is encouraging conduct which is </w:t>
      </w:r>
      <w:r w:rsidR="00E42CA3">
        <w:rPr>
          <w:rFonts w:ascii="Arial" w:hAnsi="Arial" w:cs="Arial"/>
        </w:rPr>
        <w:t>damaging competition</w:t>
      </w:r>
      <w:r w:rsidR="00AB15B3">
        <w:rPr>
          <w:rFonts w:ascii="Arial" w:hAnsi="Arial" w:cs="Arial"/>
        </w:rPr>
        <w:t xml:space="preserve"> and squarely within the regulatory</w:t>
      </w:r>
      <w:r w:rsidR="003C74BC">
        <w:rPr>
          <w:rFonts w:ascii="Arial" w:hAnsi="Arial" w:cs="Arial"/>
        </w:rPr>
        <w:t xml:space="preserve"> </w:t>
      </w:r>
      <w:r w:rsidR="004907E0">
        <w:rPr>
          <w:rFonts w:ascii="Arial" w:hAnsi="Arial" w:cs="Arial"/>
        </w:rPr>
        <w:t>resp</w:t>
      </w:r>
      <w:r w:rsidR="002D1B3D">
        <w:rPr>
          <w:rFonts w:ascii="Arial" w:hAnsi="Arial" w:cs="Arial"/>
        </w:rPr>
        <w:t>onsibilities of the Payment Systems Board</w:t>
      </w:r>
      <w:r w:rsidR="001B64E1" w:rsidRPr="0082115A">
        <w:rPr>
          <w:rStyle w:val="FootnoteReference"/>
          <w:rFonts w:ascii="Arial" w:hAnsi="Arial" w:cs="Arial"/>
        </w:rPr>
        <w:footnoteReference w:id="2"/>
      </w:r>
      <w:r w:rsidRPr="3869C4D0">
        <w:rPr>
          <w:rFonts w:ascii="Arial" w:hAnsi="Arial" w:cs="Arial"/>
        </w:rPr>
        <w:t>. Holistic reviews</w:t>
      </w:r>
      <w:r w:rsidR="007C2DE0" w:rsidRPr="3869C4D0">
        <w:rPr>
          <w:rFonts w:ascii="Arial" w:hAnsi="Arial" w:cs="Arial"/>
        </w:rPr>
        <w:t>,</w:t>
      </w:r>
      <w:r w:rsidRPr="3869C4D0">
        <w:rPr>
          <w:rFonts w:ascii="Arial" w:hAnsi="Arial" w:cs="Arial"/>
        </w:rPr>
        <w:t xml:space="preserve"> like the current one</w:t>
      </w:r>
      <w:r w:rsidR="007C2DE0" w:rsidRPr="3869C4D0">
        <w:rPr>
          <w:rFonts w:ascii="Arial" w:hAnsi="Arial" w:cs="Arial"/>
        </w:rPr>
        <w:t>,</w:t>
      </w:r>
      <w:r w:rsidRPr="3869C4D0">
        <w:rPr>
          <w:rFonts w:ascii="Arial" w:hAnsi="Arial" w:cs="Arial"/>
        </w:rPr>
        <w:t xml:space="preserve"> only occur every three or so years and take 12 or so months to conclude</w:t>
      </w:r>
      <w:r w:rsidR="3FBE8804" w:rsidRPr="3869C4D0">
        <w:rPr>
          <w:rFonts w:ascii="Arial" w:hAnsi="Arial" w:cs="Arial"/>
        </w:rPr>
        <w:t xml:space="preserve">. </w:t>
      </w:r>
      <w:r w:rsidR="0E18A709" w:rsidRPr="3869C4D0">
        <w:rPr>
          <w:rFonts w:ascii="Arial" w:hAnsi="Arial" w:cs="Arial"/>
        </w:rPr>
        <w:t xml:space="preserve"> </w:t>
      </w:r>
      <w:r w:rsidR="6ACB458E" w:rsidRPr="3869C4D0">
        <w:rPr>
          <w:rFonts w:ascii="Arial" w:hAnsi="Arial" w:cs="Arial"/>
        </w:rPr>
        <w:t>T</w:t>
      </w:r>
      <w:r w:rsidR="0E18A709" w:rsidRPr="3869C4D0">
        <w:rPr>
          <w:rFonts w:ascii="Arial" w:hAnsi="Arial" w:cs="Arial"/>
        </w:rPr>
        <w:t xml:space="preserve">he next opportunity to regulate will be </w:t>
      </w:r>
      <w:r w:rsidR="533D3363" w:rsidRPr="0DAB75B4">
        <w:rPr>
          <w:rFonts w:ascii="Arial" w:hAnsi="Arial" w:cs="Arial"/>
        </w:rPr>
        <w:t xml:space="preserve">quite </w:t>
      </w:r>
      <w:r w:rsidR="0E18A709" w:rsidRPr="3869C4D0">
        <w:rPr>
          <w:rFonts w:ascii="Arial" w:hAnsi="Arial" w:cs="Arial"/>
        </w:rPr>
        <w:t>a number of years away</w:t>
      </w:r>
      <w:r w:rsidR="133DEAC3" w:rsidRPr="3869C4D0">
        <w:rPr>
          <w:rFonts w:ascii="Arial" w:hAnsi="Arial" w:cs="Arial"/>
        </w:rPr>
        <w:t xml:space="preserve"> and so the decisions taken now are critical to Australia’s competitive environment </w:t>
      </w:r>
      <w:r w:rsidR="05FD0EEE" w:rsidRPr="3869C4D0">
        <w:rPr>
          <w:rFonts w:ascii="Arial" w:hAnsi="Arial" w:cs="Arial"/>
        </w:rPr>
        <w:t>and growing Digital Economy</w:t>
      </w:r>
      <w:r w:rsidR="3097CFFD" w:rsidRPr="3869C4D0">
        <w:rPr>
          <w:rFonts w:ascii="Arial" w:hAnsi="Arial" w:cs="Arial"/>
        </w:rPr>
        <w:t>.  This will be particularly important</w:t>
      </w:r>
      <w:r w:rsidR="05FD0EEE" w:rsidRPr="3869C4D0">
        <w:rPr>
          <w:rFonts w:ascii="Arial" w:hAnsi="Arial" w:cs="Arial"/>
        </w:rPr>
        <w:t xml:space="preserve"> </w:t>
      </w:r>
      <w:r w:rsidR="133DEAC3" w:rsidRPr="3869C4D0">
        <w:rPr>
          <w:rFonts w:ascii="Arial" w:hAnsi="Arial" w:cs="Arial"/>
        </w:rPr>
        <w:t xml:space="preserve">as the </w:t>
      </w:r>
      <w:r w:rsidR="0CBE13F1" w:rsidRPr="3869C4D0">
        <w:rPr>
          <w:rFonts w:ascii="Arial" w:hAnsi="Arial" w:cs="Arial"/>
        </w:rPr>
        <w:t>nation</w:t>
      </w:r>
      <w:r w:rsidR="133DEAC3" w:rsidRPr="3869C4D0">
        <w:rPr>
          <w:rFonts w:ascii="Arial" w:hAnsi="Arial" w:cs="Arial"/>
        </w:rPr>
        <w:t xml:space="preserve"> recove</w:t>
      </w:r>
      <w:r w:rsidR="28507DE9" w:rsidRPr="3869C4D0">
        <w:rPr>
          <w:rFonts w:ascii="Arial" w:hAnsi="Arial" w:cs="Arial"/>
        </w:rPr>
        <w:t>rs</w:t>
      </w:r>
      <w:r w:rsidR="133DEAC3" w:rsidRPr="3869C4D0">
        <w:rPr>
          <w:rFonts w:ascii="Arial" w:hAnsi="Arial" w:cs="Arial"/>
        </w:rPr>
        <w:t xml:space="preserve"> from the impact of COVID-19</w:t>
      </w:r>
      <w:r w:rsidR="7628D3E9" w:rsidRPr="3869C4D0">
        <w:rPr>
          <w:rFonts w:ascii="Arial" w:hAnsi="Arial" w:cs="Arial"/>
        </w:rPr>
        <w:t xml:space="preserve"> and resulting changes in the way consumers and merchants transact</w:t>
      </w:r>
      <w:r w:rsidR="0E18A709" w:rsidRPr="3869C4D0">
        <w:rPr>
          <w:rFonts w:ascii="Arial" w:hAnsi="Arial" w:cs="Arial"/>
        </w:rPr>
        <w:t xml:space="preserve">.  </w:t>
      </w:r>
    </w:p>
    <w:p w14:paraId="27FDFB0A" w14:textId="77777777" w:rsidR="003859D4" w:rsidRDefault="003859D4" w:rsidP="00645486">
      <w:pPr>
        <w:tabs>
          <w:tab w:val="num" w:pos="720"/>
        </w:tabs>
        <w:jc w:val="both"/>
        <w:rPr>
          <w:rFonts w:ascii="Arial" w:hAnsi="Arial" w:cs="Arial"/>
          <w:szCs w:val="20"/>
        </w:rPr>
      </w:pPr>
    </w:p>
    <w:p w14:paraId="476E5B85" w14:textId="18ED5396" w:rsidR="00C27B36" w:rsidRPr="001A41A1" w:rsidRDefault="0039449E" w:rsidP="00645486">
      <w:pPr>
        <w:tabs>
          <w:tab w:val="num" w:pos="720"/>
        </w:tabs>
        <w:jc w:val="both"/>
        <w:rPr>
          <w:rFonts w:ascii="Arial" w:hAnsi="Arial" w:cs="Arial"/>
        </w:rPr>
      </w:pPr>
      <w:r w:rsidRPr="2C7AD5DB">
        <w:rPr>
          <w:rFonts w:ascii="Arial" w:hAnsi="Arial" w:cs="Arial"/>
        </w:rPr>
        <w:t>The</w:t>
      </w:r>
      <w:r w:rsidR="003859D4" w:rsidRPr="2C7AD5DB">
        <w:rPr>
          <w:rFonts w:ascii="Arial" w:hAnsi="Arial" w:cs="Arial"/>
        </w:rPr>
        <w:t xml:space="preserve"> Bank </w:t>
      </w:r>
      <w:r w:rsidRPr="2C7AD5DB">
        <w:rPr>
          <w:rFonts w:ascii="Arial" w:hAnsi="Arial" w:cs="Arial"/>
        </w:rPr>
        <w:t>has</w:t>
      </w:r>
      <w:r w:rsidR="003859D4" w:rsidRPr="2C7AD5DB">
        <w:rPr>
          <w:rFonts w:ascii="Arial" w:hAnsi="Arial" w:cs="Arial"/>
        </w:rPr>
        <w:t xml:space="preserve"> identif</w:t>
      </w:r>
      <w:r w:rsidRPr="2C7AD5DB">
        <w:rPr>
          <w:rFonts w:ascii="Arial" w:hAnsi="Arial" w:cs="Arial"/>
        </w:rPr>
        <w:t>ied</w:t>
      </w:r>
      <w:r w:rsidR="003859D4" w:rsidRPr="2C7AD5DB">
        <w:rPr>
          <w:rFonts w:ascii="Arial" w:hAnsi="Arial" w:cs="Arial"/>
        </w:rPr>
        <w:t xml:space="preserve"> in the Consultation Paper a number of competition issues that currently exist </w:t>
      </w:r>
      <w:r w:rsidR="009A0264">
        <w:rPr>
          <w:rFonts w:ascii="Arial" w:hAnsi="Arial" w:cs="Arial"/>
        </w:rPr>
        <w:t xml:space="preserve">and which must be addressed.  </w:t>
      </w:r>
    </w:p>
    <w:p w14:paraId="11D12248" w14:textId="2861914D" w:rsidR="003859D4" w:rsidRPr="001A41A1" w:rsidRDefault="003859D4" w:rsidP="00645486">
      <w:pPr>
        <w:tabs>
          <w:tab w:val="num" w:pos="720"/>
        </w:tabs>
        <w:jc w:val="both"/>
        <w:rPr>
          <w:rFonts w:ascii="Arial" w:hAnsi="Arial" w:cs="Arial"/>
        </w:rPr>
      </w:pPr>
    </w:p>
    <w:p w14:paraId="55947BCF" w14:textId="0CE1A5CB" w:rsidR="003859D4" w:rsidRDefault="003859D4" w:rsidP="00645486">
      <w:pPr>
        <w:tabs>
          <w:tab w:val="num" w:pos="720"/>
        </w:tabs>
        <w:jc w:val="both"/>
        <w:rPr>
          <w:rFonts w:ascii="Arial" w:hAnsi="Arial" w:cs="Arial"/>
        </w:rPr>
      </w:pPr>
      <w:r w:rsidRPr="2C7AD5DB">
        <w:rPr>
          <w:rFonts w:ascii="Arial" w:hAnsi="Arial" w:cs="Arial"/>
        </w:rPr>
        <w:t xml:space="preserve">We encourage the Bank to take the necessary regulatory actions now, based on </w:t>
      </w:r>
      <w:r w:rsidR="0044240B">
        <w:rPr>
          <w:rFonts w:ascii="Arial" w:hAnsi="Arial" w:cs="Arial"/>
        </w:rPr>
        <w:t>its</w:t>
      </w:r>
      <w:r w:rsidR="0044240B" w:rsidRPr="2C7AD5DB">
        <w:rPr>
          <w:rFonts w:ascii="Arial" w:hAnsi="Arial" w:cs="Arial"/>
        </w:rPr>
        <w:t xml:space="preserve"> </w:t>
      </w:r>
      <w:r w:rsidRPr="2C7AD5DB">
        <w:rPr>
          <w:rFonts w:ascii="Arial" w:hAnsi="Arial" w:cs="Arial"/>
        </w:rPr>
        <w:t xml:space="preserve">core </w:t>
      </w:r>
      <w:r w:rsidR="00CA3D9D">
        <w:rPr>
          <w:rFonts w:ascii="Arial" w:hAnsi="Arial" w:cs="Arial"/>
        </w:rPr>
        <w:t>responsibility</w:t>
      </w:r>
      <w:r w:rsidR="00CA3D9D" w:rsidRPr="2C7AD5DB">
        <w:rPr>
          <w:rFonts w:ascii="Arial" w:hAnsi="Arial" w:cs="Arial"/>
        </w:rPr>
        <w:t xml:space="preserve"> </w:t>
      </w:r>
      <w:r w:rsidRPr="2C7AD5DB">
        <w:rPr>
          <w:rFonts w:ascii="Arial" w:hAnsi="Arial" w:cs="Arial"/>
        </w:rPr>
        <w:t xml:space="preserve">of </w:t>
      </w:r>
      <w:r w:rsidR="0044240B">
        <w:rPr>
          <w:rFonts w:ascii="Arial" w:hAnsi="Arial" w:cs="Arial"/>
        </w:rPr>
        <w:t>promoting</w:t>
      </w:r>
      <w:r w:rsidR="0044240B" w:rsidRPr="2C7AD5DB">
        <w:rPr>
          <w:rFonts w:ascii="Arial" w:hAnsi="Arial" w:cs="Arial"/>
        </w:rPr>
        <w:t xml:space="preserve"> </w:t>
      </w:r>
      <w:r w:rsidRPr="2C7AD5DB">
        <w:rPr>
          <w:rFonts w:ascii="Arial" w:hAnsi="Arial" w:cs="Arial"/>
        </w:rPr>
        <w:t>competition</w:t>
      </w:r>
      <w:r w:rsidR="009621CB">
        <w:rPr>
          <w:rFonts w:ascii="Arial" w:hAnsi="Arial" w:cs="Arial"/>
        </w:rPr>
        <w:t xml:space="preserve"> and efficiency in the payments system to enable</w:t>
      </w:r>
      <w:r w:rsidRPr="2C7AD5DB">
        <w:rPr>
          <w:rFonts w:ascii="Arial" w:hAnsi="Arial" w:cs="Arial"/>
        </w:rPr>
        <w:t xml:space="preserve"> choice and the benefits of innovation in the digital economy.  </w:t>
      </w:r>
      <w:r w:rsidR="0039449E" w:rsidRPr="0034232F">
        <w:rPr>
          <w:rFonts w:ascii="Arial" w:hAnsi="Arial" w:cs="Arial"/>
        </w:rPr>
        <w:t xml:space="preserve">If immediate and effective </w:t>
      </w:r>
      <w:r w:rsidR="006C7067" w:rsidRPr="0034232F">
        <w:rPr>
          <w:rFonts w:ascii="Arial" w:hAnsi="Arial" w:cs="Arial"/>
        </w:rPr>
        <w:t xml:space="preserve">regulatory </w:t>
      </w:r>
      <w:r w:rsidR="0039449E" w:rsidRPr="0034232F">
        <w:rPr>
          <w:rFonts w:ascii="Arial" w:hAnsi="Arial" w:cs="Arial"/>
        </w:rPr>
        <w:t>action is not taken</w:t>
      </w:r>
      <w:r w:rsidR="006C7067" w:rsidRPr="0034232F">
        <w:rPr>
          <w:rFonts w:ascii="Arial" w:hAnsi="Arial" w:cs="Arial"/>
        </w:rPr>
        <w:t xml:space="preserve"> to support dual network debit cards (and form factors) (DNDC</w:t>
      </w:r>
      <w:r w:rsidR="006C7067" w:rsidRPr="0046424A">
        <w:rPr>
          <w:rFonts w:ascii="Arial" w:hAnsi="Arial" w:cs="Arial"/>
        </w:rPr>
        <w:t xml:space="preserve">) </w:t>
      </w:r>
      <w:r w:rsidR="006C7067" w:rsidRPr="007B624C">
        <w:rPr>
          <w:rFonts w:ascii="Arial" w:hAnsi="Arial" w:cs="Arial"/>
        </w:rPr>
        <w:t xml:space="preserve">for all issuers </w:t>
      </w:r>
      <w:r w:rsidR="006C7067" w:rsidRPr="0046424A">
        <w:rPr>
          <w:rFonts w:ascii="Arial" w:hAnsi="Arial" w:cs="Arial"/>
        </w:rPr>
        <w:t>and</w:t>
      </w:r>
      <w:r w:rsidR="006C7067" w:rsidRPr="0052215D">
        <w:rPr>
          <w:rFonts w:ascii="Arial" w:hAnsi="Arial" w:cs="Arial"/>
        </w:rPr>
        <w:t xml:space="preserve"> opt out least cost routing (LCR)</w:t>
      </w:r>
      <w:r w:rsidR="0039449E" w:rsidRPr="0052215D">
        <w:rPr>
          <w:rFonts w:ascii="Arial" w:hAnsi="Arial" w:cs="Arial"/>
        </w:rPr>
        <w:t xml:space="preserve">, </w:t>
      </w:r>
      <w:r w:rsidR="0039449E" w:rsidRPr="00874AC5">
        <w:rPr>
          <w:rFonts w:ascii="Arial" w:hAnsi="Arial" w:cs="Arial"/>
        </w:rPr>
        <w:t>i</w:t>
      </w:r>
      <w:r w:rsidR="0039449E" w:rsidRPr="0034232F">
        <w:rPr>
          <w:rFonts w:ascii="Arial" w:hAnsi="Arial" w:cs="Arial"/>
        </w:rPr>
        <w:t>t is highly likely that eftpos</w:t>
      </w:r>
      <w:r w:rsidR="00523EDE" w:rsidRPr="0034232F">
        <w:rPr>
          <w:rFonts w:ascii="Arial" w:hAnsi="Arial" w:cs="Arial"/>
        </w:rPr>
        <w:t>’</w:t>
      </w:r>
      <w:r w:rsidR="0039449E" w:rsidRPr="0034232F">
        <w:rPr>
          <w:rFonts w:ascii="Arial" w:hAnsi="Arial" w:cs="Arial"/>
        </w:rPr>
        <w:t xml:space="preserve"> </w:t>
      </w:r>
      <w:r w:rsidR="376DE281" w:rsidRPr="0034232F">
        <w:rPr>
          <w:rFonts w:ascii="Arial" w:hAnsi="Arial" w:cs="Arial"/>
        </w:rPr>
        <w:t xml:space="preserve">ability </w:t>
      </w:r>
      <w:r w:rsidR="0039449E" w:rsidRPr="0034232F">
        <w:rPr>
          <w:rFonts w:ascii="Arial" w:hAnsi="Arial" w:cs="Arial"/>
        </w:rPr>
        <w:t xml:space="preserve"> to </w:t>
      </w:r>
      <w:r w:rsidR="006C7067" w:rsidRPr="0034232F">
        <w:rPr>
          <w:rFonts w:ascii="Arial" w:hAnsi="Arial" w:cs="Arial"/>
        </w:rPr>
        <w:t xml:space="preserve">effectively </w:t>
      </w:r>
      <w:r w:rsidR="0039449E" w:rsidRPr="0034232F">
        <w:rPr>
          <w:rFonts w:ascii="Arial" w:hAnsi="Arial" w:cs="Arial"/>
        </w:rPr>
        <w:t xml:space="preserve">compete against the international card schemes </w:t>
      </w:r>
      <w:r w:rsidR="007261E7" w:rsidRPr="0034232F">
        <w:rPr>
          <w:rFonts w:ascii="Arial" w:hAnsi="Arial" w:cs="Arial"/>
        </w:rPr>
        <w:t xml:space="preserve">(ICS) </w:t>
      </w:r>
      <w:r w:rsidR="0039449E" w:rsidRPr="0034232F">
        <w:rPr>
          <w:rFonts w:ascii="Arial" w:hAnsi="Arial" w:cs="Arial"/>
        </w:rPr>
        <w:t xml:space="preserve">and </w:t>
      </w:r>
      <w:r w:rsidR="00400ABF">
        <w:rPr>
          <w:rFonts w:ascii="Arial" w:hAnsi="Arial" w:cs="Arial"/>
        </w:rPr>
        <w:t>wallet providers</w:t>
      </w:r>
      <w:r w:rsidR="00093BEE" w:rsidRPr="00B30B53">
        <w:rPr>
          <w:rFonts w:ascii="Arial" w:hAnsi="Arial" w:cs="Arial"/>
        </w:rPr>
        <w:t xml:space="preserve"> </w:t>
      </w:r>
      <w:r w:rsidR="63D6C6CD" w:rsidRPr="0034232F">
        <w:rPr>
          <w:rFonts w:ascii="Arial" w:hAnsi="Arial" w:cs="Arial"/>
        </w:rPr>
        <w:t>will be materially</w:t>
      </w:r>
      <w:r w:rsidR="4CD12694" w:rsidRPr="0034232F">
        <w:rPr>
          <w:rFonts w:ascii="Arial" w:hAnsi="Arial" w:cs="Arial"/>
        </w:rPr>
        <w:t xml:space="preserve"> and </w:t>
      </w:r>
      <w:r w:rsidR="63D6C6CD" w:rsidRPr="0034232F">
        <w:rPr>
          <w:rFonts w:ascii="Arial" w:hAnsi="Arial" w:cs="Arial"/>
        </w:rPr>
        <w:t>irre</w:t>
      </w:r>
      <w:r w:rsidR="00CB5B46" w:rsidRPr="0034232F">
        <w:rPr>
          <w:rFonts w:ascii="Arial" w:hAnsi="Arial" w:cs="Arial"/>
        </w:rPr>
        <w:t>v</w:t>
      </w:r>
      <w:r w:rsidR="63D6C6CD" w:rsidRPr="0034232F">
        <w:rPr>
          <w:rFonts w:ascii="Arial" w:hAnsi="Arial" w:cs="Arial"/>
        </w:rPr>
        <w:t>o</w:t>
      </w:r>
      <w:r w:rsidR="00CB5B46" w:rsidRPr="0034232F">
        <w:rPr>
          <w:rFonts w:ascii="Arial" w:hAnsi="Arial" w:cs="Arial"/>
        </w:rPr>
        <w:t>c</w:t>
      </w:r>
      <w:r w:rsidR="00874A29" w:rsidRPr="0034232F">
        <w:rPr>
          <w:rFonts w:ascii="Arial" w:hAnsi="Arial" w:cs="Arial"/>
        </w:rPr>
        <w:t>a</w:t>
      </w:r>
      <w:r w:rsidR="63D6C6CD" w:rsidRPr="0034232F">
        <w:rPr>
          <w:rFonts w:ascii="Arial" w:hAnsi="Arial" w:cs="Arial"/>
        </w:rPr>
        <w:t xml:space="preserve">bly </w:t>
      </w:r>
      <w:r w:rsidR="79A315AC" w:rsidRPr="0034232F">
        <w:rPr>
          <w:rFonts w:ascii="Arial" w:hAnsi="Arial" w:cs="Arial"/>
        </w:rPr>
        <w:t>restricted</w:t>
      </w:r>
      <w:r w:rsidR="0039449E" w:rsidRPr="0034232F">
        <w:rPr>
          <w:rFonts w:ascii="Arial" w:hAnsi="Arial" w:cs="Arial"/>
        </w:rPr>
        <w:t>, ultimately increasing transaction costs, particularly for smaller merchants, to the financial detriment of Australian consumers</w:t>
      </w:r>
      <w:r w:rsidRPr="2C7AD5DB">
        <w:rPr>
          <w:rFonts w:ascii="Arial" w:hAnsi="Arial" w:cs="Arial"/>
        </w:rPr>
        <w:t xml:space="preserve">. </w:t>
      </w:r>
    </w:p>
    <w:p w14:paraId="47A20249" w14:textId="77777777" w:rsidR="00400ABF" w:rsidRPr="001A41A1" w:rsidRDefault="00400ABF" w:rsidP="00645486">
      <w:pPr>
        <w:tabs>
          <w:tab w:val="num" w:pos="720"/>
        </w:tabs>
        <w:jc w:val="both"/>
        <w:rPr>
          <w:rFonts w:ascii="Arial" w:hAnsi="Arial" w:cs="Arial"/>
        </w:rPr>
      </w:pPr>
    </w:p>
    <w:p w14:paraId="3C5E917C" w14:textId="18E5951B" w:rsidR="003859D4" w:rsidRDefault="0083118B" w:rsidP="00645486">
      <w:pPr>
        <w:tabs>
          <w:tab w:val="num" w:pos="720"/>
        </w:tabs>
        <w:jc w:val="both"/>
        <w:rPr>
          <w:rFonts w:ascii="Arial" w:hAnsi="Arial" w:cs="Arial"/>
        </w:rPr>
      </w:pPr>
      <w:r w:rsidRPr="005F76C1">
        <w:rPr>
          <w:rFonts w:ascii="Arial" w:hAnsi="Arial" w:cs="Arial"/>
        </w:rPr>
        <w:t>In asking the Bank to consider these regulatory actions, eftpos is not asking for special treatment but simply requesting that the Bank create a level playing field and promotes competition as per its charter and responsibilities</w:t>
      </w:r>
      <w:r>
        <w:rPr>
          <w:rFonts w:ascii="Arial" w:hAnsi="Arial" w:cs="Arial"/>
        </w:rPr>
        <w:t>.</w:t>
      </w:r>
    </w:p>
    <w:p w14:paraId="7F9BFEC7" w14:textId="77777777" w:rsidR="00511F75" w:rsidRDefault="00511F75">
      <w:pPr>
        <w:spacing w:after="120"/>
        <w:rPr>
          <w:rFonts w:ascii="Arial" w:hAnsi="Arial" w:cs="Arial"/>
          <w:b/>
          <w:bCs/>
          <w:szCs w:val="20"/>
          <w:u w:val="single"/>
        </w:rPr>
      </w:pPr>
      <w:r>
        <w:rPr>
          <w:rFonts w:ascii="Arial" w:hAnsi="Arial" w:cs="Arial"/>
          <w:b/>
          <w:bCs/>
          <w:szCs w:val="20"/>
          <w:u w:val="single"/>
        </w:rPr>
        <w:br w:type="page"/>
      </w:r>
    </w:p>
    <w:p w14:paraId="1300215C" w14:textId="1EC4D13E" w:rsidR="003859D4" w:rsidRPr="001A41A1" w:rsidRDefault="003859D4" w:rsidP="00645486">
      <w:pPr>
        <w:jc w:val="both"/>
        <w:rPr>
          <w:rFonts w:ascii="Arial" w:hAnsi="Arial" w:cs="Arial"/>
          <w:b/>
          <w:bCs/>
          <w:szCs w:val="20"/>
          <w:u w:val="single"/>
        </w:rPr>
      </w:pPr>
      <w:r w:rsidRPr="001A41A1">
        <w:rPr>
          <w:rFonts w:ascii="Arial" w:hAnsi="Arial" w:cs="Arial"/>
          <w:b/>
          <w:bCs/>
          <w:szCs w:val="20"/>
          <w:u w:val="single"/>
        </w:rPr>
        <w:lastRenderedPageBreak/>
        <w:t>eftpos response</w:t>
      </w:r>
    </w:p>
    <w:p w14:paraId="070C7BB3" w14:textId="77777777" w:rsidR="003859D4" w:rsidRPr="00C068BC" w:rsidRDefault="003859D4" w:rsidP="00645486">
      <w:pPr>
        <w:jc w:val="both"/>
        <w:rPr>
          <w:rFonts w:ascii="Arial" w:hAnsi="Arial" w:cs="Arial"/>
          <w:szCs w:val="20"/>
        </w:rPr>
      </w:pPr>
      <w:r w:rsidRPr="00C068BC">
        <w:rPr>
          <w:rFonts w:ascii="Arial" w:hAnsi="Arial" w:cs="Arial"/>
          <w:szCs w:val="20"/>
        </w:rPr>
        <w:t>This response is in parts:</w:t>
      </w:r>
    </w:p>
    <w:p w14:paraId="04F23B20" w14:textId="1FA87E22" w:rsidR="003859D4" w:rsidRPr="00397D43" w:rsidRDefault="003859D4" w:rsidP="00645486">
      <w:pPr>
        <w:pStyle w:val="ListParagraph"/>
        <w:numPr>
          <w:ilvl w:val="0"/>
          <w:numId w:val="14"/>
        </w:numPr>
        <w:spacing w:after="0" w:line="240" w:lineRule="auto"/>
        <w:jc w:val="both"/>
        <w:rPr>
          <w:rFonts w:ascii="Arial" w:hAnsi="Arial" w:cs="Arial"/>
          <w:szCs w:val="20"/>
        </w:rPr>
      </w:pPr>
      <w:r w:rsidRPr="00C068BC">
        <w:rPr>
          <w:rFonts w:ascii="Arial" w:hAnsi="Arial" w:cs="Arial"/>
          <w:szCs w:val="20"/>
        </w:rPr>
        <w:t xml:space="preserve">Part A – </w:t>
      </w:r>
      <w:r>
        <w:rPr>
          <w:rFonts w:ascii="Arial" w:hAnsi="Arial" w:cs="Arial"/>
          <w:szCs w:val="20"/>
        </w:rPr>
        <w:t>eftpos</w:t>
      </w:r>
      <w:r w:rsidR="00B74A26">
        <w:rPr>
          <w:rFonts w:ascii="Arial" w:hAnsi="Arial" w:cs="Arial"/>
          <w:szCs w:val="20"/>
        </w:rPr>
        <w:t>’</w:t>
      </w:r>
      <w:r>
        <w:rPr>
          <w:rFonts w:ascii="Arial" w:hAnsi="Arial" w:cs="Arial"/>
          <w:szCs w:val="20"/>
        </w:rPr>
        <w:t xml:space="preserve"> </w:t>
      </w:r>
      <w:r w:rsidRPr="00397D43">
        <w:rPr>
          <w:rFonts w:ascii="Arial" w:hAnsi="Arial" w:cs="Arial"/>
          <w:szCs w:val="20"/>
        </w:rPr>
        <w:t>position statement</w:t>
      </w:r>
    </w:p>
    <w:p w14:paraId="5BD2FDD6" w14:textId="6B914876" w:rsidR="003859D4" w:rsidRPr="00397D43" w:rsidRDefault="003859D4" w:rsidP="00645486">
      <w:pPr>
        <w:pStyle w:val="ListParagraph"/>
        <w:numPr>
          <w:ilvl w:val="0"/>
          <w:numId w:val="14"/>
        </w:numPr>
        <w:spacing w:after="0" w:line="240" w:lineRule="auto"/>
        <w:jc w:val="both"/>
        <w:rPr>
          <w:rFonts w:ascii="Arial" w:hAnsi="Arial" w:cs="Arial"/>
          <w:szCs w:val="20"/>
        </w:rPr>
      </w:pPr>
      <w:r w:rsidRPr="00397D43">
        <w:rPr>
          <w:rFonts w:ascii="Arial" w:hAnsi="Arial" w:cs="Arial"/>
          <w:szCs w:val="20"/>
        </w:rPr>
        <w:t xml:space="preserve">Part B </w:t>
      </w:r>
      <w:r w:rsidR="00CC7A85" w:rsidRPr="00397D43">
        <w:rPr>
          <w:rFonts w:ascii="Arial" w:hAnsi="Arial" w:cs="Arial"/>
          <w:szCs w:val="20"/>
        </w:rPr>
        <w:t>–</w:t>
      </w:r>
      <w:r w:rsidRPr="00397D43">
        <w:rPr>
          <w:rFonts w:ascii="Arial" w:hAnsi="Arial" w:cs="Arial"/>
          <w:szCs w:val="20"/>
        </w:rPr>
        <w:t xml:space="preserve"> eftpos’ response to the consultation options in the Consultation Paper  </w:t>
      </w:r>
    </w:p>
    <w:p w14:paraId="4860D1F5" w14:textId="28AD9F58" w:rsidR="003859D4" w:rsidRPr="0009122E" w:rsidRDefault="003859D4" w:rsidP="00645486">
      <w:pPr>
        <w:pStyle w:val="ListParagraph"/>
        <w:numPr>
          <w:ilvl w:val="0"/>
          <w:numId w:val="14"/>
        </w:numPr>
        <w:spacing w:after="0" w:line="240" w:lineRule="auto"/>
        <w:jc w:val="both"/>
        <w:rPr>
          <w:rFonts w:ascii="Arial" w:hAnsi="Arial" w:cs="Arial"/>
        </w:rPr>
      </w:pPr>
      <w:r w:rsidRPr="002C7782">
        <w:rPr>
          <w:rFonts w:ascii="Arial" w:hAnsi="Arial" w:cs="Arial"/>
        </w:rPr>
        <w:t xml:space="preserve">Part C – Report by </w:t>
      </w:r>
      <w:r w:rsidR="0019360A">
        <w:rPr>
          <w:rFonts w:ascii="Arial" w:hAnsi="Arial" w:cs="Arial"/>
        </w:rPr>
        <w:t xml:space="preserve">Dr </w:t>
      </w:r>
      <w:r w:rsidRPr="002C7782">
        <w:rPr>
          <w:rFonts w:ascii="Arial" w:hAnsi="Arial" w:cs="Arial"/>
        </w:rPr>
        <w:t>Alistair Davey of Pegasus Economics</w:t>
      </w:r>
      <w:r w:rsidR="0019360A">
        <w:rPr>
          <w:rFonts w:ascii="Arial" w:hAnsi="Arial" w:cs="Arial"/>
        </w:rPr>
        <w:t>, July 2021</w:t>
      </w:r>
      <w:r w:rsidR="0006228C" w:rsidRPr="002C7782">
        <w:rPr>
          <w:rStyle w:val="FootnoteReference"/>
          <w:rFonts w:ascii="Arial" w:hAnsi="Arial" w:cs="Arial"/>
        </w:rPr>
        <w:footnoteReference w:id="3"/>
      </w:r>
      <w:r w:rsidRPr="002C7782">
        <w:rPr>
          <w:rFonts w:ascii="Arial" w:hAnsi="Arial" w:cs="Arial"/>
        </w:rPr>
        <w:t xml:space="preserve"> on the economic analysis of the </w:t>
      </w:r>
      <w:r w:rsidRPr="0009122E">
        <w:rPr>
          <w:rFonts w:ascii="Arial" w:hAnsi="Arial" w:cs="Arial"/>
        </w:rPr>
        <w:t>effects:</w:t>
      </w:r>
    </w:p>
    <w:p w14:paraId="45638E54" w14:textId="77777777" w:rsidR="003859D4" w:rsidRPr="0009122E" w:rsidRDefault="003859D4" w:rsidP="00645486">
      <w:pPr>
        <w:pStyle w:val="ListParagraph"/>
        <w:numPr>
          <w:ilvl w:val="1"/>
          <w:numId w:val="14"/>
        </w:numPr>
        <w:spacing w:after="0" w:line="240" w:lineRule="auto"/>
        <w:jc w:val="both"/>
        <w:rPr>
          <w:rFonts w:ascii="Arial" w:eastAsiaTheme="minorHAnsi" w:hAnsi="Arial" w:cs="Arial"/>
          <w:szCs w:val="20"/>
        </w:rPr>
      </w:pPr>
      <w:r w:rsidRPr="0009122E">
        <w:rPr>
          <w:rFonts w:ascii="Arial" w:hAnsi="Arial" w:cs="Arial"/>
          <w:szCs w:val="20"/>
        </w:rPr>
        <w:t>of the combination of the proposed conclusions on</w:t>
      </w:r>
      <w:r w:rsidRPr="0009122E">
        <w:rPr>
          <w:rFonts w:ascii="Arial" w:eastAsiaTheme="minorHAnsi" w:hAnsi="Arial" w:cs="Arial"/>
          <w:szCs w:val="20"/>
        </w:rPr>
        <w:t xml:space="preserve"> merchants and the broader economy; and</w:t>
      </w:r>
    </w:p>
    <w:p w14:paraId="1757FCB1" w14:textId="77777777" w:rsidR="003859D4" w:rsidRPr="00020566" w:rsidRDefault="003859D4" w:rsidP="00645486">
      <w:pPr>
        <w:pStyle w:val="ListParagraph"/>
        <w:numPr>
          <w:ilvl w:val="1"/>
          <w:numId w:val="14"/>
        </w:numPr>
        <w:spacing w:after="0" w:line="240" w:lineRule="auto"/>
        <w:jc w:val="both"/>
        <w:rPr>
          <w:rFonts w:ascii="Arial" w:hAnsi="Arial" w:cs="Arial"/>
          <w:szCs w:val="20"/>
        </w:rPr>
      </w:pPr>
      <w:r w:rsidRPr="0009122E">
        <w:rPr>
          <w:rFonts w:ascii="Arial" w:eastAsiaTheme="minorHAnsi" w:hAnsi="Arial" w:cs="Arial"/>
          <w:szCs w:val="20"/>
        </w:rPr>
        <w:t>on merchants and the broader economy if eftpos ceased to exist</w:t>
      </w:r>
      <w:r w:rsidRPr="0009122E">
        <w:rPr>
          <w:rFonts w:ascii="Arial" w:hAnsi="Arial" w:cs="Arial"/>
          <w:szCs w:val="20"/>
        </w:rPr>
        <w:t>, which is a real possibility as a result of the combination of the proposed conclusions.</w:t>
      </w:r>
    </w:p>
    <w:p w14:paraId="2585D36A" w14:textId="77777777" w:rsidR="003859D4" w:rsidRDefault="003859D4" w:rsidP="00645486">
      <w:pPr>
        <w:tabs>
          <w:tab w:val="num" w:pos="720"/>
        </w:tabs>
        <w:jc w:val="both"/>
        <w:rPr>
          <w:rFonts w:ascii="Arial" w:hAnsi="Arial" w:cs="Arial"/>
          <w:szCs w:val="20"/>
        </w:rPr>
      </w:pPr>
    </w:p>
    <w:p w14:paraId="1A0C5D6E" w14:textId="77777777" w:rsidR="003859D4" w:rsidRDefault="003859D4" w:rsidP="00645486">
      <w:pPr>
        <w:tabs>
          <w:tab w:val="num" w:pos="720"/>
        </w:tabs>
        <w:jc w:val="both"/>
        <w:rPr>
          <w:rFonts w:ascii="Arial" w:hAnsi="Arial" w:cs="Arial"/>
          <w:szCs w:val="20"/>
        </w:rPr>
      </w:pPr>
      <w:r w:rsidRPr="00123BF4">
        <w:rPr>
          <w:rFonts w:ascii="Arial" w:hAnsi="Arial" w:cs="Arial"/>
          <w:szCs w:val="20"/>
        </w:rPr>
        <w:t>This submission should be read in conjunction with eftpos’ submission on the Issues Paper dated 31 January 2020</w:t>
      </w:r>
      <w:r>
        <w:rPr>
          <w:rFonts w:ascii="Arial" w:hAnsi="Arial" w:cs="Arial"/>
          <w:szCs w:val="20"/>
        </w:rPr>
        <w:t xml:space="preserve"> (Original Submission)</w:t>
      </w:r>
      <w:r w:rsidRPr="00123BF4">
        <w:rPr>
          <w:rFonts w:ascii="Arial" w:hAnsi="Arial" w:cs="Arial"/>
          <w:szCs w:val="20"/>
        </w:rPr>
        <w:t>.</w:t>
      </w:r>
    </w:p>
    <w:p w14:paraId="67690938" w14:textId="77777777" w:rsidR="003859D4" w:rsidRDefault="003859D4" w:rsidP="00645486">
      <w:pPr>
        <w:tabs>
          <w:tab w:val="num" w:pos="720"/>
        </w:tabs>
        <w:jc w:val="both"/>
        <w:rPr>
          <w:rFonts w:ascii="Arial" w:hAnsi="Arial" w:cs="Arial"/>
          <w:szCs w:val="20"/>
        </w:rPr>
      </w:pPr>
    </w:p>
    <w:p w14:paraId="43939564" w14:textId="17489B75" w:rsidR="003859D4" w:rsidRDefault="007C2DE0" w:rsidP="00645486">
      <w:pPr>
        <w:tabs>
          <w:tab w:val="num" w:pos="720"/>
        </w:tabs>
        <w:jc w:val="both"/>
        <w:rPr>
          <w:rFonts w:ascii="Arial" w:hAnsi="Arial" w:cs="Arial"/>
          <w:szCs w:val="20"/>
        </w:rPr>
      </w:pPr>
      <w:r>
        <w:rPr>
          <w:rFonts w:ascii="Arial" w:hAnsi="Arial" w:cs="Arial"/>
          <w:szCs w:val="20"/>
        </w:rPr>
        <w:t>e</w:t>
      </w:r>
      <w:r w:rsidR="003859D4">
        <w:rPr>
          <w:rFonts w:ascii="Arial" w:hAnsi="Arial" w:cs="Arial"/>
          <w:szCs w:val="20"/>
        </w:rPr>
        <w:t xml:space="preserve">ftpos </w:t>
      </w:r>
      <w:r w:rsidR="006C7067">
        <w:rPr>
          <w:rFonts w:ascii="Arial" w:hAnsi="Arial" w:cs="Arial"/>
          <w:szCs w:val="20"/>
        </w:rPr>
        <w:t>looks forward to meeting</w:t>
      </w:r>
      <w:r w:rsidR="003859D4">
        <w:rPr>
          <w:rFonts w:ascii="Arial" w:hAnsi="Arial" w:cs="Arial"/>
          <w:szCs w:val="20"/>
        </w:rPr>
        <w:t xml:space="preserve"> with the Bank to discuss any matter in this submission.</w:t>
      </w:r>
    </w:p>
    <w:p w14:paraId="0FD6F453" w14:textId="77777777" w:rsidR="003859D4" w:rsidRDefault="003859D4" w:rsidP="00645486">
      <w:pPr>
        <w:tabs>
          <w:tab w:val="num" w:pos="720"/>
        </w:tabs>
        <w:jc w:val="both"/>
        <w:rPr>
          <w:rFonts w:ascii="Arial" w:hAnsi="Arial" w:cs="Arial"/>
          <w:szCs w:val="20"/>
        </w:rPr>
      </w:pPr>
    </w:p>
    <w:p w14:paraId="08326EA5" w14:textId="77777777" w:rsidR="00482C17" w:rsidRDefault="00482C17" w:rsidP="00645486">
      <w:pPr>
        <w:tabs>
          <w:tab w:val="num" w:pos="720"/>
        </w:tabs>
        <w:jc w:val="both"/>
        <w:rPr>
          <w:rFonts w:ascii="Arial" w:hAnsi="Arial" w:cs="Arial"/>
          <w:szCs w:val="20"/>
        </w:rPr>
      </w:pPr>
    </w:p>
    <w:p w14:paraId="4467C335" w14:textId="633F2319" w:rsidR="003859D4" w:rsidRDefault="003859D4" w:rsidP="00645486">
      <w:pPr>
        <w:tabs>
          <w:tab w:val="num" w:pos="720"/>
        </w:tabs>
        <w:jc w:val="both"/>
        <w:rPr>
          <w:rFonts w:ascii="Arial" w:hAnsi="Arial" w:cs="Arial"/>
          <w:szCs w:val="20"/>
        </w:rPr>
      </w:pPr>
      <w:r>
        <w:rPr>
          <w:rFonts w:ascii="Arial" w:hAnsi="Arial" w:cs="Arial"/>
          <w:szCs w:val="20"/>
        </w:rPr>
        <w:t>Yours faithfully</w:t>
      </w:r>
    </w:p>
    <w:p w14:paraId="5BB8A4CA" w14:textId="11CB6D63" w:rsidR="003859D4" w:rsidRDefault="003859D4" w:rsidP="00645486">
      <w:pPr>
        <w:tabs>
          <w:tab w:val="num" w:pos="720"/>
        </w:tabs>
        <w:jc w:val="both"/>
        <w:rPr>
          <w:rFonts w:ascii="Arial" w:hAnsi="Arial" w:cs="Arial"/>
          <w:szCs w:val="20"/>
        </w:rPr>
      </w:pPr>
    </w:p>
    <w:p w14:paraId="44302058" w14:textId="05559E59" w:rsidR="00482C17" w:rsidRDefault="00482C17" w:rsidP="00645486">
      <w:pPr>
        <w:tabs>
          <w:tab w:val="num" w:pos="720"/>
        </w:tabs>
        <w:jc w:val="both"/>
        <w:rPr>
          <w:rFonts w:ascii="Arial" w:hAnsi="Arial" w:cs="Arial"/>
          <w:szCs w:val="20"/>
        </w:rPr>
      </w:pPr>
    </w:p>
    <w:p w14:paraId="40A86FA8" w14:textId="77777777" w:rsidR="00482C17" w:rsidRDefault="00482C17" w:rsidP="00645486">
      <w:pPr>
        <w:tabs>
          <w:tab w:val="num" w:pos="720"/>
        </w:tabs>
        <w:jc w:val="both"/>
        <w:rPr>
          <w:rFonts w:ascii="Arial" w:hAnsi="Arial" w:cs="Arial"/>
          <w:szCs w:val="20"/>
        </w:rPr>
      </w:pPr>
    </w:p>
    <w:p w14:paraId="780D8207" w14:textId="0E8455A0" w:rsidR="00D340A4" w:rsidRDefault="003859D4" w:rsidP="00511F75">
      <w:pPr>
        <w:tabs>
          <w:tab w:val="num" w:pos="720"/>
        </w:tabs>
        <w:rPr>
          <w:rFonts w:ascii="Arial" w:hAnsi="Arial" w:cs="Arial"/>
          <w:b/>
          <w:bCs/>
          <w:szCs w:val="20"/>
        </w:rPr>
        <w:sectPr w:rsidR="00D340A4" w:rsidSect="00511F75">
          <w:headerReference w:type="even" r:id="rId13"/>
          <w:headerReference w:type="default" r:id="rId14"/>
          <w:footerReference w:type="even" r:id="rId15"/>
          <w:footerReference w:type="default" r:id="rId16"/>
          <w:headerReference w:type="first" r:id="rId17"/>
          <w:footerReference w:type="first" r:id="rId18"/>
          <w:type w:val="continuous"/>
          <w:pgSz w:w="11907" w:h="16840" w:code="9"/>
          <w:pgMar w:top="720" w:right="720" w:bottom="720" w:left="720" w:header="1701" w:footer="851" w:gutter="0"/>
          <w:cols w:space="720"/>
          <w:noEndnote/>
          <w:titlePg/>
          <w:docGrid w:linePitch="326"/>
        </w:sectPr>
      </w:pPr>
      <w:r w:rsidRPr="006B65AF">
        <w:rPr>
          <w:rFonts w:ascii="Arial" w:hAnsi="Arial" w:cs="Arial"/>
          <w:b/>
          <w:bCs/>
          <w:szCs w:val="20"/>
        </w:rPr>
        <w:t>Stephen Benton</w:t>
      </w:r>
      <w:r w:rsidR="00482C17">
        <w:rPr>
          <w:rFonts w:ascii="Arial" w:hAnsi="Arial" w:cs="Arial"/>
          <w:b/>
          <w:bCs/>
          <w:szCs w:val="20"/>
        </w:rPr>
        <w:br/>
      </w:r>
      <w:r>
        <w:rPr>
          <w:rFonts w:ascii="Arial" w:hAnsi="Arial" w:cs="Arial"/>
          <w:b/>
          <w:bCs/>
          <w:szCs w:val="20"/>
        </w:rPr>
        <w:t>Chief Executive Officer</w:t>
      </w:r>
    </w:p>
    <w:p w14:paraId="5BBA428A" w14:textId="77777777" w:rsidR="008B1878" w:rsidRDefault="008B1878" w:rsidP="00645486">
      <w:pPr>
        <w:tabs>
          <w:tab w:val="num" w:pos="720"/>
        </w:tabs>
        <w:jc w:val="both"/>
        <w:rPr>
          <w:rFonts w:ascii="Arial" w:hAnsi="Arial" w:cs="Arial"/>
          <w:b/>
          <w:bCs/>
        </w:rPr>
        <w:sectPr w:rsidR="008B1878" w:rsidSect="00993A9F">
          <w:type w:val="continuous"/>
          <w:pgSz w:w="11907" w:h="16840" w:code="9"/>
          <w:pgMar w:top="2835" w:right="851" w:bottom="851" w:left="851" w:header="1701" w:footer="851" w:gutter="0"/>
          <w:cols w:space="720"/>
          <w:noEndnote/>
          <w:docGrid w:linePitch="326"/>
        </w:sectPr>
      </w:pPr>
    </w:p>
    <w:p w14:paraId="3B650461" w14:textId="650A6B10" w:rsidR="00D340A4" w:rsidRPr="00883CA8" w:rsidRDefault="00D340A4" w:rsidP="00645486">
      <w:pPr>
        <w:tabs>
          <w:tab w:val="num" w:pos="720"/>
        </w:tabs>
        <w:jc w:val="both"/>
        <w:rPr>
          <w:rFonts w:ascii="Arial" w:hAnsi="Arial" w:cs="Arial"/>
          <w:b/>
          <w:bCs/>
        </w:rPr>
      </w:pPr>
      <w:r w:rsidRPr="00883CA8">
        <w:rPr>
          <w:rFonts w:ascii="Arial" w:hAnsi="Arial" w:cs="Arial"/>
          <w:b/>
          <w:bCs/>
        </w:rPr>
        <w:lastRenderedPageBreak/>
        <w:t>Part A - eftpos position statement</w:t>
      </w:r>
    </w:p>
    <w:p w14:paraId="2D65DB33" w14:textId="77777777" w:rsidR="00D340A4" w:rsidRPr="001A41A1" w:rsidRDefault="00D340A4" w:rsidP="00645486">
      <w:pPr>
        <w:tabs>
          <w:tab w:val="num" w:pos="720"/>
        </w:tabs>
        <w:jc w:val="both"/>
        <w:rPr>
          <w:rFonts w:ascii="Arial" w:hAnsi="Arial" w:cs="Arial"/>
          <w:szCs w:val="20"/>
        </w:rPr>
      </w:pPr>
    </w:p>
    <w:p w14:paraId="379704D3" w14:textId="451DAD54" w:rsidR="00D340A4" w:rsidRDefault="00D340A4" w:rsidP="00645486">
      <w:pPr>
        <w:jc w:val="both"/>
        <w:rPr>
          <w:rFonts w:ascii="Arial" w:hAnsi="Arial" w:cs="Arial"/>
        </w:rPr>
      </w:pPr>
      <w:r w:rsidRPr="0DAB75B4">
        <w:rPr>
          <w:rFonts w:ascii="Arial" w:hAnsi="Arial" w:cs="Arial"/>
        </w:rPr>
        <w:t xml:space="preserve">With reference to the regulatory themes and policy rationale in our Original Submission, there are </w:t>
      </w:r>
      <w:r w:rsidR="00EE0B0F">
        <w:rPr>
          <w:rFonts w:ascii="Arial" w:hAnsi="Arial" w:cs="Arial"/>
        </w:rPr>
        <w:t>four</w:t>
      </w:r>
      <w:r w:rsidR="00EE0B0F" w:rsidRPr="0DAB75B4">
        <w:rPr>
          <w:rFonts w:ascii="Arial" w:hAnsi="Arial" w:cs="Arial"/>
        </w:rPr>
        <w:t xml:space="preserve"> </w:t>
      </w:r>
      <w:r w:rsidRPr="0DAB75B4">
        <w:rPr>
          <w:rFonts w:ascii="Arial" w:hAnsi="Arial" w:cs="Arial"/>
        </w:rPr>
        <w:t>fundamental areas in Australia’s payments system where regulatory action is urgently needed</w:t>
      </w:r>
      <w:r w:rsidR="00D83EB9">
        <w:rPr>
          <w:rFonts w:ascii="Arial" w:hAnsi="Arial" w:cs="Arial"/>
        </w:rPr>
        <w:t xml:space="preserve"> per below.</w:t>
      </w:r>
    </w:p>
    <w:p w14:paraId="28B5EDA0" w14:textId="493A577B" w:rsidR="00D83EB9" w:rsidRPr="006F55EC" w:rsidRDefault="00D83EB9" w:rsidP="00645486">
      <w:pPr>
        <w:spacing w:after="0" w:line="240" w:lineRule="auto"/>
        <w:jc w:val="both"/>
        <w:rPr>
          <w:rFonts w:ascii="Arial" w:hAnsi="Arial" w:cs="Arial"/>
        </w:rPr>
      </w:pPr>
      <w:r>
        <w:rPr>
          <w:rFonts w:ascii="Arial" w:hAnsi="Arial" w:cs="Arial"/>
        </w:rPr>
        <w:t xml:space="preserve">The Bank has identified conduct and issues impacting competition in the payment system.  The lack of competition adversely impacts innovation in the payment system and has detrimental impacts to the cost of payments, therefore adversely impacting the broader economy.  The fact of the conduct occurring indicates a regulatory failing and there are clear public interest benefits in regulating to address a recognised regulatory failing.  </w:t>
      </w:r>
    </w:p>
    <w:p w14:paraId="37A0EF90" w14:textId="77777777" w:rsidR="00D340A4" w:rsidRPr="006F55EC" w:rsidRDefault="00D340A4" w:rsidP="00645486">
      <w:pPr>
        <w:jc w:val="both"/>
        <w:rPr>
          <w:rFonts w:ascii="Arial" w:hAnsi="Arial" w:cs="Arial"/>
          <w:szCs w:val="20"/>
        </w:rPr>
      </w:pPr>
    </w:p>
    <w:p w14:paraId="503F78AF" w14:textId="6B12F0A4" w:rsidR="006B4BFB" w:rsidRPr="008B1878" w:rsidRDefault="4AF84364" w:rsidP="00A17156">
      <w:pPr>
        <w:pStyle w:val="ListParagraph"/>
        <w:numPr>
          <w:ilvl w:val="0"/>
          <w:numId w:val="30"/>
        </w:numPr>
        <w:spacing w:after="0" w:line="240" w:lineRule="auto"/>
        <w:rPr>
          <w:b/>
          <w:bCs/>
        </w:rPr>
      </w:pPr>
      <w:r w:rsidRPr="008B1878">
        <w:rPr>
          <w:rFonts w:ascii="Arial" w:eastAsia="Arial" w:hAnsi="Arial" w:cs="Arial"/>
          <w:b/>
          <w:bCs/>
          <w:sz w:val="22"/>
          <w:szCs w:val="22"/>
        </w:rPr>
        <w:t xml:space="preserve">Addressing anti-competitive behaviour </w:t>
      </w:r>
      <w:r w:rsidR="00104010" w:rsidRPr="008B1878">
        <w:rPr>
          <w:rFonts w:ascii="Arial" w:eastAsia="Arial" w:hAnsi="Arial" w:cs="Arial"/>
          <w:b/>
          <w:bCs/>
          <w:sz w:val="22"/>
          <w:szCs w:val="22"/>
        </w:rPr>
        <w:t>by prohibiting</w:t>
      </w:r>
      <w:r w:rsidRPr="008B1878">
        <w:rPr>
          <w:rFonts w:ascii="Arial" w:eastAsia="Arial" w:hAnsi="Arial" w:cs="Arial"/>
          <w:b/>
          <w:bCs/>
          <w:sz w:val="22"/>
          <w:szCs w:val="22"/>
        </w:rPr>
        <w:t xml:space="preserve"> specifications, rules</w:t>
      </w:r>
      <w:r w:rsidR="00104010" w:rsidRPr="008B1878">
        <w:rPr>
          <w:rFonts w:ascii="Arial" w:eastAsia="Arial" w:hAnsi="Arial" w:cs="Arial"/>
          <w:b/>
          <w:bCs/>
          <w:sz w:val="22"/>
          <w:szCs w:val="22"/>
        </w:rPr>
        <w:t xml:space="preserve">, </w:t>
      </w:r>
      <w:r w:rsidR="00734675" w:rsidRPr="008B1878">
        <w:rPr>
          <w:rFonts w:ascii="Arial" w:eastAsia="Arial" w:hAnsi="Arial" w:cs="Arial"/>
          <w:b/>
          <w:bCs/>
          <w:sz w:val="22"/>
          <w:szCs w:val="22"/>
        </w:rPr>
        <w:t>arrangements</w:t>
      </w:r>
      <w:r w:rsidRPr="008B1878">
        <w:rPr>
          <w:rFonts w:ascii="Arial" w:eastAsia="Arial" w:hAnsi="Arial" w:cs="Arial"/>
          <w:b/>
          <w:bCs/>
          <w:sz w:val="22"/>
          <w:szCs w:val="22"/>
        </w:rPr>
        <w:t xml:space="preserve"> </w:t>
      </w:r>
      <w:r w:rsidR="00104010" w:rsidRPr="008B1878">
        <w:rPr>
          <w:rFonts w:ascii="Arial" w:eastAsia="Arial" w:hAnsi="Arial" w:cs="Arial"/>
          <w:b/>
          <w:bCs/>
          <w:sz w:val="22"/>
          <w:szCs w:val="22"/>
        </w:rPr>
        <w:t xml:space="preserve">and fees </w:t>
      </w:r>
      <w:r w:rsidRPr="008B1878">
        <w:rPr>
          <w:rFonts w:ascii="Arial" w:eastAsia="Arial" w:hAnsi="Arial" w:cs="Arial"/>
          <w:b/>
          <w:bCs/>
          <w:sz w:val="22"/>
          <w:szCs w:val="22"/>
        </w:rPr>
        <w:t xml:space="preserve">that create barriers or prevent or delay a competitor from entering or scaling in a form factor or channel </w:t>
      </w:r>
    </w:p>
    <w:p w14:paraId="0843FF9F" w14:textId="77777777" w:rsidR="00AA6ADD" w:rsidRDefault="00AA6ADD" w:rsidP="00645486">
      <w:pPr>
        <w:spacing w:after="0" w:line="240" w:lineRule="auto"/>
        <w:jc w:val="both"/>
        <w:rPr>
          <w:rFonts w:ascii="Arial" w:hAnsi="Arial" w:cs="Arial"/>
        </w:rPr>
      </w:pPr>
    </w:p>
    <w:p w14:paraId="0B2465A5" w14:textId="722E49C0" w:rsidR="006B4BFB" w:rsidRDefault="003404C2" w:rsidP="00A17156">
      <w:pPr>
        <w:spacing w:after="0" w:line="240" w:lineRule="auto"/>
        <w:rPr>
          <w:rFonts w:ascii="Arial" w:hAnsi="Arial" w:cs="Arial"/>
        </w:rPr>
      </w:pPr>
      <w:r>
        <w:rPr>
          <w:rFonts w:ascii="Arial" w:hAnsi="Arial" w:cs="Arial"/>
        </w:rPr>
        <w:t>eftpos calls for p</w:t>
      </w:r>
      <w:r w:rsidR="006B4BFB" w:rsidRPr="0DAB75B4">
        <w:rPr>
          <w:rFonts w:ascii="Arial" w:hAnsi="Arial" w:cs="Arial"/>
        </w:rPr>
        <w:t>rinciples</w:t>
      </w:r>
      <w:r w:rsidR="00CB31BB" w:rsidRPr="0DAB75B4">
        <w:rPr>
          <w:rFonts w:ascii="Arial" w:hAnsi="Arial" w:cs="Arial"/>
        </w:rPr>
        <w:t>-</w:t>
      </w:r>
      <w:r w:rsidR="006B4BFB" w:rsidRPr="0DAB75B4">
        <w:rPr>
          <w:rFonts w:ascii="Arial" w:hAnsi="Arial" w:cs="Arial"/>
        </w:rPr>
        <w:t xml:space="preserve">based explicit regulation </w:t>
      </w:r>
      <w:r w:rsidR="00CB31BB" w:rsidRPr="0DAB75B4">
        <w:rPr>
          <w:rFonts w:ascii="Arial" w:hAnsi="Arial" w:cs="Arial"/>
        </w:rPr>
        <w:t xml:space="preserve">applicable to all designated payment systems </w:t>
      </w:r>
      <w:r w:rsidR="006B4BFB" w:rsidRPr="0DAB75B4">
        <w:rPr>
          <w:rFonts w:ascii="Arial" w:hAnsi="Arial" w:cs="Arial"/>
        </w:rPr>
        <w:t xml:space="preserve">via a Standard, that prohibits specifications, rules, </w:t>
      </w:r>
      <w:r w:rsidR="007F575E">
        <w:rPr>
          <w:rFonts w:ascii="Arial" w:hAnsi="Arial" w:cs="Arial"/>
        </w:rPr>
        <w:t xml:space="preserve">agreements </w:t>
      </w:r>
      <w:r w:rsidR="006B4BFB" w:rsidRPr="0DAB75B4">
        <w:rPr>
          <w:rFonts w:ascii="Arial" w:hAnsi="Arial" w:cs="Arial"/>
        </w:rPr>
        <w:t>fees or conduct that have an anti-competitive effect.</w:t>
      </w:r>
      <w:r w:rsidR="009771F1">
        <w:rPr>
          <w:rFonts w:ascii="Arial" w:hAnsi="Arial" w:cs="Arial"/>
        </w:rPr>
        <w:br/>
      </w:r>
    </w:p>
    <w:p w14:paraId="13352B06" w14:textId="0AD8EE07" w:rsidR="006B4BFB" w:rsidRDefault="006B4BFB" w:rsidP="00645486">
      <w:pPr>
        <w:pStyle w:val="ListParagraph"/>
        <w:numPr>
          <w:ilvl w:val="1"/>
          <w:numId w:val="30"/>
        </w:numPr>
        <w:spacing w:after="0" w:line="240" w:lineRule="auto"/>
        <w:jc w:val="both"/>
        <w:rPr>
          <w:rFonts w:ascii="Arial" w:hAnsi="Arial" w:cs="Arial"/>
        </w:rPr>
      </w:pPr>
      <w:r w:rsidRPr="0DAB75B4">
        <w:rPr>
          <w:rFonts w:ascii="Arial" w:hAnsi="Arial" w:cs="Arial"/>
        </w:rPr>
        <w:t>The conduct identified in the Consultation Paper should be expressly prohibited, for example:</w:t>
      </w:r>
    </w:p>
    <w:p w14:paraId="6F7B916D" w14:textId="7934F92D" w:rsidR="006B4BFB" w:rsidRDefault="006B4BFB" w:rsidP="00645486">
      <w:pPr>
        <w:pStyle w:val="ListParagraph"/>
        <w:numPr>
          <w:ilvl w:val="2"/>
          <w:numId w:val="30"/>
        </w:numPr>
        <w:spacing w:after="0" w:line="240" w:lineRule="auto"/>
        <w:jc w:val="both"/>
        <w:rPr>
          <w:rFonts w:ascii="Arial" w:hAnsi="Arial" w:cs="Arial"/>
        </w:rPr>
      </w:pPr>
      <w:r w:rsidRPr="0DAB75B4">
        <w:rPr>
          <w:rFonts w:ascii="Arial" w:hAnsi="Arial" w:cs="Arial"/>
        </w:rPr>
        <w:t>the tying conduct (whether or not it is tying interchange and fee discounts for tied volume of credit and debit or domestic and international);</w:t>
      </w:r>
    </w:p>
    <w:p w14:paraId="53E7D6BA" w14:textId="107EF7D1" w:rsidR="006B4BFB" w:rsidRDefault="006B4BFB" w:rsidP="00645486">
      <w:pPr>
        <w:pStyle w:val="ListParagraph"/>
        <w:numPr>
          <w:ilvl w:val="2"/>
          <w:numId w:val="30"/>
        </w:numPr>
        <w:spacing w:after="0" w:line="240" w:lineRule="auto"/>
        <w:jc w:val="both"/>
        <w:rPr>
          <w:rFonts w:ascii="Arial" w:hAnsi="Arial" w:cs="Arial"/>
        </w:rPr>
      </w:pPr>
      <w:r w:rsidRPr="0DAB75B4">
        <w:rPr>
          <w:rFonts w:ascii="Arial" w:hAnsi="Arial" w:cs="Arial"/>
        </w:rPr>
        <w:t>penalty scheme or transaction fees charged if a merchant exercises a right</w:t>
      </w:r>
      <w:r w:rsidR="00E63D8B">
        <w:rPr>
          <w:rFonts w:ascii="Arial" w:hAnsi="Arial" w:cs="Arial"/>
        </w:rPr>
        <w:t>, such as LCR</w:t>
      </w:r>
      <w:r w:rsidRPr="0DAB75B4">
        <w:rPr>
          <w:rFonts w:ascii="Arial" w:hAnsi="Arial" w:cs="Arial"/>
        </w:rPr>
        <w:t>;</w:t>
      </w:r>
    </w:p>
    <w:p w14:paraId="33F7FBAD" w14:textId="3B1DC42A" w:rsidR="006B4BFB" w:rsidRDefault="006B4BFB" w:rsidP="00645486">
      <w:pPr>
        <w:pStyle w:val="ListParagraph"/>
        <w:numPr>
          <w:ilvl w:val="2"/>
          <w:numId w:val="30"/>
        </w:numPr>
        <w:spacing w:after="0" w:line="240" w:lineRule="auto"/>
        <w:jc w:val="both"/>
        <w:rPr>
          <w:rFonts w:ascii="Arial" w:hAnsi="Arial" w:cs="Arial"/>
        </w:rPr>
      </w:pPr>
      <w:r w:rsidRPr="0DAB75B4">
        <w:rPr>
          <w:rFonts w:ascii="Arial" w:hAnsi="Arial" w:cs="Arial"/>
        </w:rPr>
        <w:t>specifications and rules that require priority or exclusivity or create barriers to a competitor entering or scaling or which are inconsistent with other regulations issued by the Bank;</w:t>
      </w:r>
    </w:p>
    <w:p w14:paraId="7FFB4AC8" w14:textId="4A607A76" w:rsidR="00EC62FC" w:rsidRPr="00E76E45" w:rsidRDefault="00EC62FC" w:rsidP="00645486">
      <w:pPr>
        <w:pStyle w:val="ListParagraph"/>
        <w:numPr>
          <w:ilvl w:val="2"/>
          <w:numId w:val="30"/>
        </w:numPr>
        <w:spacing w:after="0" w:line="240" w:lineRule="auto"/>
        <w:jc w:val="both"/>
        <w:rPr>
          <w:rFonts w:ascii="Arial" w:hAnsi="Arial" w:cs="Arial"/>
        </w:rPr>
      </w:pPr>
      <w:r w:rsidRPr="00E76E45">
        <w:rPr>
          <w:rFonts w:ascii="Arial" w:hAnsi="Arial" w:cs="Arial"/>
        </w:rPr>
        <w:t xml:space="preserve">pricing </w:t>
      </w:r>
      <w:r w:rsidR="00482C37" w:rsidRPr="00E76E45">
        <w:rPr>
          <w:rFonts w:ascii="Arial" w:hAnsi="Arial" w:cs="Arial"/>
        </w:rPr>
        <w:t xml:space="preserve">that </w:t>
      </w:r>
      <w:r w:rsidRPr="00E76E45">
        <w:rPr>
          <w:rFonts w:ascii="Arial" w:hAnsi="Arial" w:cs="Arial"/>
        </w:rPr>
        <w:t>disincentivise</w:t>
      </w:r>
      <w:r w:rsidR="00482C37" w:rsidRPr="00E76E45">
        <w:rPr>
          <w:rFonts w:ascii="Arial" w:hAnsi="Arial" w:cs="Arial"/>
        </w:rPr>
        <w:t>s</w:t>
      </w:r>
      <w:r w:rsidRPr="00E76E45">
        <w:rPr>
          <w:rFonts w:ascii="Arial" w:hAnsi="Arial" w:cs="Arial"/>
        </w:rPr>
        <w:t xml:space="preserve"> </w:t>
      </w:r>
      <w:r w:rsidR="00DB19FF" w:rsidRPr="00E76E45">
        <w:rPr>
          <w:rFonts w:ascii="Arial" w:hAnsi="Arial" w:cs="Arial"/>
        </w:rPr>
        <w:t xml:space="preserve">or penalises </w:t>
      </w:r>
      <w:r w:rsidRPr="00E76E45">
        <w:rPr>
          <w:rFonts w:ascii="Arial" w:hAnsi="Arial" w:cs="Arial"/>
        </w:rPr>
        <w:t>activation of competitive payment systems</w:t>
      </w:r>
      <w:r w:rsidR="00482C37" w:rsidRPr="00E76E45">
        <w:rPr>
          <w:rFonts w:ascii="Arial" w:hAnsi="Arial" w:cs="Arial"/>
        </w:rPr>
        <w:t xml:space="preserve"> in form factors or channels</w:t>
      </w:r>
      <w:r w:rsidRPr="00E76E45">
        <w:rPr>
          <w:rFonts w:ascii="Arial" w:hAnsi="Arial" w:cs="Arial"/>
        </w:rPr>
        <w:t>;</w:t>
      </w:r>
    </w:p>
    <w:p w14:paraId="2C8406E9" w14:textId="278D87C1" w:rsidR="00DA26C1" w:rsidRPr="006B4BFB" w:rsidRDefault="00DA26C1" w:rsidP="00645486">
      <w:pPr>
        <w:pStyle w:val="ListParagraph"/>
        <w:numPr>
          <w:ilvl w:val="2"/>
          <w:numId w:val="30"/>
        </w:numPr>
        <w:spacing w:after="0" w:line="240" w:lineRule="auto"/>
        <w:jc w:val="both"/>
        <w:rPr>
          <w:rFonts w:ascii="Arial" w:hAnsi="Arial" w:cs="Arial"/>
        </w:rPr>
      </w:pPr>
      <w:r>
        <w:rPr>
          <w:rFonts w:ascii="Arial" w:hAnsi="Arial" w:cs="Arial"/>
        </w:rPr>
        <w:t xml:space="preserve">adopting for </w:t>
      </w:r>
      <w:r w:rsidR="004D39B9">
        <w:rPr>
          <w:rFonts w:ascii="Arial" w:hAnsi="Arial" w:cs="Arial"/>
        </w:rPr>
        <w:t>Australian</w:t>
      </w:r>
      <w:r>
        <w:rPr>
          <w:rFonts w:ascii="Arial" w:hAnsi="Arial" w:cs="Arial"/>
        </w:rPr>
        <w:t xml:space="preserve"> implementation internationally generated specifications that have an anti-competitive effect</w:t>
      </w:r>
      <w:r w:rsidR="00B753CC">
        <w:rPr>
          <w:rFonts w:ascii="Arial" w:hAnsi="Arial" w:cs="Arial"/>
        </w:rPr>
        <w:t xml:space="preserve"> </w:t>
      </w:r>
      <w:r w:rsidR="00E76E45">
        <w:rPr>
          <w:rFonts w:ascii="Arial" w:hAnsi="Arial" w:cs="Arial"/>
        </w:rPr>
        <w:t>o</w:t>
      </w:r>
      <w:r w:rsidR="00B753CC">
        <w:rPr>
          <w:rFonts w:ascii="Arial" w:hAnsi="Arial" w:cs="Arial"/>
        </w:rPr>
        <w:t xml:space="preserve">n </w:t>
      </w:r>
      <w:r w:rsidR="0073698D">
        <w:rPr>
          <w:rFonts w:ascii="Arial" w:hAnsi="Arial" w:cs="Arial"/>
        </w:rPr>
        <w:t xml:space="preserve">the </w:t>
      </w:r>
      <w:r w:rsidR="00075463">
        <w:rPr>
          <w:rFonts w:ascii="Arial" w:hAnsi="Arial" w:cs="Arial"/>
        </w:rPr>
        <w:t>pay</w:t>
      </w:r>
      <w:r w:rsidR="002603E5">
        <w:rPr>
          <w:rFonts w:ascii="Arial" w:hAnsi="Arial" w:cs="Arial"/>
        </w:rPr>
        <w:t>ments system in Australia</w:t>
      </w:r>
      <w:r w:rsidR="00E76E45">
        <w:rPr>
          <w:rFonts w:ascii="Arial" w:hAnsi="Arial" w:cs="Arial"/>
        </w:rPr>
        <w:t>.</w:t>
      </w:r>
    </w:p>
    <w:p w14:paraId="0A49E7EC" w14:textId="00482312" w:rsidR="00B3461D" w:rsidRDefault="00B3461D" w:rsidP="0080724B">
      <w:pPr>
        <w:pStyle w:val="ListParagraph"/>
        <w:spacing w:after="0" w:line="240" w:lineRule="auto"/>
        <w:ind w:left="1080"/>
        <w:jc w:val="both"/>
        <w:rPr>
          <w:rFonts w:ascii="Arial" w:hAnsi="Arial" w:cs="Arial"/>
        </w:rPr>
      </w:pPr>
    </w:p>
    <w:p w14:paraId="27B3CC1F" w14:textId="44A66BFB" w:rsidR="005F6A23" w:rsidRPr="008B1878" w:rsidRDefault="6B219EA9" w:rsidP="00645486">
      <w:pPr>
        <w:pStyle w:val="ListParagraph"/>
        <w:numPr>
          <w:ilvl w:val="0"/>
          <w:numId w:val="30"/>
        </w:numPr>
        <w:spacing w:after="0" w:line="240" w:lineRule="auto"/>
        <w:jc w:val="both"/>
        <w:rPr>
          <w:b/>
          <w:bCs/>
        </w:rPr>
      </w:pPr>
      <w:proofErr w:type="spellStart"/>
      <w:r w:rsidRPr="008B1878">
        <w:rPr>
          <w:rFonts w:ascii="Arial" w:eastAsia="Arial" w:hAnsi="Arial" w:cs="Arial"/>
          <w:b/>
          <w:bCs/>
          <w:sz w:val="22"/>
          <w:szCs w:val="22"/>
        </w:rPr>
        <w:t>Opt</w:t>
      </w:r>
      <w:proofErr w:type="spellEnd"/>
      <w:r w:rsidRPr="008B1878">
        <w:rPr>
          <w:rFonts w:ascii="Arial" w:eastAsia="Arial" w:hAnsi="Arial" w:cs="Arial"/>
          <w:b/>
          <w:bCs/>
          <w:sz w:val="22"/>
          <w:szCs w:val="22"/>
        </w:rPr>
        <w:t xml:space="preserve"> out Least Cost Routing </w:t>
      </w:r>
      <w:r w:rsidR="46CAE0D9" w:rsidRPr="008B1878">
        <w:rPr>
          <w:rFonts w:ascii="Arial" w:eastAsia="Arial" w:hAnsi="Arial" w:cs="Arial"/>
          <w:b/>
          <w:bCs/>
          <w:sz w:val="22"/>
          <w:szCs w:val="22"/>
        </w:rPr>
        <w:t xml:space="preserve">(LCR) </w:t>
      </w:r>
      <w:r w:rsidRPr="008B1878">
        <w:rPr>
          <w:rFonts w:ascii="Arial" w:eastAsia="Arial" w:hAnsi="Arial" w:cs="Arial"/>
          <w:b/>
          <w:bCs/>
          <w:sz w:val="22"/>
          <w:szCs w:val="22"/>
        </w:rPr>
        <w:t xml:space="preserve">as a default for all merchants, including </w:t>
      </w:r>
      <w:r w:rsidR="0010003D" w:rsidRPr="008B1878">
        <w:rPr>
          <w:rFonts w:ascii="Arial" w:eastAsia="Arial" w:hAnsi="Arial" w:cs="Arial"/>
          <w:b/>
          <w:bCs/>
          <w:sz w:val="22"/>
          <w:szCs w:val="22"/>
        </w:rPr>
        <w:t xml:space="preserve">in the Device Not Present environment </w:t>
      </w:r>
      <w:r w:rsidRPr="008B1878">
        <w:rPr>
          <w:rFonts w:ascii="Arial" w:eastAsia="Arial" w:hAnsi="Arial" w:cs="Arial"/>
          <w:b/>
          <w:bCs/>
          <w:sz w:val="22"/>
          <w:szCs w:val="22"/>
        </w:rPr>
        <w:t xml:space="preserve">and </w:t>
      </w:r>
      <w:r w:rsidR="0010003D" w:rsidRPr="008B1878">
        <w:rPr>
          <w:rFonts w:ascii="Arial" w:eastAsia="Arial" w:hAnsi="Arial" w:cs="Arial"/>
          <w:b/>
          <w:bCs/>
          <w:sz w:val="22"/>
          <w:szCs w:val="22"/>
        </w:rPr>
        <w:t xml:space="preserve">for </w:t>
      </w:r>
      <w:r w:rsidRPr="008B1878">
        <w:rPr>
          <w:rFonts w:ascii="Arial" w:eastAsia="Arial" w:hAnsi="Arial" w:cs="Arial"/>
          <w:b/>
          <w:bCs/>
          <w:sz w:val="22"/>
          <w:szCs w:val="22"/>
        </w:rPr>
        <w:t xml:space="preserve">mobile </w:t>
      </w:r>
    </w:p>
    <w:p w14:paraId="5CC4903A" w14:textId="51372195" w:rsidR="005F6A23" w:rsidRDefault="005F6A23" w:rsidP="00645486">
      <w:pPr>
        <w:spacing w:after="0" w:line="240" w:lineRule="auto"/>
        <w:jc w:val="both"/>
        <w:rPr>
          <w:rFonts w:ascii="Arial" w:hAnsi="Arial" w:cs="Arial"/>
        </w:rPr>
      </w:pPr>
    </w:p>
    <w:p w14:paraId="274FFDEE" w14:textId="7D92FE4D" w:rsidR="005F6A23" w:rsidRDefault="002F3837" w:rsidP="00400ABF">
      <w:pPr>
        <w:spacing w:after="0" w:line="240" w:lineRule="auto"/>
        <w:rPr>
          <w:rFonts w:ascii="Arial" w:hAnsi="Arial" w:cs="Arial"/>
        </w:rPr>
      </w:pPr>
      <w:r>
        <w:rPr>
          <w:rFonts w:ascii="Arial" w:hAnsi="Arial" w:cs="Arial"/>
        </w:rPr>
        <w:t>eftpos calls for p</w:t>
      </w:r>
      <w:r w:rsidR="005F6A23" w:rsidRPr="0DAB75B4">
        <w:rPr>
          <w:rFonts w:ascii="Arial" w:hAnsi="Arial" w:cs="Arial"/>
        </w:rPr>
        <w:t xml:space="preserve">rinciples-based explicit regulation </w:t>
      </w:r>
      <w:r w:rsidR="00A20F28">
        <w:rPr>
          <w:rFonts w:ascii="Arial" w:hAnsi="Arial" w:cs="Arial"/>
        </w:rPr>
        <w:t>requiring opt out LCR</w:t>
      </w:r>
      <w:r w:rsidR="009771F1">
        <w:rPr>
          <w:rFonts w:ascii="Arial" w:hAnsi="Arial" w:cs="Arial"/>
        </w:rPr>
        <w:t>.</w:t>
      </w:r>
      <w:r w:rsidR="009771F1">
        <w:rPr>
          <w:rFonts w:ascii="Arial" w:hAnsi="Arial" w:cs="Arial"/>
        </w:rPr>
        <w:br/>
      </w:r>
    </w:p>
    <w:p w14:paraId="75D1DCB7" w14:textId="33456F07" w:rsidR="006B4BFB" w:rsidRPr="00A96DB9" w:rsidRDefault="003605BB" w:rsidP="00645486">
      <w:pPr>
        <w:spacing w:after="0" w:line="240" w:lineRule="auto"/>
        <w:jc w:val="both"/>
        <w:rPr>
          <w:rFonts w:ascii="Arial" w:hAnsi="Arial" w:cs="Arial"/>
        </w:rPr>
      </w:pPr>
      <w:r w:rsidRPr="00F55147">
        <w:rPr>
          <w:rFonts w:ascii="Arial" w:hAnsi="Arial" w:cs="Arial" w:hint="eastAsia"/>
          <w:b/>
          <w:i/>
        </w:rPr>
        <w:t>Choice for merchants</w:t>
      </w:r>
      <w:r w:rsidRPr="004D5649">
        <w:rPr>
          <w:rFonts w:ascii="Arial" w:hAnsi="Arial" w:cs="Arial" w:hint="eastAsia"/>
        </w:rPr>
        <w:t xml:space="preserve">: </w:t>
      </w:r>
      <w:r w:rsidR="00D340A4" w:rsidRPr="005B522F">
        <w:rPr>
          <w:rFonts w:ascii="Arial" w:hAnsi="Arial" w:cs="Arial" w:hint="eastAsia"/>
        </w:rPr>
        <w:t xml:space="preserve">that </w:t>
      </w:r>
      <w:r w:rsidR="00D340A4" w:rsidRPr="00A96DB9">
        <w:rPr>
          <w:rFonts w:ascii="Arial" w:hAnsi="Arial" w:cs="Arial" w:hint="eastAsia"/>
        </w:rPr>
        <w:t xml:space="preserve">LCR be offered </w:t>
      </w:r>
      <w:r w:rsidR="005F6A23" w:rsidRPr="00A96DB9">
        <w:rPr>
          <w:rFonts w:ascii="Arial" w:hAnsi="Arial" w:cs="Arial" w:hint="eastAsia"/>
        </w:rPr>
        <w:t xml:space="preserve">and promoted </w:t>
      </w:r>
      <w:r w:rsidR="00D340A4" w:rsidRPr="00A96DB9">
        <w:rPr>
          <w:rFonts w:ascii="Arial" w:hAnsi="Arial" w:cs="Arial" w:hint="eastAsia"/>
        </w:rPr>
        <w:t>on an opt</w:t>
      </w:r>
      <w:r w:rsidR="00D340A4" w:rsidRPr="004D5649">
        <w:rPr>
          <w:rFonts w:ascii="Arial" w:hAnsi="Arial" w:cs="Arial" w:hint="eastAsia"/>
        </w:rPr>
        <w:t>-out basis both at point-of-sale (D</w:t>
      </w:r>
      <w:r w:rsidR="00D340A4" w:rsidRPr="00A96DB9">
        <w:rPr>
          <w:rFonts w:ascii="Arial" w:hAnsi="Arial" w:cs="Arial" w:hint="eastAsia"/>
        </w:rPr>
        <w:t xml:space="preserve">evice Present) and in the online environment (Device Not Present), from all form factors, including mobile devices.  </w:t>
      </w:r>
    </w:p>
    <w:p w14:paraId="34134A25" w14:textId="71C4F105" w:rsidR="00D340A4" w:rsidRPr="00F55147" w:rsidRDefault="00D340A4" w:rsidP="0080724B">
      <w:pPr>
        <w:pStyle w:val="ListParagraph"/>
        <w:numPr>
          <w:ilvl w:val="0"/>
          <w:numId w:val="63"/>
        </w:numPr>
        <w:spacing w:after="0" w:line="240" w:lineRule="auto"/>
        <w:rPr>
          <w:rFonts w:ascii="Arial" w:hAnsi="Arial" w:cs="Arial"/>
        </w:rPr>
      </w:pPr>
      <w:r w:rsidRPr="000074E5">
        <w:rPr>
          <w:rFonts w:ascii="Arial" w:hAnsi="Arial" w:cs="Arial" w:hint="eastAsia"/>
        </w:rPr>
        <w:t xml:space="preserve">Years of gentle encouragement by the </w:t>
      </w:r>
      <w:r w:rsidRPr="0080640B">
        <w:rPr>
          <w:rFonts w:ascii="Arial" w:hAnsi="Arial" w:cs="Arial" w:hint="eastAsia"/>
        </w:rPr>
        <w:t>Bank</w:t>
      </w:r>
      <w:r w:rsidRPr="00EE22BF">
        <w:rPr>
          <w:rFonts w:ascii="Arial" w:hAnsi="Arial" w:cs="Arial" w:hint="eastAsia"/>
        </w:rPr>
        <w:t xml:space="preserve"> has not worked and all the evidence to date indicates that nothing short of regulation will ensure that small businesses have equitable access to LCR</w:t>
      </w:r>
      <w:r w:rsidR="00B24C2E" w:rsidRPr="00F55147">
        <w:rPr>
          <w:rFonts w:ascii="Arial" w:hAnsi="Arial" w:cs="Arial" w:hint="eastAsia"/>
        </w:rPr>
        <w:t>.</w:t>
      </w:r>
      <w:r w:rsidR="00B24C2E" w:rsidRPr="00EE22BF">
        <w:rPr>
          <w:rFonts w:ascii="Arial" w:hAnsi="Arial" w:cs="Arial" w:hint="eastAsia"/>
        </w:rPr>
        <w:t xml:space="preserve">  </w:t>
      </w:r>
      <w:r w:rsidR="00F7490B">
        <w:rPr>
          <w:rFonts w:ascii="Arial" w:hAnsi="Arial" w:cs="Arial"/>
        </w:rPr>
        <w:t>Enabling merchants to receive the benefit of LCR is not simply a matter of education or opt in mailings as</w:t>
      </w:r>
      <w:r w:rsidR="00564858">
        <w:rPr>
          <w:rFonts w:ascii="Arial" w:hAnsi="Arial" w:cs="Arial"/>
        </w:rPr>
        <w:t xml:space="preserve"> </w:t>
      </w:r>
      <w:r w:rsidR="00824FCA">
        <w:rPr>
          <w:rFonts w:ascii="Arial" w:hAnsi="Arial" w:cs="Arial"/>
        </w:rPr>
        <w:t xml:space="preserve">these </w:t>
      </w:r>
      <w:r w:rsidR="00144740">
        <w:rPr>
          <w:rFonts w:ascii="Arial" w:hAnsi="Arial" w:cs="Arial"/>
        </w:rPr>
        <w:t xml:space="preserve">methods do not work </w:t>
      </w:r>
      <w:r w:rsidR="00286580">
        <w:rPr>
          <w:rFonts w:ascii="Arial" w:hAnsi="Arial" w:cs="Arial"/>
        </w:rPr>
        <w:t xml:space="preserve">in areas of complexity. </w:t>
      </w:r>
      <w:r w:rsidRPr="00F55147">
        <w:rPr>
          <w:rFonts w:ascii="Arial" w:hAnsi="Arial" w:cs="Arial" w:hint="eastAsia"/>
        </w:rPr>
        <w:t xml:space="preserve">With transactions increasingly moving </w:t>
      </w:r>
      <w:r w:rsidRPr="004D5649">
        <w:rPr>
          <w:rFonts w:ascii="Arial" w:hAnsi="Arial" w:cs="Arial" w:hint="eastAsia"/>
        </w:rPr>
        <w:t xml:space="preserve">to mobile devices and </w:t>
      </w:r>
      <w:r w:rsidRPr="005B522F">
        <w:rPr>
          <w:rFonts w:ascii="Arial" w:hAnsi="Arial" w:cs="Arial" w:hint="eastAsia"/>
        </w:rPr>
        <w:t xml:space="preserve">online, </w:t>
      </w:r>
      <w:r w:rsidRPr="00EE22BF">
        <w:rPr>
          <w:rFonts w:ascii="Arial" w:hAnsi="Arial" w:cs="Arial" w:hint="eastAsia"/>
        </w:rPr>
        <w:t xml:space="preserve">regulated </w:t>
      </w:r>
      <w:r w:rsidR="00FC65C1" w:rsidRPr="00346E3F">
        <w:rPr>
          <w:rFonts w:ascii="Arial" w:hAnsi="Arial" w:cs="Arial" w:hint="eastAsia"/>
        </w:rPr>
        <w:t xml:space="preserve">opt out </w:t>
      </w:r>
      <w:r w:rsidRPr="00F55147">
        <w:rPr>
          <w:rFonts w:ascii="Arial" w:hAnsi="Arial" w:cs="Arial" w:hint="eastAsia"/>
        </w:rPr>
        <w:t xml:space="preserve">LCR </w:t>
      </w:r>
      <w:r w:rsidRPr="00EE22BF">
        <w:rPr>
          <w:rFonts w:ascii="Arial" w:hAnsi="Arial" w:cs="Arial" w:hint="eastAsia"/>
        </w:rPr>
        <w:t xml:space="preserve">must apply in the Device Not Present environment as well as in the Device Present environment.  There must also be </w:t>
      </w:r>
      <w:r w:rsidR="006C7067" w:rsidRPr="00EE22BF">
        <w:rPr>
          <w:rFonts w:ascii="Arial" w:hAnsi="Arial" w:cs="Arial" w:hint="eastAsia"/>
        </w:rPr>
        <w:t xml:space="preserve">explicit regulation to prohibit conduct, through specifications, rules and </w:t>
      </w:r>
      <w:r w:rsidRPr="00EE22BF">
        <w:rPr>
          <w:rFonts w:ascii="Arial" w:hAnsi="Arial" w:cs="Arial" w:hint="eastAsia"/>
        </w:rPr>
        <w:t xml:space="preserve">opaque fees that prevent or penalise merchants from </w:t>
      </w:r>
      <w:r w:rsidR="006C7067" w:rsidRPr="00EE22BF">
        <w:rPr>
          <w:rFonts w:ascii="Arial" w:hAnsi="Arial" w:cs="Arial" w:hint="eastAsia"/>
        </w:rPr>
        <w:t>exercising their right to</w:t>
      </w:r>
      <w:r w:rsidRPr="00EE22BF">
        <w:rPr>
          <w:rFonts w:ascii="Arial" w:hAnsi="Arial" w:cs="Arial" w:hint="eastAsia"/>
        </w:rPr>
        <w:t xml:space="preserve"> LCR in </w:t>
      </w:r>
      <w:r w:rsidR="006C7067" w:rsidRPr="00EE22BF">
        <w:rPr>
          <w:rFonts w:ascii="Arial" w:hAnsi="Arial" w:cs="Arial" w:hint="eastAsia"/>
        </w:rPr>
        <w:t xml:space="preserve">both the Device Present and </w:t>
      </w:r>
      <w:r w:rsidRPr="00EE22BF">
        <w:rPr>
          <w:rFonts w:ascii="Arial" w:hAnsi="Arial" w:cs="Arial" w:hint="eastAsia"/>
        </w:rPr>
        <w:t>the Device Not Present space.</w:t>
      </w:r>
      <w:r w:rsidR="004F08AB">
        <w:rPr>
          <w:rFonts w:ascii="Arial" w:hAnsi="Arial" w:cs="Arial"/>
        </w:rPr>
        <w:t xml:space="preserve">  U</w:t>
      </w:r>
      <w:r w:rsidR="004F08AB" w:rsidRPr="00346E3F">
        <w:rPr>
          <w:rFonts w:ascii="Arial" w:hAnsi="Arial" w:cs="Arial"/>
        </w:rPr>
        <w:t>nder such a regulation a merchant could chose to opt out for any reason, including if they believed they would receive a better innovation or value added service by not routing</w:t>
      </w:r>
      <w:r w:rsidR="004F08AB">
        <w:rPr>
          <w:rFonts w:ascii="Arial" w:hAnsi="Arial" w:cs="Arial"/>
        </w:rPr>
        <w:t>.</w:t>
      </w:r>
      <w:r w:rsidR="00B24C2E" w:rsidRPr="00346E3F">
        <w:rPr>
          <w:rFonts w:ascii="Arial" w:hAnsi="Arial" w:cs="Arial"/>
        </w:rPr>
        <w:br/>
      </w:r>
    </w:p>
    <w:p w14:paraId="456D6D66" w14:textId="7CD0E8DE" w:rsidR="003605BB" w:rsidRPr="008B1878" w:rsidRDefault="393BAD26" w:rsidP="00645486">
      <w:pPr>
        <w:pStyle w:val="ListParagraph"/>
        <w:numPr>
          <w:ilvl w:val="0"/>
          <w:numId w:val="30"/>
        </w:numPr>
        <w:spacing w:after="0" w:line="240" w:lineRule="auto"/>
        <w:jc w:val="both"/>
        <w:rPr>
          <w:b/>
          <w:bCs/>
          <w:sz w:val="22"/>
          <w:szCs w:val="22"/>
        </w:rPr>
      </w:pPr>
      <w:r w:rsidRPr="008B1878">
        <w:rPr>
          <w:rFonts w:ascii="Arial" w:eastAsia="Arial" w:hAnsi="Arial" w:cs="Arial"/>
          <w:b/>
          <w:bCs/>
          <w:sz w:val="22"/>
          <w:szCs w:val="22"/>
        </w:rPr>
        <w:t xml:space="preserve">MND cards mandatory to promote competition </w:t>
      </w:r>
    </w:p>
    <w:p w14:paraId="6BA17F38" w14:textId="46F1045C" w:rsidR="003605BB" w:rsidRDefault="003605BB" w:rsidP="00645486">
      <w:pPr>
        <w:spacing w:after="0" w:line="240" w:lineRule="auto"/>
        <w:ind w:left="349"/>
        <w:jc w:val="both"/>
        <w:rPr>
          <w:rFonts w:ascii="Arial" w:hAnsi="Arial" w:cs="Arial"/>
          <w:b/>
          <w:bCs/>
          <w:i/>
          <w:iCs/>
        </w:rPr>
      </w:pPr>
    </w:p>
    <w:p w14:paraId="274123ED" w14:textId="209FF051" w:rsidR="00DF3353" w:rsidRDefault="00DF3353" w:rsidP="00400ABF">
      <w:pPr>
        <w:spacing w:after="0" w:line="240" w:lineRule="auto"/>
        <w:jc w:val="both"/>
        <w:rPr>
          <w:rFonts w:ascii="Arial" w:hAnsi="Arial" w:cs="Arial"/>
        </w:rPr>
      </w:pPr>
      <w:r>
        <w:rPr>
          <w:rFonts w:ascii="Arial" w:hAnsi="Arial" w:cs="Arial"/>
        </w:rPr>
        <w:t>eftpos calls for p</w:t>
      </w:r>
      <w:r w:rsidRPr="0DAB75B4">
        <w:rPr>
          <w:rFonts w:ascii="Arial" w:hAnsi="Arial" w:cs="Arial"/>
        </w:rPr>
        <w:t>rinciples-based explicit regulation requiring choice because without choice, competition does not exist</w:t>
      </w:r>
      <w:r w:rsidR="009771F1">
        <w:rPr>
          <w:rFonts w:ascii="Arial" w:hAnsi="Arial" w:cs="Arial"/>
        </w:rPr>
        <w:t>.</w:t>
      </w:r>
    </w:p>
    <w:p w14:paraId="32D328B2" w14:textId="77777777" w:rsidR="00400ABF" w:rsidRDefault="00400ABF" w:rsidP="00645486">
      <w:pPr>
        <w:spacing w:after="0" w:line="240" w:lineRule="auto"/>
        <w:ind w:left="349"/>
        <w:jc w:val="both"/>
        <w:rPr>
          <w:rFonts w:ascii="Arial" w:hAnsi="Arial" w:cs="Arial"/>
          <w:b/>
          <w:bCs/>
          <w:i/>
          <w:iCs/>
        </w:rPr>
      </w:pPr>
    </w:p>
    <w:p w14:paraId="0FD5A058" w14:textId="37430191" w:rsidR="003605BB" w:rsidRDefault="003605BB" w:rsidP="0080724B">
      <w:pPr>
        <w:spacing w:after="0" w:line="240" w:lineRule="auto"/>
        <w:jc w:val="both"/>
        <w:rPr>
          <w:rFonts w:ascii="Arial" w:hAnsi="Arial" w:cs="Arial"/>
        </w:rPr>
      </w:pPr>
      <w:r w:rsidRPr="0DAB75B4">
        <w:rPr>
          <w:rFonts w:ascii="Arial" w:hAnsi="Arial" w:cs="Arial"/>
          <w:b/>
          <w:i/>
        </w:rPr>
        <w:t>Choice for consumers that provides choice for merchants</w:t>
      </w:r>
      <w:r w:rsidRPr="0DAB75B4">
        <w:rPr>
          <w:rFonts w:ascii="Arial" w:hAnsi="Arial" w:cs="Arial"/>
        </w:rPr>
        <w:t xml:space="preserve">: </w:t>
      </w:r>
      <w:r w:rsidR="002A4FAA" w:rsidRPr="0DAB75B4">
        <w:rPr>
          <w:rFonts w:ascii="Arial" w:hAnsi="Arial" w:cs="Arial"/>
        </w:rPr>
        <w:t xml:space="preserve">An explicit regulation requiring </w:t>
      </w:r>
      <w:r w:rsidR="00D340A4" w:rsidRPr="0DAB75B4">
        <w:rPr>
          <w:rFonts w:ascii="Arial" w:hAnsi="Arial" w:cs="Arial"/>
        </w:rPr>
        <w:t xml:space="preserve">that </w:t>
      </w:r>
      <w:r w:rsidR="00D340A4" w:rsidRPr="0DAB75B4">
        <w:rPr>
          <w:rFonts w:ascii="Arial" w:hAnsi="Arial" w:cs="Arial"/>
          <w:u w:val="single"/>
        </w:rPr>
        <w:t>all</w:t>
      </w:r>
      <w:r w:rsidR="00D340A4" w:rsidRPr="0DAB75B4">
        <w:rPr>
          <w:rFonts w:ascii="Arial" w:hAnsi="Arial" w:cs="Arial"/>
        </w:rPr>
        <w:t xml:space="preserve"> banks provide dual network access from </w:t>
      </w:r>
      <w:r w:rsidR="00D340A4" w:rsidRPr="0DAB75B4">
        <w:rPr>
          <w:rFonts w:ascii="Arial" w:hAnsi="Arial" w:cs="Arial"/>
          <w:u w:val="single"/>
        </w:rPr>
        <w:t>all</w:t>
      </w:r>
      <w:r w:rsidR="00D340A4" w:rsidRPr="0DAB75B4">
        <w:rPr>
          <w:rFonts w:ascii="Arial" w:hAnsi="Arial" w:cs="Arial"/>
        </w:rPr>
        <w:t xml:space="preserve"> form factors (for example Dual Network Debit Cards (DNDCs) and mobile devices</w:t>
      </w:r>
      <w:r w:rsidR="00B734F4" w:rsidRPr="0DAB75B4">
        <w:rPr>
          <w:rFonts w:ascii="Arial" w:hAnsi="Arial" w:cs="Arial"/>
        </w:rPr>
        <w:t>)</w:t>
      </w:r>
      <w:r w:rsidR="00D340A4" w:rsidRPr="0DAB75B4">
        <w:rPr>
          <w:rFonts w:ascii="Arial" w:hAnsi="Arial" w:cs="Arial"/>
        </w:rPr>
        <w:t xml:space="preserve">.  </w:t>
      </w:r>
    </w:p>
    <w:p w14:paraId="6700635F" w14:textId="1E01E64B" w:rsidR="003605BB" w:rsidRDefault="00C16569" w:rsidP="00645486">
      <w:pPr>
        <w:numPr>
          <w:ilvl w:val="0"/>
          <w:numId w:val="64"/>
        </w:numPr>
        <w:spacing w:after="0" w:line="240" w:lineRule="auto"/>
        <w:jc w:val="both"/>
        <w:rPr>
          <w:rFonts w:ascii="Arial" w:hAnsi="Arial" w:cs="Arial"/>
        </w:rPr>
      </w:pPr>
      <w:r w:rsidRPr="2C7AD5DB">
        <w:rPr>
          <w:rFonts w:ascii="Arial" w:hAnsi="Arial" w:cs="Arial"/>
        </w:rPr>
        <w:t>Contactless</w:t>
      </w:r>
      <w:r w:rsidR="00D340A4" w:rsidRPr="2C7AD5DB">
        <w:rPr>
          <w:rFonts w:ascii="Arial" w:hAnsi="Arial" w:cs="Arial"/>
        </w:rPr>
        <w:t xml:space="preserve"> DNDCs underpin LCR in the Device Present environment and, without them, merchants </w:t>
      </w:r>
      <w:r w:rsidR="00CD546C" w:rsidRPr="2C7AD5DB">
        <w:rPr>
          <w:rFonts w:ascii="Arial" w:hAnsi="Arial" w:cs="Arial"/>
        </w:rPr>
        <w:t>have no ability to</w:t>
      </w:r>
      <w:r w:rsidR="00D340A4" w:rsidRPr="2C7AD5DB">
        <w:rPr>
          <w:rFonts w:ascii="Arial" w:hAnsi="Arial" w:cs="Arial"/>
        </w:rPr>
        <w:t xml:space="preserve"> access lower debit transaction fees.  Any move to Single Network Debit Cards (SNDCs) or continued tolerance for single network form factors </w:t>
      </w:r>
      <w:r w:rsidR="00CD546C" w:rsidRPr="004D3E96">
        <w:rPr>
          <w:rFonts w:ascii="Arial" w:hAnsi="Arial" w:cs="Arial"/>
        </w:rPr>
        <w:t>or default priority settings on issued form factors</w:t>
      </w:r>
      <w:r w:rsidR="003605BB" w:rsidRPr="004D3E96">
        <w:rPr>
          <w:rFonts w:ascii="Arial" w:hAnsi="Arial" w:cs="Arial"/>
        </w:rPr>
        <w:t>, without instructions for consumers on how to change the default</w:t>
      </w:r>
      <w:r w:rsidR="003605BB" w:rsidRPr="2C7AD5DB">
        <w:rPr>
          <w:rFonts w:ascii="Arial" w:hAnsi="Arial" w:cs="Arial"/>
        </w:rPr>
        <w:t>,</w:t>
      </w:r>
      <w:r w:rsidR="00CD546C" w:rsidRPr="2C7AD5DB">
        <w:rPr>
          <w:rFonts w:ascii="Arial" w:hAnsi="Arial" w:cs="Arial"/>
        </w:rPr>
        <w:t xml:space="preserve"> </w:t>
      </w:r>
      <w:r w:rsidR="00D340A4" w:rsidRPr="2C7AD5DB">
        <w:rPr>
          <w:rFonts w:ascii="Arial" w:hAnsi="Arial" w:cs="Arial"/>
        </w:rPr>
        <w:t xml:space="preserve">will fundamentally undermine competition, choice and the proven </w:t>
      </w:r>
      <w:r w:rsidR="00D340A4" w:rsidRPr="2C7AD5DB">
        <w:rPr>
          <w:rFonts w:ascii="Arial" w:hAnsi="Arial" w:cs="Arial"/>
        </w:rPr>
        <w:lastRenderedPageBreak/>
        <w:t xml:space="preserve">benefits of LCR, both in the Device Present and Device Not Present environment.  </w:t>
      </w:r>
      <w:r w:rsidRPr="2C7AD5DB">
        <w:rPr>
          <w:rFonts w:ascii="Arial" w:hAnsi="Arial" w:cs="Arial"/>
        </w:rPr>
        <w:t>This applies to mobile systems that only allow one network to be provisioned or participants only provisioning one network or default chip and mobile application priority.</w:t>
      </w:r>
      <w:r w:rsidR="0080724B">
        <w:rPr>
          <w:rFonts w:ascii="Arial" w:hAnsi="Arial" w:cs="Arial"/>
        </w:rPr>
        <w:t xml:space="preserve">  </w:t>
      </w:r>
      <w:r w:rsidR="00AD4DC3" w:rsidRPr="00D75917">
        <w:rPr>
          <w:rFonts w:ascii="Arial" w:hAnsi="Arial" w:cs="Arial"/>
        </w:rPr>
        <w:t>As it is merchants that bear the cost of the payment method</w:t>
      </w:r>
      <w:r w:rsidR="00351F18" w:rsidRPr="00D75917">
        <w:rPr>
          <w:rFonts w:ascii="Arial" w:hAnsi="Arial" w:cs="Arial"/>
        </w:rPr>
        <w:t xml:space="preserve"> and any fraud from it</w:t>
      </w:r>
      <w:r w:rsidR="00AD4DC3" w:rsidRPr="00D75917">
        <w:rPr>
          <w:rFonts w:ascii="Arial" w:hAnsi="Arial" w:cs="Arial"/>
        </w:rPr>
        <w:t xml:space="preserve">, it is the merchant that should have the choice and that requires two tokens to be </w:t>
      </w:r>
      <w:r w:rsidR="00CE5EFD" w:rsidRPr="00D75917">
        <w:rPr>
          <w:rFonts w:ascii="Arial" w:hAnsi="Arial" w:cs="Arial"/>
        </w:rPr>
        <w:t xml:space="preserve">issued for each mobile </w:t>
      </w:r>
      <w:r w:rsidR="00D05761" w:rsidRPr="00D75917">
        <w:rPr>
          <w:rFonts w:ascii="Arial" w:hAnsi="Arial" w:cs="Arial"/>
        </w:rPr>
        <w:t xml:space="preserve">DNDC provisioning and both tokens to be </w:t>
      </w:r>
      <w:r w:rsidR="00251FF3" w:rsidRPr="00D75917">
        <w:rPr>
          <w:rFonts w:ascii="Arial" w:hAnsi="Arial" w:cs="Arial"/>
        </w:rPr>
        <w:t>available to the merchant to choose.</w:t>
      </w:r>
      <w:r w:rsidRPr="00D75917">
        <w:rPr>
          <w:rFonts w:ascii="Arial" w:hAnsi="Arial" w:cs="Arial"/>
        </w:rPr>
        <w:t xml:space="preserve"> </w:t>
      </w:r>
    </w:p>
    <w:p w14:paraId="1B21081B" w14:textId="77777777" w:rsidR="003605BB" w:rsidRDefault="00D340A4" w:rsidP="00645486">
      <w:pPr>
        <w:numPr>
          <w:ilvl w:val="0"/>
          <w:numId w:val="64"/>
        </w:numPr>
        <w:spacing w:after="0" w:line="240" w:lineRule="auto"/>
        <w:jc w:val="both"/>
        <w:rPr>
          <w:rFonts w:ascii="Arial" w:hAnsi="Arial" w:cs="Arial"/>
        </w:rPr>
      </w:pPr>
      <w:r w:rsidRPr="0DAB75B4">
        <w:rPr>
          <w:rFonts w:ascii="Arial" w:hAnsi="Arial" w:cs="Arial"/>
        </w:rPr>
        <w:t>Consumers are also at risk of losing functionality from their debit cards if only one network is available</w:t>
      </w:r>
      <w:r w:rsidR="00F9370B" w:rsidRPr="0DAB75B4">
        <w:rPr>
          <w:rFonts w:ascii="Arial" w:hAnsi="Arial" w:cs="Arial"/>
        </w:rPr>
        <w:t>.  For example, if eftpos is not present on a form factor, consumers do not have</w:t>
      </w:r>
      <w:r w:rsidRPr="0DAB75B4">
        <w:rPr>
          <w:rFonts w:ascii="Arial" w:hAnsi="Arial" w:cs="Arial"/>
        </w:rPr>
        <w:t xml:space="preserve"> access to </w:t>
      </w:r>
      <w:r w:rsidR="00F9370B" w:rsidRPr="0DAB75B4">
        <w:rPr>
          <w:rFonts w:ascii="Arial" w:hAnsi="Arial" w:cs="Arial"/>
        </w:rPr>
        <w:t xml:space="preserve">real time </w:t>
      </w:r>
      <w:r w:rsidRPr="0DAB75B4">
        <w:rPr>
          <w:rFonts w:ascii="Arial" w:hAnsi="Arial" w:cs="Arial"/>
        </w:rPr>
        <w:t>Medicare refunds, broad availability of Cash-Out at retail outlets, and the ability to use eftpos’ Beem I</w:t>
      </w:r>
      <w:r w:rsidR="00985B7A" w:rsidRPr="0DAB75B4">
        <w:rPr>
          <w:rFonts w:ascii="Arial" w:hAnsi="Arial" w:cs="Arial"/>
        </w:rPr>
        <w:t>t</w:t>
      </w:r>
      <w:r w:rsidRPr="0DAB75B4">
        <w:rPr>
          <w:rFonts w:ascii="Arial" w:hAnsi="Arial" w:cs="Arial"/>
        </w:rPr>
        <w:t xml:space="preserve"> direct payments app to transfer funds between friends and family, </w:t>
      </w:r>
      <w:r w:rsidR="00F9370B" w:rsidRPr="0DAB75B4">
        <w:rPr>
          <w:rFonts w:ascii="Arial" w:hAnsi="Arial" w:cs="Arial"/>
        </w:rPr>
        <w:t>and those consumers face an</w:t>
      </w:r>
      <w:r w:rsidRPr="0DAB75B4">
        <w:rPr>
          <w:rFonts w:ascii="Arial" w:hAnsi="Arial" w:cs="Arial"/>
        </w:rPr>
        <w:t xml:space="preserve"> increasing potential for surcharging. </w:t>
      </w:r>
    </w:p>
    <w:p w14:paraId="16A31312" w14:textId="462F7607" w:rsidR="003605BB" w:rsidRDefault="00D340A4" w:rsidP="00645486">
      <w:pPr>
        <w:numPr>
          <w:ilvl w:val="0"/>
          <w:numId w:val="64"/>
        </w:numPr>
        <w:spacing w:after="0" w:line="240" w:lineRule="auto"/>
        <w:jc w:val="both"/>
        <w:rPr>
          <w:rFonts w:ascii="Arial" w:hAnsi="Arial" w:cs="Arial"/>
        </w:rPr>
      </w:pPr>
      <w:r w:rsidRPr="0DAB75B4">
        <w:rPr>
          <w:rFonts w:ascii="Arial" w:hAnsi="Arial" w:cs="Arial"/>
        </w:rPr>
        <w:t xml:space="preserve">The wider benefits to merchants, consumers and the economy outweigh the </w:t>
      </w:r>
      <w:r w:rsidR="003605BB" w:rsidRPr="0DAB75B4">
        <w:rPr>
          <w:rFonts w:ascii="Arial" w:hAnsi="Arial" w:cs="Arial"/>
        </w:rPr>
        <w:t xml:space="preserve">compliance </w:t>
      </w:r>
      <w:r w:rsidRPr="0DAB75B4">
        <w:rPr>
          <w:rFonts w:ascii="Arial" w:hAnsi="Arial" w:cs="Arial"/>
        </w:rPr>
        <w:t xml:space="preserve">costs </w:t>
      </w:r>
      <w:r w:rsidR="003605BB" w:rsidRPr="0DAB75B4">
        <w:rPr>
          <w:rFonts w:ascii="Arial" w:hAnsi="Arial" w:cs="Arial"/>
        </w:rPr>
        <w:t xml:space="preserve">to issuers </w:t>
      </w:r>
      <w:r w:rsidRPr="0DAB75B4">
        <w:rPr>
          <w:rFonts w:ascii="Arial" w:hAnsi="Arial" w:cs="Arial"/>
        </w:rPr>
        <w:t xml:space="preserve">of enabling two networks </w:t>
      </w:r>
      <w:r w:rsidR="003605BB" w:rsidRPr="0DAB75B4">
        <w:rPr>
          <w:rFonts w:ascii="Arial" w:hAnsi="Arial" w:cs="Arial"/>
        </w:rPr>
        <w:t>which are often mitigated by rebates</w:t>
      </w:r>
      <w:r w:rsidR="0080724B">
        <w:rPr>
          <w:rFonts w:ascii="Arial" w:hAnsi="Arial" w:cs="Arial"/>
        </w:rPr>
        <w:t>.</w:t>
      </w:r>
    </w:p>
    <w:p w14:paraId="00272261" w14:textId="49272D01" w:rsidR="00D340A4" w:rsidRPr="006F55EC" w:rsidRDefault="002A4FAA" w:rsidP="00511F75">
      <w:pPr>
        <w:numPr>
          <w:ilvl w:val="0"/>
          <w:numId w:val="64"/>
        </w:numPr>
        <w:spacing w:after="0" w:line="240" w:lineRule="auto"/>
        <w:rPr>
          <w:rFonts w:ascii="Arial" w:hAnsi="Arial" w:cs="Arial"/>
        </w:rPr>
      </w:pPr>
      <w:r w:rsidRPr="2C7AD5DB">
        <w:rPr>
          <w:rFonts w:ascii="Arial" w:hAnsi="Arial" w:cs="Arial"/>
        </w:rPr>
        <w:t xml:space="preserve">An explicit regulation </w:t>
      </w:r>
      <w:r w:rsidR="00A56531" w:rsidRPr="2C7AD5DB">
        <w:rPr>
          <w:rFonts w:ascii="Arial" w:hAnsi="Arial" w:cs="Arial"/>
        </w:rPr>
        <w:t xml:space="preserve">is needed </w:t>
      </w:r>
      <w:r w:rsidRPr="2C7AD5DB">
        <w:rPr>
          <w:rFonts w:ascii="Arial" w:hAnsi="Arial" w:cs="Arial"/>
        </w:rPr>
        <w:t xml:space="preserve">requiring that dual tokenisation be enabled </w:t>
      </w:r>
      <w:r w:rsidR="00546B22">
        <w:rPr>
          <w:rFonts w:ascii="Arial" w:hAnsi="Arial" w:cs="Arial"/>
        </w:rPr>
        <w:t xml:space="preserve">from all DNDCs and other form factors </w:t>
      </w:r>
      <w:r w:rsidRPr="2C7AD5DB">
        <w:rPr>
          <w:rFonts w:ascii="Arial" w:hAnsi="Arial" w:cs="Arial"/>
        </w:rPr>
        <w:t xml:space="preserve">by </w:t>
      </w:r>
      <w:r w:rsidR="7F7A0BC8" w:rsidRPr="00A86D43">
        <w:rPr>
          <w:rFonts w:ascii="Arial" w:hAnsi="Arial" w:cs="Arial"/>
        </w:rPr>
        <w:t xml:space="preserve">all wallet providers </w:t>
      </w:r>
      <w:r w:rsidRPr="00A86D43">
        <w:rPr>
          <w:rFonts w:ascii="Arial" w:hAnsi="Arial" w:cs="Arial"/>
        </w:rPr>
        <w:t>(</w:t>
      </w:r>
      <w:proofErr w:type="spellStart"/>
      <w:r w:rsidR="73F6FFAA" w:rsidRPr="00A86D43">
        <w:rPr>
          <w:rFonts w:ascii="Arial" w:hAnsi="Arial" w:cs="Arial"/>
        </w:rPr>
        <w:t>eg</w:t>
      </w:r>
      <w:proofErr w:type="spellEnd"/>
      <w:r w:rsidR="73F6FFAA" w:rsidRPr="00A86D43">
        <w:rPr>
          <w:rFonts w:ascii="Arial" w:hAnsi="Arial" w:cs="Arial"/>
        </w:rPr>
        <w:t xml:space="preserve"> </w:t>
      </w:r>
      <w:r w:rsidRPr="00A86D43">
        <w:rPr>
          <w:rFonts w:ascii="Arial" w:hAnsi="Arial" w:cs="Arial"/>
        </w:rPr>
        <w:t xml:space="preserve">Google, Apple and Samsung) .  </w:t>
      </w:r>
      <w:r w:rsidR="00A56531" w:rsidRPr="00A86D43">
        <w:rPr>
          <w:rFonts w:ascii="Arial" w:hAnsi="Arial" w:cs="Arial"/>
        </w:rPr>
        <w:t>Where there</w:t>
      </w:r>
      <w:r w:rsidR="00A56531" w:rsidRPr="2C7AD5DB">
        <w:rPr>
          <w:rFonts w:ascii="Arial" w:hAnsi="Arial" w:cs="Arial"/>
        </w:rPr>
        <w:t xml:space="preserve"> are two functions available from a card based form factor, both functions must be made available in form factors that evolve from that card AND both functions must be presented to merchants to enable them to exercise their right to LCR.  </w:t>
      </w:r>
      <w:r w:rsidRPr="2C7AD5DB">
        <w:rPr>
          <w:rFonts w:ascii="Arial" w:hAnsi="Arial" w:cs="Arial"/>
        </w:rPr>
        <w:t>By this we mean not just having two tokens present on the mobile device but also presented to merchant terminals, so merchants have real choice between the ICS and eftpos when customers use their mobile devices to make debit transactions.  With mobile devices likely to become the preferred means of transacting in coming years</w:t>
      </w:r>
      <w:r w:rsidRPr="2C7AD5DB">
        <w:rPr>
          <w:rStyle w:val="FootnoteReference"/>
          <w:rFonts w:ascii="Arial" w:hAnsi="Arial" w:cs="Arial"/>
        </w:rPr>
        <w:footnoteReference w:id="4"/>
      </w:r>
      <w:r w:rsidRPr="2C7AD5DB">
        <w:rPr>
          <w:rFonts w:ascii="Arial" w:hAnsi="Arial" w:cs="Arial"/>
        </w:rPr>
        <w:t xml:space="preserve">, merchants cannot risk a </w:t>
      </w:r>
      <w:r w:rsidRPr="00750700">
        <w:rPr>
          <w:rFonts w:ascii="Arial" w:hAnsi="Arial" w:cs="Arial"/>
        </w:rPr>
        <w:t>clandestine return to an ICS debit duopoly</w:t>
      </w:r>
      <w:r w:rsidRPr="2C7AD5DB">
        <w:rPr>
          <w:rFonts w:ascii="Arial" w:hAnsi="Arial" w:cs="Arial"/>
        </w:rPr>
        <w:t xml:space="preserve"> inevitably leading to increased transaction costs for small businesses.</w:t>
      </w:r>
      <w:r w:rsidR="009C6D90">
        <w:rPr>
          <w:rFonts w:ascii="Arial" w:hAnsi="Arial" w:cs="Arial"/>
          <w:szCs w:val="20"/>
        </w:rPr>
        <w:br/>
      </w:r>
    </w:p>
    <w:p w14:paraId="5FA02110" w14:textId="7DB6C730" w:rsidR="27948060" w:rsidRPr="00C80F51" w:rsidRDefault="27948060" w:rsidP="00645486">
      <w:pPr>
        <w:pStyle w:val="ListParagraph"/>
        <w:numPr>
          <w:ilvl w:val="0"/>
          <w:numId w:val="30"/>
        </w:numPr>
        <w:spacing w:after="0" w:line="240" w:lineRule="auto"/>
        <w:jc w:val="both"/>
        <w:rPr>
          <w:b/>
          <w:bCs/>
          <w:sz w:val="22"/>
          <w:szCs w:val="22"/>
        </w:rPr>
      </w:pPr>
      <w:r w:rsidRPr="00C80F51">
        <w:rPr>
          <w:rFonts w:ascii="Arial" w:eastAsia="Arial" w:hAnsi="Arial" w:cs="Arial"/>
          <w:b/>
          <w:bCs/>
          <w:sz w:val="22"/>
          <w:szCs w:val="22"/>
        </w:rPr>
        <w:t>Transparency in fees</w:t>
      </w:r>
    </w:p>
    <w:p w14:paraId="7B1546A7" w14:textId="77777777" w:rsidR="00C80F51" w:rsidRDefault="00C80F51" w:rsidP="00645486">
      <w:pPr>
        <w:spacing w:after="0" w:line="240" w:lineRule="auto"/>
        <w:jc w:val="both"/>
        <w:rPr>
          <w:rFonts w:ascii="Arial" w:hAnsi="Arial" w:cs="Arial"/>
        </w:rPr>
      </w:pPr>
    </w:p>
    <w:p w14:paraId="785E91B1" w14:textId="0257BDB4" w:rsidR="00D340A4" w:rsidRPr="006F55EC" w:rsidRDefault="002A4FAA" w:rsidP="00645486">
      <w:pPr>
        <w:spacing w:after="0" w:line="240" w:lineRule="auto"/>
        <w:jc w:val="both"/>
        <w:rPr>
          <w:rFonts w:ascii="Arial" w:hAnsi="Arial" w:cs="Arial"/>
        </w:rPr>
      </w:pPr>
      <w:r w:rsidRPr="7BD31E56">
        <w:rPr>
          <w:rFonts w:ascii="Arial" w:hAnsi="Arial" w:cs="Arial"/>
        </w:rPr>
        <w:t xml:space="preserve">An explicit regulation </w:t>
      </w:r>
      <w:r w:rsidR="00A176BD">
        <w:rPr>
          <w:rFonts w:ascii="Arial" w:hAnsi="Arial" w:cs="Arial"/>
        </w:rPr>
        <w:t xml:space="preserve">is needed </w:t>
      </w:r>
      <w:r w:rsidRPr="7BD31E56">
        <w:rPr>
          <w:rFonts w:ascii="Arial" w:hAnsi="Arial" w:cs="Arial"/>
        </w:rPr>
        <w:t xml:space="preserve">requiring </w:t>
      </w:r>
      <w:r w:rsidR="00D340A4" w:rsidRPr="7BD31E56">
        <w:rPr>
          <w:rFonts w:ascii="Arial" w:hAnsi="Arial" w:cs="Arial"/>
        </w:rPr>
        <w:t xml:space="preserve">that transaction fees, including interchange fees, scheme fees </w:t>
      </w:r>
      <w:r w:rsidR="00C80F51">
        <w:rPr>
          <w:rFonts w:ascii="Arial" w:hAnsi="Arial" w:cs="Arial"/>
        </w:rPr>
        <w:t xml:space="preserve">(by whatever name called) </w:t>
      </w:r>
      <w:r w:rsidR="00D340A4" w:rsidRPr="7BD31E56">
        <w:rPr>
          <w:rFonts w:ascii="Arial" w:hAnsi="Arial" w:cs="Arial"/>
        </w:rPr>
        <w:t xml:space="preserve">and any future changes to fee arrangements, are fully transparent and explained </w:t>
      </w:r>
      <w:r w:rsidR="00985B7A" w:rsidRPr="7BD31E56">
        <w:rPr>
          <w:rFonts w:ascii="Arial" w:hAnsi="Arial" w:cs="Arial"/>
        </w:rPr>
        <w:t xml:space="preserve">to merchants </w:t>
      </w:r>
      <w:r w:rsidR="00D340A4" w:rsidRPr="7BD31E56">
        <w:rPr>
          <w:rFonts w:ascii="Arial" w:hAnsi="Arial" w:cs="Arial"/>
        </w:rPr>
        <w:t xml:space="preserve">in a clear and understandable way so that merchants can make informed decisions and comparisons between payments providers. </w:t>
      </w:r>
      <w:r w:rsidR="00985B7A" w:rsidRPr="7BD31E56">
        <w:rPr>
          <w:rFonts w:ascii="Arial" w:hAnsi="Arial" w:cs="Arial"/>
        </w:rPr>
        <w:t>We are glad to see that the Bank is considering collecting reports of such fees and are concerned to understand whether this will allow an “apples for apples” comparison as well as provide some greater clarity to merchants who are the persons bearing the cost of the payment and who need the transparency for their decision</w:t>
      </w:r>
      <w:r w:rsidR="00086D06" w:rsidRPr="7BD31E56">
        <w:rPr>
          <w:rFonts w:ascii="Arial" w:hAnsi="Arial" w:cs="Arial"/>
        </w:rPr>
        <w:t>-</w:t>
      </w:r>
      <w:r w:rsidR="00985B7A" w:rsidRPr="7BD31E56">
        <w:rPr>
          <w:rFonts w:ascii="Arial" w:hAnsi="Arial" w:cs="Arial"/>
        </w:rPr>
        <w:t>making purposes.</w:t>
      </w:r>
    </w:p>
    <w:p w14:paraId="5F0824D1" w14:textId="77777777" w:rsidR="00D340A4" w:rsidRPr="001A41A1" w:rsidRDefault="00D340A4" w:rsidP="00645486">
      <w:pPr>
        <w:jc w:val="both"/>
        <w:rPr>
          <w:rFonts w:ascii="Arial" w:hAnsi="Arial" w:cs="Arial"/>
          <w:szCs w:val="20"/>
        </w:rPr>
      </w:pPr>
    </w:p>
    <w:p w14:paraId="01925243" w14:textId="2C4690F3" w:rsidR="00D11B70" w:rsidRDefault="00D340A4" w:rsidP="00511F75">
      <w:pPr>
        <w:rPr>
          <w:rFonts w:ascii="Arial" w:hAnsi="Arial" w:cs="Arial"/>
        </w:rPr>
      </w:pPr>
      <w:r w:rsidRPr="2C7AD5DB">
        <w:rPr>
          <w:rFonts w:ascii="Arial" w:hAnsi="Arial" w:cs="Arial"/>
        </w:rPr>
        <w:t xml:space="preserve">It is recognised that this package of regulation is </w:t>
      </w:r>
      <w:r w:rsidR="7D0F3F95" w:rsidRPr="0DAB75B4">
        <w:rPr>
          <w:rFonts w:ascii="Arial" w:hAnsi="Arial" w:cs="Arial"/>
        </w:rPr>
        <w:t xml:space="preserve">relatively </w:t>
      </w:r>
      <w:r w:rsidRPr="2C7AD5DB">
        <w:rPr>
          <w:rFonts w:ascii="Arial" w:hAnsi="Arial" w:cs="Arial"/>
        </w:rPr>
        <w:t xml:space="preserve">significant </w:t>
      </w:r>
      <w:r w:rsidR="22DE02D0" w:rsidRPr="0DAB75B4">
        <w:rPr>
          <w:rFonts w:ascii="Arial" w:hAnsi="Arial" w:cs="Arial"/>
        </w:rPr>
        <w:t xml:space="preserve">compared to previous RBA actions in this area </w:t>
      </w:r>
      <w:r w:rsidRPr="2C7AD5DB">
        <w:rPr>
          <w:rFonts w:ascii="Arial" w:hAnsi="Arial" w:cs="Arial"/>
        </w:rPr>
        <w:t>but, eftpos considers, essential</w:t>
      </w:r>
      <w:r w:rsidR="00487DC0" w:rsidRPr="2C7AD5DB">
        <w:rPr>
          <w:rFonts w:ascii="Arial" w:hAnsi="Arial" w:cs="Arial"/>
        </w:rPr>
        <w:t xml:space="preserve"> to set a competitive environment for all participants in payments</w:t>
      </w:r>
      <w:r w:rsidR="00EC13C2">
        <w:rPr>
          <w:rFonts w:ascii="Arial" w:hAnsi="Arial" w:cs="Arial"/>
        </w:rPr>
        <w:t xml:space="preserve"> and has global precedent, for example in the USA</w:t>
      </w:r>
      <w:r w:rsidR="00B37CC9">
        <w:rPr>
          <w:rFonts w:ascii="Arial" w:hAnsi="Arial" w:cs="Arial"/>
        </w:rPr>
        <w:t>, Europe</w:t>
      </w:r>
      <w:r w:rsidR="00A17142">
        <w:rPr>
          <w:rFonts w:ascii="Arial" w:hAnsi="Arial" w:cs="Arial"/>
        </w:rPr>
        <w:t xml:space="preserve"> and Malaysia</w:t>
      </w:r>
      <w:r w:rsidRPr="2C7AD5DB">
        <w:rPr>
          <w:rFonts w:ascii="Arial" w:hAnsi="Arial" w:cs="Arial"/>
        </w:rPr>
        <w:t xml:space="preserve">. </w:t>
      </w:r>
      <w:r w:rsidR="00D11B70">
        <w:rPr>
          <w:rFonts w:ascii="Arial" w:hAnsi="Arial" w:cs="Arial"/>
        </w:rPr>
        <w:br/>
      </w:r>
    </w:p>
    <w:p w14:paraId="4D8F02A5" w14:textId="34B31944" w:rsidR="009E077D" w:rsidRDefault="00D340A4" w:rsidP="00645486">
      <w:pPr>
        <w:jc w:val="both"/>
        <w:rPr>
          <w:rFonts w:ascii="Arial" w:hAnsi="Arial" w:cs="Arial"/>
        </w:rPr>
      </w:pPr>
      <w:r w:rsidRPr="2C7AD5DB">
        <w:rPr>
          <w:rFonts w:ascii="Arial" w:hAnsi="Arial" w:cs="Arial"/>
        </w:rPr>
        <w:t xml:space="preserve">It should also be recognised that achievement of </w:t>
      </w:r>
      <w:r w:rsidR="58B881C5" w:rsidRPr="0DAB75B4">
        <w:rPr>
          <w:rFonts w:ascii="Arial" w:hAnsi="Arial" w:cs="Arial"/>
        </w:rPr>
        <w:t xml:space="preserve">some aspects of </w:t>
      </w:r>
      <w:r w:rsidRPr="2C7AD5DB">
        <w:rPr>
          <w:rFonts w:ascii="Arial" w:hAnsi="Arial" w:cs="Arial"/>
        </w:rPr>
        <w:t>this package of changes will take time and so we recommend that implementation timeframes are published, set out clearly and that they reflect the need for short term benefits and flexibility to adapt to evolving payments and that these timeframes are supported by a clear and compelling enforcement regime. Considering the fast pace of change in the payments landscape, formal regulatory oversight will be required on an ongoing basis to reinforce the regulatory intent.</w:t>
      </w:r>
    </w:p>
    <w:p w14:paraId="55DD265C" w14:textId="77777777" w:rsidR="009E077D" w:rsidRDefault="009E077D">
      <w:pPr>
        <w:spacing w:after="120"/>
        <w:rPr>
          <w:rFonts w:ascii="Arial" w:hAnsi="Arial" w:cs="Arial"/>
        </w:rPr>
      </w:pPr>
      <w:r>
        <w:rPr>
          <w:rFonts w:ascii="Arial" w:hAnsi="Arial" w:cs="Arial"/>
        </w:rPr>
        <w:br w:type="page"/>
      </w:r>
    </w:p>
    <w:p w14:paraId="044E12A0" w14:textId="62A69D76" w:rsidR="007E4377" w:rsidRDefault="00D340A4" w:rsidP="00645486">
      <w:pPr>
        <w:tabs>
          <w:tab w:val="num" w:pos="720"/>
        </w:tabs>
        <w:jc w:val="both"/>
        <w:rPr>
          <w:rFonts w:ascii="Arial" w:hAnsi="Arial" w:cs="Arial"/>
          <w:b/>
          <w:bCs/>
          <w:szCs w:val="20"/>
        </w:rPr>
      </w:pPr>
      <w:r w:rsidRPr="007E4377">
        <w:rPr>
          <w:rFonts w:ascii="Arial" w:hAnsi="Arial" w:cs="Arial"/>
          <w:b/>
          <w:bCs/>
        </w:rPr>
        <w:lastRenderedPageBreak/>
        <w:t xml:space="preserve">Part B - </w:t>
      </w:r>
      <w:r w:rsidRPr="007E4377">
        <w:rPr>
          <w:rFonts w:ascii="Arial" w:hAnsi="Arial" w:cs="Arial"/>
          <w:b/>
          <w:bCs/>
          <w:szCs w:val="20"/>
        </w:rPr>
        <w:t xml:space="preserve">eftpos’ response to the </w:t>
      </w:r>
      <w:r w:rsidR="00103E23">
        <w:rPr>
          <w:rFonts w:ascii="Arial" w:hAnsi="Arial" w:cs="Arial"/>
          <w:b/>
          <w:bCs/>
          <w:szCs w:val="20"/>
        </w:rPr>
        <w:t xml:space="preserve">preliminary conclusions and </w:t>
      </w:r>
      <w:r w:rsidRPr="007E4377">
        <w:rPr>
          <w:rFonts w:ascii="Arial" w:hAnsi="Arial" w:cs="Arial"/>
          <w:b/>
          <w:bCs/>
          <w:szCs w:val="20"/>
        </w:rPr>
        <w:t>consultation options in the Consultation Paper</w:t>
      </w:r>
    </w:p>
    <w:p w14:paraId="153E781C" w14:textId="4E3ACAA8" w:rsidR="003D0BDB" w:rsidRDefault="00D764D7" w:rsidP="00645486">
      <w:pPr>
        <w:tabs>
          <w:tab w:val="num" w:pos="720"/>
        </w:tabs>
        <w:jc w:val="both"/>
        <w:rPr>
          <w:rFonts w:ascii="Arial" w:hAnsi="Arial" w:cs="Arial"/>
          <w:szCs w:val="20"/>
        </w:rPr>
      </w:pPr>
      <w:r>
        <w:rPr>
          <w:rFonts w:ascii="Arial" w:hAnsi="Arial" w:cs="Arial"/>
          <w:szCs w:val="20"/>
        </w:rPr>
        <w:t xml:space="preserve">Below </w:t>
      </w:r>
      <w:r w:rsidR="00DD2F8C">
        <w:rPr>
          <w:rFonts w:ascii="Arial" w:hAnsi="Arial" w:cs="Arial"/>
          <w:szCs w:val="20"/>
        </w:rPr>
        <w:t xml:space="preserve">eftpos has provided comment on </w:t>
      </w:r>
      <w:r w:rsidR="000A109B">
        <w:rPr>
          <w:rFonts w:ascii="Arial" w:hAnsi="Arial" w:cs="Arial"/>
          <w:szCs w:val="20"/>
        </w:rPr>
        <w:t xml:space="preserve">some only of the </w:t>
      </w:r>
      <w:r w:rsidR="00DD2F8C">
        <w:rPr>
          <w:rFonts w:ascii="Arial" w:hAnsi="Arial" w:cs="Arial"/>
          <w:szCs w:val="20"/>
        </w:rPr>
        <w:t>topics under the Consultation Paper</w:t>
      </w:r>
      <w:r>
        <w:rPr>
          <w:rFonts w:ascii="Arial" w:hAnsi="Arial" w:cs="Arial"/>
          <w:szCs w:val="20"/>
        </w:rPr>
        <w:t xml:space="preserve"> following the order of topics in the Consultation Paper.</w:t>
      </w:r>
    </w:p>
    <w:p w14:paraId="3E6C16E0" w14:textId="56B1D1E5" w:rsidR="003D0BDB" w:rsidRPr="00750700" w:rsidRDefault="00DD2F8C" w:rsidP="00645486">
      <w:pPr>
        <w:pStyle w:val="ListParagraph"/>
        <w:numPr>
          <w:ilvl w:val="0"/>
          <w:numId w:val="32"/>
        </w:numPr>
        <w:tabs>
          <w:tab w:val="num" w:pos="720"/>
        </w:tabs>
        <w:jc w:val="both"/>
        <w:rPr>
          <w:rFonts w:ascii="Arial" w:hAnsi="Arial" w:cs="Arial"/>
          <w:b/>
          <w:bCs/>
        </w:rPr>
      </w:pPr>
      <w:r w:rsidRPr="00750700">
        <w:rPr>
          <w:rFonts w:ascii="Arial" w:hAnsi="Arial" w:cs="Arial"/>
          <w:b/>
          <w:bCs/>
        </w:rPr>
        <w:t>Dual Network Debit Cards</w:t>
      </w:r>
      <w:r w:rsidR="00300525" w:rsidRPr="00750700">
        <w:rPr>
          <w:rFonts w:ascii="Arial" w:hAnsi="Arial" w:cs="Arial"/>
          <w:b/>
          <w:bCs/>
        </w:rPr>
        <w:t xml:space="preserve"> and other form factors</w:t>
      </w:r>
    </w:p>
    <w:p w14:paraId="3A36CEB2" w14:textId="21FE21E4" w:rsidR="000B269F" w:rsidRPr="00E94F69" w:rsidRDefault="000B269F" w:rsidP="00645486">
      <w:pPr>
        <w:pStyle w:val="ListParagraph"/>
        <w:numPr>
          <w:ilvl w:val="0"/>
          <w:numId w:val="33"/>
        </w:numPr>
        <w:spacing w:after="0"/>
        <w:jc w:val="both"/>
        <w:rPr>
          <w:rFonts w:ascii="Arial" w:hAnsi="Arial" w:cs="Arial"/>
          <w:szCs w:val="20"/>
        </w:rPr>
      </w:pPr>
      <w:r w:rsidRPr="00E94F69">
        <w:rPr>
          <w:rFonts w:ascii="Arial" w:hAnsi="Arial" w:cs="Arial"/>
          <w:szCs w:val="20"/>
        </w:rPr>
        <w:t xml:space="preserve">eftpos’ </w:t>
      </w:r>
      <w:r w:rsidR="007A37A3">
        <w:rPr>
          <w:rFonts w:ascii="Arial" w:hAnsi="Arial" w:cs="Arial"/>
          <w:szCs w:val="20"/>
        </w:rPr>
        <w:t>submits</w:t>
      </w:r>
      <w:r w:rsidRPr="00E94F69">
        <w:rPr>
          <w:rFonts w:ascii="Arial" w:hAnsi="Arial" w:cs="Arial"/>
          <w:szCs w:val="20"/>
        </w:rPr>
        <w:t xml:space="preserve"> that dual network functionality should be mandatory for all issuers for all form factors in all channels to promote competition</w:t>
      </w:r>
      <w:r w:rsidR="000F11AA">
        <w:rPr>
          <w:rFonts w:ascii="Arial" w:hAnsi="Arial" w:cs="Arial"/>
          <w:szCs w:val="20"/>
        </w:rPr>
        <w:t>,</w:t>
      </w:r>
      <w:r w:rsidRPr="00E94F69">
        <w:rPr>
          <w:rFonts w:ascii="Arial" w:hAnsi="Arial" w:cs="Arial"/>
          <w:szCs w:val="20"/>
        </w:rPr>
        <w:t xml:space="preserve"> efficiency</w:t>
      </w:r>
      <w:r w:rsidR="000F11AA">
        <w:rPr>
          <w:rFonts w:ascii="Arial" w:hAnsi="Arial" w:cs="Arial"/>
          <w:szCs w:val="20"/>
        </w:rPr>
        <w:t xml:space="preserve"> and innovation</w:t>
      </w:r>
      <w:r w:rsidRPr="00E94F69">
        <w:rPr>
          <w:rFonts w:ascii="Arial" w:hAnsi="Arial" w:cs="Arial"/>
          <w:szCs w:val="20"/>
        </w:rPr>
        <w:t xml:space="preserve">.  </w:t>
      </w:r>
    </w:p>
    <w:p w14:paraId="63A46379" w14:textId="77777777" w:rsidR="000B269F" w:rsidRPr="00E94F69" w:rsidRDefault="000B269F" w:rsidP="00645486">
      <w:pPr>
        <w:spacing w:after="0"/>
        <w:jc w:val="both"/>
        <w:rPr>
          <w:rFonts w:ascii="Arial" w:hAnsi="Arial" w:cs="Arial"/>
          <w:szCs w:val="20"/>
        </w:rPr>
      </w:pPr>
    </w:p>
    <w:p w14:paraId="4A34ABE9" w14:textId="5481990A" w:rsidR="00FE1091" w:rsidRDefault="000B269F" w:rsidP="00645486">
      <w:pPr>
        <w:pStyle w:val="ListParagraph"/>
        <w:numPr>
          <w:ilvl w:val="0"/>
          <w:numId w:val="33"/>
        </w:numPr>
        <w:spacing w:after="0"/>
        <w:jc w:val="both"/>
        <w:rPr>
          <w:rFonts w:ascii="Arial" w:hAnsi="Arial" w:cs="Arial"/>
          <w:szCs w:val="20"/>
        </w:rPr>
      </w:pPr>
      <w:r w:rsidRPr="00E94F69">
        <w:rPr>
          <w:rFonts w:ascii="Arial" w:hAnsi="Arial" w:cs="Arial"/>
          <w:szCs w:val="20"/>
        </w:rPr>
        <w:t>It is also essential that schemes are not permitted to use specifications, rules, fees and agreements to effectively change a dual network form factor to be single network form factors or to prevent or delay entry or scaling of a competitor in a market</w:t>
      </w:r>
      <w:r w:rsidR="00FE1091">
        <w:rPr>
          <w:rFonts w:ascii="Arial" w:hAnsi="Arial" w:cs="Arial"/>
          <w:szCs w:val="20"/>
        </w:rPr>
        <w:t>.  Examples include:</w:t>
      </w:r>
    </w:p>
    <w:p w14:paraId="61B3D7B8" w14:textId="77777777" w:rsidR="00FE1091" w:rsidRPr="00750700" w:rsidRDefault="00FE1091" w:rsidP="00645486">
      <w:pPr>
        <w:pStyle w:val="ListParagraph"/>
        <w:jc w:val="both"/>
        <w:rPr>
          <w:rFonts w:ascii="Arial" w:hAnsi="Arial" w:cs="Arial"/>
          <w:szCs w:val="20"/>
        </w:rPr>
      </w:pPr>
    </w:p>
    <w:p w14:paraId="2053FF17" w14:textId="17A39620" w:rsidR="0044615E" w:rsidRDefault="00980688" w:rsidP="00645486">
      <w:pPr>
        <w:pStyle w:val="ListParagraph"/>
        <w:numPr>
          <w:ilvl w:val="1"/>
          <w:numId w:val="33"/>
        </w:numPr>
        <w:spacing w:after="0"/>
        <w:jc w:val="both"/>
        <w:rPr>
          <w:rFonts w:ascii="Arial" w:hAnsi="Arial" w:cs="Arial"/>
          <w:szCs w:val="20"/>
        </w:rPr>
      </w:pPr>
      <w:r>
        <w:rPr>
          <w:rFonts w:ascii="Arial" w:hAnsi="Arial" w:cs="Arial"/>
          <w:szCs w:val="20"/>
        </w:rPr>
        <w:t>Use of specifications (</w:t>
      </w:r>
      <w:r w:rsidR="003C66DD">
        <w:rPr>
          <w:rFonts w:ascii="Arial" w:hAnsi="Arial" w:cs="Arial"/>
          <w:szCs w:val="20"/>
        </w:rPr>
        <w:t>whether international standards adopted for use in Australia or created by the scheme independently</w:t>
      </w:r>
      <w:r>
        <w:rPr>
          <w:rFonts w:ascii="Arial" w:hAnsi="Arial" w:cs="Arial"/>
          <w:szCs w:val="20"/>
        </w:rPr>
        <w:t xml:space="preserve">) </w:t>
      </w:r>
      <w:r w:rsidR="0044615E">
        <w:rPr>
          <w:rFonts w:ascii="Arial" w:hAnsi="Arial" w:cs="Arial"/>
          <w:szCs w:val="20"/>
        </w:rPr>
        <w:t xml:space="preserve">to </w:t>
      </w:r>
      <w:r w:rsidR="00A21CD2">
        <w:rPr>
          <w:rFonts w:ascii="Arial" w:hAnsi="Arial" w:cs="Arial"/>
          <w:szCs w:val="20"/>
        </w:rPr>
        <w:t>foreclose competition in commonly used devices</w:t>
      </w:r>
      <w:r w:rsidR="007E4B5B">
        <w:rPr>
          <w:rFonts w:ascii="Arial" w:hAnsi="Arial" w:cs="Arial"/>
          <w:szCs w:val="20"/>
        </w:rPr>
        <w:t xml:space="preserve"> or </w:t>
      </w:r>
      <w:r w:rsidR="0044615E">
        <w:rPr>
          <w:rFonts w:ascii="Arial" w:hAnsi="Arial" w:cs="Arial"/>
          <w:szCs w:val="20"/>
        </w:rPr>
        <w:t>provide primacy to one scheme over another in a DNDC</w:t>
      </w:r>
      <w:r w:rsidR="005C0B55">
        <w:rPr>
          <w:rFonts w:ascii="Arial" w:hAnsi="Arial" w:cs="Arial"/>
          <w:szCs w:val="20"/>
        </w:rPr>
        <w:t xml:space="preserve"> (</w:t>
      </w:r>
      <w:proofErr w:type="spellStart"/>
      <w:r w:rsidR="005C0B55">
        <w:rPr>
          <w:rFonts w:ascii="Arial" w:hAnsi="Arial" w:cs="Arial"/>
          <w:szCs w:val="20"/>
        </w:rPr>
        <w:t>eg</w:t>
      </w:r>
      <w:proofErr w:type="spellEnd"/>
      <w:r w:rsidR="005C0B55">
        <w:rPr>
          <w:rFonts w:ascii="Arial" w:hAnsi="Arial" w:cs="Arial"/>
          <w:szCs w:val="20"/>
        </w:rPr>
        <w:t xml:space="preserve"> mobile, tokenised card on file</w:t>
      </w:r>
      <w:r w:rsidR="00954209">
        <w:rPr>
          <w:rFonts w:ascii="Arial" w:hAnsi="Arial" w:cs="Arial"/>
          <w:szCs w:val="20"/>
        </w:rPr>
        <w:t>)</w:t>
      </w:r>
      <w:r w:rsidR="0044615E">
        <w:rPr>
          <w:rFonts w:ascii="Arial" w:hAnsi="Arial" w:cs="Arial"/>
          <w:szCs w:val="20"/>
        </w:rPr>
        <w:t>;</w:t>
      </w:r>
    </w:p>
    <w:p w14:paraId="424A03BC" w14:textId="79C307BD" w:rsidR="00954209" w:rsidRDefault="00954209" w:rsidP="00645486">
      <w:pPr>
        <w:pStyle w:val="ListParagraph"/>
        <w:numPr>
          <w:ilvl w:val="1"/>
          <w:numId w:val="33"/>
        </w:numPr>
        <w:spacing w:after="0"/>
        <w:jc w:val="both"/>
        <w:rPr>
          <w:rFonts w:ascii="Arial" w:hAnsi="Arial" w:cs="Arial"/>
          <w:szCs w:val="20"/>
        </w:rPr>
      </w:pPr>
      <w:r>
        <w:rPr>
          <w:rFonts w:ascii="Arial" w:hAnsi="Arial" w:cs="Arial"/>
          <w:szCs w:val="20"/>
        </w:rPr>
        <w:t xml:space="preserve">Use of specifications (whether international standards adopted for use in Australia or created by the scheme independently) to disrupt a merchant right or </w:t>
      </w:r>
      <w:r w:rsidR="00074FF8">
        <w:rPr>
          <w:rFonts w:ascii="Arial" w:hAnsi="Arial" w:cs="Arial"/>
          <w:szCs w:val="20"/>
        </w:rPr>
        <w:t>create a barrier/cost to participation for another scheme (</w:t>
      </w:r>
      <w:proofErr w:type="spellStart"/>
      <w:r w:rsidR="00074FF8">
        <w:rPr>
          <w:rFonts w:ascii="Arial" w:hAnsi="Arial" w:cs="Arial"/>
          <w:szCs w:val="20"/>
        </w:rPr>
        <w:t>eg</w:t>
      </w:r>
      <w:proofErr w:type="spellEnd"/>
      <w:r w:rsidR="00074FF8">
        <w:rPr>
          <w:rFonts w:ascii="Arial" w:hAnsi="Arial" w:cs="Arial"/>
          <w:szCs w:val="20"/>
        </w:rPr>
        <w:t xml:space="preserve"> EMVCo standards);</w:t>
      </w:r>
    </w:p>
    <w:p w14:paraId="711BCDFB" w14:textId="51F4512C" w:rsidR="0044615E" w:rsidRDefault="0044615E" w:rsidP="00645486">
      <w:pPr>
        <w:pStyle w:val="ListParagraph"/>
        <w:numPr>
          <w:ilvl w:val="1"/>
          <w:numId w:val="33"/>
        </w:numPr>
        <w:spacing w:after="0"/>
        <w:jc w:val="both"/>
        <w:rPr>
          <w:rFonts w:ascii="Arial" w:hAnsi="Arial" w:cs="Arial"/>
          <w:szCs w:val="20"/>
        </w:rPr>
      </w:pPr>
      <w:r>
        <w:rPr>
          <w:rFonts w:ascii="Arial" w:hAnsi="Arial" w:cs="Arial"/>
          <w:szCs w:val="20"/>
        </w:rPr>
        <w:t>Use of rules to provide priority one benefits to one scheme over another or foreclose the ability for issuers to determine priority</w:t>
      </w:r>
      <w:r w:rsidR="000A7B81">
        <w:rPr>
          <w:rFonts w:ascii="Arial" w:hAnsi="Arial" w:cs="Arial"/>
          <w:szCs w:val="20"/>
        </w:rPr>
        <w:t xml:space="preserve"> (</w:t>
      </w:r>
      <w:proofErr w:type="spellStart"/>
      <w:r w:rsidR="000A7B81">
        <w:rPr>
          <w:rFonts w:ascii="Arial" w:hAnsi="Arial" w:cs="Arial"/>
          <w:szCs w:val="20"/>
        </w:rPr>
        <w:t>eg</w:t>
      </w:r>
      <w:proofErr w:type="spellEnd"/>
      <w:r w:rsidR="000A7B81">
        <w:rPr>
          <w:rFonts w:ascii="Arial" w:hAnsi="Arial" w:cs="Arial"/>
          <w:szCs w:val="20"/>
        </w:rPr>
        <w:t xml:space="preserve"> chip application </w:t>
      </w:r>
      <w:r w:rsidR="00A63038">
        <w:rPr>
          <w:rFonts w:ascii="Arial" w:hAnsi="Arial" w:cs="Arial"/>
          <w:szCs w:val="20"/>
        </w:rPr>
        <w:t>priority one requirements</w:t>
      </w:r>
      <w:r w:rsidR="000A7B81">
        <w:rPr>
          <w:rFonts w:ascii="Arial" w:hAnsi="Arial" w:cs="Arial"/>
          <w:szCs w:val="20"/>
        </w:rPr>
        <w:t>, branding requirements preventing an issuer from issuing eftpos P1 cards)</w:t>
      </w:r>
      <w:r w:rsidR="007370CC">
        <w:rPr>
          <w:rFonts w:ascii="Arial" w:hAnsi="Arial" w:cs="Arial"/>
          <w:szCs w:val="20"/>
        </w:rPr>
        <w:t>;</w:t>
      </w:r>
    </w:p>
    <w:p w14:paraId="4C59CAF4" w14:textId="60AFB1B6" w:rsidR="007370CC" w:rsidRDefault="007E4B5B" w:rsidP="00645486">
      <w:pPr>
        <w:pStyle w:val="ListParagraph"/>
        <w:numPr>
          <w:ilvl w:val="1"/>
          <w:numId w:val="33"/>
        </w:numPr>
        <w:spacing w:after="0"/>
        <w:jc w:val="both"/>
        <w:rPr>
          <w:rFonts w:ascii="Arial" w:hAnsi="Arial" w:cs="Arial"/>
          <w:szCs w:val="20"/>
        </w:rPr>
      </w:pPr>
      <w:r>
        <w:rPr>
          <w:rFonts w:ascii="Arial" w:hAnsi="Arial" w:cs="Arial"/>
          <w:szCs w:val="20"/>
        </w:rPr>
        <w:t xml:space="preserve">Use of rules to prevent entry, create barriers to entry or delay </w:t>
      </w:r>
      <w:r w:rsidR="005C0B55">
        <w:rPr>
          <w:rFonts w:ascii="Arial" w:hAnsi="Arial" w:cs="Arial"/>
          <w:szCs w:val="20"/>
        </w:rPr>
        <w:t>entry or scaling of a competitor in a channel (</w:t>
      </w:r>
      <w:proofErr w:type="spellStart"/>
      <w:r w:rsidR="005C0B55">
        <w:rPr>
          <w:rFonts w:ascii="Arial" w:hAnsi="Arial" w:cs="Arial"/>
          <w:szCs w:val="20"/>
        </w:rPr>
        <w:t>eg</w:t>
      </w:r>
      <w:proofErr w:type="spellEnd"/>
      <w:r w:rsidR="000B269F" w:rsidRPr="00E94F69">
        <w:rPr>
          <w:rFonts w:ascii="Arial" w:hAnsi="Arial" w:cs="Arial"/>
          <w:szCs w:val="20"/>
        </w:rPr>
        <w:t xml:space="preserve"> </w:t>
      </w:r>
      <w:r w:rsidR="00F82352">
        <w:rPr>
          <w:rFonts w:ascii="Arial" w:hAnsi="Arial" w:cs="Arial"/>
          <w:szCs w:val="20"/>
        </w:rPr>
        <w:t>tokenised card on file</w:t>
      </w:r>
      <w:r w:rsidR="00FC6D4C">
        <w:rPr>
          <w:rFonts w:ascii="Arial" w:hAnsi="Arial" w:cs="Arial"/>
          <w:szCs w:val="20"/>
        </w:rPr>
        <w:t xml:space="preserve"> requirements that require deletion of a DNDC PAN </w:t>
      </w:r>
      <w:r w:rsidR="0024397D">
        <w:rPr>
          <w:rFonts w:ascii="Arial" w:hAnsi="Arial" w:cs="Arial"/>
          <w:szCs w:val="20"/>
        </w:rPr>
        <w:t>when</w:t>
      </w:r>
      <w:r w:rsidR="00FC6D4C">
        <w:rPr>
          <w:rFonts w:ascii="Arial" w:hAnsi="Arial" w:cs="Arial"/>
          <w:szCs w:val="20"/>
        </w:rPr>
        <w:t xml:space="preserve"> tokenised with one only scheme’s tokens</w:t>
      </w:r>
      <w:r w:rsidR="00F82352">
        <w:rPr>
          <w:rFonts w:ascii="Arial" w:hAnsi="Arial" w:cs="Arial"/>
          <w:szCs w:val="20"/>
        </w:rPr>
        <w:t xml:space="preserve">, a merchant’s ability to </w:t>
      </w:r>
      <w:r w:rsidR="00FC6D4C">
        <w:rPr>
          <w:rFonts w:ascii="Arial" w:hAnsi="Arial" w:cs="Arial"/>
          <w:szCs w:val="20"/>
        </w:rPr>
        <w:t xml:space="preserve">exercise its LCR right in the </w:t>
      </w:r>
      <w:r w:rsidR="000B269F" w:rsidRPr="00E94F69">
        <w:rPr>
          <w:rFonts w:ascii="Arial" w:hAnsi="Arial" w:cs="Arial"/>
          <w:szCs w:val="20"/>
        </w:rPr>
        <w:t>Device Not Present</w:t>
      </w:r>
      <w:r w:rsidR="00FE1091">
        <w:rPr>
          <w:rFonts w:ascii="Arial" w:hAnsi="Arial" w:cs="Arial"/>
          <w:szCs w:val="20"/>
        </w:rPr>
        <w:t xml:space="preserve"> environment</w:t>
      </w:r>
      <w:r w:rsidR="000B269F" w:rsidRPr="00E94F69">
        <w:rPr>
          <w:rFonts w:ascii="Arial" w:hAnsi="Arial" w:cs="Arial"/>
          <w:szCs w:val="20"/>
        </w:rPr>
        <w:t>)</w:t>
      </w:r>
      <w:r w:rsidR="007370CC">
        <w:rPr>
          <w:rFonts w:ascii="Arial" w:hAnsi="Arial" w:cs="Arial"/>
          <w:szCs w:val="20"/>
        </w:rPr>
        <w:t>;</w:t>
      </w:r>
    </w:p>
    <w:p w14:paraId="665FF595" w14:textId="683E34C3" w:rsidR="00EF034B" w:rsidRDefault="007370CC" w:rsidP="00645486">
      <w:pPr>
        <w:pStyle w:val="ListParagraph"/>
        <w:numPr>
          <w:ilvl w:val="1"/>
          <w:numId w:val="33"/>
        </w:numPr>
        <w:spacing w:after="0"/>
        <w:jc w:val="both"/>
        <w:rPr>
          <w:rFonts w:ascii="Arial" w:hAnsi="Arial" w:cs="Arial"/>
          <w:szCs w:val="20"/>
        </w:rPr>
      </w:pPr>
      <w:r>
        <w:rPr>
          <w:rFonts w:ascii="Arial" w:hAnsi="Arial" w:cs="Arial"/>
          <w:szCs w:val="20"/>
        </w:rPr>
        <w:t xml:space="preserve">Use of fees to penalise or disincentives </w:t>
      </w:r>
      <w:r w:rsidR="00F24CBA">
        <w:rPr>
          <w:rFonts w:ascii="Arial" w:hAnsi="Arial" w:cs="Arial"/>
          <w:szCs w:val="20"/>
        </w:rPr>
        <w:t>competition (</w:t>
      </w:r>
      <w:proofErr w:type="spellStart"/>
      <w:r w:rsidR="00F24CBA">
        <w:rPr>
          <w:rFonts w:ascii="Arial" w:hAnsi="Arial" w:cs="Arial"/>
          <w:szCs w:val="20"/>
        </w:rPr>
        <w:t>eg</w:t>
      </w:r>
      <w:proofErr w:type="spellEnd"/>
      <w:r w:rsidR="00F24CBA">
        <w:rPr>
          <w:rFonts w:ascii="Arial" w:hAnsi="Arial" w:cs="Arial"/>
          <w:szCs w:val="20"/>
        </w:rPr>
        <w:t xml:space="preserve"> SNDC</w:t>
      </w:r>
      <w:r w:rsidR="0080724B">
        <w:rPr>
          <w:rFonts w:ascii="Arial" w:hAnsi="Arial" w:cs="Arial"/>
          <w:szCs w:val="20"/>
        </w:rPr>
        <w:t xml:space="preserve"> </w:t>
      </w:r>
      <w:r w:rsidR="00F732B9">
        <w:rPr>
          <w:rFonts w:ascii="Arial" w:hAnsi="Arial" w:cs="Arial"/>
          <w:szCs w:val="20"/>
        </w:rPr>
        <w:t>higher interchange for non-routable transaction types</w:t>
      </w:r>
      <w:r w:rsidR="00EF034B">
        <w:rPr>
          <w:rFonts w:ascii="Arial" w:hAnsi="Arial" w:cs="Arial"/>
          <w:szCs w:val="20"/>
        </w:rPr>
        <w:t>);</w:t>
      </w:r>
    </w:p>
    <w:p w14:paraId="3488F4E5" w14:textId="2A77A379" w:rsidR="000B269F" w:rsidRPr="00E94F69" w:rsidRDefault="00EF034B" w:rsidP="00645486">
      <w:pPr>
        <w:pStyle w:val="ListParagraph"/>
        <w:numPr>
          <w:ilvl w:val="1"/>
          <w:numId w:val="33"/>
        </w:numPr>
        <w:spacing w:after="0"/>
        <w:jc w:val="both"/>
        <w:rPr>
          <w:rFonts w:ascii="Arial" w:hAnsi="Arial" w:cs="Arial"/>
          <w:szCs w:val="20"/>
        </w:rPr>
      </w:pPr>
      <w:r>
        <w:rPr>
          <w:rFonts w:ascii="Arial" w:hAnsi="Arial" w:cs="Arial"/>
          <w:szCs w:val="20"/>
        </w:rPr>
        <w:t xml:space="preserve">Use of </w:t>
      </w:r>
      <w:r w:rsidR="004F1595">
        <w:rPr>
          <w:rFonts w:ascii="Arial" w:hAnsi="Arial" w:cs="Arial"/>
          <w:szCs w:val="20"/>
        </w:rPr>
        <w:t>agreements</w:t>
      </w:r>
      <w:r>
        <w:rPr>
          <w:rFonts w:ascii="Arial" w:hAnsi="Arial" w:cs="Arial"/>
          <w:szCs w:val="20"/>
        </w:rPr>
        <w:t xml:space="preserve"> to prevent consumers being informed of all available payment methods</w:t>
      </w:r>
      <w:r w:rsidR="0097198C">
        <w:rPr>
          <w:rFonts w:ascii="Arial" w:hAnsi="Arial" w:cs="Arial"/>
          <w:szCs w:val="20"/>
        </w:rPr>
        <w:t xml:space="preserve"> or how to override an arbitrary default setting in tokens in mobile</w:t>
      </w:r>
      <w:r w:rsidR="000B269F" w:rsidRPr="00E94F69">
        <w:rPr>
          <w:rFonts w:ascii="Arial" w:hAnsi="Arial" w:cs="Arial"/>
          <w:szCs w:val="20"/>
        </w:rPr>
        <w:t xml:space="preserve">.  </w:t>
      </w:r>
    </w:p>
    <w:p w14:paraId="0527CA2A" w14:textId="77777777" w:rsidR="000B269F" w:rsidRPr="00E94F69" w:rsidRDefault="000B269F" w:rsidP="00645486">
      <w:pPr>
        <w:spacing w:after="0"/>
        <w:jc w:val="both"/>
        <w:rPr>
          <w:rFonts w:ascii="Arial" w:hAnsi="Arial" w:cs="Arial"/>
          <w:szCs w:val="20"/>
        </w:rPr>
      </w:pPr>
    </w:p>
    <w:p w14:paraId="62835FFC" w14:textId="7637D182" w:rsidR="000B269F" w:rsidRPr="00E94F69" w:rsidRDefault="4398576C" w:rsidP="00645486">
      <w:pPr>
        <w:pStyle w:val="ListParagraph"/>
        <w:numPr>
          <w:ilvl w:val="0"/>
          <w:numId w:val="33"/>
        </w:numPr>
        <w:spacing w:after="0"/>
        <w:jc w:val="both"/>
        <w:rPr>
          <w:rFonts w:ascii="Arial" w:hAnsi="Arial" w:cs="Arial"/>
          <w:szCs w:val="20"/>
        </w:rPr>
      </w:pPr>
      <w:r w:rsidRPr="00E94F69">
        <w:rPr>
          <w:rFonts w:ascii="Arial" w:hAnsi="Arial" w:cs="Arial"/>
          <w:szCs w:val="20"/>
        </w:rPr>
        <w:t xml:space="preserve">eftpos supports the need to have two tokens available in mobile devices from provisioned DNDCs, however considers that this preliminary conclusion does not go far enough </w:t>
      </w:r>
      <w:r w:rsidRPr="00175F31">
        <w:rPr>
          <w:rFonts w:ascii="Arial" w:hAnsi="Arial" w:cs="Arial"/>
          <w:szCs w:val="20"/>
        </w:rPr>
        <w:t>and the requirement should</w:t>
      </w:r>
      <w:r w:rsidRPr="00E94F69">
        <w:rPr>
          <w:rFonts w:ascii="Arial" w:hAnsi="Arial" w:cs="Arial"/>
          <w:szCs w:val="20"/>
        </w:rPr>
        <w:t xml:space="preserve"> be for both tokens to be presented to a merchant to exercise LCR choice.</w:t>
      </w:r>
      <w:r w:rsidR="0051324A">
        <w:rPr>
          <w:rFonts w:ascii="Arial" w:hAnsi="Arial" w:cs="Arial"/>
          <w:szCs w:val="20"/>
        </w:rPr>
        <w:t xml:space="preserve"> </w:t>
      </w:r>
      <w:r w:rsidR="00175F31">
        <w:rPr>
          <w:rFonts w:ascii="Arial" w:hAnsi="Arial" w:cs="Arial"/>
          <w:szCs w:val="20"/>
        </w:rPr>
        <w:t>We comment below about the regulatory power of the Bank to do</w:t>
      </w:r>
      <w:r w:rsidR="00A63038">
        <w:rPr>
          <w:rFonts w:ascii="Arial" w:hAnsi="Arial" w:cs="Arial"/>
          <w:szCs w:val="20"/>
        </w:rPr>
        <w:t xml:space="preserve"> this.</w:t>
      </w:r>
    </w:p>
    <w:p w14:paraId="65061F43" w14:textId="77777777" w:rsidR="000B269F" w:rsidRPr="00E94F69" w:rsidRDefault="000B269F" w:rsidP="00645486">
      <w:pPr>
        <w:spacing w:after="0"/>
        <w:jc w:val="both"/>
        <w:rPr>
          <w:rFonts w:ascii="Arial" w:hAnsi="Arial" w:cs="Arial"/>
          <w:szCs w:val="20"/>
        </w:rPr>
      </w:pPr>
    </w:p>
    <w:p w14:paraId="6D28DA70" w14:textId="77777777" w:rsidR="00AF2CCC" w:rsidRPr="00E94F69" w:rsidRDefault="00AF2CCC" w:rsidP="00645486">
      <w:pPr>
        <w:pStyle w:val="ListParagraph"/>
        <w:numPr>
          <w:ilvl w:val="0"/>
          <w:numId w:val="33"/>
        </w:numPr>
        <w:spacing w:after="0"/>
        <w:jc w:val="both"/>
        <w:rPr>
          <w:rFonts w:ascii="Arial" w:hAnsi="Arial" w:cs="Arial"/>
          <w:szCs w:val="20"/>
        </w:rPr>
      </w:pPr>
      <w:r w:rsidRPr="00E94F69">
        <w:rPr>
          <w:rFonts w:ascii="Arial" w:hAnsi="Arial" w:cs="Arial"/>
          <w:szCs w:val="20"/>
        </w:rPr>
        <w:t>Consultation options/questions</w:t>
      </w:r>
    </w:p>
    <w:p w14:paraId="5350EC34" w14:textId="77777777" w:rsidR="00AF2CCC" w:rsidRPr="00E94F69" w:rsidRDefault="00AF2CCC" w:rsidP="00645486">
      <w:pPr>
        <w:pStyle w:val="ListParagraph"/>
        <w:numPr>
          <w:ilvl w:val="0"/>
          <w:numId w:val="35"/>
        </w:numPr>
        <w:spacing w:after="0"/>
        <w:jc w:val="both"/>
        <w:rPr>
          <w:rFonts w:ascii="Arial" w:hAnsi="Arial" w:cs="Arial"/>
          <w:szCs w:val="20"/>
        </w:rPr>
      </w:pPr>
      <w:r w:rsidRPr="00E94F69">
        <w:rPr>
          <w:rFonts w:ascii="Arial" w:hAnsi="Arial" w:cs="Arial"/>
          <w:szCs w:val="20"/>
        </w:rPr>
        <w:t>The options considered by the Bank are:</w:t>
      </w:r>
    </w:p>
    <w:p w14:paraId="628267EC" w14:textId="77777777" w:rsidR="00AF2CCC" w:rsidRPr="00E94F69" w:rsidRDefault="00AF2CCC" w:rsidP="00645486">
      <w:pPr>
        <w:pStyle w:val="ListParagraph"/>
        <w:numPr>
          <w:ilvl w:val="1"/>
          <w:numId w:val="35"/>
        </w:numPr>
        <w:spacing w:after="0"/>
        <w:jc w:val="both"/>
        <w:rPr>
          <w:rFonts w:ascii="Arial" w:hAnsi="Arial" w:cs="Arial"/>
          <w:szCs w:val="20"/>
        </w:rPr>
      </w:pPr>
      <w:r w:rsidRPr="00E94F69">
        <w:rPr>
          <w:rFonts w:ascii="Arial" w:hAnsi="Arial" w:cs="Arial"/>
          <w:szCs w:val="20"/>
        </w:rPr>
        <w:t xml:space="preserve">Maintain current arrangements </w:t>
      </w:r>
      <w:proofErr w:type="spellStart"/>
      <w:r w:rsidRPr="00E94F69">
        <w:rPr>
          <w:rFonts w:ascii="Arial" w:hAnsi="Arial" w:cs="Arial"/>
          <w:szCs w:val="20"/>
        </w:rPr>
        <w:t>ie</w:t>
      </w:r>
      <w:proofErr w:type="spellEnd"/>
      <w:r w:rsidRPr="00E94F69">
        <w:rPr>
          <w:rFonts w:ascii="Arial" w:hAnsi="Arial" w:cs="Arial"/>
          <w:szCs w:val="20"/>
        </w:rPr>
        <w:t xml:space="preserve"> issuer choice, Bank monitoring</w:t>
      </w:r>
    </w:p>
    <w:p w14:paraId="3FD9AB31" w14:textId="77777777" w:rsidR="00AF2CCC" w:rsidRPr="00E94F69" w:rsidRDefault="00AF2CCC" w:rsidP="00645486">
      <w:pPr>
        <w:pStyle w:val="ListParagraph"/>
        <w:numPr>
          <w:ilvl w:val="1"/>
          <w:numId w:val="35"/>
        </w:numPr>
        <w:spacing w:after="0"/>
        <w:jc w:val="both"/>
        <w:rPr>
          <w:rFonts w:ascii="Arial" w:hAnsi="Arial" w:cs="Arial"/>
          <w:szCs w:val="20"/>
        </w:rPr>
      </w:pPr>
      <w:r w:rsidRPr="00E94F69">
        <w:rPr>
          <w:rFonts w:ascii="Arial" w:hAnsi="Arial" w:cs="Arial"/>
          <w:szCs w:val="20"/>
        </w:rPr>
        <w:t>Explicit expectation of DNDC issuance for the major banks for all form factors including mobile wallets (where the functionality is supported by the scheme) with a cents-based interchange fee cap for SNDCs</w:t>
      </w:r>
    </w:p>
    <w:p w14:paraId="1C894434" w14:textId="08D1B006" w:rsidR="00AF2CCC" w:rsidRPr="00E94F69" w:rsidRDefault="00AF2CCC" w:rsidP="00645486">
      <w:pPr>
        <w:pStyle w:val="ListParagraph"/>
        <w:numPr>
          <w:ilvl w:val="1"/>
          <w:numId w:val="35"/>
        </w:numPr>
        <w:spacing w:after="0"/>
        <w:jc w:val="both"/>
        <w:rPr>
          <w:rFonts w:ascii="Arial" w:hAnsi="Arial" w:cs="Arial"/>
        </w:rPr>
      </w:pPr>
      <w:r w:rsidRPr="0DAB75B4">
        <w:rPr>
          <w:rFonts w:ascii="Arial" w:hAnsi="Arial" w:cs="Arial"/>
        </w:rPr>
        <w:t>Regulation mandating DNDC issuance for the major banks and medium sized issuers above a set threshold, possibly with no lower cents-based interchange cap for SNDC depending on the threshold set</w:t>
      </w:r>
    </w:p>
    <w:p w14:paraId="590A4AB8" w14:textId="5BC711A6" w:rsidR="00AF2CCC" w:rsidRPr="00E94F69" w:rsidRDefault="00C43AD9" w:rsidP="00645486">
      <w:pPr>
        <w:pStyle w:val="ListParagraph"/>
        <w:numPr>
          <w:ilvl w:val="0"/>
          <w:numId w:val="35"/>
        </w:numPr>
        <w:spacing w:after="0"/>
        <w:rPr>
          <w:rFonts w:ascii="Arial" w:hAnsi="Arial" w:cs="Arial"/>
        </w:rPr>
      </w:pPr>
      <w:r w:rsidRPr="2A7498ED">
        <w:rPr>
          <w:rFonts w:ascii="Arial" w:hAnsi="Arial" w:cs="Arial"/>
        </w:rPr>
        <w:t>t</w:t>
      </w:r>
      <w:r w:rsidR="00AF2CCC" w:rsidRPr="2A7498ED">
        <w:rPr>
          <w:rFonts w:ascii="Arial" w:hAnsi="Arial" w:cs="Arial"/>
        </w:rPr>
        <w:t>he Bank has stated its current preference is option 2.</w:t>
      </w:r>
      <w:r>
        <w:br/>
      </w:r>
    </w:p>
    <w:p w14:paraId="36AFC3D2" w14:textId="798775B7" w:rsidR="00883C6E" w:rsidRDefault="00CD6CFA" w:rsidP="00645486">
      <w:pPr>
        <w:pStyle w:val="ListParagraph"/>
        <w:numPr>
          <w:ilvl w:val="0"/>
          <w:numId w:val="33"/>
        </w:numPr>
        <w:spacing w:after="0"/>
        <w:jc w:val="both"/>
        <w:rPr>
          <w:rFonts w:ascii="Arial" w:hAnsi="Arial" w:cs="Arial"/>
        </w:rPr>
      </w:pPr>
      <w:r w:rsidRPr="00797E92">
        <w:rPr>
          <w:rFonts w:ascii="Arial" w:hAnsi="Arial" w:cs="Arial" w:hint="eastAsia"/>
        </w:rPr>
        <w:t>Traditionally</w:t>
      </w:r>
      <w:r w:rsidR="00F63CDB">
        <w:rPr>
          <w:rFonts w:ascii="Arial" w:hAnsi="Arial" w:cs="Arial"/>
        </w:rPr>
        <w:t>,</w:t>
      </w:r>
      <w:r w:rsidRPr="00797E92">
        <w:rPr>
          <w:rFonts w:ascii="Arial" w:hAnsi="Arial" w:cs="Arial" w:hint="eastAsia"/>
        </w:rPr>
        <w:t xml:space="preserve"> </w:t>
      </w:r>
      <w:r w:rsidR="003A4F7D">
        <w:rPr>
          <w:rFonts w:ascii="Arial" w:hAnsi="Arial" w:cs="Arial"/>
        </w:rPr>
        <w:t xml:space="preserve">the Bank has supported DNDCs as they provided competition, which generated innovation, were convenient for consumers and provided choice to merchants </w:t>
      </w:r>
      <w:r w:rsidR="00883C6E">
        <w:rPr>
          <w:rFonts w:ascii="Arial" w:hAnsi="Arial" w:cs="Arial"/>
        </w:rPr>
        <w:t>to enable them to exercise their right to LCR</w:t>
      </w:r>
      <w:r w:rsidR="00791100">
        <w:rPr>
          <w:rStyle w:val="FootnoteReference"/>
          <w:rFonts w:ascii="Arial" w:hAnsi="Arial" w:cs="Arial"/>
        </w:rPr>
        <w:footnoteReference w:id="5"/>
      </w:r>
      <w:r w:rsidR="00883C6E">
        <w:rPr>
          <w:rFonts w:ascii="Arial" w:hAnsi="Arial" w:cs="Arial"/>
        </w:rPr>
        <w:t xml:space="preserve">.  </w:t>
      </w:r>
      <w:r w:rsidR="00CC0E87">
        <w:rPr>
          <w:rFonts w:ascii="Arial" w:hAnsi="Arial" w:cs="Arial"/>
        </w:rPr>
        <w:t>Historically, e</w:t>
      </w:r>
      <w:r w:rsidR="00883C6E">
        <w:rPr>
          <w:rFonts w:ascii="Arial" w:hAnsi="Arial" w:cs="Arial"/>
        </w:rPr>
        <w:t xml:space="preserve">ftpos has supported DNDCs </w:t>
      </w:r>
      <w:r w:rsidR="000D09EE">
        <w:rPr>
          <w:rFonts w:ascii="Arial" w:hAnsi="Arial" w:cs="Arial"/>
        </w:rPr>
        <w:t xml:space="preserve">as they provide choice for merchants as well as consumers </w:t>
      </w:r>
      <w:r w:rsidR="00297E99">
        <w:rPr>
          <w:rFonts w:ascii="Arial" w:hAnsi="Arial" w:cs="Arial"/>
        </w:rPr>
        <w:t xml:space="preserve">(even though this meant a move of cards to ICS BINs) </w:t>
      </w:r>
      <w:r w:rsidR="000D09EE">
        <w:rPr>
          <w:rFonts w:ascii="Arial" w:hAnsi="Arial" w:cs="Arial"/>
        </w:rPr>
        <w:t xml:space="preserve">on the basis that LCR would be broadly available.  </w:t>
      </w:r>
    </w:p>
    <w:p w14:paraId="3DB08FC6" w14:textId="77777777" w:rsidR="00883C6E" w:rsidRPr="00331F88" w:rsidRDefault="00883C6E" w:rsidP="00645486">
      <w:pPr>
        <w:spacing w:after="0"/>
        <w:ind w:left="360"/>
        <w:jc w:val="both"/>
        <w:rPr>
          <w:rFonts w:ascii="Arial" w:hAnsi="Arial" w:cs="Arial"/>
        </w:rPr>
      </w:pPr>
    </w:p>
    <w:p w14:paraId="7F622C22" w14:textId="5CBBE19E" w:rsidR="007F2862" w:rsidRPr="00E94F69" w:rsidRDefault="007F2862" w:rsidP="00645486">
      <w:pPr>
        <w:pStyle w:val="ListParagraph"/>
        <w:numPr>
          <w:ilvl w:val="0"/>
          <w:numId w:val="33"/>
        </w:numPr>
        <w:spacing w:after="0"/>
        <w:jc w:val="both"/>
        <w:rPr>
          <w:rFonts w:ascii="Arial" w:hAnsi="Arial" w:cs="Arial"/>
        </w:rPr>
      </w:pPr>
      <w:r w:rsidRPr="0DAB75B4">
        <w:rPr>
          <w:rFonts w:ascii="Arial" w:hAnsi="Arial" w:cs="Arial"/>
        </w:rPr>
        <w:lastRenderedPageBreak/>
        <w:t>The availability of dual network functionality for all form factors should be considered</w:t>
      </w:r>
      <w:r w:rsidR="000C090E" w:rsidRPr="0DAB75B4">
        <w:rPr>
          <w:rFonts w:ascii="Arial" w:hAnsi="Arial" w:cs="Arial"/>
        </w:rPr>
        <w:t xml:space="preserve">, recognising that payments is a two sided market and without </w:t>
      </w:r>
      <w:r w:rsidR="00E275EC" w:rsidRPr="0DAB75B4">
        <w:rPr>
          <w:rFonts w:ascii="Arial" w:hAnsi="Arial" w:cs="Arial"/>
        </w:rPr>
        <w:t>competition being available on a form factor, there can be no choice for merchants</w:t>
      </w:r>
      <w:r w:rsidR="1735B33D" w:rsidRPr="0DAB75B4">
        <w:rPr>
          <w:rFonts w:ascii="Arial" w:hAnsi="Arial" w:cs="Arial"/>
        </w:rPr>
        <w:t xml:space="preserve"> leading to higher prices</w:t>
      </w:r>
      <w:r w:rsidR="00462E64">
        <w:rPr>
          <w:rFonts w:ascii="Arial" w:hAnsi="Arial" w:cs="Arial"/>
        </w:rPr>
        <w:t xml:space="preserve"> and potentially less innovation</w:t>
      </w:r>
      <w:r w:rsidRPr="0DAB75B4">
        <w:rPr>
          <w:rFonts w:ascii="Arial" w:hAnsi="Arial" w:cs="Arial"/>
        </w:rPr>
        <w:t xml:space="preserve">.  </w:t>
      </w:r>
    </w:p>
    <w:p w14:paraId="74440A96" w14:textId="6DBD39AD" w:rsidR="007F2862" w:rsidRPr="00E94F69" w:rsidRDefault="007F2862" w:rsidP="00645486">
      <w:pPr>
        <w:pStyle w:val="ListParagraph"/>
        <w:numPr>
          <w:ilvl w:val="0"/>
          <w:numId w:val="28"/>
        </w:numPr>
        <w:spacing w:after="0"/>
        <w:jc w:val="both"/>
        <w:rPr>
          <w:rFonts w:ascii="Arial" w:hAnsi="Arial" w:cs="Arial"/>
          <w:szCs w:val="20"/>
        </w:rPr>
      </w:pPr>
      <w:r w:rsidRPr="00E94F69">
        <w:rPr>
          <w:rFonts w:ascii="Arial" w:hAnsi="Arial" w:cs="Arial"/>
          <w:szCs w:val="20"/>
        </w:rPr>
        <w:t xml:space="preserve">Without enabling competition on the issuing side, LCR capability is impeded or completely undermined on the acquiring side.  Wherever LCR is not available, such as currently for mobile payments in the Device Present </w:t>
      </w:r>
      <w:r w:rsidR="00931122">
        <w:rPr>
          <w:rFonts w:ascii="Arial" w:hAnsi="Arial" w:cs="Arial"/>
          <w:szCs w:val="20"/>
        </w:rPr>
        <w:t xml:space="preserve">environment </w:t>
      </w:r>
      <w:r w:rsidRPr="00E94F69">
        <w:rPr>
          <w:rFonts w:ascii="Arial" w:hAnsi="Arial" w:cs="Arial"/>
          <w:szCs w:val="20"/>
        </w:rPr>
        <w:t>and for the majority of payments in Device Not Present environment, costs of acceptance are higher.  This is evident in other markets, like the UK</w:t>
      </w:r>
      <w:r w:rsidR="00321009">
        <w:rPr>
          <w:rFonts w:ascii="Arial" w:hAnsi="Arial" w:cs="Arial"/>
          <w:szCs w:val="20"/>
        </w:rPr>
        <w:t xml:space="preserve"> where merchant costs increased by 50% after Mastercard bought the domestic debit card network</w:t>
      </w:r>
      <w:r w:rsidR="00321009">
        <w:rPr>
          <w:rStyle w:val="FootnoteReference"/>
          <w:rFonts w:ascii="Arial" w:hAnsi="Arial" w:cs="Arial"/>
          <w:szCs w:val="20"/>
        </w:rPr>
        <w:footnoteReference w:id="6"/>
      </w:r>
      <w:r w:rsidRPr="00E94F69">
        <w:rPr>
          <w:rFonts w:ascii="Arial" w:hAnsi="Arial" w:cs="Arial"/>
          <w:szCs w:val="20"/>
        </w:rPr>
        <w:t>, and here in Australia for non-routable transactions.</w:t>
      </w:r>
      <w:r w:rsidRPr="0097337F">
        <w:rPr>
          <w:rFonts w:ascii="Arial" w:hAnsi="Arial" w:cs="Arial"/>
          <w:szCs w:val="20"/>
          <w:vertAlign w:val="superscript"/>
        </w:rPr>
        <w:footnoteReference w:id="7"/>
      </w:r>
      <w:r w:rsidRPr="00E94F69">
        <w:rPr>
          <w:rFonts w:ascii="Arial" w:hAnsi="Arial" w:cs="Arial"/>
          <w:szCs w:val="20"/>
        </w:rPr>
        <w:t xml:space="preserve"> </w:t>
      </w:r>
    </w:p>
    <w:p w14:paraId="71570E9B" w14:textId="0F5AA1AE" w:rsidR="007F2862" w:rsidRPr="00E94F69" w:rsidRDefault="00B107C2" w:rsidP="00645486">
      <w:pPr>
        <w:pStyle w:val="ListParagraph"/>
        <w:numPr>
          <w:ilvl w:val="0"/>
          <w:numId w:val="28"/>
        </w:numPr>
        <w:spacing w:after="0"/>
        <w:jc w:val="both"/>
        <w:rPr>
          <w:rFonts w:ascii="Arial" w:hAnsi="Arial" w:cs="Arial"/>
          <w:szCs w:val="20"/>
        </w:rPr>
      </w:pPr>
      <w:r>
        <w:rPr>
          <w:rFonts w:ascii="Arial" w:hAnsi="Arial" w:cs="Arial"/>
          <w:szCs w:val="20"/>
        </w:rPr>
        <w:t xml:space="preserve">Contrary to claims that </w:t>
      </w:r>
      <w:r w:rsidR="003F3893">
        <w:rPr>
          <w:rFonts w:ascii="Arial" w:hAnsi="Arial" w:cs="Arial"/>
          <w:szCs w:val="20"/>
        </w:rPr>
        <w:t>both networks on a DNDC have largely overlapping functionality</w:t>
      </w:r>
      <w:r w:rsidR="003F3893">
        <w:rPr>
          <w:rStyle w:val="FootnoteReference"/>
          <w:rFonts w:ascii="Arial" w:hAnsi="Arial" w:cs="Arial"/>
          <w:szCs w:val="20"/>
        </w:rPr>
        <w:footnoteReference w:id="8"/>
      </w:r>
      <w:r w:rsidR="003F3893">
        <w:rPr>
          <w:rFonts w:ascii="Arial" w:hAnsi="Arial" w:cs="Arial"/>
          <w:szCs w:val="20"/>
        </w:rPr>
        <w:t xml:space="preserve">, </w:t>
      </w:r>
      <w:r w:rsidR="007F2862" w:rsidRPr="00E94F69">
        <w:rPr>
          <w:rFonts w:ascii="Arial" w:hAnsi="Arial" w:cs="Arial"/>
          <w:szCs w:val="20"/>
        </w:rPr>
        <w:t xml:space="preserve">SNDC and other single network form factors </w:t>
      </w:r>
      <w:r w:rsidR="00631659">
        <w:rPr>
          <w:rFonts w:ascii="Arial" w:hAnsi="Arial" w:cs="Arial"/>
          <w:szCs w:val="20"/>
        </w:rPr>
        <w:t xml:space="preserve">with only the ICS on them </w:t>
      </w:r>
      <w:r w:rsidR="007F2862" w:rsidRPr="00E94F69">
        <w:rPr>
          <w:rFonts w:ascii="Arial" w:hAnsi="Arial" w:cs="Arial"/>
          <w:szCs w:val="20"/>
        </w:rPr>
        <w:t xml:space="preserve">mean consumers will start to miss out on </w:t>
      </w:r>
      <w:r w:rsidR="00A06EB1">
        <w:rPr>
          <w:rFonts w:ascii="Arial" w:hAnsi="Arial" w:cs="Arial"/>
          <w:szCs w:val="20"/>
        </w:rPr>
        <w:t>currently available conveniences</w:t>
      </w:r>
      <w:r w:rsidR="007F2862" w:rsidRPr="00E94F69">
        <w:rPr>
          <w:rFonts w:ascii="Arial" w:hAnsi="Arial" w:cs="Arial"/>
          <w:szCs w:val="20"/>
        </w:rPr>
        <w:t xml:space="preserve"> like broad availability of cash out at retail merchants, real time Medicare refunds at point of sale, and access to Beem It to transfer funds between friends and family members.  It also means that consumers are more exposed to being surcharged.  This is just in the current context, without considering future innovations such as QR code payments and the possible availability of digital identity benefits. </w:t>
      </w:r>
      <w:r w:rsidR="004C0DD9">
        <w:rPr>
          <w:rFonts w:ascii="Arial" w:hAnsi="Arial" w:cs="Arial"/>
          <w:szCs w:val="20"/>
        </w:rPr>
        <w:t xml:space="preserve"> </w:t>
      </w:r>
    </w:p>
    <w:p w14:paraId="4CFDA5D7" w14:textId="23FEC2D4" w:rsidR="00BB6759" w:rsidRPr="00E94F69" w:rsidRDefault="00BB6759" w:rsidP="00645486">
      <w:pPr>
        <w:pStyle w:val="ListParagraph"/>
        <w:numPr>
          <w:ilvl w:val="0"/>
          <w:numId w:val="28"/>
        </w:numPr>
        <w:spacing w:after="0"/>
        <w:jc w:val="both"/>
        <w:rPr>
          <w:rFonts w:ascii="Arial" w:hAnsi="Arial" w:cs="Arial"/>
          <w:szCs w:val="20"/>
        </w:rPr>
      </w:pPr>
      <w:r>
        <w:rPr>
          <w:rFonts w:ascii="Arial" w:hAnsi="Arial" w:cs="Arial"/>
          <w:szCs w:val="20"/>
        </w:rPr>
        <w:t>We have seen announcements that one ICS is developing real time Medicare refunds to be rolled out by those issuers supporting its SNDCs now</w:t>
      </w:r>
      <w:r w:rsidR="00636F9B">
        <w:rPr>
          <w:rFonts w:ascii="Arial" w:hAnsi="Arial" w:cs="Arial"/>
          <w:szCs w:val="20"/>
        </w:rPr>
        <w:t>.  This</w:t>
      </w:r>
      <w:r>
        <w:rPr>
          <w:rFonts w:ascii="Arial" w:hAnsi="Arial" w:cs="Arial"/>
          <w:szCs w:val="20"/>
        </w:rPr>
        <w:t xml:space="preserve"> will be a cost to those issuers for something that is already available to their customers today without additional development cost to the issuer if they retain DNDCs</w:t>
      </w:r>
      <w:r w:rsidR="00636F9B">
        <w:rPr>
          <w:rFonts w:ascii="Arial" w:hAnsi="Arial" w:cs="Arial"/>
          <w:szCs w:val="20"/>
        </w:rPr>
        <w:t xml:space="preserve"> – it seems counterintuitive to the arguments being provided supporting SNDCs</w:t>
      </w:r>
      <w:r w:rsidR="00DC1870">
        <w:rPr>
          <w:rFonts w:ascii="Arial" w:hAnsi="Arial" w:cs="Arial"/>
          <w:szCs w:val="20"/>
        </w:rPr>
        <w:t>.</w:t>
      </w:r>
    </w:p>
    <w:p w14:paraId="0A849B23" w14:textId="2ECB5938" w:rsidR="007F2862" w:rsidRDefault="007F2862" w:rsidP="0080724B">
      <w:pPr>
        <w:pStyle w:val="ListParagraph"/>
        <w:numPr>
          <w:ilvl w:val="0"/>
          <w:numId w:val="28"/>
        </w:numPr>
        <w:spacing w:after="0"/>
      </w:pPr>
      <w:r w:rsidRPr="00E94F69">
        <w:rPr>
          <w:rFonts w:ascii="Arial" w:hAnsi="Arial" w:cs="Arial"/>
          <w:szCs w:val="20"/>
        </w:rPr>
        <w:t xml:space="preserve">It is essential that dual network functionality availability applies in respect of both the fact of issuance and also the timing of enablement and activation </w:t>
      </w:r>
      <w:proofErr w:type="spellStart"/>
      <w:r w:rsidRPr="00E94F69">
        <w:rPr>
          <w:rFonts w:ascii="Arial" w:hAnsi="Arial" w:cs="Arial"/>
          <w:szCs w:val="20"/>
        </w:rPr>
        <w:t>ie</w:t>
      </w:r>
      <w:proofErr w:type="spellEnd"/>
      <w:r w:rsidRPr="00E94F69">
        <w:rPr>
          <w:rFonts w:ascii="Arial" w:hAnsi="Arial" w:cs="Arial"/>
          <w:szCs w:val="20"/>
        </w:rPr>
        <w:t xml:space="preserve"> where capability exists, both networks should be available and activated at the same time to ensure that LCR remains a sustainable method for merchants to manage their costs of acceptance</w:t>
      </w:r>
      <w:r w:rsidRPr="002E6BA3">
        <w:t>.</w:t>
      </w:r>
      <w:r>
        <w:br/>
      </w:r>
    </w:p>
    <w:p w14:paraId="11E88CD2" w14:textId="4333F191" w:rsidR="0080724B" w:rsidRDefault="7F02D4DE" w:rsidP="0080724B">
      <w:pPr>
        <w:pStyle w:val="ListParagraph"/>
        <w:numPr>
          <w:ilvl w:val="0"/>
          <w:numId w:val="33"/>
        </w:numPr>
        <w:spacing w:after="0"/>
        <w:jc w:val="both"/>
      </w:pPr>
      <w:r w:rsidRPr="00E94F69">
        <w:rPr>
          <w:rFonts w:ascii="Arial" w:hAnsi="Arial" w:cs="Arial"/>
          <w:szCs w:val="20"/>
        </w:rPr>
        <w:t>eftpos</w:t>
      </w:r>
      <w:r>
        <w:t xml:space="preserve"> </w:t>
      </w:r>
      <w:r w:rsidRPr="00E94F69">
        <w:rPr>
          <w:rFonts w:ascii="Arial" w:hAnsi="Arial" w:cs="Arial"/>
          <w:szCs w:val="20"/>
        </w:rPr>
        <w:t xml:space="preserve">understands that submissions have been made to the Bank that the cost for </w:t>
      </w:r>
      <w:proofErr w:type="spellStart"/>
      <w:r w:rsidRPr="00E94F69">
        <w:rPr>
          <w:rFonts w:ascii="Arial" w:hAnsi="Arial" w:cs="Arial"/>
          <w:szCs w:val="20"/>
        </w:rPr>
        <w:t>neobanks</w:t>
      </w:r>
      <w:proofErr w:type="spellEnd"/>
      <w:r w:rsidRPr="00E94F69">
        <w:rPr>
          <w:rFonts w:ascii="Arial" w:hAnsi="Arial" w:cs="Arial"/>
          <w:szCs w:val="20"/>
        </w:rPr>
        <w:t xml:space="preserve"> and very small issuers of supporting two networks can outweigh the revenues derived by them.</w:t>
      </w:r>
    </w:p>
    <w:p w14:paraId="37D1BCB1" w14:textId="77695800" w:rsidR="005E2507" w:rsidRPr="0080724B" w:rsidRDefault="005E2507" w:rsidP="0080724B">
      <w:pPr>
        <w:spacing w:after="0"/>
        <w:rPr>
          <w:rFonts w:ascii="Arial" w:hAnsi="Arial" w:cs="Arial"/>
          <w:szCs w:val="20"/>
        </w:rPr>
      </w:pPr>
    </w:p>
    <w:p w14:paraId="23A6C6C0" w14:textId="04887CE2" w:rsidR="00845F74" w:rsidRPr="00E94F69" w:rsidRDefault="005E2507" w:rsidP="00645486">
      <w:pPr>
        <w:pStyle w:val="ListParagraph"/>
        <w:numPr>
          <w:ilvl w:val="0"/>
          <w:numId w:val="33"/>
        </w:numPr>
        <w:spacing w:after="0"/>
        <w:jc w:val="both"/>
        <w:rPr>
          <w:rFonts w:ascii="Arial" w:hAnsi="Arial" w:cs="Arial"/>
          <w:szCs w:val="20"/>
        </w:rPr>
      </w:pPr>
      <w:r>
        <w:rPr>
          <w:rFonts w:ascii="Arial" w:hAnsi="Arial" w:cs="Arial"/>
          <w:szCs w:val="20"/>
        </w:rPr>
        <w:t xml:space="preserve">As such, </w:t>
      </w:r>
      <w:r w:rsidR="00845F74" w:rsidRPr="00E94F69">
        <w:rPr>
          <w:rFonts w:ascii="Arial" w:hAnsi="Arial" w:cs="Arial"/>
          <w:szCs w:val="20"/>
        </w:rPr>
        <w:t xml:space="preserve">eftpos can see some benefit from the following package of measures, some of which could be introduced through explicit regulation, to </w:t>
      </w:r>
      <w:r w:rsidR="000B2BE0" w:rsidRPr="00E94F69">
        <w:rPr>
          <w:rFonts w:ascii="Arial" w:hAnsi="Arial" w:cs="Arial"/>
          <w:szCs w:val="20"/>
        </w:rPr>
        <w:t>support the policy positions of supporting LCR and ubiquitous issuance for a level playing field, enable</w:t>
      </w:r>
      <w:r w:rsidR="00845F74" w:rsidRPr="00E94F69">
        <w:rPr>
          <w:rFonts w:ascii="Arial" w:hAnsi="Arial" w:cs="Arial"/>
          <w:szCs w:val="20"/>
        </w:rPr>
        <w:t xml:space="preserve"> </w:t>
      </w:r>
      <w:proofErr w:type="spellStart"/>
      <w:r w:rsidR="00337661">
        <w:rPr>
          <w:rFonts w:ascii="Arial" w:hAnsi="Arial" w:cs="Arial"/>
          <w:szCs w:val="20"/>
        </w:rPr>
        <w:t>neobanks</w:t>
      </w:r>
      <w:proofErr w:type="spellEnd"/>
      <w:r w:rsidR="00337661">
        <w:rPr>
          <w:rFonts w:ascii="Arial" w:hAnsi="Arial" w:cs="Arial"/>
          <w:szCs w:val="20"/>
        </w:rPr>
        <w:t xml:space="preserve"> to </w:t>
      </w:r>
      <w:r w:rsidR="00712E2F">
        <w:rPr>
          <w:rFonts w:ascii="Arial" w:hAnsi="Arial" w:cs="Arial"/>
          <w:szCs w:val="20"/>
        </w:rPr>
        <w:t xml:space="preserve">establish themselves and </w:t>
      </w:r>
      <w:r w:rsidR="00845F74" w:rsidRPr="00E94F69">
        <w:rPr>
          <w:rFonts w:ascii="Arial" w:hAnsi="Arial" w:cs="Arial"/>
          <w:szCs w:val="20"/>
        </w:rPr>
        <w:t xml:space="preserve">smaller issuers to compete with larger bank competitors, as well as </w:t>
      </w:r>
      <w:r w:rsidR="000B2BE0" w:rsidRPr="00E94F69">
        <w:rPr>
          <w:rFonts w:ascii="Arial" w:hAnsi="Arial" w:cs="Arial"/>
          <w:szCs w:val="20"/>
        </w:rPr>
        <w:t xml:space="preserve">address the specific cost concerns of the small issuers while allowing them to </w:t>
      </w:r>
      <w:r w:rsidR="00845F74" w:rsidRPr="00E94F69">
        <w:rPr>
          <w:rFonts w:ascii="Arial" w:hAnsi="Arial" w:cs="Arial"/>
          <w:szCs w:val="20"/>
        </w:rPr>
        <w:t>meet the</w:t>
      </w:r>
      <w:r w:rsidR="000B2BE0" w:rsidRPr="00E94F69">
        <w:rPr>
          <w:rFonts w:ascii="Arial" w:hAnsi="Arial" w:cs="Arial"/>
          <w:szCs w:val="20"/>
        </w:rPr>
        <w:t xml:space="preserve">ir </w:t>
      </w:r>
      <w:r w:rsidR="00845F74" w:rsidRPr="00E94F69">
        <w:rPr>
          <w:rFonts w:ascii="Arial" w:hAnsi="Arial" w:cs="Arial"/>
          <w:szCs w:val="20"/>
        </w:rPr>
        <w:t>social licence responsibility of issuers:</w:t>
      </w:r>
    </w:p>
    <w:p w14:paraId="673CA626" w14:textId="3BD664DD" w:rsidR="00EF5445" w:rsidRPr="006B0E85" w:rsidRDefault="00EF5445" w:rsidP="00645486">
      <w:pPr>
        <w:pStyle w:val="ListParagraph"/>
        <w:numPr>
          <w:ilvl w:val="0"/>
          <w:numId w:val="16"/>
        </w:numPr>
        <w:spacing w:after="0"/>
        <w:jc w:val="both"/>
        <w:rPr>
          <w:rFonts w:ascii="Arial" w:hAnsi="Arial" w:cs="Arial"/>
        </w:rPr>
      </w:pPr>
      <w:r w:rsidRPr="0009122E">
        <w:rPr>
          <w:rFonts w:ascii="Arial" w:hAnsi="Arial" w:cs="Arial"/>
        </w:rPr>
        <w:t xml:space="preserve">Require service providers providing </w:t>
      </w:r>
      <w:r w:rsidRPr="00170E5A">
        <w:rPr>
          <w:rFonts w:ascii="Arial" w:hAnsi="Arial" w:cs="Arial"/>
        </w:rPr>
        <w:t xml:space="preserve">services to participants in the Australian market to support </w:t>
      </w:r>
      <w:r w:rsidR="00376C61" w:rsidRPr="00170E5A">
        <w:rPr>
          <w:rFonts w:ascii="Arial" w:hAnsi="Arial" w:cs="Arial"/>
        </w:rPr>
        <w:t xml:space="preserve">the domestic debit system in addition to ICS, </w:t>
      </w:r>
      <w:r w:rsidR="00E9142F" w:rsidRPr="00170E5A">
        <w:rPr>
          <w:rFonts w:ascii="Arial" w:hAnsi="Arial" w:cs="Arial"/>
        </w:rPr>
        <w:t xml:space="preserve">in the same way as regulators in other markets do </w:t>
      </w:r>
      <w:proofErr w:type="spellStart"/>
      <w:r w:rsidR="00E9142F" w:rsidRPr="00170E5A">
        <w:rPr>
          <w:rFonts w:ascii="Arial" w:hAnsi="Arial" w:cs="Arial"/>
        </w:rPr>
        <w:t>eg</w:t>
      </w:r>
      <w:proofErr w:type="spellEnd"/>
      <w:r w:rsidR="00E9142F" w:rsidRPr="00170E5A">
        <w:rPr>
          <w:rFonts w:ascii="Arial" w:hAnsi="Arial" w:cs="Arial"/>
        </w:rPr>
        <w:t xml:space="preserve"> India, Canada, Malaysia</w:t>
      </w:r>
      <w:r w:rsidR="0098062F">
        <w:rPr>
          <w:rFonts w:ascii="Arial" w:hAnsi="Arial" w:cs="Arial"/>
        </w:rPr>
        <w:t xml:space="preserve"> (regulation)</w:t>
      </w:r>
      <w:r w:rsidR="006B0E85">
        <w:rPr>
          <w:rFonts w:ascii="Arial" w:hAnsi="Arial" w:cs="Arial"/>
        </w:rPr>
        <w:t>;</w:t>
      </w:r>
    </w:p>
    <w:p w14:paraId="092E325E" w14:textId="0A035118" w:rsidR="00717AF5" w:rsidRDefault="00CC6A53" w:rsidP="00645486">
      <w:pPr>
        <w:pStyle w:val="ListParagraph"/>
        <w:numPr>
          <w:ilvl w:val="0"/>
          <w:numId w:val="16"/>
        </w:numPr>
        <w:spacing w:after="0"/>
        <w:jc w:val="both"/>
        <w:rPr>
          <w:rFonts w:ascii="Arial" w:hAnsi="Arial" w:cs="Arial"/>
        </w:rPr>
      </w:pPr>
      <w:r w:rsidRPr="00F930E0">
        <w:rPr>
          <w:rFonts w:ascii="Arial" w:hAnsi="Arial" w:cs="Arial"/>
        </w:rPr>
        <w:t>E</w:t>
      </w:r>
      <w:r w:rsidR="006B4CF4" w:rsidRPr="00F930E0">
        <w:rPr>
          <w:rFonts w:ascii="Arial" w:hAnsi="Arial" w:cs="Arial"/>
        </w:rPr>
        <w:t xml:space="preserve">xempt issuers with less than </w:t>
      </w:r>
      <w:r w:rsidR="001425B3" w:rsidRPr="00F930E0">
        <w:rPr>
          <w:rFonts w:ascii="Arial" w:hAnsi="Arial" w:cs="Arial"/>
        </w:rPr>
        <w:t>50,</w:t>
      </w:r>
      <w:r w:rsidR="006B4CF4" w:rsidRPr="00F930E0">
        <w:rPr>
          <w:rFonts w:ascii="Arial" w:hAnsi="Arial" w:cs="Arial"/>
        </w:rPr>
        <w:t>000 form factors on issue from the net compensation rule</w:t>
      </w:r>
      <w:r w:rsidR="001425B3" w:rsidRPr="00F930E0">
        <w:rPr>
          <w:rFonts w:ascii="Arial" w:hAnsi="Arial" w:cs="Arial"/>
        </w:rPr>
        <w:t xml:space="preserve"> </w:t>
      </w:r>
      <w:r w:rsidR="00253382" w:rsidRPr="00F930E0">
        <w:rPr>
          <w:rFonts w:ascii="Arial" w:hAnsi="Arial" w:cs="Arial"/>
        </w:rPr>
        <w:t>if</w:t>
      </w:r>
      <w:r w:rsidR="001425B3" w:rsidRPr="00F930E0">
        <w:rPr>
          <w:rFonts w:ascii="Arial" w:hAnsi="Arial" w:cs="Arial"/>
        </w:rPr>
        <w:t xml:space="preserve"> they continue to support two networks on form factors</w:t>
      </w:r>
      <w:r w:rsidR="005000D9">
        <w:rPr>
          <w:rFonts w:ascii="Arial" w:hAnsi="Arial" w:cs="Arial"/>
        </w:rPr>
        <w:t>;</w:t>
      </w:r>
    </w:p>
    <w:p w14:paraId="4C81CFCE" w14:textId="59C5828D" w:rsidR="005000D9" w:rsidRPr="00F930E0" w:rsidRDefault="005000D9" w:rsidP="00645486">
      <w:pPr>
        <w:pStyle w:val="ListParagraph"/>
        <w:numPr>
          <w:ilvl w:val="0"/>
          <w:numId w:val="16"/>
        </w:numPr>
        <w:spacing w:after="0"/>
        <w:jc w:val="both"/>
        <w:rPr>
          <w:rFonts w:ascii="Arial" w:hAnsi="Arial" w:cs="Arial"/>
        </w:rPr>
      </w:pPr>
      <w:r w:rsidRPr="00F930E0">
        <w:rPr>
          <w:rFonts w:ascii="Arial" w:hAnsi="Arial" w:cs="Arial"/>
        </w:rPr>
        <w:t>Require the aggregators to make rebate funds available to their issuing institutions</w:t>
      </w:r>
      <w:r w:rsidR="00E11E11" w:rsidRPr="00F930E0">
        <w:rPr>
          <w:rFonts w:ascii="Arial" w:hAnsi="Arial" w:cs="Arial"/>
        </w:rPr>
        <w:t xml:space="preserve"> where the funds are not used to fund developments at the aggregator level to benefit all of their issuers;</w:t>
      </w:r>
    </w:p>
    <w:p w14:paraId="2C63132A" w14:textId="3C4AB1A1" w:rsidR="00845F74" w:rsidRPr="00E94F69" w:rsidRDefault="00845F74" w:rsidP="00645486">
      <w:pPr>
        <w:pStyle w:val="ListParagraph"/>
        <w:numPr>
          <w:ilvl w:val="0"/>
          <w:numId w:val="16"/>
        </w:numPr>
        <w:spacing w:after="0"/>
        <w:jc w:val="both"/>
        <w:rPr>
          <w:rFonts w:ascii="Arial" w:hAnsi="Arial" w:cs="Arial"/>
          <w:szCs w:val="20"/>
        </w:rPr>
      </w:pPr>
      <w:r w:rsidRPr="00E94F69">
        <w:rPr>
          <w:rFonts w:ascii="Arial" w:hAnsi="Arial" w:cs="Arial"/>
          <w:szCs w:val="20"/>
        </w:rPr>
        <w:t xml:space="preserve">Schemes continue to assist through unilateral and unregulated support in terms of extending the time to complete </w:t>
      </w:r>
      <w:r w:rsidR="00D9185A">
        <w:rPr>
          <w:rFonts w:ascii="Arial" w:hAnsi="Arial" w:cs="Arial"/>
          <w:szCs w:val="20"/>
        </w:rPr>
        <w:t xml:space="preserve">product </w:t>
      </w:r>
      <w:r w:rsidRPr="00E94F69">
        <w:rPr>
          <w:rFonts w:ascii="Arial" w:hAnsi="Arial" w:cs="Arial"/>
          <w:szCs w:val="20"/>
        </w:rPr>
        <w:t xml:space="preserve">compliance obligations; and </w:t>
      </w:r>
    </w:p>
    <w:p w14:paraId="6FE305BA" w14:textId="482F5514" w:rsidR="00845F74" w:rsidRPr="00E94F69" w:rsidRDefault="00845F74" w:rsidP="00645486">
      <w:pPr>
        <w:pStyle w:val="ListParagraph"/>
        <w:numPr>
          <w:ilvl w:val="0"/>
          <w:numId w:val="16"/>
        </w:numPr>
        <w:spacing w:after="0"/>
        <w:jc w:val="both"/>
        <w:rPr>
          <w:rFonts w:ascii="Arial" w:hAnsi="Arial" w:cs="Arial"/>
        </w:rPr>
      </w:pPr>
      <w:r w:rsidRPr="0DAB75B4">
        <w:rPr>
          <w:rFonts w:ascii="Arial" w:hAnsi="Arial" w:cs="Arial"/>
        </w:rPr>
        <w:t>Rebates, subject to the net compensation rules, from the schemes that are supported.</w:t>
      </w:r>
      <w:r w:rsidR="00150B0C">
        <w:rPr>
          <w:rStyle w:val="FootnoteReference"/>
          <w:rFonts w:ascii="Arial" w:hAnsi="Arial" w:cs="Arial"/>
        </w:rPr>
        <w:footnoteReference w:id="9"/>
      </w:r>
    </w:p>
    <w:p w14:paraId="04F45F9A" w14:textId="77777777" w:rsidR="000B269F" w:rsidRDefault="000B269F" w:rsidP="00645486">
      <w:pPr>
        <w:spacing w:after="0"/>
        <w:ind w:left="360"/>
        <w:jc w:val="both"/>
      </w:pPr>
    </w:p>
    <w:p w14:paraId="2E0440AF" w14:textId="77777777" w:rsidR="000B269F" w:rsidRPr="00E94F69" w:rsidRDefault="000B269F" w:rsidP="00645486">
      <w:pPr>
        <w:pStyle w:val="ListParagraph"/>
        <w:numPr>
          <w:ilvl w:val="0"/>
          <w:numId w:val="33"/>
        </w:numPr>
        <w:spacing w:after="0"/>
        <w:jc w:val="both"/>
        <w:rPr>
          <w:rFonts w:ascii="Arial" w:hAnsi="Arial" w:cs="Arial"/>
          <w:szCs w:val="20"/>
        </w:rPr>
      </w:pPr>
      <w:r w:rsidRPr="00E94F69">
        <w:rPr>
          <w:rFonts w:ascii="Arial" w:hAnsi="Arial" w:cs="Arial"/>
          <w:szCs w:val="20"/>
        </w:rPr>
        <w:lastRenderedPageBreak/>
        <w:t>Specifically, the loss of ubiquitous issuance will see eftpos move to irrelevance for issuers and merchants very quickly by:</w:t>
      </w:r>
    </w:p>
    <w:p w14:paraId="37C1CABC" w14:textId="6B913035" w:rsidR="002000B3" w:rsidRDefault="000B269F" w:rsidP="00645486">
      <w:pPr>
        <w:pStyle w:val="ListParagraph"/>
        <w:numPr>
          <w:ilvl w:val="0"/>
          <w:numId w:val="29"/>
        </w:numPr>
        <w:spacing w:after="0"/>
        <w:jc w:val="both"/>
        <w:rPr>
          <w:rFonts w:ascii="Arial" w:hAnsi="Arial" w:cs="Arial"/>
          <w:szCs w:val="20"/>
        </w:rPr>
      </w:pPr>
      <w:r w:rsidRPr="00E94F69">
        <w:rPr>
          <w:rFonts w:ascii="Arial" w:hAnsi="Arial" w:cs="Arial"/>
          <w:szCs w:val="20"/>
        </w:rPr>
        <w:t>movement of prop cards to DNDC</w:t>
      </w:r>
      <w:r w:rsidR="0080724B">
        <w:rPr>
          <w:rFonts w:ascii="Arial" w:hAnsi="Arial" w:cs="Arial"/>
          <w:szCs w:val="20"/>
        </w:rPr>
        <w:t xml:space="preserve">. </w:t>
      </w:r>
      <w:r w:rsidRPr="006269DD">
        <w:rPr>
          <w:rFonts w:ascii="Arial" w:hAnsi="Arial" w:cs="Arial"/>
          <w:szCs w:val="20"/>
        </w:rPr>
        <w:t>This means through this preliminary conclusion,</w:t>
      </w:r>
      <w:r w:rsidRPr="00E94F69">
        <w:rPr>
          <w:rFonts w:ascii="Arial" w:hAnsi="Arial" w:cs="Arial"/>
          <w:szCs w:val="20"/>
        </w:rPr>
        <w:t xml:space="preserve"> creating</w:t>
      </w:r>
      <w:r w:rsidR="002000B3">
        <w:rPr>
          <w:rFonts w:ascii="Arial" w:hAnsi="Arial" w:cs="Arial"/>
          <w:szCs w:val="20"/>
        </w:rPr>
        <w:t>:</w:t>
      </w:r>
    </w:p>
    <w:p w14:paraId="131368A6" w14:textId="31A656BD" w:rsidR="002000B3" w:rsidRDefault="000B269F" w:rsidP="00645486">
      <w:pPr>
        <w:pStyle w:val="ListParagraph"/>
        <w:numPr>
          <w:ilvl w:val="1"/>
          <w:numId w:val="29"/>
        </w:numPr>
        <w:spacing w:after="0"/>
        <w:jc w:val="both"/>
        <w:rPr>
          <w:rFonts w:ascii="Arial" w:hAnsi="Arial" w:cs="Arial"/>
          <w:szCs w:val="20"/>
        </w:rPr>
      </w:pPr>
      <w:r w:rsidRPr="00E94F69">
        <w:rPr>
          <w:rFonts w:ascii="Arial" w:hAnsi="Arial" w:cs="Arial"/>
          <w:szCs w:val="20"/>
        </w:rPr>
        <w:t>a leakage point for merchants deciding whether to adopt LCR</w:t>
      </w:r>
      <w:r w:rsidR="002000B3">
        <w:rPr>
          <w:rFonts w:ascii="Arial" w:hAnsi="Arial" w:cs="Arial"/>
          <w:szCs w:val="20"/>
        </w:rPr>
        <w:t>; and</w:t>
      </w:r>
    </w:p>
    <w:p w14:paraId="44F6F1E2" w14:textId="24FBEFEF" w:rsidR="000B269F" w:rsidRPr="00E94F69" w:rsidRDefault="000B269F" w:rsidP="00645486">
      <w:pPr>
        <w:pStyle w:val="ListParagraph"/>
        <w:numPr>
          <w:ilvl w:val="0"/>
          <w:numId w:val="29"/>
        </w:numPr>
        <w:spacing w:after="0"/>
        <w:jc w:val="both"/>
        <w:rPr>
          <w:rFonts w:ascii="Arial" w:hAnsi="Arial" w:cs="Arial"/>
        </w:rPr>
      </w:pPr>
      <w:r w:rsidRPr="7CA06E91">
        <w:rPr>
          <w:rFonts w:ascii="Arial" w:hAnsi="Arial" w:cs="Arial"/>
        </w:rPr>
        <w:t xml:space="preserve">the ICS considering they are permitted under the 2013 undertakings to require </w:t>
      </w:r>
      <w:r w:rsidR="006269DD">
        <w:rPr>
          <w:rFonts w:ascii="Arial" w:hAnsi="Arial" w:cs="Arial"/>
        </w:rPr>
        <w:t xml:space="preserve">through rules </w:t>
      </w:r>
      <w:r w:rsidRPr="7CA06E91">
        <w:rPr>
          <w:rFonts w:ascii="Arial" w:hAnsi="Arial" w:cs="Arial"/>
        </w:rPr>
        <w:t>that the ICS application has first priority on any</w:t>
      </w:r>
      <w:r w:rsidR="0C3ECA51" w:rsidRPr="7CA06E91">
        <w:rPr>
          <w:rFonts w:ascii="Arial" w:hAnsi="Arial" w:cs="Arial"/>
        </w:rPr>
        <w:t xml:space="preserve"> bank owned and issued</w:t>
      </w:r>
      <w:r w:rsidRPr="7CA06E91">
        <w:rPr>
          <w:rFonts w:ascii="Arial" w:hAnsi="Arial" w:cs="Arial"/>
        </w:rPr>
        <w:t xml:space="preserve"> DNDC with the ICS BIN</w:t>
      </w:r>
      <w:r w:rsidR="001F1E5A">
        <w:rPr>
          <w:rFonts w:ascii="Arial" w:hAnsi="Arial" w:cs="Arial"/>
        </w:rPr>
        <w:t xml:space="preserve"> – this is not the case in other markets </w:t>
      </w:r>
      <w:r w:rsidR="00F952F1">
        <w:rPr>
          <w:rFonts w:ascii="Arial" w:hAnsi="Arial" w:cs="Arial"/>
        </w:rPr>
        <w:t xml:space="preserve">where regulators have prohibited the rules </w:t>
      </w:r>
      <w:r w:rsidR="001F1E5A">
        <w:rPr>
          <w:rFonts w:ascii="Arial" w:hAnsi="Arial" w:cs="Arial"/>
        </w:rPr>
        <w:t>(</w:t>
      </w:r>
      <w:proofErr w:type="spellStart"/>
      <w:r w:rsidR="001F1E5A">
        <w:rPr>
          <w:rFonts w:ascii="Arial" w:hAnsi="Arial" w:cs="Arial"/>
        </w:rPr>
        <w:t>eg</w:t>
      </w:r>
      <w:proofErr w:type="spellEnd"/>
      <w:r w:rsidR="001F1E5A">
        <w:rPr>
          <w:rFonts w:ascii="Arial" w:hAnsi="Arial" w:cs="Arial"/>
        </w:rPr>
        <w:t xml:space="preserve"> </w:t>
      </w:r>
      <w:r w:rsidR="00F952F1">
        <w:rPr>
          <w:rFonts w:ascii="Arial" w:hAnsi="Arial" w:cs="Arial"/>
        </w:rPr>
        <w:t>Canada and France)</w:t>
      </w:r>
      <w:r w:rsidRPr="7CA06E91">
        <w:rPr>
          <w:rFonts w:ascii="Arial" w:hAnsi="Arial" w:cs="Arial"/>
        </w:rPr>
        <w:t>;</w:t>
      </w:r>
    </w:p>
    <w:p w14:paraId="50AA556D" w14:textId="2165EC06" w:rsidR="000B269F" w:rsidRPr="00E94F69" w:rsidRDefault="000B269F" w:rsidP="00645486">
      <w:pPr>
        <w:pStyle w:val="ListParagraph"/>
        <w:numPr>
          <w:ilvl w:val="0"/>
          <w:numId w:val="29"/>
        </w:numPr>
        <w:spacing w:after="0"/>
        <w:jc w:val="both"/>
        <w:rPr>
          <w:rFonts w:ascii="Arial" w:hAnsi="Arial" w:cs="Arial"/>
          <w:szCs w:val="20"/>
        </w:rPr>
      </w:pPr>
      <w:r w:rsidRPr="00E94F69">
        <w:rPr>
          <w:rFonts w:ascii="Arial" w:hAnsi="Arial" w:cs="Arial"/>
          <w:szCs w:val="20"/>
        </w:rPr>
        <w:t>specifications, rules, fees and agreements being used to effectively convert a dual network form factor to be a single network form factor as has happened with contactless card design (without LCR), mobile wallet provisioning designs, ICS fees and agreements</w:t>
      </w:r>
      <w:r w:rsidR="00D1571E">
        <w:rPr>
          <w:rFonts w:ascii="Arial" w:hAnsi="Arial" w:cs="Arial"/>
          <w:szCs w:val="20"/>
        </w:rPr>
        <w:t xml:space="preserve"> and is happening with tokenised cards on file</w:t>
      </w:r>
      <w:r w:rsidR="00E20B27">
        <w:rPr>
          <w:rFonts w:ascii="Arial" w:hAnsi="Arial" w:cs="Arial"/>
          <w:szCs w:val="20"/>
        </w:rPr>
        <w:t xml:space="preserve"> for online</w:t>
      </w:r>
      <w:r w:rsidR="003A2C46">
        <w:rPr>
          <w:rFonts w:ascii="Arial" w:hAnsi="Arial" w:cs="Arial"/>
          <w:szCs w:val="20"/>
        </w:rPr>
        <w:t>.</w:t>
      </w:r>
      <w:r w:rsidRPr="00E94F69">
        <w:rPr>
          <w:rFonts w:ascii="Arial" w:hAnsi="Arial" w:cs="Arial"/>
          <w:szCs w:val="20"/>
        </w:rPr>
        <w:t xml:space="preserve">; and </w:t>
      </w:r>
    </w:p>
    <w:p w14:paraId="319C06C6" w14:textId="64F09E94" w:rsidR="000B269F" w:rsidRPr="00E94F69" w:rsidRDefault="000B269F" w:rsidP="00645486">
      <w:pPr>
        <w:pStyle w:val="ListParagraph"/>
        <w:numPr>
          <w:ilvl w:val="0"/>
          <w:numId w:val="29"/>
        </w:numPr>
        <w:spacing w:after="0"/>
        <w:jc w:val="both"/>
        <w:rPr>
          <w:rFonts w:ascii="Arial" w:hAnsi="Arial" w:cs="Arial"/>
          <w:szCs w:val="20"/>
        </w:rPr>
      </w:pPr>
      <w:r w:rsidRPr="00E94F69">
        <w:rPr>
          <w:rFonts w:ascii="Arial" w:hAnsi="Arial" w:cs="Arial"/>
          <w:szCs w:val="20"/>
        </w:rPr>
        <w:t xml:space="preserve">the diminished ability for eftpos to compete to be the single network in SNDCs due to the proposed 6 cent interchange cap for those cards. </w:t>
      </w:r>
    </w:p>
    <w:p w14:paraId="49BC9B0B" w14:textId="77777777" w:rsidR="000B269F" w:rsidRDefault="000B269F" w:rsidP="00645486">
      <w:pPr>
        <w:spacing w:after="0"/>
        <w:jc w:val="both"/>
      </w:pPr>
    </w:p>
    <w:p w14:paraId="6394C8EA" w14:textId="77777777" w:rsidR="000B269F" w:rsidRPr="00E94F69" w:rsidRDefault="000B269F" w:rsidP="00645486">
      <w:pPr>
        <w:pStyle w:val="ListParagraph"/>
        <w:numPr>
          <w:ilvl w:val="0"/>
          <w:numId w:val="33"/>
        </w:numPr>
        <w:spacing w:after="0"/>
        <w:jc w:val="both"/>
        <w:rPr>
          <w:rFonts w:ascii="Arial" w:hAnsi="Arial" w:cs="Arial"/>
          <w:szCs w:val="20"/>
        </w:rPr>
      </w:pPr>
      <w:r w:rsidRPr="00E94F69">
        <w:rPr>
          <w:rFonts w:ascii="Arial" w:hAnsi="Arial" w:cs="Arial"/>
          <w:szCs w:val="20"/>
        </w:rPr>
        <w:t>The combined effect of the above, as well as:</w:t>
      </w:r>
    </w:p>
    <w:p w14:paraId="5DECA3A1" w14:textId="3B1140FC" w:rsidR="000B269F" w:rsidRPr="00E94F69" w:rsidRDefault="000B269F" w:rsidP="00645486">
      <w:pPr>
        <w:pStyle w:val="ListParagraph"/>
        <w:numPr>
          <w:ilvl w:val="0"/>
          <w:numId w:val="29"/>
        </w:numPr>
        <w:spacing w:after="0"/>
        <w:jc w:val="both"/>
        <w:rPr>
          <w:rFonts w:ascii="Arial" w:hAnsi="Arial" w:cs="Arial"/>
          <w:szCs w:val="20"/>
        </w:rPr>
      </w:pPr>
      <w:r w:rsidRPr="00E94F69">
        <w:rPr>
          <w:rFonts w:ascii="Arial" w:hAnsi="Arial" w:cs="Arial"/>
          <w:szCs w:val="20"/>
        </w:rPr>
        <w:t xml:space="preserve">lack of regulation requiring opt out LCR in both Device Present and Device Not Present environments undermining the long term sustainability of LCR as a mitigant to ICS priority </w:t>
      </w:r>
      <w:r w:rsidR="00D72FD9" w:rsidRPr="00E94F69">
        <w:rPr>
          <w:rFonts w:ascii="Arial" w:hAnsi="Arial" w:cs="Arial"/>
          <w:szCs w:val="20"/>
        </w:rPr>
        <w:t>(</w:t>
      </w:r>
      <w:proofErr w:type="spellStart"/>
      <w:r w:rsidR="00D72FD9" w:rsidRPr="00E94F69">
        <w:rPr>
          <w:rFonts w:ascii="Arial" w:hAnsi="Arial" w:cs="Arial"/>
          <w:szCs w:val="20"/>
        </w:rPr>
        <w:t>ie</w:t>
      </w:r>
      <w:proofErr w:type="spellEnd"/>
      <w:r w:rsidR="00D72FD9" w:rsidRPr="00E94F69">
        <w:rPr>
          <w:rFonts w:ascii="Arial" w:hAnsi="Arial" w:cs="Arial"/>
          <w:szCs w:val="20"/>
        </w:rPr>
        <w:t xml:space="preserve"> priority </w:t>
      </w:r>
      <w:r w:rsidRPr="00E94F69">
        <w:rPr>
          <w:rFonts w:ascii="Arial" w:hAnsi="Arial" w:cs="Arial"/>
          <w:szCs w:val="20"/>
        </w:rPr>
        <w:t>application on the chips on DNDCs</w:t>
      </w:r>
      <w:r w:rsidR="00D72FD9" w:rsidRPr="00E94F69">
        <w:rPr>
          <w:rFonts w:ascii="Arial" w:hAnsi="Arial" w:cs="Arial"/>
          <w:szCs w:val="20"/>
        </w:rPr>
        <w:t>, priority tokens in mobile</w:t>
      </w:r>
      <w:r w:rsidRPr="00E94F69">
        <w:rPr>
          <w:rFonts w:ascii="Arial" w:hAnsi="Arial" w:cs="Arial"/>
          <w:szCs w:val="20"/>
        </w:rPr>
        <w:t xml:space="preserve"> and using specifications, rules, fees and agreement to prevent or delay eftpos’ entry or scaling in Device Not Present markets</w:t>
      </w:r>
      <w:r w:rsidR="00D72FD9" w:rsidRPr="00E94F69">
        <w:rPr>
          <w:rFonts w:ascii="Arial" w:hAnsi="Arial" w:cs="Arial"/>
          <w:szCs w:val="20"/>
        </w:rPr>
        <w:t>)</w:t>
      </w:r>
      <w:r w:rsidRPr="00E94F69">
        <w:rPr>
          <w:rFonts w:ascii="Arial" w:hAnsi="Arial" w:cs="Arial"/>
          <w:szCs w:val="20"/>
        </w:rPr>
        <w:t>; and</w:t>
      </w:r>
    </w:p>
    <w:p w14:paraId="68027010" w14:textId="77777777" w:rsidR="0080724B" w:rsidRDefault="000B269F" w:rsidP="0080724B">
      <w:pPr>
        <w:pStyle w:val="ListParagraph"/>
        <w:numPr>
          <w:ilvl w:val="0"/>
          <w:numId w:val="29"/>
        </w:numPr>
        <w:spacing w:after="0"/>
        <w:jc w:val="both"/>
        <w:rPr>
          <w:rFonts w:ascii="Arial" w:hAnsi="Arial" w:cs="Arial"/>
          <w:szCs w:val="20"/>
        </w:rPr>
      </w:pPr>
      <w:r w:rsidRPr="00E94F69">
        <w:rPr>
          <w:rFonts w:ascii="Arial" w:hAnsi="Arial" w:cs="Arial"/>
          <w:szCs w:val="20"/>
        </w:rPr>
        <w:t>the increasing prevalence of mobile transactions where even if two tokens are available on the mobile device, two tokens are not presented to merchants to enable LCR</w:t>
      </w:r>
      <w:r w:rsidR="0063306B">
        <w:rPr>
          <w:rFonts w:ascii="Arial" w:hAnsi="Arial" w:cs="Arial"/>
          <w:szCs w:val="20"/>
        </w:rPr>
        <w:t>.</w:t>
      </w:r>
      <w:r w:rsidRPr="00E94F69">
        <w:rPr>
          <w:rFonts w:ascii="Arial" w:hAnsi="Arial" w:cs="Arial"/>
          <w:szCs w:val="20"/>
        </w:rPr>
        <w:t xml:space="preserve"> </w:t>
      </w:r>
    </w:p>
    <w:p w14:paraId="6579E253" w14:textId="77777777" w:rsidR="00960BDD" w:rsidRPr="00960BDD" w:rsidRDefault="000B269F" w:rsidP="00E60A68">
      <w:pPr>
        <w:pStyle w:val="ListParagraph"/>
        <w:numPr>
          <w:ilvl w:val="0"/>
          <w:numId w:val="29"/>
        </w:numPr>
        <w:spacing w:after="0"/>
        <w:jc w:val="both"/>
      </w:pPr>
      <w:r w:rsidRPr="00960BDD">
        <w:rPr>
          <w:rFonts w:ascii="Arial" w:hAnsi="Arial" w:cs="Arial"/>
          <w:szCs w:val="20"/>
        </w:rPr>
        <w:t xml:space="preserve">creates </w:t>
      </w:r>
      <w:r w:rsidR="00505FAF" w:rsidRPr="00960BDD">
        <w:rPr>
          <w:rFonts w:ascii="Arial" w:hAnsi="Arial" w:cs="Arial"/>
          <w:szCs w:val="20"/>
        </w:rPr>
        <w:t xml:space="preserve">further </w:t>
      </w:r>
      <w:r w:rsidRPr="00960BDD">
        <w:rPr>
          <w:rFonts w:ascii="Arial" w:hAnsi="Arial" w:cs="Arial"/>
          <w:szCs w:val="20"/>
        </w:rPr>
        <w:t>leakage for merchants deciding whether to adopt LCR</w:t>
      </w:r>
      <w:r w:rsidR="00B91F55" w:rsidRPr="00960BDD">
        <w:rPr>
          <w:rFonts w:ascii="Arial" w:hAnsi="Arial" w:cs="Arial"/>
          <w:szCs w:val="20"/>
        </w:rPr>
        <w:t>.  This</w:t>
      </w:r>
      <w:r w:rsidRPr="00960BDD">
        <w:rPr>
          <w:rFonts w:ascii="Arial" w:hAnsi="Arial" w:cs="Arial"/>
          <w:szCs w:val="20"/>
        </w:rPr>
        <w:t xml:space="preserve"> means that LCR will fail</w:t>
      </w:r>
      <w:r w:rsidR="00FB2940" w:rsidRPr="00960BDD">
        <w:rPr>
          <w:rFonts w:ascii="Arial" w:hAnsi="Arial" w:cs="Arial"/>
          <w:szCs w:val="20"/>
        </w:rPr>
        <w:t xml:space="preserve">. </w:t>
      </w:r>
    </w:p>
    <w:p w14:paraId="1626CF43" w14:textId="3744CD04" w:rsidR="000B269F" w:rsidRDefault="00A959AD" w:rsidP="00960BDD">
      <w:pPr>
        <w:pStyle w:val="ListParagraph"/>
        <w:spacing w:after="0"/>
        <w:ind w:left="1080"/>
        <w:jc w:val="both"/>
      </w:pPr>
      <w:r w:rsidRPr="00960BDD">
        <w:rPr>
          <w:rFonts w:ascii="Arial" w:hAnsi="Arial" w:cs="Arial"/>
          <w:szCs w:val="20"/>
        </w:rPr>
        <w:t xml:space="preserve"> </w:t>
      </w:r>
    </w:p>
    <w:p w14:paraId="632C3219" w14:textId="1C9B2A32" w:rsidR="00525A4A" w:rsidRDefault="00525A4A" w:rsidP="00645486">
      <w:pPr>
        <w:pStyle w:val="ListParagraph"/>
        <w:numPr>
          <w:ilvl w:val="0"/>
          <w:numId w:val="33"/>
        </w:numPr>
        <w:spacing w:after="0"/>
        <w:jc w:val="both"/>
        <w:rPr>
          <w:rFonts w:ascii="Arial" w:hAnsi="Arial" w:cs="Arial"/>
        </w:rPr>
      </w:pPr>
      <w:r>
        <w:rPr>
          <w:rFonts w:ascii="Arial" w:hAnsi="Arial" w:cs="Arial"/>
        </w:rPr>
        <w:t>As such, eftpos calls for the Bank to</w:t>
      </w:r>
      <w:r w:rsidR="00207DE2">
        <w:rPr>
          <w:rFonts w:ascii="Arial" w:hAnsi="Arial" w:cs="Arial"/>
        </w:rPr>
        <w:t>:</w:t>
      </w:r>
    </w:p>
    <w:p w14:paraId="32A47374" w14:textId="5C3E2B15" w:rsidR="009D4859" w:rsidRDefault="00323E04" w:rsidP="00645486">
      <w:pPr>
        <w:pStyle w:val="ListParagraph"/>
        <w:numPr>
          <w:ilvl w:val="1"/>
          <w:numId w:val="33"/>
        </w:numPr>
        <w:spacing w:after="0"/>
        <w:jc w:val="both"/>
        <w:rPr>
          <w:rFonts w:ascii="Arial" w:hAnsi="Arial" w:cs="Arial"/>
        </w:rPr>
      </w:pPr>
      <w:r>
        <w:rPr>
          <w:rFonts w:ascii="Arial" w:hAnsi="Arial" w:cs="Arial"/>
        </w:rPr>
        <w:t xml:space="preserve">Provide transition arrangements for the conversion of the prop card portfolio to DNDCs from Major Banks by </w:t>
      </w:r>
      <w:r w:rsidR="001340A4">
        <w:rPr>
          <w:rFonts w:ascii="Arial" w:hAnsi="Arial" w:cs="Arial"/>
        </w:rPr>
        <w:t xml:space="preserve">requiring that any such conversion </w:t>
      </w:r>
      <w:r w:rsidR="00B75C98">
        <w:rPr>
          <w:rFonts w:ascii="Arial" w:hAnsi="Arial" w:cs="Arial"/>
        </w:rPr>
        <w:t xml:space="preserve">ensure eftpos as P1 for those cards through to the end of the current card </w:t>
      </w:r>
      <w:r w:rsidR="006A17BE">
        <w:rPr>
          <w:rFonts w:ascii="Arial" w:hAnsi="Arial" w:cs="Arial"/>
        </w:rPr>
        <w:t xml:space="preserve">refresh </w:t>
      </w:r>
      <w:r w:rsidR="00B75C98">
        <w:rPr>
          <w:rFonts w:ascii="Arial" w:hAnsi="Arial" w:cs="Arial"/>
        </w:rPr>
        <w:t>cycle</w:t>
      </w:r>
      <w:r w:rsidR="009D4859">
        <w:rPr>
          <w:rFonts w:ascii="Arial" w:hAnsi="Arial" w:cs="Arial"/>
        </w:rPr>
        <w:t>;</w:t>
      </w:r>
    </w:p>
    <w:p w14:paraId="4DC78785" w14:textId="34B07112" w:rsidR="00207DE2" w:rsidRDefault="00334A85" w:rsidP="00645486">
      <w:pPr>
        <w:pStyle w:val="ListParagraph"/>
        <w:numPr>
          <w:ilvl w:val="1"/>
          <w:numId w:val="33"/>
        </w:numPr>
        <w:spacing w:after="0"/>
        <w:jc w:val="both"/>
        <w:rPr>
          <w:rFonts w:ascii="Arial" w:hAnsi="Arial" w:cs="Arial"/>
        </w:rPr>
      </w:pPr>
      <w:r>
        <w:rPr>
          <w:rFonts w:ascii="Arial" w:hAnsi="Arial" w:cs="Arial"/>
        </w:rPr>
        <w:t xml:space="preserve">prohibiting </w:t>
      </w:r>
      <w:r w:rsidR="00BB1119">
        <w:rPr>
          <w:rFonts w:ascii="Arial" w:hAnsi="Arial" w:cs="Arial"/>
        </w:rPr>
        <w:t xml:space="preserve">scheme rules that require P1 </w:t>
      </w:r>
      <w:r w:rsidR="00D1407D">
        <w:rPr>
          <w:rFonts w:ascii="Arial" w:hAnsi="Arial" w:cs="Arial"/>
        </w:rPr>
        <w:t>from DNDCs so that the allocation of priority application on chips then becomes a commercial matter between schemes and issuers;</w:t>
      </w:r>
      <w:r w:rsidR="002D2C7D">
        <w:rPr>
          <w:rFonts w:ascii="Arial" w:hAnsi="Arial" w:cs="Arial"/>
        </w:rPr>
        <w:t xml:space="preserve"> and</w:t>
      </w:r>
    </w:p>
    <w:p w14:paraId="1FC55F35" w14:textId="40BE06B3" w:rsidR="00D1407D" w:rsidRDefault="00A17E1D" w:rsidP="00645486">
      <w:pPr>
        <w:pStyle w:val="ListParagraph"/>
        <w:numPr>
          <w:ilvl w:val="1"/>
          <w:numId w:val="33"/>
        </w:numPr>
        <w:spacing w:after="0"/>
        <w:rPr>
          <w:rFonts w:ascii="Arial" w:hAnsi="Arial" w:cs="Arial"/>
        </w:rPr>
      </w:pPr>
      <w:r>
        <w:rPr>
          <w:rFonts w:ascii="Arial" w:hAnsi="Arial" w:cs="Arial"/>
          <w:szCs w:val="20"/>
        </w:rPr>
        <w:t xml:space="preserve">prohibiting the use of </w:t>
      </w:r>
      <w:r w:rsidRPr="00E94F69">
        <w:rPr>
          <w:rFonts w:ascii="Arial" w:hAnsi="Arial" w:cs="Arial"/>
          <w:szCs w:val="20"/>
        </w:rPr>
        <w:t>specifications, rules</w:t>
      </w:r>
      <w:r w:rsidR="00866DF3">
        <w:rPr>
          <w:rFonts w:ascii="Arial" w:hAnsi="Arial" w:cs="Arial"/>
          <w:szCs w:val="20"/>
        </w:rPr>
        <w:t xml:space="preserve"> and</w:t>
      </w:r>
      <w:r w:rsidRPr="00E94F69">
        <w:rPr>
          <w:rFonts w:ascii="Arial" w:hAnsi="Arial" w:cs="Arial"/>
          <w:szCs w:val="20"/>
        </w:rPr>
        <w:t xml:space="preserve"> fees to effectively convert a dual network form factor to be a single network form factor</w:t>
      </w:r>
      <w:r w:rsidR="002D2C7D">
        <w:rPr>
          <w:rFonts w:ascii="Arial" w:hAnsi="Arial" w:cs="Arial"/>
          <w:szCs w:val="20"/>
        </w:rPr>
        <w:t>.</w:t>
      </w:r>
      <w:r w:rsidR="002D2C7D">
        <w:rPr>
          <w:rFonts w:ascii="Arial" w:hAnsi="Arial" w:cs="Arial"/>
          <w:szCs w:val="20"/>
        </w:rPr>
        <w:br/>
      </w:r>
    </w:p>
    <w:p w14:paraId="69E9F383" w14:textId="0FEC7C1F" w:rsidR="000B269F" w:rsidRPr="00E94F69" w:rsidRDefault="000B269F" w:rsidP="00645486">
      <w:pPr>
        <w:pStyle w:val="ListParagraph"/>
        <w:numPr>
          <w:ilvl w:val="0"/>
          <w:numId w:val="33"/>
        </w:numPr>
        <w:spacing w:after="0"/>
        <w:jc w:val="both"/>
        <w:rPr>
          <w:rFonts w:ascii="Arial" w:hAnsi="Arial" w:cs="Arial"/>
        </w:rPr>
      </w:pPr>
      <w:r w:rsidRPr="43217699">
        <w:rPr>
          <w:rFonts w:ascii="Arial" w:hAnsi="Arial" w:cs="Arial"/>
        </w:rPr>
        <w:t>The Bank has to date been supportive of LCR from a policy perspective</w:t>
      </w:r>
      <w:r w:rsidR="00121ADF">
        <w:rPr>
          <w:rStyle w:val="FootnoteReference"/>
          <w:rFonts w:ascii="Arial" w:hAnsi="Arial" w:cs="Arial"/>
        </w:rPr>
        <w:footnoteReference w:id="10"/>
      </w:r>
      <w:r w:rsidR="00663633" w:rsidRPr="43217699">
        <w:rPr>
          <w:rFonts w:ascii="Arial" w:hAnsi="Arial" w:cs="Arial"/>
        </w:rPr>
        <w:t>.  LCR depends on a choice of networks being available in the relevant form factor and channel</w:t>
      </w:r>
      <w:r w:rsidR="00300525" w:rsidRPr="43217699">
        <w:rPr>
          <w:rFonts w:ascii="Arial" w:hAnsi="Arial" w:cs="Arial"/>
        </w:rPr>
        <w:t>,</w:t>
      </w:r>
      <w:r w:rsidRPr="43217699">
        <w:rPr>
          <w:rFonts w:ascii="Arial" w:hAnsi="Arial" w:cs="Arial"/>
        </w:rPr>
        <w:t xml:space="preserve"> so the </w:t>
      </w:r>
      <w:r w:rsidR="00300525" w:rsidRPr="43217699">
        <w:rPr>
          <w:rFonts w:ascii="Arial" w:hAnsi="Arial" w:cs="Arial"/>
        </w:rPr>
        <w:t xml:space="preserve">move away from a policy position that supports LCR in all channels and </w:t>
      </w:r>
      <w:r w:rsidR="008B02E7">
        <w:rPr>
          <w:rFonts w:ascii="Arial" w:hAnsi="Arial" w:cs="Arial"/>
        </w:rPr>
        <w:t xml:space="preserve">the </w:t>
      </w:r>
      <w:r w:rsidRPr="43217699">
        <w:rPr>
          <w:rFonts w:ascii="Arial" w:hAnsi="Arial" w:cs="Arial"/>
        </w:rPr>
        <w:t xml:space="preserve">combined effect of </w:t>
      </w:r>
      <w:r w:rsidR="00300525" w:rsidRPr="43217699">
        <w:rPr>
          <w:rFonts w:ascii="Arial" w:hAnsi="Arial" w:cs="Arial"/>
        </w:rPr>
        <w:t xml:space="preserve">that with </w:t>
      </w:r>
      <w:r w:rsidRPr="43217699">
        <w:rPr>
          <w:rFonts w:ascii="Arial" w:hAnsi="Arial" w:cs="Arial"/>
        </w:rPr>
        <w:t xml:space="preserve">the preliminary conclusions </w:t>
      </w:r>
      <w:r w:rsidR="00300525" w:rsidRPr="43217699">
        <w:rPr>
          <w:rFonts w:ascii="Arial" w:hAnsi="Arial" w:cs="Arial"/>
        </w:rPr>
        <w:t xml:space="preserve">related to DNDC </w:t>
      </w:r>
      <w:r w:rsidRPr="43217699">
        <w:rPr>
          <w:rFonts w:ascii="Arial" w:hAnsi="Arial" w:cs="Arial"/>
        </w:rPr>
        <w:t>are very concerning</w:t>
      </w:r>
      <w:r w:rsidR="00CF4A95" w:rsidRPr="43217699">
        <w:rPr>
          <w:rFonts w:ascii="Arial" w:hAnsi="Arial" w:cs="Arial"/>
        </w:rPr>
        <w:t xml:space="preserve"> and evidence an inconsistent approach to regulatory policy</w:t>
      </w:r>
      <w:r w:rsidRPr="43217699">
        <w:rPr>
          <w:rFonts w:ascii="Arial" w:hAnsi="Arial" w:cs="Arial"/>
        </w:rPr>
        <w:t>.</w:t>
      </w:r>
      <w:r w:rsidR="00CF4A95" w:rsidRPr="43217699">
        <w:rPr>
          <w:rFonts w:ascii="Arial" w:hAnsi="Arial" w:cs="Arial"/>
        </w:rPr>
        <w:t xml:space="preserve"> </w:t>
      </w:r>
      <w:r w:rsidR="00C43AD9" w:rsidRPr="43217699">
        <w:rPr>
          <w:rFonts w:ascii="Arial" w:hAnsi="Arial" w:cs="Arial"/>
        </w:rPr>
        <w:t xml:space="preserve">The </w:t>
      </w:r>
      <w:r w:rsidR="00126736" w:rsidRPr="43217699">
        <w:rPr>
          <w:rFonts w:ascii="Arial" w:hAnsi="Arial" w:cs="Arial"/>
        </w:rPr>
        <w:t>inability to route</w:t>
      </w:r>
      <w:r w:rsidR="00C43AD9" w:rsidRPr="43217699">
        <w:rPr>
          <w:rFonts w:ascii="Arial" w:hAnsi="Arial" w:cs="Arial"/>
        </w:rPr>
        <w:t xml:space="preserve"> of transactions would make LCR an unviable proposition for any merchant, large or small.</w:t>
      </w:r>
      <w:r w:rsidR="00CF4A95" w:rsidRPr="43217699">
        <w:rPr>
          <w:rFonts w:ascii="Arial" w:hAnsi="Arial" w:cs="Arial"/>
        </w:rPr>
        <w:t xml:space="preserve"> </w:t>
      </w:r>
      <w:r w:rsidR="00A2417E" w:rsidRPr="43217699">
        <w:rPr>
          <w:rFonts w:ascii="Arial" w:hAnsi="Arial" w:cs="Arial"/>
        </w:rPr>
        <w:t>See Least Cost Routing below for more commentary on this</w:t>
      </w:r>
      <w:r w:rsidR="005A4EC6" w:rsidRPr="43217699">
        <w:rPr>
          <w:rFonts w:ascii="Arial" w:hAnsi="Arial" w:cs="Arial"/>
        </w:rPr>
        <w:t>.  There is a need for</w:t>
      </w:r>
      <w:r w:rsidR="00CF4A95" w:rsidRPr="43217699">
        <w:rPr>
          <w:rFonts w:ascii="Arial" w:hAnsi="Arial" w:cs="Arial"/>
        </w:rPr>
        <w:t xml:space="preserve"> clear explicit principles-based regulation reflecting a policy that </w:t>
      </w:r>
      <w:r w:rsidR="00885858" w:rsidRPr="43217699">
        <w:rPr>
          <w:rFonts w:ascii="Arial" w:hAnsi="Arial" w:cs="Arial"/>
        </w:rPr>
        <w:t>support</w:t>
      </w:r>
      <w:r w:rsidR="00885858">
        <w:rPr>
          <w:rFonts w:ascii="Arial" w:hAnsi="Arial" w:cs="Arial"/>
        </w:rPr>
        <w:t>s</w:t>
      </w:r>
      <w:r w:rsidR="00885858" w:rsidRPr="43217699">
        <w:rPr>
          <w:rFonts w:ascii="Arial" w:hAnsi="Arial" w:cs="Arial"/>
        </w:rPr>
        <w:t xml:space="preserve"> </w:t>
      </w:r>
      <w:r w:rsidR="00CF4A95" w:rsidRPr="43217699">
        <w:rPr>
          <w:rFonts w:ascii="Arial" w:hAnsi="Arial" w:cs="Arial"/>
        </w:rPr>
        <w:t>competition.</w:t>
      </w:r>
    </w:p>
    <w:p w14:paraId="2538CB34" w14:textId="58A1450C" w:rsidR="000B269F" w:rsidRPr="00960BDD" w:rsidRDefault="000B269F" w:rsidP="00960BDD">
      <w:pPr>
        <w:spacing w:after="0"/>
        <w:rPr>
          <w:rFonts w:ascii="Arial" w:hAnsi="Arial" w:cs="Arial"/>
          <w:highlight w:val="yellow"/>
        </w:rPr>
      </w:pPr>
    </w:p>
    <w:p w14:paraId="2D4A6D42" w14:textId="5EFFE39F" w:rsidR="00A15972" w:rsidRPr="0009122E" w:rsidRDefault="00A15972" w:rsidP="00645486">
      <w:pPr>
        <w:pStyle w:val="xmsonormal"/>
        <w:numPr>
          <w:ilvl w:val="0"/>
          <w:numId w:val="51"/>
        </w:numPr>
        <w:jc w:val="both"/>
        <w:rPr>
          <w:rFonts w:ascii="Arial" w:eastAsiaTheme="minorEastAsia" w:hAnsi="Arial" w:cs="Arial"/>
          <w:sz w:val="20"/>
          <w:lang w:eastAsia="en-US"/>
        </w:rPr>
      </w:pPr>
      <w:r w:rsidRPr="0009122E">
        <w:rPr>
          <w:rFonts w:ascii="Arial" w:eastAsiaTheme="minorEastAsia" w:hAnsi="Arial" w:cs="Arial"/>
          <w:sz w:val="20"/>
          <w:lang w:eastAsia="en-US"/>
        </w:rPr>
        <w:t>Market and scenario analysis conducted by eftpos in June based on the 8.4 billion domestic debit transactions</w:t>
      </w:r>
      <w:r w:rsidR="00BB5516">
        <w:rPr>
          <w:rStyle w:val="FootnoteReference"/>
          <w:rFonts w:ascii="Segoe UI" w:eastAsia="Times New Roman" w:hAnsi="Segoe UI" w:cs="Segoe UI"/>
          <w:color w:val="DA846B"/>
        </w:rPr>
        <w:footnoteReference w:id="11"/>
      </w:r>
      <w:r w:rsidRPr="0009122E">
        <w:rPr>
          <w:rFonts w:ascii="Arial" w:eastAsiaTheme="minorEastAsia" w:hAnsi="Arial" w:cs="Arial"/>
          <w:sz w:val="20"/>
          <w:lang w:eastAsia="en-US"/>
        </w:rPr>
        <w:t xml:space="preserve"> in Australia annually, suggests:</w:t>
      </w:r>
    </w:p>
    <w:p w14:paraId="1B4E5AA4" w14:textId="7AB4A5A2" w:rsidR="00A15972" w:rsidRPr="0009122E" w:rsidRDefault="00A15972" w:rsidP="00645486">
      <w:pPr>
        <w:pStyle w:val="xmsonormal"/>
        <w:numPr>
          <w:ilvl w:val="0"/>
          <w:numId w:val="45"/>
        </w:numPr>
        <w:jc w:val="both"/>
        <w:rPr>
          <w:rFonts w:ascii="Arial" w:eastAsiaTheme="minorEastAsia" w:hAnsi="Arial" w:cs="Arial"/>
          <w:sz w:val="20"/>
          <w:lang w:eastAsia="en-US"/>
        </w:rPr>
      </w:pPr>
      <w:r w:rsidRPr="0009122E">
        <w:rPr>
          <w:rFonts w:ascii="Arial" w:eastAsiaTheme="minorEastAsia" w:hAnsi="Arial" w:cs="Arial"/>
          <w:sz w:val="20"/>
          <w:lang w:eastAsia="en-US"/>
        </w:rPr>
        <w:t xml:space="preserve">Less than 10% of debit transactions in Australia currently have the benefit of </w:t>
      </w:r>
      <w:r w:rsidR="005C5432">
        <w:rPr>
          <w:rFonts w:ascii="Arial" w:eastAsiaTheme="minorEastAsia" w:hAnsi="Arial" w:cs="Arial"/>
          <w:sz w:val="20"/>
          <w:lang w:eastAsia="en-US"/>
        </w:rPr>
        <w:t>LCR</w:t>
      </w:r>
    </w:p>
    <w:p w14:paraId="27F7FB01" w14:textId="2BDCBB40" w:rsidR="00A15972" w:rsidRDefault="00A15972" w:rsidP="00645486">
      <w:pPr>
        <w:pStyle w:val="xmsonormal"/>
        <w:numPr>
          <w:ilvl w:val="0"/>
          <w:numId w:val="45"/>
        </w:numPr>
        <w:jc w:val="both"/>
        <w:rPr>
          <w:rFonts w:eastAsia="Times New Roman"/>
        </w:rPr>
      </w:pPr>
      <w:r w:rsidRPr="0009122E">
        <w:rPr>
          <w:rFonts w:ascii="Arial" w:eastAsiaTheme="minorEastAsia" w:hAnsi="Arial" w:cs="Arial"/>
          <w:sz w:val="20"/>
          <w:lang w:eastAsia="en-US"/>
        </w:rPr>
        <w:t xml:space="preserve">Assuming that 50% per cent of debit volume are on standard rates, if default </w:t>
      </w:r>
      <w:r w:rsidR="005C5432">
        <w:rPr>
          <w:rFonts w:ascii="Arial" w:eastAsiaTheme="minorEastAsia" w:hAnsi="Arial" w:cs="Arial"/>
          <w:sz w:val="20"/>
          <w:lang w:eastAsia="en-US"/>
        </w:rPr>
        <w:t>LCR</w:t>
      </w:r>
      <w:r w:rsidRPr="0009122E">
        <w:rPr>
          <w:rFonts w:ascii="Arial" w:eastAsiaTheme="minorEastAsia" w:hAnsi="Arial" w:cs="Arial"/>
          <w:sz w:val="20"/>
          <w:lang w:eastAsia="en-US"/>
        </w:rPr>
        <w:t xml:space="preserve"> was implemented today, there would be an approximate potential annual saving to merchants of $296million</w:t>
      </w:r>
      <w:bookmarkStart w:id="0" w:name="x__ftnref2"/>
      <w:r w:rsidR="00514FCD">
        <w:rPr>
          <w:rStyle w:val="FootnoteReference"/>
          <w:rFonts w:ascii="Arial" w:eastAsiaTheme="minorEastAsia" w:hAnsi="Arial" w:cs="Arial"/>
          <w:sz w:val="20"/>
          <w:lang w:eastAsia="en-US"/>
        </w:rPr>
        <w:footnoteReference w:id="12"/>
      </w:r>
      <w:bookmarkEnd w:id="0"/>
      <w:r w:rsidRPr="0009122E">
        <w:rPr>
          <w:rFonts w:ascii="Arial" w:eastAsiaTheme="minorEastAsia" w:hAnsi="Arial" w:cs="Arial"/>
          <w:sz w:val="20"/>
          <w:lang w:eastAsia="en-US"/>
        </w:rPr>
        <w:t xml:space="preserve"> on interchange fees </w:t>
      </w:r>
      <w:r w:rsidRPr="0009122E">
        <w:rPr>
          <w:rFonts w:ascii="Arial" w:eastAsiaTheme="minorEastAsia" w:hAnsi="Arial" w:cs="Arial"/>
          <w:sz w:val="20"/>
          <w:lang w:eastAsia="en-US"/>
        </w:rPr>
        <w:lastRenderedPageBreak/>
        <w:t>alone</w:t>
      </w:r>
      <w:r w:rsidR="00077347">
        <w:rPr>
          <w:rFonts w:ascii="Arial" w:eastAsiaTheme="minorEastAsia" w:hAnsi="Arial" w:cs="Arial"/>
          <w:sz w:val="20"/>
          <w:lang w:eastAsia="en-US"/>
        </w:rPr>
        <w:t xml:space="preserve">, </w:t>
      </w:r>
      <w:r w:rsidR="00077347" w:rsidRPr="0009122E">
        <w:rPr>
          <w:rFonts w:ascii="Arial" w:eastAsiaTheme="minorEastAsia" w:hAnsi="Arial" w:cs="Arial"/>
          <w:sz w:val="20"/>
          <w:lang w:eastAsia="en-US"/>
        </w:rPr>
        <w:t>with additional savings on scheme fees, conservatively estimated of up to $3</w:t>
      </w:r>
      <w:r w:rsidR="00DD466B">
        <w:rPr>
          <w:rFonts w:ascii="Arial" w:eastAsiaTheme="minorEastAsia" w:hAnsi="Arial" w:cs="Arial"/>
          <w:sz w:val="20"/>
          <w:lang w:eastAsia="en-US"/>
        </w:rPr>
        <w:t>0</w:t>
      </w:r>
      <w:r w:rsidR="00077347" w:rsidRPr="0009122E">
        <w:rPr>
          <w:rFonts w:ascii="Arial" w:eastAsiaTheme="minorEastAsia" w:hAnsi="Arial" w:cs="Arial"/>
          <w:sz w:val="20"/>
          <w:lang w:eastAsia="en-US"/>
        </w:rPr>
        <w:t>0 million</w:t>
      </w:r>
      <w:r w:rsidR="009B24EA">
        <w:rPr>
          <w:rStyle w:val="FootnoteReference"/>
          <w:rFonts w:ascii="Arial" w:eastAsiaTheme="minorEastAsia" w:hAnsi="Arial" w:cs="Arial"/>
          <w:sz w:val="20"/>
          <w:lang w:eastAsia="en-US"/>
        </w:rPr>
        <w:footnoteReference w:id="13"/>
      </w:r>
      <w:r w:rsidR="00077347" w:rsidRPr="0009122E">
        <w:rPr>
          <w:rFonts w:ascii="Arial" w:eastAsiaTheme="minorEastAsia" w:hAnsi="Arial" w:cs="Arial"/>
          <w:sz w:val="20"/>
          <w:lang w:eastAsia="en-US"/>
        </w:rPr>
        <w:t> . Further savings may also be possible for merchants on non</w:t>
      </w:r>
      <w:r w:rsidR="002D4530">
        <w:rPr>
          <w:rFonts w:ascii="Arial" w:eastAsiaTheme="minorEastAsia" w:hAnsi="Arial" w:cs="Arial"/>
          <w:sz w:val="20"/>
          <w:lang w:eastAsia="en-US"/>
        </w:rPr>
        <w:t>-</w:t>
      </w:r>
      <w:r w:rsidR="00077347" w:rsidRPr="0009122E">
        <w:rPr>
          <w:rFonts w:ascii="Arial" w:eastAsiaTheme="minorEastAsia" w:hAnsi="Arial" w:cs="Arial"/>
          <w:sz w:val="20"/>
          <w:lang w:eastAsia="en-US"/>
        </w:rPr>
        <w:t>standard interchange rates</w:t>
      </w:r>
      <w:r w:rsidR="00077347">
        <w:rPr>
          <w:rFonts w:ascii="Arial" w:eastAsiaTheme="minorEastAsia" w:hAnsi="Arial" w:cs="Arial"/>
          <w:sz w:val="20"/>
          <w:lang w:eastAsia="en-US"/>
        </w:rPr>
        <w:t>.</w:t>
      </w:r>
    </w:p>
    <w:p w14:paraId="3ABB2C82" w14:textId="77777777" w:rsidR="00E41FA2" w:rsidRDefault="00E41FA2" w:rsidP="00645486">
      <w:pPr>
        <w:pStyle w:val="xmsonormal"/>
        <w:jc w:val="both"/>
        <w:rPr>
          <w:rFonts w:ascii="Segoe UI" w:hAnsi="Segoe UI" w:cs="Segoe UI"/>
          <w:color w:val="DA846B"/>
        </w:rPr>
      </w:pPr>
    </w:p>
    <w:p w14:paraId="6F651C65" w14:textId="16504C04" w:rsidR="00A15972" w:rsidRPr="0009122E" w:rsidRDefault="00A15972" w:rsidP="00645486">
      <w:pPr>
        <w:pStyle w:val="xmsonormal"/>
        <w:numPr>
          <w:ilvl w:val="0"/>
          <w:numId w:val="51"/>
        </w:numPr>
        <w:ind w:hanging="436"/>
        <w:jc w:val="both"/>
        <w:rPr>
          <w:rFonts w:ascii="Arial" w:eastAsiaTheme="minorEastAsia" w:hAnsi="Arial" w:cs="Arial"/>
          <w:sz w:val="20"/>
          <w:lang w:eastAsia="en-US"/>
        </w:rPr>
      </w:pPr>
      <w:r w:rsidRPr="0009122E">
        <w:rPr>
          <w:rFonts w:ascii="Arial" w:eastAsiaTheme="minorEastAsia" w:hAnsi="Arial" w:cs="Arial"/>
          <w:sz w:val="20"/>
          <w:lang w:eastAsia="en-US"/>
        </w:rPr>
        <w:t xml:space="preserve">The analysis shows that current proposals being considered by the </w:t>
      </w:r>
      <w:r w:rsidR="003C58F4">
        <w:rPr>
          <w:rFonts w:ascii="Arial" w:eastAsiaTheme="minorEastAsia" w:hAnsi="Arial" w:cs="Arial"/>
          <w:sz w:val="20"/>
          <w:lang w:eastAsia="en-US"/>
        </w:rPr>
        <w:t>Bank</w:t>
      </w:r>
      <w:r w:rsidRPr="0009122E">
        <w:rPr>
          <w:rFonts w:ascii="Arial" w:eastAsiaTheme="minorEastAsia" w:hAnsi="Arial" w:cs="Arial"/>
          <w:sz w:val="20"/>
          <w:lang w:eastAsia="en-US"/>
        </w:rPr>
        <w:t xml:space="preserve"> could remove competition for some areas of the market such as debit cards and mobiles, potentially resulting in higher fees:</w:t>
      </w:r>
    </w:p>
    <w:p w14:paraId="14FF3007" w14:textId="72D4901B" w:rsidR="00A15972" w:rsidRPr="0009122E" w:rsidRDefault="00A15972" w:rsidP="00645486">
      <w:pPr>
        <w:pStyle w:val="xmsonormal"/>
        <w:numPr>
          <w:ilvl w:val="0"/>
          <w:numId w:val="46"/>
        </w:numPr>
        <w:jc w:val="both"/>
        <w:rPr>
          <w:rFonts w:ascii="Arial" w:eastAsiaTheme="minorEastAsia" w:hAnsi="Arial" w:cs="Arial"/>
          <w:sz w:val="20"/>
          <w:lang w:eastAsia="en-US"/>
        </w:rPr>
      </w:pPr>
      <w:r w:rsidRPr="0009122E">
        <w:rPr>
          <w:rFonts w:ascii="Arial" w:eastAsiaTheme="minorEastAsia" w:hAnsi="Arial" w:cs="Arial"/>
          <w:sz w:val="20"/>
          <w:lang w:eastAsia="en-US"/>
        </w:rPr>
        <w:t xml:space="preserve">If </w:t>
      </w:r>
      <w:r w:rsidR="00DD466B">
        <w:rPr>
          <w:rFonts w:ascii="Arial" w:eastAsiaTheme="minorEastAsia" w:hAnsi="Arial" w:cs="Arial"/>
          <w:sz w:val="20"/>
          <w:lang w:eastAsia="en-US"/>
        </w:rPr>
        <w:t>5</w:t>
      </w:r>
      <w:r w:rsidRPr="0009122E">
        <w:rPr>
          <w:rFonts w:ascii="Arial" w:eastAsiaTheme="minorEastAsia" w:hAnsi="Arial" w:cs="Arial"/>
          <w:sz w:val="20"/>
          <w:lang w:eastAsia="en-US"/>
        </w:rPr>
        <w:t>0% of the market moved to single network debit card and mobile transactions, and interchange for those transactions increased by 2c, this would result in an extra cost to merchants of $</w:t>
      </w:r>
      <w:r w:rsidR="00F47817">
        <w:rPr>
          <w:rFonts w:ascii="Arial" w:eastAsiaTheme="minorEastAsia" w:hAnsi="Arial" w:cs="Arial"/>
          <w:sz w:val="20"/>
          <w:lang w:eastAsia="en-US"/>
        </w:rPr>
        <w:t>84</w:t>
      </w:r>
      <w:r w:rsidRPr="0009122E">
        <w:rPr>
          <w:rFonts w:ascii="Arial" w:eastAsiaTheme="minorEastAsia" w:hAnsi="Arial" w:cs="Arial"/>
          <w:sz w:val="20"/>
          <w:lang w:eastAsia="en-US"/>
        </w:rPr>
        <w:t xml:space="preserve"> million annually, with SMEs paying a significant proportion (approximately $2</w:t>
      </w:r>
      <w:r w:rsidR="00F47817">
        <w:rPr>
          <w:rFonts w:ascii="Arial" w:eastAsiaTheme="minorEastAsia" w:hAnsi="Arial" w:cs="Arial"/>
          <w:sz w:val="20"/>
          <w:lang w:eastAsia="en-US"/>
        </w:rPr>
        <w:t>5</w:t>
      </w:r>
      <w:r w:rsidRPr="0009122E">
        <w:rPr>
          <w:rFonts w:ascii="Arial" w:eastAsiaTheme="minorEastAsia" w:hAnsi="Arial" w:cs="Arial"/>
          <w:sz w:val="20"/>
          <w:lang w:eastAsia="en-US"/>
        </w:rPr>
        <w:t xml:space="preserve"> million)</w:t>
      </w:r>
    </w:p>
    <w:p w14:paraId="1CE22E39" w14:textId="52705349" w:rsidR="00A15972" w:rsidRPr="0009122E" w:rsidRDefault="00A15972" w:rsidP="00511F75">
      <w:pPr>
        <w:pStyle w:val="xmsonormal"/>
        <w:numPr>
          <w:ilvl w:val="0"/>
          <w:numId w:val="46"/>
        </w:numPr>
        <w:rPr>
          <w:rFonts w:ascii="Arial" w:eastAsiaTheme="minorEastAsia" w:hAnsi="Arial" w:cs="Arial"/>
          <w:sz w:val="20"/>
          <w:lang w:eastAsia="en-US"/>
        </w:rPr>
      </w:pPr>
      <w:r w:rsidRPr="0009122E">
        <w:rPr>
          <w:rFonts w:ascii="Arial" w:eastAsiaTheme="minorEastAsia" w:hAnsi="Arial" w:cs="Arial"/>
          <w:sz w:val="20"/>
          <w:lang w:eastAsia="en-US"/>
        </w:rPr>
        <w:t>These single network cards and mobile transactions would no longer enjoy lower cost benefits enjoyed via routing</w:t>
      </w:r>
      <w:r w:rsidR="00FE6124">
        <w:rPr>
          <w:rFonts w:ascii="Arial" w:eastAsiaTheme="minorEastAsia" w:hAnsi="Arial" w:cs="Arial"/>
          <w:sz w:val="20"/>
          <w:lang w:eastAsia="en-US"/>
        </w:rPr>
        <w:t>.</w:t>
      </w:r>
      <w:r w:rsidR="00FE6124">
        <w:rPr>
          <w:rFonts w:ascii="Arial" w:eastAsiaTheme="minorEastAsia" w:hAnsi="Arial" w:cs="Arial"/>
          <w:sz w:val="20"/>
          <w:lang w:eastAsia="en-US"/>
        </w:rPr>
        <w:br/>
      </w:r>
    </w:p>
    <w:p w14:paraId="6C57F140" w14:textId="32690B3C" w:rsidR="00835E27" w:rsidRPr="00395489" w:rsidRDefault="006F5C8B" w:rsidP="00645486">
      <w:pPr>
        <w:pStyle w:val="ListParagraph"/>
        <w:numPr>
          <w:ilvl w:val="0"/>
          <w:numId w:val="52"/>
        </w:numPr>
        <w:rPr>
          <w:rFonts w:ascii="Arial" w:hAnsi="Arial" w:cs="Arial"/>
        </w:rPr>
      </w:pPr>
      <w:r w:rsidRPr="0009122E">
        <w:rPr>
          <w:rFonts w:ascii="Arial" w:hAnsi="Arial" w:cs="Arial" w:hint="eastAsia"/>
        </w:rPr>
        <w:t>In other markets where competition in debit has been reduced, it has resulted in an increase in scheme fees. For example</w:t>
      </w:r>
      <w:r w:rsidR="000803AD" w:rsidRPr="0009122E">
        <w:rPr>
          <w:rFonts w:ascii="Arial" w:hAnsi="Arial" w:cs="Arial" w:hint="eastAsia"/>
        </w:rPr>
        <w:t>,</w:t>
      </w:r>
      <w:r w:rsidRPr="0009122E">
        <w:rPr>
          <w:rFonts w:ascii="Arial" w:hAnsi="Arial" w:cs="Arial" w:hint="eastAsia"/>
        </w:rPr>
        <w:t xml:space="preserve"> in the </w:t>
      </w:r>
      <w:r w:rsidR="00A15972" w:rsidRPr="0009122E">
        <w:rPr>
          <w:rFonts w:ascii="Arial" w:hAnsi="Arial" w:cs="Arial"/>
        </w:rPr>
        <w:t>UK, when the domestic scheme ceased, even with regulation capping interchange, the cost to the merchants increased via the international card schemes raising scheme fees</w:t>
      </w:r>
      <w:r w:rsidR="00774BE8">
        <w:rPr>
          <w:rStyle w:val="FootnoteReference"/>
          <w:rFonts w:ascii="Arial" w:hAnsi="Arial" w:cs="Arial"/>
        </w:rPr>
        <w:footnoteReference w:id="14"/>
      </w:r>
      <w:r w:rsidR="00A15972" w:rsidRPr="0009122E">
        <w:rPr>
          <w:rFonts w:ascii="Arial" w:hAnsi="Arial" w:cs="Arial"/>
        </w:rPr>
        <w:t xml:space="preserve">.  Based on this precedent, </w:t>
      </w:r>
      <w:r w:rsidR="00050142" w:rsidRPr="0009122E">
        <w:rPr>
          <w:rFonts w:ascii="Arial" w:hAnsi="Arial" w:cs="Arial" w:hint="eastAsia"/>
        </w:rPr>
        <w:t xml:space="preserve">our modelling shows that if </w:t>
      </w:r>
      <w:r w:rsidR="001C2AD8" w:rsidRPr="0009122E">
        <w:rPr>
          <w:rFonts w:ascii="Arial" w:hAnsi="Arial" w:cs="Arial" w:hint="eastAsia"/>
        </w:rPr>
        <w:t>50</w:t>
      </w:r>
      <w:r w:rsidR="00A15972" w:rsidRPr="0009122E">
        <w:rPr>
          <w:rFonts w:ascii="Arial" w:hAnsi="Arial" w:cs="Arial"/>
        </w:rPr>
        <w:t>% of debit market were to face a</w:t>
      </w:r>
      <w:r w:rsidR="001A73E7" w:rsidRPr="0009122E">
        <w:rPr>
          <w:rFonts w:ascii="Arial" w:hAnsi="Arial" w:cs="Arial" w:hint="eastAsia"/>
        </w:rPr>
        <w:t xml:space="preserve"> possible</w:t>
      </w:r>
      <w:r w:rsidR="00A15972" w:rsidRPr="0009122E">
        <w:rPr>
          <w:rFonts w:ascii="Arial" w:hAnsi="Arial" w:cs="Arial"/>
        </w:rPr>
        <w:t xml:space="preserve"> </w:t>
      </w:r>
      <w:r w:rsidR="001A73E7" w:rsidRPr="0009122E">
        <w:rPr>
          <w:rFonts w:ascii="Arial" w:hAnsi="Arial" w:cs="Arial" w:hint="eastAsia"/>
        </w:rPr>
        <w:t>5</w:t>
      </w:r>
      <w:r w:rsidR="00A15972" w:rsidRPr="0009122E">
        <w:rPr>
          <w:rFonts w:ascii="Arial" w:hAnsi="Arial" w:cs="Arial"/>
        </w:rPr>
        <w:t>0% increase in International Card Network’s Scheme Fees, and Acquirers would naturally pass the rise through to the merchants, then the cost to the merchants is estimated to be up to $</w:t>
      </w:r>
      <w:r w:rsidR="00A43617" w:rsidRPr="0009122E">
        <w:rPr>
          <w:rFonts w:ascii="Arial" w:hAnsi="Arial" w:cs="Arial" w:hint="eastAsia"/>
        </w:rPr>
        <w:t>31</w:t>
      </w:r>
      <w:r w:rsidR="00A15972" w:rsidRPr="0009122E">
        <w:rPr>
          <w:rFonts w:ascii="Arial" w:hAnsi="Arial" w:cs="Arial"/>
        </w:rPr>
        <w:t>0 million annually.</w:t>
      </w:r>
      <w:r w:rsidR="006C6A03" w:rsidRPr="0009122E">
        <w:rPr>
          <w:rFonts w:ascii="Arial" w:hAnsi="Arial" w:cs="Arial" w:hint="eastAsia"/>
        </w:rPr>
        <w:t xml:space="preserve"> Please note the modelling above contains some assumptions on Scheme Fees based on </w:t>
      </w:r>
      <w:r w:rsidR="000D7ECF">
        <w:rPr>
          <w:rFonts w:ascii="Arial" w:hAnsi="Arial" w:cs="Arial"/>
        </w:rPr>
        <w:t>available</w:t>
      </w:r>
      <w:r w:rsidR="006C6A03" w:rsidRPr="0009122E">
        <w:rPr>
          <w:rFonts w:ascii="Arial" w:hAnsi="Arial" w:cs="Arial" w:hint="eastAsia"/>
        </w:rPr>
        <w:t xml:space="preserve"> data, as specific information is not publicly available under current Bank regulations, </w:t>
      </w:r>
      <w:r w:rsidR="000D7ECF">
        <w:rPr>
          <w:rFonts w:ascii="Arial" w:hAnsi="Arial" w:cs="Arial"/>
        </w:rPr>
        <w:t>and</w:t>
      </w:r>
      <w:r w:rsidR="006C6A03" w:rsidRPr="0009122E">
        <w:rPr>
          <w:rFonts w:ascii="Arial" w:hAnsi="Arial" w:cs="Arial" w:hint="eastAsia"/>
        </w:rPr>
        <w:t xml:space="preserve"> </w:t>
      </w:r>
      <w:r w:rsidR="00E90429" w:rsidRPr="0009122E">
        <w:rPr>
          <w:rFonts w:ascii="Arial" w:hAnsi="Arial" w:cs="Arial" w:hint="eastAsia"/>
        </w:rPr>
        <w:t>assumptions</w:t>
      </w:r>
      <w:r w:rsidR="00E90429">
        <w:rPr>
          <w:rStyle w:val="FootnoteReference"/>
          <w:rFonts w:ascii="Arial" w:hAnsi="Arial" w:cs="Arial"/>
        </w:rPr>
        <w:footnoteReference w:id="15"/>
      </w:r>
      <w:r w:rsidR="006C6A03" w:rsidRPr="0009122E">
        <w:rPr>
          <w:rFonts w:ascii="Arial" w:hAnsi="Arial" w:cs="Arial" w:hint="eastAsia"/>
        </w:rPr>
        <w:t>.  eftpos has argued for some time that this information be made available and transparent to merchants in order for them to be able to make informed decisions.</w:t>
      </w:r>
      <w:r w:rsidR="00E27CA1" w:rsidRPr="0009122E">
        <w:rPr>
          <w:rFonts w:ascii="Arial" w:hAnsi="Arial" w:cs="Arial" w:hint="eastAsia"/>
        </w:rPr>
        <w:t xml:space="preserve">  </w:t>
      </w:r>
      <w:r w:rsidR="00751D14" w:rsidRPr="0009122E">
        <w:rPr>
          <w:rFonts w:ascii="Arial" w:hAnsi="Arial" w:cs="Arial" w:hint="eastAsia"/>
        </w:rPr>
        <w:t>If there was no competition from a domestic card scheme in the market and the international schemes reverted to 2013 pricing, the cost to merchants would be around $900 million</w:t>
      </w:r>
      <w:r w:rsidR="003F7F39">
        <w:rPr>
          <w:rStyle w:val="FootnoteReference"/>
          <w:rFonts w:ascii="Arial" w:hAnsi="Arial" w:cs="Arial"/>
        </w:rPr>
        <w:footnoteReference w:id="16"/>
      </w:r>
      <w:r w:rsidR="00751D14" w:rsidRPr="0009122E">
        <w:rPr>
          <w:rFonts w:ascii="Arial" w:hAnsi="Arial" w:cs="Arial" w:hint="eastAsia"/>
        </w:rPr>
        <w:t> annually.</w:t>
      </w:r>
      <w:r w:rsidR="00751D14">
        <w:t> </w:t>
      </w:r>
      <w:r w:rsidR="00512360" w:rsidRPr="0009122E">
        <w:rPr>
          <w:rFonts w:ascii="Arial" w:hAnsi="Arial" w:cs="Arial" w:hint="eastAsia"/>
        </w:rPr>
        <w:t xml:space="preserve">The cost to issuers of maintaining two networks on a DNDC is </w:t>
      </w:r>
      <w:r w:rsidR="00681DBC" w:rsidRPr="008439A7">
        <w:rPr>
          <w:rFonts w:ascii="Arial" w:hAnsi="Arial" w:cs="Arial" w:hint="eastAsia"/>
        </w:rPr>
        <w:t>insignificant compared to the cost to merchants in the absence of competition (based on the UK precedent).</w:t>
      </w:r>
      <w:r w:rsidR="00C92459">
        <w:rPr>
          <w:rFonts w:ascii="Arial" w:hAnsi="Arial" w:cs="Arial"/>
        </w:rPr>
        <w:br/>
      </w:r>
    </w:p>
    <w:p w14:paraId="71BA9CB2" w14:textId="1F1A3BCC" w:rsidR="00960BDD" w:rsidRDefault="00835E27" w:rsidP="00960BDD">
      <w:pPr>
        <w:pStyle w:val="ListParagraph"/>
        <w:numPr>
          <w:ilvl w:val="0"/>
          <w:numId w:val="52"/>
        </w:numPr>
        <w:spacing w:after="0"/>
        <w:jc w:val="both"/>
        <w:rPr>
          <w:rFonts w:ascii="Arial" w:hAnsi="Arial" w:cs="Arial"/>
        </w:rPr>
      </w:pPr>
      <w:r w:rsidRPr="009A4E74">
        <w:rPr>
          <w:rFonts w:ascii="Arial" w:hAnsi="Arial" w:cs="Arial"/>
        </w:rPr>
        <w:t xml:space="preserve">Without competition in form factors, </w:t>
      </w:r>
      <w:r w:rsidR="00004186" w:rsidRPr="009A4E74">
        <w:rPr>
          <w:rFonts w:ascii="Arial" w:hAnsi="Arial" w:cs="Arial"/>
        </w:rPr>
        <w:t xml:space="preserve">innovation to differentiate will </w:t>
      </w:r>
      <w:r w:rsidR="00060728" w:rsidRPr="009A4E74">
        <w:rPr>
          <w:rFonts w:ascii="Arial" w:hAnsi="Arial" w:cs="Arial"/>
        </w:rPr>
        <w:t>not be a priority</w:t>
      </w:r>
      <w:r w:rsidR="00B92FA3" w:rsidRPr="009A4E74">
        <w:rPr>
          <w:rFonts w:ascii="Arial" w:hAnsi="Arial" w:cs="Arial"/>
        </w:rPr>
        <w:t xml:space="preserve"> and certainly </w:t>
      </w:r>
      <w:r w:rsidR="00435783" w:rsidRPr="009A4E74">
        <w:rPr>
          <w:rFonts w:ascii="Arial" w:hAnsi="Arial" w:cs="Arial"/>
        </w:rPr>
        <w:t>Australian</w:t>
      </w:r>
      <w:r w:rsidR="00B92FA3" w:rsidRPr="009A4E74">
        <w:rPr>
          <w:rFonts w:ascii="Arial" w:hAnsi="Arial" w:cs="Arial"/>
        </w:rPr>
        <w:t xml:space="preserve"> focussed innovation </w:t>
      </w:r>
      <w:r w:rsidR="00435783" w:rsidRPr="009A4E74">
        <w:rPr>
          <w:rFonts w:ascii="Arial" w:hAnsi="Arial" w:cs="Arial"/>
        </w:rPr>
        <w:t>is likely to</w:t>
      </w:r>
      <w:r w:rsidR="00B92FA3" w:rsidRPr="009A4E74">
        <w:rPr>
          <w:rFonts w:ascii="Arial" w:hAnsi="Arial" w:cs="Arial"/>
        </w:rPr>
        <w:t xml:space="preserve"> slow given the global view and focus of the ICS</w:t>
      </w:r>
      <w:r w:rsidR="00004186" w:rsidRPr="009A4E74">
        <w:rPr>
          <w:rFonts w:ascii="Arial" w:hAnsi="Arial" w:cs="Arial"/>
        </w:rPr>
        <w:t>.</w:t>
      </w:r>
      <w:r w:rsidR="00960BDD">
        <w:rPr>
          <w:rFonts w:ascii="Arial" w:hAnsi="Arial" w:cs="Arial"/>
        </w:rPr>
        <w:t xml:space="preserve">  </w:t>
      </w:r>
      <w:r w:rsidR="00050FF2" w:rsidRPr="009A4E74">
        <w:rPr>
          <w:rFonts w:ascii="Arial" w:hAnsi="Arial" w:cs="Arial"/>
        </w:rPr>
        <w:t>e</w:t>
      </w:r>
      <w:r w:rsidR="00747CC6" w:rsidRPr="009A4E74">
        <w:rPr>
          <w:rFonts w:ascii="Arial" w:hAnsi="Arial" w:cs="Arial"/>
        </w:rPr>
        <w:t>ftpos has chosen over the last 3 years to diversify and differentiate its product offering</w:t>
      </w:r>
      <w:r w:rsidR="00050FF2" w:rsidRPr="009A4E74">
        <w:rPr>
          <w:rFonts w:ascii="Arial" w:hAnsi="Arial" w:cs="Arial"/>
        </w:rPr>
        <w:t>s</w:t>
      </w:r>
      <w:r w:rsidR="001155CA" w:rsidRPr="00395489">
        <w:rPr>
          <w:rFonts w:ascii="Arial" w:hAnsi="Arial" w:cs="Arial"/>
        </w:rPr>
        <w:t xml:space="preserve">, </w:t>
      </w:r>
      <w:r w:rsidR="002577FA" w:rsidRPr="00395489">
        <w:rPr>
          <w:rFonts w:ascii="Arial" w:hAnsi="Arial" w:cs="Arial"/>
        </w:rPr>
        <w:t>focussing on diversifying our business and investing in digital payments experiences</w:t>
      </w:r>
      <w:r w:rsidR="001155CA" w:rsidRPr="00395489">
        <w:rPr>
          <w:rFonts w:ascii="Arial" w:hAnsi="Arial" w:cs="Arial"/>
        </w:rPr>
        <w:t>.</w:t>
      </w:r>
      <w:r w:rsidR="00960BDD">
        <w:rPr>
          <w:rFonts w:ascii="Arial" w:hAnsi="Arial" w:cs="Arial"/>
        </w:rPr>
        <w:t xml:space="preserve">  W</w:t>
      </w:r>
      <w:r w:rsidR="002577FA" w:rsidRPr="00395489">
        <w:rPr>
          <w:rFonts w:ascii="Arial" w:hAnsi="Arial" w:cs="Arial"/>
        </w:rPr>
        <w:t xml:space="preserve">e have a well-defined product roadmap comprising five key elements: mobile wallets; eCommerce; Digital ID via </w:t>
      </w:r>
      <w:proofErr w:type="spellStart"/>
      <w:r w:rsidR="002577FA" w:rsidRPr="00395489">
        <w:rPr>
          <w:rFonts w:ascii="Arial" w:hAnsi="Arial" w:cs="Arial"/>
        </w:rPr>
        <w:t>connectID</w:t>
      </w:r>
      <w:proofErr w:type="spellEnd"/>
      <w:r w:rsidR="002577FA" w:rsidRPr="00395489">
        <w:rPr>
          <w:rFonts w:ascii="Arial" w:hAnsi="Arial" w:cs="Arial"/>
        </w:rPr>
        <w:t xml:space="preserve">; APIs and FinTech access, and our QR acceptance and experiences platform. </w:t>
      </w:r>
    </w:p>
    <w:p w14:paraId="4C74C093" w14:textId="77777777" w:rsidR="00960BDD" w:rsidRDefault="00960BDD" w:rsidP="00960BDD">
      <w:pPr>
        <w:pStyle w:val="ListParagraph"/>
        <w:spacing w:after="0"/>
        <w:ind w:left="720"/>
        <w:jc w:val="both"/>
        <w:rPr>
          <w:rFonts w:ascii="Arial" w:hAnsi="Arial" w:cs="Arial"/>
        </w:rPr>
      </w:pPr>
    </w:p>
    <w:p w14:paraId="559915D6" w14:textId="77777777" w:rsidR="006479F5" w:rsidRDefault="00C10476" w:rsidP="00960BDD">
      <w:pPr>
        <w:pStyle w:val="ListParagraph"/>
        <w:numPr>
          <w:ilvl w:val="0"/>
          <w:numId w:val="52"/>
        </w:numPr>
        <w:spacing w:after="0"/>
        <w:rPr>
          <w:rFonts w:ascii="Arial" w:hAnsi="Arial" w:cs="Arial"/>
        </w:rPr>
      </w:pPr>
      <w:r w:rsidRPr="00960BDD">
        <w:rPr>
          <w:rFonts w:ascii="Arial" w:hAnsi="Arial" w:cs="Arial" w:hint="eastAsia"/>
          <w:szCs w:val="20"/>
        </w:rPr>
        <w:t xml:space="preserve">As mentioned early in this response </w:t>
      </w:r>
      <w:r w:rsidRPr="00960BDD">
        <w:rPr>
          <w:rFonts w:ascii="Arial" w:hAnsi="Arial" w:cs="Arial" w:hint="eastAsia"/>
          <w:szCs w:val="20"/>
        </w:rPr>
        <w:t>–</w:t>
      </w:r>
      <w:r w:rsidRPr="00960BDD">
        <w:rPr>
          <w:rFonts w:ascii="Arial" w:hAnsi="Arial" w:cs="Arial" w:hint="eastAsia"/>
          <w:szCs w:val="20"/>
        </w:rPr>
        <w:t xml:space="preserve"> payment system regulation is at a critical juncture where the Bank has the ability to provide regulatory settings that support competition and innovation and eftpos urges the Bank to take regulatory action to create a level playing field.</w:t>
      </w:r>
      <w:r w:rsidR="0005769F" w:rsidRPr="00960BDD">
        <w:rPr>
          <w:rFonts w:ascii="Arial" w:hAnsi="Arial" w:cs="Arial"/>
          <w:szCs w:val="20"/>
        </w:rPr>
        <w:t xml:space="preserve">  </w:t>
      </w:r>
      <w:r w:rsidR="0005769F" w:rsidRPr="00960BDD">
        <w:rPr>
          <w:rFonts w:ascii="Arial" w:hAnsi="Arial" w:cs="Arial"/>
        </w:rPr>
        <w:t xml:space="preserve">Beyond the eftpos modelling, we refer to Part C of this submission – Report by </w:t>
      </w:r>
      <w:r w:rsidR="00AD7DA0" w:rsidRPr="00960BDD">
        <w:rPr>
          <w:rFonts w:ascii="Arial" w:hAnsi="Arial" w:cs="Arial"/>
        </w:rPr>
        <w:t xml:space="preserve">Dr Alistair Davey of </w:t>
      </w:r>
      <w:r w:rsidR="0005769F" w:rsidRPr="00960BDD">
        <w:rPr>
          <w:rFonts w:ascii="Arial" w:hAnsi="Arial" w:cs="Arial"/>
        </w:rPr>
        <w:t>P</w:t>
      </w:r>
      <w:r w:rsidR="00A53FC5" w:rsidRPr="00960BDD">
        <w:rPr>
          <w:rFonts w:ascii="Arial" w:hAnsi="Arial" w:cs="Arial"/>
        </w:rPr>
        <w:t>e</w:t>
      </w:r>
      <w:r w:rsidR="0005769F" w:rsidRPr="00960BDD">
        <w:rPr>
          <w:rFonts w:ascii="Arial" w:hAnsi="Arial" w:cs="Arial"/>
        </w:rPr>
        <w:t>gasus Economics</w:t>
      </w:r>
      <w:r w:rsidR="00AD7DA0" w:rsidRPr="00960BDD">
        <w:rPr>
          <w:rFonts w:ascii="Arial" w:hAnsi="Arial" w:cs="Arial"/>
        </w:rPr>
        <w:t>, July 2021</w:t>
      </w:r>
      <w:r w:rsidR="0005769F" w:rsidRPr="00960BDD">
        <w:rPr>
          <w:rFonts w:ascii="Arial" w:hAnsi="Arial" w:cs="Arial"/>
        </w:rPr>
        <w:t xml:space="preserve"> which addresses the impact of the preliminary conclusions on merchants, the broader economy as well as eftpos.</w:t>
      </w:r>
    </w:p>
    <w:p w14:paraId="098D675E" w14:textId="2F34D1ED" w:rsidR="006479F5" w:rsidRDefault="006479F5">
      <w:pPr>
        <w:spacing w:after="120"/>
        <w:rPr>
          <w:rFonts w:ascii="Arial" w:hAnsi="Arial" w:cs="Arial"/>
        </w:rPr>
      </w:pPr>
    </w:p>
    <w:p w14:paraId="5502DC2B" w14:textId="169E5B68" w:rsidR="00DD2F8C" w:rsidRPr="0009122E" w:rsidRDefault="00DD2F8C" w:rsidP="00645486">
      <w:pPr>
        <w:pStyle w:val="ListParagraph"/>
        <w:numPr>
          <w:ilvl w:val="0"/>
          <w:numId w:val="32"/>
        </w:numPr>
        <w:jc w:val="both"/>
        <w:rPr>
          <w:rFonts w:ascii="Arial" w:hAnsi="Arial" w:cs="Arial"/>
          <w:b/>
          <w:bCs/>
          <w:szCs w:val="20"/>
        </w:rPr>
      </w:pPr>
      <w:r w:rsidRPr="0009122E">
        <w:rPr>
          <w:rFonts w:ascii="Arial" w:hAnsi="Arial" w:cs="Arial"/>
          <w:b/>
          <w:bCs/>
          <w:szCs w:val="20"/>
        </w:rPr>
        <w:t>Tying conduct</w:t>
      </w:r>
    </w:p>
    <w:p w14:paraId="54256D63" w14:textId="4BE0A468" w:rsidR="00616561" w:rsidRDefault="00616561" w:rsidP="00645486">
      <w:pPr>
        <w:pStyle w:val="ListParagraph"/>
        <w:numPr>
          <w:ilvl w:val="0"/>
          <w:numId w:val="36"/>
        </w:numPr>
        <w:jc w:val="both"/>
        <w:rPr>
          <w:rFonts w:ascii="Arial" w:hAnsi="Arial" w:cs="Arial"/>
          <w:szCs w:val="20"/>
        </w:rPr>
      </w:pPr>
      <w:r>
        <w:rPr>
          <w:rFonts w:ascii="Arial" w:hAnsi="Arial" w:cs="Arial"/>
          <w:szCs w:val="20"/>
        </w:rPr>
        <w:t xml:space="preserve">The Bank has identified certain conduct by the ICS in its Conclusions Paper and </w:t>
      </w:r>
      <w:r w:rsidR="003A6BFD">
        <w:rPr>
          <w:rFonts w:ascii="Arial" w:hAnsi="Arial" w:cs="Arial"/>
          <w:szCs w:val="20"/>
        </w:rPr>
        <w:t>is consulting on</w:t>
      </w:r>
      <w:r>
        <w:rPr>
          <w:rFonts w:ascii="Arial" w:hAnsi="Arial" w:cs="Arial"/>
          <w:szCs w:val="20"/>
        </w:rPr>
        <w:t xml:space="preserve"> two options:</w:t>
      </w:r>
    </w:p>
    <w:p w14:paraId="7FCD658A" w14:textId="5BCEF3A9" w:rsidR="00616561" w:rsidRDefault="00077EB2" w:rsidP="00645486">
      <w:pPr>
        <w:pStyle w:val="ListParagraph"/>
        <w:numPr>
          <w:ilvl w:val="1"/>
          <w:numId w:val="36"/>
        </w:numPr>
        <w:jc w:val="both"/>
        <w:rPr>
          <w:rFonts w:ascii="Arial" w:hAnsi="Arial" w:cs="Arial"/>
          <w:szCs w:val="20"/>
        </w:rPr>
      </w:pPr>
      <w:r>
        <w:rPr>
          <w:rFonts w:ascii="Arial" w:hAnsi="Arial" w:cs="Arial"/>
          <w:szCs w:val="20"/>
        </w:rPr>
        <w:t>Leave the ACCC to investigate and take enforcement action against any anti-competitive tying conduct</w:t>
      </w:r>
    </w:p>
    <w:p w14:paraId="73E51522" w14:textId="6C3280CD" w:rsidR="00077EB2" w:rsidRDefault="00077EB2" w:rsidP="00511F75">
      <w:pPr>
        <w:pStyle w:val="ListParagraph"/>
        <w:numPr>
          <w:ilvl w:val="1"/>
          <w:numId w:val="36"/>
        </w:numPr>
        <w:rPr>
          <w:rFonts w:ascii="Arial" w:hAnsi="Arial" w:cs="Arial"/>
          <w:szCs w:val="20"/>
        </w:rPr>
      </w:pPr>
      <w:r>
        <w:rPr>
          <w:rFonts w:ascii="Arial" w:hAnsi="Arial" w:cs="Arial"/>
          <w:szCs w:val="20"/>
        </w:rPr>
        <w:t xml:space="preserve">Explicitly address tying conduct through voluntary undertakings from the designated card schemes that they will not engage in tying conduct or through a new standard to explicitly prohibit such conduct </w:t>
      </w:r>
      <w:r>
        <w:rPr>
          <w:rFonts w:ascii="Arial" w:hAnsi="Arial" w:cs="Arial"/>
          <w:szCs w:val="20"/>
        </w:rPr>
        <w:lastRenderedPageBreak/>
        <w:t>with an annual certification requirement.</w:t>
      </w:r>
      <w:r>
        <w:rPr>
          <w:rFonts w:ascii="Arial" w:hAnsi="Arial" w:cs="Arial"/>
          <w:szCs w:val="20"/>
        </w:rPr>
        <w:br/>
      </w:r>
    </w:p>
    <w:p w14:paraId="36AB7EF6" w14:textId="41CEDEB3" w:rsidR="00077EB2" w:rsidRDefault="00077EB2" w:rsidP="00645486">
      <w:pPr>
        <w:pStyle w:val="ListParagraph"/>
        <w:numPr>
          <w:ilvl w:val="0"/>
          <w:numId w:val="36"/>
        </w:numPr>
        <w:rPr>
          <w:rFonts w:ascii="Arial" w:hAnsi="Arial" w:cs="Arial"/>
          <w:szCs w:val="20"/>
        </w:rPr>
      </w:pPr>
      <w:r>
        <w:rPr>
          <w:rFonts w:ascii="Arial" w:hAnsi="Arial" w:cs="Arial"/>
          <w:szCs w:val="20"/>
        </w:rPr>
        <w:t>The Bank currently favours option 2</w:t>
      </w:r>
      <w:r w:rsidR="00352329">
        <w:rPr>
          <w:rFonts w:ascii="Arial" w:hAnsi="Arial" w:cs="Arial"/>
          <w:szCs w:val="20"/>
        </w:rPr>
        <w:t xml:space="preserve"> and seeks stakeholder comments about the principles set out in Box A of the Consultation Paper</w:t>
      </w:r>
      <w:r>
        <w:rPr>
          <w:rFonts w:ascii="Arial" w:hAnsi="Arial" w:cs="Arial"/>
          <w:szCs w:val="20"/>
        </w:rPr>
        <w:t>.</w:t>
      </w:r>
      <w:r>
        <w:rPr>
          <w:rFonts w:ascii="Arial" w:hAnsi="Arial" w:cs="Arial"/>
          <w:szCs w:val="20"/>
        </w:rPr>
        <w:br/>
      </w:r>
    </w:p>
    <w:p w14:paraId="38E78484" w14:textId="06FEC8DA" w:rsidR="003A6BFD" w:rsidRDefault="00352329" w:rsidP="00645486">
      <w:pPr>
        <w:pStyle w:val="ListParagraph"/>
        <w:numPr>
          <w:ilvl w:val="0"/>
          <w:numId w:val="36"/>
        </w:numPr>
        <w:rPr>
          <w:rFonts w:ascii="Arial" w:hAnsi="Arial" w:cs="Arial"/>
          <w:szCs w:val="20"/>
        </w:rPr>
      </w:pPr>
      <w:r>
        <w:rPr>
          <w:rFonts w:ascii="Arial" w:hAnsi="Arial" w:cs="Arial"/>
          <w:szCs w:val="20"/>
        </w:rPr>
        <w:t xml:space="preserve">First, </w:t>
      </w:r>
      <w:r w:rsidR="00077EB2">
        <w:rPr>
          <w:rFonts w:ascii="Arial" w:hAnsi="Arial" w:cs="Arial"/>
          <w:szCs w:val="20"/>
        </w:rPr>
        <w:t>eftpos does not consider the two options as alternatives</w:t>
      </w:r>
      <w:r w:rsidR="003A6BFD">
        <w:rPr>
          <w:rFonts w:ascii="Arial" w:hAnsi="Arial" w:cs="Arial"/>
          <w:szCs w:val="20"/>
        </w:rPr>
        <w:t xml:space="preserve"> but rather sees them as steps in setting and enforcement of a regulation</w:t>
      </w:r>
      <w:r w:rsidR="00077EB2">
        <w:rPr>
          <w:rFonts w:ascii="Arial" w:hAnsi="Arial" w:cs="Arial"/>
          <w:szCs w:val="20"/>
        </w:rPr>
        <w:t xml:space="preserve">. For example, if there is a breach of an enforceable undertaking, some consequences would have to ensue for the regulatory effect to be achieved.  Also, the Bank states in its Conclusions Paper that </w:t>
      </w:r>
      <w:r w:rsidR="005F7EFE">
        <w:rPr>
          <w:rFonts w:ascii="Arial" w:hAnsi="Arial" w:cs="Arial"/>
          <w:szCs w:val="20"/>
        </w:rPr>
        <w:t>assurances had been given in 2019</w:t>
      </w:r>
      <w:r w:rsidR="00077EB2">
        <w:rPr>
          <w:rFonts w:ascii="Arial" w:hAnsi="Arial" w:cs="Arial"/>
          <w:szCs w:val="20"/>
        </w:rPr>
        <w:t xml:space="preserve"> that tying conduct would be not be </w:t>
      </w:r>
      <w:r w:rsidR="005F7EFE">
        <w:rPr>
          <w:rFonts w:ascii="Arial" w:hAnsi="Arial" w:cs="Arial"/>
          <w:szCs w:val="20"/>
        </w:rPr>
        <w:t>engaged in</w:t>
      </w:r>
      <w:r w:rsidR="00077EB2">
        <w:rPr>
          <w:rFonts w:ascii="Arial" w:hAnsi="Arial" w:cs="Arial"/>
          <w:szCs w:val="20"/>
        </w:rPr>
        <w:t>, yet the ACCC still saw merit in requiring one scheme to provide an enforceable undertaking.</w:t>
      </w:r>
      <w:r w:rsidR="005F7EFE">
        <w:rPr>
          <w:rFonts w:ascii="Arial" w:hAnsi="Arial" w:cs="Arial"/>
          <w:szCs w:val="20"/>
        </w:rPr>
        <w:br/>
      </w:r>
    </w:p>
    <w:p w14:paraId="24D37BB8" w14:textId="5193F0AF" w:rsidR="003A6BFD" w:rsidRDefault="005F7EFE" w:rsidP="00960BDD">
      <w:pPr>
        <w:pStyle w:val="ListParagraph"/>
        <w:numPr>
          <w:ilvl w:val="0"/>
          <w:numId w:val="36"/>
        </w:numPr>
        <w:spacing w:after="0"/>
      </w:pPr>
      <w:r w:rsidRPr="00E94F69">
        <w:rPr>
          <w:rFonts w:ascii="Arial" w:hAnsi="Arial" w:cs="Arial"/>
          <w:szCs w:val="20"/>
        </w:rPr>
        <w:t xml:space="preserve">Second, </w:t>
      </w:r>
      <w:r w:rsidR="003A6BFD" w:rsidRPr="00E94F69">
        <w:rPr>
          <w:rFonts w:ascii="Arial" w:hAnsi="Arial" w:cs="Arial"/>
          <w:szCs w:val="20"/>
        </w:rPr>
        <w:t>ACCC action is expensive</w:t>
      </w:r>
      <w:r w:rsidR="002B48B1" w:rsidRPr="00E94F69">
        <w:rPr>
          <w:rFonts w:ascii="Arial" w:hAnsi="Arial" w:cs="Arial"/>
          <w:szCs w:val="20"/>
        </w:rPr>
        <w:t>,</w:t>
      </w:r>
      <w:r w:rsidR="003A6BFD" w:rsidRPr="00E94F69">
        <w:rPr>
          <w:rFonts w:ascii="Arial" w:hAnsi="Arial" w:cs="Arial"/>
          <w:szCs w:val="20"/>
        </w:rPr>
        <w:t xml:space="preserve"> time consuming</w:t>
      </w:r>
      <w:r w:rsidR="003A6BFD">
        <w:t xml:space="preserve"> </w:t>
      </w:r>
      <w:r w:rsidR="003A6BFD" w:rsidRPr="00E94F69">
        <w:rPr>
          <w:rFonts w:ascii="Arial" w:hAnsi="Arial" w:cs="Arial"/>
          <w:szCs w:val="20"/>
        </w:rPr>
        <w:t>so not proximate to the conduct.</w:t>
      </w:r>
      <w:r w:rsidRPr="00E94F69">
        <w:rPr>
          <w:rFonts w:ascii="Arial" w:hAnsi="Arial" w:cs="Arial"/>
          <w:szCs w:val="20"/>
        </w:rPr>
        <w:t xml:space="preserve"> </w:t>
      </w:r>
      <w:r w:rsidR="0071725E" w:rsidRPr="00E94F69">
        <w:rPr>
          <w:rFonts w:ascii="Arial" w:hAnsi="Arial" w:cs="Arial"/>
          <w:szCs w:val="20"/>
        </w:rPr>
        <w:t xml:space="preserve">It </w:t>
      </w:r>
      <w:r w:rsidR="002B48B1" w:rsidRPr="00E94F69">
        <w:rPr>
          <w:rFonts w:ascii="Arial" w:hAnsi="Arial" w:cs="Arial"/>
          <w:szCs w:val="20"/>
        </w:rPr>
        <w:t>does not have a deterrent effect to the conduct as the factors mentioned above are</w:t>
      </w:r>
      <w:r w:rsidR="0071725E" w:rsidRPr="00E94F69">
        <w:rPr>
          <w:rFonts w:ascii="Arial" w:hAnsi="Arial" w:cs="Arial"/>
          <w:szCs w:val="20"/>
        </w:rPr>
        <w:t xml:space="preserve"> often relied on by parties undertaking the conduct to establish market share </w:t>
      </w:r>
      <w:r w:rsidR="002B48B1" w:rsidRPr="00E94F69">
        <w:rPr>
          <w:rFonts w:ascii="Arial" w:hAnsi="Arial" w:cs="Arial"/>
          <w:szCs w:val="20"/>
        </w:rPr>
        <w:t>before</w:t>
      </w:r>
      <w:r w:rsidR="0071725E" w:rsidRPr="00E94F69">
        <w:rPr>
          <w:rFonts w:ascii="Arial" w:hAnsi="Arial" w:cs="Arial"/>
          <w:szCs w:val="20"/>
        </w:rPr>
        <w:t xml:space="preserve"> some kind of regulatory outcome</w:t>
      </w:r>
      <w:r w:rsidR="002B48B1" w:rsidRPr="00E94F69">
        <w:rPr>
          <w:rFonts w:ascii="Arial" w:hAnsi="Arial" w:cs="Arial"/>
          <w:szCs w:val="20"/>
        </w:rPr>
        <w:t xml:space="preserve"> occurs to prohibit it</w:t>
      </w:r>
      <w:r w:rsidR="0071725E" w:rsidRPr="00E94F69">
        <w:rPr>
          <w:rFonts w:ascii="Arial" w:hAnsi="Arial" w:cs="Arial"/>
          <w:szCs w:val="20"/>
        </w:rPr>
        <w:t xml:space="preserve">. </w:t>
      </w:r>
      <w:r w:rsidRPr="00E94F69">
        <w:rPr>
          <w:rFonts w:ascii="Arial" w:hAnsi="Arial" w:cs="Arial"/>
          <w:szCs w:val="20"/>
        </w:rPr>
        <w:t xml:space="preserve"> As such, </w:t>
      </w:r>
      <w:r w:rsidR="002B48B1" w:rsidRPr="00E94F69">
        <w:rPr>
          <w:rFonts w:ascii="Arial" w:hAnsi="Arial" w:cs="Arial"/>
          <w:szCs w:val="20"/>
        </w:rPr>
        <w:t>explicit</w:t>
      </w:r>
      <w:r w:rsidRPr="00E94F69">
        <w:rPr>
          <w:rFonts w:ascii="Arial" w:hAnsi="Arial" w:cs="Arial"/>
          <w:szCs w:val="20"/>
        </w:rPr>
        <w:t xml:space="preserve"> </w:t>
      </w:r>
      <w:r w:rsidR="009A30D9">
        <w:rPr>
          <w:rFonts w:ascii="Arial" w:hAnsi="Arial" w:cs="Arial"/>
          <w:szCs w:val="20"/>
        </w:rPr>
        <w:t xml:space="preserve">principles based </w:t>
      </w:r>
      <w:r w:rsidRPr="00E94F69">
        <w:rPr>
          <w:rFonts w:ascii="Arial" w:hAnsi="Arial" w:cs="Arial"/>
          <w:szCs w:val="20"/>
        </w:rPr>
        <w:t xml:space="preserve">Bank </w:t>
      </w:r>
      <w:r w:rsidR="002B48B1" w:rsidRPr="00E94F69">
        <w:rPr>
          <w:rFonts w:ascii="Arial" w:hAnsi="Arial" w:cs="Arial"/>
          <w:szCs w:val="20"/>
        </w:rPr>
        <w:t xml:space="preserve">prohibition is needed for the anti-competitive conduct identified in the Consultation Paper for </w:t>
      </w:r>
      <w:r w:rsidRPr="00E94F69">
        <w:rPr>
          <w:rFonts w:ascii="Arial" w:hAnsi="Arial" w:cs="Arial"/>
          <w:szCs w:val="20"/>
        </w:rPr>
        <w:t xml:space="preserve">the deterrent effect </w:t>
      </w:r>
      <w:r w:rsidR="002B48B1" w:rsidRPr="00E94F69">
        <w:rPr>
          <w:rFonts w:ascii="Arial" w:hAnsi="Arial" w:cs="Arial"/>
          <w:szCs w:val="20"/>
        </w:rPr>
        <w:t>to</w:t>
      </w:r>
      <w:r w:rsidRPr="00E94F69">
        <w:rPr>
          <w:rFonts w:ascii="Arial" w:hAnsi="Arial" w:cs="Arial"/>
          <w:szCs w:val="20"/>
        </w:rPr>
        <w:t xml:space="preserve"> be achieved.</w:t>
      </w:r>
      <w:r w:rsidRPr="00E94F69">
        <w:rPr>
          <w:rFonts w:ascii="Arial" w:hAnsi="Arial" w:cs="Arial"/>
          <w:szCs w:val="20"/>
        </w:rPr>
        <w:br/>
      </w:r>
    </w:p>
    <w:p w14:paraId="603E0B6C" w14:textId="2FBC8594" w:rsidR="003A6BFD" w:rsidRPr="00E94F69" w:rsidRDefault="000E2470" w:rsidP="00645486">
      <w:pPr>
        <w:pStyle w:val="ListParagraph"/>
        <w:numPr>
          <w:ilvl w:val="0"/>
          <w:numId w:val="36"/>
        </w:numPr>
        <w:spacing w:after="0"/>
        <w:jc w:val="both"/>
        <w:rPr>
          <w:rFonts w:ascii="Arial" w:hAnsi="Arial" w:cs="Arial"/>
          <w:szCs w:val="20"/>
        </w:rPr>
      </w:pPr>
      <w:r w:rsidRPr="00E94F69">
        <w:rPr>
          <w:rFonts w:ascii="Arial" w:hAnsi="Arial" w:cs="Arial"/>
          <w:szCs w:val="20"/>
        </w:rPr>
        <w:t xml:space="preserve">Third, in respect of the principles </w:t>
      </w:r>
      <w:r w:rsidR="003A6BFD" w:rsidRPr="00E94F69">
        <w:rPr>
          <w:rFonts w:ascii="Arial" w:hAnsi="Arial" w:cs="Arial"/>
          <w:szCs w:val="20"/>
        </w:rPr>
        <w:t xml:space="preserve">in Box A </w:t>
      </w:r>
      <w:r w:rsidRPr="00E94F69">
        <w:rPr>
          <w:rFonts w:ascii="Arial" w:hAnsi="Arial" w:cs="Arial"/>
          <w:szCs w:val="20"/>
        </w:rPr>
        <w:t xml:space="preserve">in the Consultation Paper, eftpos </w:t>
      </w:r>
      <w:r w:rsidR="00795BED" w:rsidRPr="00E94F69">
        <w:rPr>
          <w:rFonts w:ascii="Arial" w:hAnsi="Arial" w:cs="Arial"/>
          <w:szCs w:val="20"/>
        </w:rPr>
        <w:t>submits</w:t>
      </w:r>
      <w:r w:rsidRPr="00E94F69">
        <w:rPr>
          <w:rFonts w:ascii="Arial" w:hAnsi="Arial" w:cs="Arial"/>
          <w:szCs w:val="20"/>
        </w:rPr>
        <w:t xml:space="preserve"> that</w:t>
      </w:r>
      <w:r w:rsidR="004D448C" w:rsidRPr="00E94F69">
        <w:rPr>
          <w:rFonts w:ascii="Arial" w:hAnsi="Arial" w:cs="Arial"/>
          <w:szCs w:val="20"/>
        </w:rPr>
        <w:t>, as explicit enforceable regulation via a standard with consequences</w:t>
      </w:r>
      <w:r w:rsidR="00CB1A32">
        <w:rPr>
          <w:rFonts w:ascii="Arial" w:hAnsi="Arial" w:cs="Arial"/>
          <w:szCs w:val="20"/>
        </w:rPr>
        <w:t xml:space="preserve"> based on an effects test rather than specific named conduct</w:t>
      </w:r>
      <w:r w:rsidR="003A6BFD" w:rsidRPr="00E94F69">
        <w:rPr>
          <w:rFonts w:ascii="Arial" w:hAnsi="Arial" w:cs="Arial"/>
          <w:szCs w:val="20"/>
        </w:rPr>
        <w:t>:</w:t>
      </w:r>
    </w:p>
    <w:p w14:paraId="4749164F" w14:textId="3385589E" w:rsidR="003A6BFD" w:rsidRPr="00E94F69" w:rsidRDefault="000E2470" w:rsidP="00645486">
      <w:pPr>
        <w:pStyle w:val="ListParagraph"/>
        <w:numPr>
          <w:ilvl w:val="0"/>
          <w:numId w:val="21"/>
        </w:numPr>
        <w:spacing w:after="0"/>
        <w:jc w:val="both"/>
        <w:rPr>
          <w:rFonts w:ascii="Arial" w:hAnsi="Arial" w:cs="Arial"/>
          <w:szCs w:val="20"/>
        </w:rPr>
      </w:pPr>
      <w:r w:rsidRPr="00E94F69">
        <w:rPr>
          <w:rFonts w:ascii="Arial" w:hAnsi="Arial" w:cs="Arial"/>
          <w:szCs w:val="20"/>
        </w:rPr>
        <w:t>each principle should</w:t>
      </w:r>
      <w:r w:rsidR="003A6BFD" w:rsidRPr="00E94F69">
        <w:rPr>
          <w:rFonts w:ascii="Arial" w:hAnsi="Arial" w:cs="Arial"/>
          <w:szCs w:val="20"/>
        </w:rPr>
        <w:t xml:space="preserve"> </w:t>
      </w:r>
      <w:r w:rsidR="00BA0905" w:rsidRPr="00E94F69">
        <w:rPr>
          <w:rFonts w:ascii="Arial" w:hAnsi="Arial" w:cs="Arial"/>
          <w:szCs w:val="20"/>
        </w:rPr>
        <w:t xml:space="preserve">be </w:t>
      </w:r>
      <w:r w:rsidR="003A6BFD" w:rsidRPr="00E94F69">
        <w:rPr>
          <w:rFonts w:ascii="Arial" w:hAnsi="Arial" w:cs="Arial"/>
          <w:szCs w:val="20"/>
        </w:rPr>
        <w:t>expand</w:t>
      </w:r>
      <w:r w:rsidR="00BA0905" w:rsidRPr="00E94F69">
        <w:rPr>
          <w:rFonts w:ascii="Arial" w:hAnsi="Arial" w:cs="Arial"/>
          <w:szCs w:val="20"/>
        </w:rPr>
        <w:t>ed</w:t>
      </w:r>
      <w:r w:rsidR="003A6BFD" w:rsidRPr="00E94F69">
        <w:rPr>
          <w:rFonts w:ascii="Arial" w:hAnsi="Arial" w:cs="Arial"/>
          <w:szCs w:val="20"/>
        </w:rPr>
        <w:t xml:space="preserve"> </w:t>
      </w:r>
      <w:r w:rsidRPr="00E94F69">
        <w:rPr>
          <w:rFonts w:ascii="Arial" w:hAnsi="Arial" w:cs="Arial"/>
          <w:szCs w:val="20"/>
        </w:rPr>
        <w:t>to the tying of routable with non-routable transactions</w:t>
      </w:r>
      <w:r w:rsidR="00366744">
        <w:rPr>
          <w:rFonts w:ascii="Arial" w:hAnsi="Arial" w:cs="Arial"/>
          <w:szCs w:val="20"/>
        </w:rPr>
        <w:t>.  F</w:t>
      </w:r>
      <w:r w:rsidR="00BA0905" w:rsidRPr="00E94F69">
        <w:rPr>
          <w:rFonts w:ascii="Arial" w:hAnsi="Arial" w:cs="Arial"/>
          <w:szCs w:val="20"/>
        </w:rPr>
        <w:t>or example</w:t>
      </w:r>
      <w:r w:rsidR="00366744">
        <w:rPr>
          <w:rFonts w:ascii="Arial" w:hAnsi="Arial" w:cs="Arial"/>
          <w:szCs w:val="20"/>
        </w:rPr>
        <w:t>, is effects based regulation apply, then it would not be</w:t>
      </w:r>
      <w:r w:rsidR="00BA0905" w:rsidRPr="00E94F69">
        <w:rPr>
          <w:rFonts w:ascii="Arial" w:hAnsi="Arial" w:cs="Arial"/>
          <w:szCs w:val="20"/>
        </w:rPr>
        <w:t xml:space="preserve"> limited to</w:t>
      </w:r>
      <w:r w:rsidRPr="00E94F69">
        <w:rPr>
          <w:rFonts w:ascii="Arial" w:hAnsi="Arial" w:cs="Arial"/>
          <w:szCs w:val="20"/>
        </w:rPr>
        <w:t xml:space="preserve"> credit</w:t>
      </w:r>
      <w:r w:rsidR="00366744">
        <w:rPr>
          <w:rFonts w:ascii="Arial" w:hAnsi="Arial" w:cs="Arial"/>
          <w:szCs w:val="20"/>
        </w:rPr>
        <w:t xml:space="preserve"> and debit tying but could also apply to</w:t>
      </w:r>
      <w:r w:rsidRPr="00E94F69">
        <w:rPr>
          <w:rFonts w:ascii="Arial" w:hAnsi="Arial" w:cs="Arial"/>
          <w:szCs w:val="20"/>
        </w:rPr>
        <w:t xml:space="preserve"> international transactions and those related to</w:t>
      </w:r>
      <w:r w:rsidR="003A6BFD" w:rsidRPr="00E94F69">
        <w:rPr>
          <w:rFonts w:ascii="Arial" w:hAnsi="Arial" w:cs="Arial"/>
          <w:szCs w:val="20"/>
        </w:rPr>
        <w:t xml:space="preserve"> SNDC rates</w:t>
      </w:r>
      <w:r w:rsidRPr="00E94F69">
        <w:rPr>
          <w:rFonts w:ascii="Arial" w:hAnsi="Arial" w:cs="Arial"/>
          <w:szCs w:val="20"/>
        </w:rPr>
        <w:t xml:space="preserve"> (the latter applying to all designated payment systems)</w:t>
      </w:r>
      <w:r w:rsidR="00BA0905" w:rsidRPr="00E94F69">
        <w:rPr>
          <w:rFonts w:ascii="Arial" w:hAnsi="Arial" w:cs="Arial"/>
          <w:szCs w:val="20"/>
        </w:rPr>
        <w:t xml:space="preserve">.  </w:t>
      </w:r>
    </w:p>
    <w:p w14:paraId="59E9BA00" w14:textId="11CAA511" w:rsidR="003A6BFD" w:rsidRPr="00E94F69" w:rsidRDefault="00BA0905" w:rsidP="00645486">
      <w:pPr>
        <w:pStyle w:val="ListParagraph"/>
        <w:numPr>
          <w:ilvl w:val="0"/>
          <w:numId w:val="21"/>
        </w:numPr>
        <w:spacing w:after="0"/>
        <w:jc w:val="both"/>
        <w:rPr>
          <w:rFonts w:ascii="Arial" w:hAnsi="Arial" w:cs="Arial"/>
          <w:szCs w:val="20"/>
        </w:rPr>
      </w:pPr>
      <w:r w:rsidRPr="00E94F69">
        <w:rPr>
          <w:rFonts w:ascii="Arial" w:hAnsi="Arial" w:cs="Arial"/>
          <w:szCs w:val="20"/>
        </w:rPr>
        <w:t xml:space="preserve">each principle should be expanded to refer also to </w:t>
      </w:r>
      <w:r w:rsidR="005601A9">
        <w:rPr>
          <w:rFonts w:ascii="Arial" w:hAnsi="Arial" w:cs="Arial"/>
          <w:szCs w:val="20"/>
        </w:rPr>
        <w:t xml:space="preserve">pricing penalties, for example </w:t>
      </w:r>
      <w:r w:rsidR="003A6BFD" w:rsidRPr="00E94F69">
        <w:rPr>
          <w:rFonts w:ascii="Arial" w:hAnsi="Arial" w:cs="Arial"/>
          <w:szCs w:val="20"/>
        </w:rPr>
        <w:t>remov</w:t>
      </w:r>
      <w:r w:rsidRPr="00E94F69">
        <w:rPr>
          <w:rFonts w:ascii="Arial" w:hAnsi="Arial" w:cs="Arial"/>
          <w:szCs w:val="20"/>
        </w:rPr>
        <w:t>ing</w:t>
      </w:r>
      <w:r w:rsidR="003A6BFD" w:rsidRPr="00E94F69">
        <w:rPr>
          <w:rFonts w:ascii="Arial" w:hAnsi="Arial" w:cs="Arial"/>
          <w:szCs w:val="20"/>
        </w:rPr>
        <w:t xml:space="preserve"> incentives other than interchange</w:t>
      </w:r>
      <w:r w:rsidRPr="00E94F69">
        <w:rPr>
          <w:rFonts w:ascii="Arial" w:hAnsi="Arial" w:cs="Arial"/>
          <w:szCs w:val="20"/>
        </w:rPr>
        <w:t xml:space="preserve"> </w:t>
      </w:r>
      <w:proofErr w:type="spellStart"/>
      <w:r w:rsidR="005601A9">
        <w:rPr>
          <w:rFonts w:ascii="Arial" w:hAnsi="Arial" w:cs="Arial"/>
          <w:szCs w:val="20"/>
        </w:rPr>
        <w:t>eg</w:t>
      </w:r>
      <w:proofErr w:type="spellEnd"/>
      <w:r w:rsidRPr="00E94F69">
        <w:rPr>
          <w:rFonts w:ascii="Arial" w:hAnsi="Arial" w:cs="Arial"/>
          <w:szCs w:val="20"/>
        </w:rPr>
        <w:t xml:space="preserve"> rebates of scheme fees could </w:t>
      </w:r>
      <w:r w:rsidR="005601A9">
        <w:rPr>
          <w:rFonts w:ascii="Arial" w:hAnsi="Arial" w:cs="Arial"/>
          <w:szCs w:val="20"/>
        </w:rPr>
        <w:t xml:space="preserve">have the same effect of preventing or delaying competition as it could </w:t>
      </w:r>
      <w:r w:rsidRPr="00E94F69">
        <w:rPr>
          <w:rFonts w:ascii="Arial" w:hAnsi="Arial" w:cs="Arial"/>
          <w:szCs w:val="20"/>
        </w:rPr>
        <w:t>be used as an inducement to avoid routing.</w:t>
      </w:r>
    </w:p>
    <w:p w14:paraId="418F50A2" w14:textId="7228CC28" w:rsidR="00AC1221" w:rsidRPr="0009122E" w:rsidRDefault="00795BED" w:rsidP="00645486">
      <w:pPr>
        <w:pStyle w:val="ListParagraph"/>
        <w:numPr>
          <w:ilvl w:val="0"/>
          <w:numId w:val="21"/>
        </w:numPr>
        <w:spacing w:after="0"/>
        <w:jc w:val="both"/>
      </w:pPr>
      <w:r w:rsidRPr="00E94F69">
        <w:rPr>
          <w:rFonts w:ascii="Arial" w:hAnsi="Arial" w:cs="Arial"/>
          <w:szCs w:val="20"/>
        </w:rPr>
        <w:t>t</w:t>
      </w:r>
      <w:r w:rsidR="00BA0905" w:rsidRPr="00E94F69">
        <w:rPr>
          <w:rFonts w:ascii="Arial" w:hAnsi="Arial" w:cs="Arial"/>
          <w:szCs w:val="20"/>
        </w:rPr>
        <w:t xml:space="preserve">he principles should not be limited to tying conduct but also extend to </w:t>
      </w:r>
      <w:r w:rsidR="0059651F" w:rsidRPr="00E94F69">
        <w:rPr>
          <w:rFonts w:ascii="Arial" w:hAnsi="Arial" w:cs="Arial"/>
          <w:szCs w:val="20"/>
        </w:rPr>
        <w:t xml:space="preserve">prohibiting </w:t>
      </w:r>
      <w:r w:rsidR="00BA0905" w:rsidRPr="00E94F69">
        <w:rPr>
          <w:rFonts w:ascii="Arial" w:hAnsi="Arial" w:cs="Arial"/>
          <w:szCs w:val="20"/>
        </w:rPr>
        <w:t xml:space="preserve">exclusionary dealing conduct that </w:t>
      </w:r>
      <w:r w:rsidR="0059651F" w:rsidRPr="00E94F69">
        <w:rPr>
          <w:rFonts w:ascii="Arial" w:hAnsi="Arial" w:cs="Arial"/>
          <w:szCs w:val="20"/>
        </w:rPr>
        <w:t>has the effect of substantially lessening competition or preventing or delaying the entry of scaling of competitor in a market or channel</w:t>
      </w:r>
      <w:r w:rsidR="00BA0905" w:rsidRPr="00E94F69">
        <w:rPr>
          <w:rFonts w:ascii="Arial" w:hAnsi="Arial" w:cs="Arial"/>
          <w:szCs w:val="20"/>
        </w:rPr>
        <w:t>.</w:t>
      </w:r>
    </w:p>
    <w:p w14:paraId="6EC94CDD" w14:textId="77777777" w:rsidR="00AC1221" w:rsidRDefault="00AC1221" w:rsidP="00645486">
      <w:pPr>
        <w:spacing w:after="0"/>
        <w:jc w:val="both"/>
        <w:rPr>
          <w:rFonts w:ascii="Arial" w:hAnsi="Arial" w:cs="Arial"/>
          <w:szCs w:val="20"/>
        </w:rPr>
      </w:pPr>
    </w:p>
    <w:p w14:paraId="2D57CB78" w14:textId="77777777" w:rsidR="00E37EFA" w:rsidRDefault="00244BDA" w:rsidP="00645486">
      <w:pPr>
        <w:pStyle w:val="ListParagraph"/>
        <w:numPr>
          <w:ilvl w:val="0"/>
          <w:numId w:val="36"/>
        </w:numPr>
        <w:spacing w:after="0" w:line="240" w:lineRule="auto"/>
        <w:jc w:val="both"/>
        <w:rPr>
          <w:rFonts w:ascii="Arial" w:hAnsi="Arial" w:cs="Arial"/>
        </w:rPr>
      </w:pPr>
      <w:r>
        <w:rPr>
          <w:rFonts w:ascii="Arial" w:hAnsi="Arial" w:cs="Arial"/>
        </w:rPr>
        <w:t>In</w:t>
      </w:r>
      <w:r w:rsidR="00E37EFA">
        <w:rPr>
          <w:rFonts w:ascii="Arial" w:hAnsi="Arial" w:cs="Arial"/>
        </w:rPr>
        <w:t xml:space="preserve"> developing enforceable regulations, t</w:t>
      </w:r>
      <w:r w:rsidR="00AC1221" w:rsidRPr="0DAB75B4">
        <w:rPr>
          <w:rFonts w:ascii="Arial" w:hAnsi="Arial" w:cs="Arial"/>
        </w:rPr>
        <w:t>he Bank could</w:t>
      </w:r>
      <w:r w:rsidR="00E37EFA">
        <w:rPr>
          <w:rFonts w:ascii="Arial" w:hAnsi="Arial" w:cs="Arial"/>
        </w:rPr>
        <w:t>:</w:t>
      </w:r>
    </w:p>
    <w:p w14:paraId="664E95C2" w14:textId="1C257EC8" w:rsidR="00AC1221" w:rsidRDefault="00AC1221" w:rsidP="00645486">
      <w:pPr>
        <w:pStyle w:val="ListParagraph"/>
        <w:numPr>
          <w:ilvl w:val="1"/>
          <w:numId w:val="36"/>
        </w:numPr>
        <w:spacing w:after="0" w:line="240" w:lineRule="auto"/>
        <w:jc w:val="both"/>
        <w:rPr>
          <w:rFonts w:ascii="Arial" w:hAnsi="Arial" w:cs="Arial"/>
        </w:rPr>
      </w:pPr>
      <w:r w:rsidRPr="0DAB75B4">
        <w:rPr>
          <w:rFonts w:ascii="Arial" w:hAnsi="Arial" w:cs="Arial"/>
        </w:rPr>
        <w:t xml:space="preserve">utilise its information gathering powers under the </w:t>
      </w:r>
      <w:r w:rsidRPr="0DAB75B4">
        <w:rPr>
          <w:rFonts w:ascii="Arial" w:hAnsi="Arial" w:cs="Arial"/>
          <w:i/>
        </w:rPr>
        <w:t xml:space="preserve">Payment Systems (Regulation) Act 1998 </w:t>
      </w:r>
      <w:proofErr w:type="spellStart"/>
      <w:r w:rsidRPr="0DAB75B4">
        <w:rPr>
          <w:rFonts w:ascii="Arial" w:hAnsi="Arial" w:cs="Arial"/>
          <w:i/>
        </w:rPr>
        <w:t>C’th</w:t>
      </w:r>
      <w:proofErr w:type="spellEnd"/>
      <w:r w:rsidRPr="0DAB75B4">
        <w:rPr>
          <w:rFonts w:ascii="Arial" w:hAnsi="Arial" w:cs="Arial"/>
        </w:rPr>
        <w:t xml:space="preserve"> (PSRA) to monitor and/or require annual attestation of compliance</w:t>
      </w:r>
      <w:r>
        <w:rPr>
          <w:rFonts w:ascii="Arial" w:hAnsi="Arial" w:cs="Arial"/>
        </w:rPr>
        <w:t xml:space="preserve"> with standards that prohibit conduct</w:t>
      </w:r>
      <w:r w:rsidRPr="0DAB75B4">
        <w:rPr>
          <w:rFonts w:ascii="Arial" w:hAnsi="Arial" w:cs="Arial"/>
        </w:rPr>
        <w:t>; and</w:t>
      </w:r>
    </w:p>
    <w:p w14:paraId="6FD41DA6" w14:textId="657D7D5F" w:rsidR="00AC1221" w:rsidRDefault="00AC1221" w:rsidP="00645486">
      <w:pPr>
        <w:pStyle w:val="ListParagraph"/>
        <w:numPr>
          <w:ilvl w:val="1"/>
          <w:numId w:val="36"/>
        </w:numPr>
        <w:spacing w:after="0" w:line="240" w:lineRule="auto"/>
        <w:rPr>
          <w:rFonts w:ascii="Arial" w:hAnsi="Arial" w:cs="Arial"/>
        </w:rPr>
      </w:pPr>
      <w:r w:rsidRPr="0DAB75B4">
        <w:rPr>
          <w:rFonts w:ascii="Arial" w:hAnsi="Arial" w:cs="Arial"/>
        </w:rPr>
        <w:t>work with the ACCC to utilise the ACCC’s investigative and enforcement powers to support compliance with the Bank’s explicit regulation</w:t>
      </w:r>
      <w:r>
        <w:rPr>
          <w:rFonts w:ascii="Arial" w:hAnsi="Arial" w:cs="Arial"/>
        </w:rPr>
        <w:t xml:space="preserve"> or alert the ACCC to conduct which does not comply</w:t>
      </w:r>
      <w:r w:rsidRPr="0DAB75B4">
        <w:rPr>
          <w:rFonts w:ascii="Arial" w:hAnsi="Arial" w:cs="Arial"/>
        </w:rPr>
        <w:t>.</w:t>
      </w:r>
      <w:r>
        <w:br/>
      </w:r>
    </w:p>
    <w:p w14:paraId="6EE91A9B" w14:textId="262B4136" w:rsidR="00BA0905" w:rsidRPr="00500E0C" w:rsidRDefault="00BA0905" w:rsidP="00645486">
      <w:pPr>
        <w:spacing w:after="0"/>
        <w:ind w:left="360"/>
        <w:jc w:val="both"/>
      </w:pPr>
    </w:p>
    <w:p w14:paraId="5E05A5C7" w14:textId="3251D866" w:rsidR="00DD2F8C" w:rsidRPr="00183258" w:rsidRDefault="00DD2F8C" w:rsidP="00645486">
      <w:pPr>
        <w:pStyle w:val="ListParagraph"/>
        <w:numPr>
          <w:ilvl w:val="0"/>
          <w:numId w:val="32"/>
        </w:numPr>
        <w:jc w:val="both"/>
        <w:rPr>
          <w:rFonts w:ascii="Arial" w:hAnsi="Arial" w:cs="Arial"/>
          <w:b/>
          <w:bCs/>
          <w:szCs w:val="20"/>
        </w:rPr>
      </w:pPr>
      <w:r w:rsidRPr="00183258">
        <w:rPr>
          <w:rFonts w:ascii="Arial" w:hAnsi="Arial" w:cs="Arial"/>
          <w:b/>
          <w:bCs/>
          <w:szCs w:val="20"/>
        </w:rPr>
        <w:t>Least Cost Routing</w:t>
      </w:r>
    </w:p>
    <w:p w14:paraId="0120E6A2" w14:textId="55C88AC1" w:rsidR="0071725E" w:rsidRPr="00E94F69" w:rsidRDefault="005955D5" w:rsidP="00645486">
      <w:pPr>
        <w:pStyle w:val="ListParagraph"/>
        <w:numPr>
          <w:ilvl w:val="0"/>
          <w:numId w:val="37"/>
        </w:numPr>
        <w:spacing w:after="0"/>
        <w:jc w:val="both"/>
        <w:rPr>
          <w:rFonts w:ascii="Arial" w:hAnsi="Arial" w:cs="Arial"/>
          <w:szCs w:val="20"/>
        </w:rPr>
      </w:pPr>
      <w:r w:rsidRPr="00E94F69">
        <w:rPr>
          <w:rFonts w:ascii="Arial" w:hAnsi="Arial" w:cs="Arial"/>
          <w:szCs w:val="20"/>
        </w:rPr>
        <w:t xml:space="preserve">The </w:t>
      </w:r>
      <w:r w:rsidR="00940A33" w:rsidRPr="00E94F69">
        <w:rPr>
          <w:rFonts w:ascii="Arial" w:hAnsi="Arial" w:cs="Arial"/>
          <w:szCs w:val="20"/>
        </w:rPr>
        <w:t xml:space="preserve">Bank </w:t>
      </w:r>
      <w:r w:rsidRPr="00E94F69">
        <w:rPr>
          <w:rFonts w:ascii="Arial" w:hAnsi="Arial" w:cs="Arial"/>
          <w:szCs w:val="20"/>
        </w:rPr>
        <w:t>is considering three policy options</w:t>
      </w:r>
      <w:r w:rsidR="00940A33" w:rsidRPr="00E94F69">
        <w:rPr>
          <w:rFonts w:ascii="Arial" w:hAnsi="Arial" w:cs="Arial"/>
          <w:szCs w:val="20"/>
        </w:rPr>
        <w:t xml:space="preserve"> </w:t>
      </w:r>
      <w:r w:rsidR="00754A2B" w:rsidRPr="00E94F69">
        <w:rPr>
          <w:rFonts w:ascii="Arial" w:hAnsi="Arial" w:cs="Arial"/>
          <w:szCs w:val="20"/>
        </w:rPr>
        <w:t>in respect</w:t>
      </w:r>
      <w:r w:rsidR="00940A33" w:rsidRPr="00E94F69">
        <w:rPr>
          <w:rFonts w:ascii="Arial" w:hAnsi="Arial" w:cs="Arial"/>
          <w:szCs w:val="20"/>
        </w:rPr>
        <w:t xml:space="preserve"> of LCR for both </w:t>
      </w:r>
      <w:r w:rsidR="00D35905" w:rsidRPr="00E94F69">
        <w:rPr>
          <w:rFonts w:ascii="Arial" w:hAnsi="Arial" w:cs="Arial"/>
          <w:szCs w:val="20"/>
        </w:rPr>
        <w:t xml:space="preserve">Device Present and Device Not Present </w:t>
      </w:r>
      <w:r w:rsidR="00940A33" w:rsidRPr="00E94F69">
        <w:rPr>
          <w:rFonts w:ascii="Arial" w:hAnsi="Arial" w:cs="Arial"/>
          <w:szCs w:val="20"/>
        </w:rPr>
        <w:t>transactions</w:t>
      </w:r>
      <w:r w:rsidR="0071725E" w:rsidRPr="00E94F69">
        <w:rPr>
          <w:rFonts w:ascii="Arial" w:hAnsi="Arial" w:cs="Arial"/>
          <w:szCs w:val="20"/>
        </w:rPr>
        <w:t>:</w:t>
      </w:r>
    </w:p>
    <w:p w14:paraId="59017406" w14:textId="77777777" w:rsidR="0071725E" w:rsidRPr="00E94F69" w:rsidRDefault="0071725E" w:rsidP="00645486">
      <w:pPr>
        <w:pStyle w:val="ListParagraph"/>
        <w:numPr>
          <w:ilvl w:val="1"/>
          <w:numId w:val="37"/>
        </w:numPr>
        <w:spacing w:after="0"/>
        <w:jc w:val="both"/>
        <w:rPr>
          <w:rFonts w:ascii="Arial" w:hAnsi="Arial" w:cs="Arial"/>
          <w:szCs w:val="20"/>
        </w:rPr>
      </w:pPr>
      <w:r w:rsidRPr="00E94F69">
        <w:rPr>
          <w:rFonts w:ascii="Arial" w:hAnsi="Arial" w:cs="Arial"/>
          <w:szCs w:val="20"/>
        </w:rPr>
        <w:t xml:space="preserve">Maintain current arrangements </w:t>
      </w:r>
      <w:proofErr w:type="spellStart"/>
      <w:r w:rsidRPr="00E94F69">
        <w:rPr>
          <w:rFonts w:ascii="Arial" w:hAnsi="Arial" w:cs="Arial"/>
          <w:szCs w:val="20"/>
        </w:rPr>
        <w:t>ie</w:t>
      </w:r>
      <w:proofErr w:type="spellEnd"/>
      <w:r w:rsidRPr="00E94F69">
        <w:rPr>
          <w:rFonts w:ascii="Arial" w:hAnsi="Arial" w:cs="Arial"/>
          <w:szCs w:val="20"/>
        </w:rPr>
        <w:t xml:space="preserve"> monitoring without formal intervention;</w:t>
      </w:r>
    </w:p>
    <w:p w14:paraId="12853C1E" w14:textId="77777777" w:rsidR="0071725E" w:rsidRPr="00E94F69" w:rsidRDefault="0071725E" w:rsidP="00645486">
      <w:pPr>
        <w:pStyle w:val="ListParagraph"/>
        <w:numPr>
          <w:ilvl w:val="1"/>
          <w:numId w:val="37"/>
        </w:numPr>
        <w:spacing w:after="0"/>
        <w:jc w:val="both"/>
        <w:rPr>
          <w:rFonts w:ascii="Arial" w:hAnsi="Arial" w:cs="Arial"/>
          <w:szCs w:val="20"/>
        </w:rPr>
      </w:pPr>
      <w:r w:rsidRPr="00E94F69">
        <w:rPr>
          <w:rFonts w:ascii="Arial" w:hAnsi="Arial" w:cs="Arial"/>
          <w:szCs w:val="20"/>
        </w:rPr>
        <w:t>Explicit guidance (not regulation) in the provision of LCR by acquirers and payment facilitators, based on moral suasion with the potential for regulatory action further down the track:</w:t>
      </w:r>
    </w:p>
    <w:p w14:paraId="6AA4654D" w14:textId="43E65C8D" w:rsidR="0071725E" w:rsidRPr="00E94F69" w:rsidRDefault="0071725E" w:rsidP="00645486">
      <w:pPr>
        <w:pStyle w:val="ListParagraph"/>
        <w:numPr>
          <w:ilvl w:val="2"/>
          <w:numId w:val="37"/>
        </w:numPr>
        <w:spacing w:after="0"/>
        <w:jc w:val="both"/>
        <w:rPr>
          <w:rFonts w:ascii="Arial" w:hAnsi="Arial" w:cs="Arial"/>
          <w:szCs w:val="20"/>
        </w:rPr>
      </w:pPr>
      <w:r w:rsidRPr="00E94F69">
        <w:rPr>
          <w:rFonts w:ascii="Arial" w:hAnsi="Arial" w:cs="Arial"/>
          <w:szCs w:val="20"/>
        </w:rPr>
        <w:t>All acquirers and payment facilitators to offer and promote LCR functionality to merchants in the Device Present environment, reporting every 6 months on LCR offerings and merchant take-up; and</w:t>
      </w:r>
    </w:p>
    <w:p w14:paraId="405C080B" w14:textId="5249202D" w:rsidR="0071725E" w:rsidRPr="00E94F69" w:rsidRDefault="0071725E" w:rsidP="00645486">
      <w:pPr>
        <w:pStyle w:val="ListParagraph"/>
        <w:numPr>
          <w:ilvl w:val="2"/>
          <w:numId w:val="37"/>
        </w:numPr>
        <w:spacing w:after="0"/>
        <w:jc w:val="both"/>
        <w:rPr>
          <w:rFonts w:ascii="Arial" w:hAnsi="Arial" w:cs="Arial"/>
          <w:szCs w:val="20"/>
        </w:rPr>
      </w:pPr>
      <w:r w:rsidRPr="00E94F69">
        <w:rPr>
          <w:rFonts w:ascii="Arial" w:hAnsi="Arial" w:cs="Arial"/>
          <w:szCs w:val="20"/>
        </w:rPr>
        <w:t xml:space="preserve">All acquirers and payment facilitators to follow a set of listed principles re implementing LCR in the </w:t>
      </w:r>
      <w:r w:rsidR="009E0EF2" w:rsidRPr="00E94F69">
        <w:rPr>
          <w:rFonts w:ascii="Arial" w:hAnsi="Arial" w:cs="Arial"/>
          <w:szCs w:val="20"/>
        </w:rPr>
        <w:t xml:space="preserve">Device Not Present </w:t>
      </w:r>
      <w:r w:rsidRPr="00E94F69">
        <w:rPr>
          <w:rFonts w:ascii="Arial" w:hAnsi="Arial" w:cs="Arial"/>
          <w:szCs w:val="20"/>
        </w:rPr>
        <w:t>environment (Box B in the Consultation Paper)</w:t>
      </w:r>
      <w:r w:rsidR="009E0EF2" w:rsidRPr="00E94F69">
        <w:rPr>
          <w:rFonts w:ascii="Arial" w:hAnsi="Arial" w:cs="Arial"/>
          <w:szCs w:val="20"/>
        </w:rPr>
        <w:t xml:space="preserve"> to prevent the erection of barriers to the development and adoption of LCR online</w:t>
      </w:r>
      <w:r w:rsidRPr="00E94F69">
        <w:rPr>
          <w:rFonts w:ascii="Arial" w:hAnsi="Arial" w:cs="Arial"/>
          <w:szCs w:val="20"/>
        </w:rPr>
        <w:t>; or</w:t>
      </w:r>
    </w:p>
    <w:p w14:paraId="1086C80C" w14:textId="64E72424" w:rsidR="00D35905" w:rsidRDefault="0071725E" w:rsidP="00645486">
      <w:pPr>
        <w:pStyle w:val="ListParagraph"/>
        <w:numPr>
          <w:ilvl w:val="1"/>
          <w:numId w:val="37"/>
        </w:numPr>
        <w:spacing w:after="0"/>
        <w:jc w:val="both"/>
      </w:pPr>
      <w:r w:rsidRPr="00E94F69">
        <w:rPr>
          <w:rFonts w:ascii="Arial" w:hAnsi="Arial" w:cs="Arial"/>
          <w:szCs w:val="20"/>
        </w:rPr>
        <w:t>Explicit regulation on the provision of LC</w:t>
      </w:r>
      <w:r w:rsidR="002B48B1" w:rsidRPr="00E94F69">
        <w:rPr>
          <w:rFonts w:ascii="Arial" w:hAnsi="Arial" w:cs="Arial"/>
          <w:szCs w:val="20"/>
        </w:rPr>
        <w:t>R</w:t>
      </w:r>
      <w:r w:rsidRPr="00E94F69">
        <w:rPr>
          <w:rFonts w:ascii="Arial" w:hAnsi="Arial" w:cs="Arial"/>
          <w:szCs w:val="20"/>
        </w:rPr>
        <w:t xml:space="preserve"> by acquirers and payment facilitators through a change to Bank standards</w:t>
      </w:r>
      <w:r w:rsidR="00D35905" w:rsidRPr="00E94F69">
        <w:rPr>
          <w:rFonts w:ascii="Arial" w:hAnsi="Arial" w:cs="Arial"/>
          <w:szCs w:val="20"/>
        </w:rPr>
        <w:t xml:space="preserve"> – under this option the relevant payment providers would be required to offer </w:t>
      </w:r>
      <w:r w:rsidR="00D35905" w:rsidRPr="00E94F69">
        <w:rPr>
          <w:rFonts w:ascii="Arial" w:hAnsi="Arial" w:cs="Arial"/>
          <w:szCs w:val="20"/>
          <w:u w:val="single"/>
        </w:rPr>
        <w:t>or</w:t>
      </w:r>
      <w:r w:rsidR="00D35905" w:rsidRPr="00E94F69">
        <w:rPr>
          <w:rFonts w:ascii="Arial" w:hAnsi="Arial" w:cs="Arial"/>
          <w:szCs w:val="20"/>
        </w:rPr>
        <w:t xml:space="preserve"> support LCR for both Device Present and Device Not Present environments with explicit rules in the online </w:t>
      </w:r>
      <w:r w:rsidR="00D35905" w:rsidRPr="00E94F69">
        <w:rPr>
          <w:rFonts w:ascii="Arial" w:hAnsi="Arial" w:cs="Arial"/>
          <w:szCs w:val="20"/>
        </w:rPr>
        <w:lastRenderedPageBreak/>
        <w:t>environment.</w:t>
      </w:r>
      <w:r w:rsidR="00D35905">
        <w:br/>
      </w:r>
    </w:p>
    <w:p w14:paraId="3739BFDB" w14:textId="03761A99" w:rsidR="00940A33" w:rsidRPr="00E94F69" w:rsidRDefault="00D35905" w:rsidP="000E152E">
      <w:pPr>
        <w:pStyle w:val="ListParagraph"/>
        <w:numPr>
          <w:ilvl w:val="0"/>
          <w:numId w:val="37"/>
        </w:numPr>
        <w:spacing w:after="0"/>
        <w:rPr>
          <w:rFonts w:ascii="Arial" w:hAnsi="Arial" w:cs="Arial"/>
          <w:szCs w:val="20"/>
        </w:rPr>
      </w:pPr>
      <w:r w:rsidRPr="00E94F69">
        <w:rPr>
          <w:rFonts w:ascii="Arial" w:hAnsi="Arial" w:cs="Arial"/>
          <w:szCs w:val="20"/>
        </w:rPr>
        <w:t>For all three options, the Bank is considering whether to use its information gathering powers under the PSRA to require schemes to notify the Bank of all scheme rules (and fees).</w:t>
      </w:r>
      <w:r w:rsidR="00AC6CED" w:rsidRPr="00E94F69">
        <w:rPr>
          <w:rFonts w:ascii="Arial" w:hAnsi="Arial" w:cs="Arial"/>
          <w:szCs w:val="20"/>
        </w:rPr>
        <w:br/>
      </w:r>
    </w:p>
    <w:p w14:paraId="52CA83EE" w14:textId="77777777" w:rsidR="00A01C6C" w:rsidRDefault="004D448C" w:rsidP="00645486">
      <w:pPr>
        <w:pStyle w:val="ListParagraph"/>
        <w:numPr>
          <w:ilvl w:val="0"/>
          <w:numId w:val="37"/>
        </w:numPr>
        <w:spacing w:after="0"/>
        <w:jc w:val="both"/>
        <w:rPr>
          <w:rFonts w:ascii="Arial" w:hAnsi="Arial" w:cs="Arial"/>
          <w:szCs w:val="20"/>
        </w:rPr>
      </w:pPr>
      <w:r w:rsidRPr="00E94F69">
        <w:rPr>
          <w:rFonts w:ascii="Arial" w:hAnsi="Arial" w:cs="Arial"/>
          <w:szCs w:val="20"/>
        </w:rPr>
        <w:t xml:space="preserve">The Bank has recognised </w:t>
      </w:r>
      <w:r w:rsidR="00D35905" w:rsidRPr="00E94F69">
        <w:rPr>
          <w:rFonts w:ascii="Arial" w:hAnsi="Arial" w:cs="Arial"/>
          <w:szCs w:val="20"/>
        </w:rPr>
        <w:t xml:space="preserve">in the Consultation Paper </w:t>
      </w:r>
      <w:r w:rsidRPr="00E94F69">
        <w:rPr>
          <w:rFonts w:ascii="Arial" w:hAnsi="Arial" w:cs="Arial"/>
          <w:szCs w:val="20"/>
        </w:rPr>
        <w:t>the beneficial effect LCR has had in driving down acceptance prices for merchants since it commenced in 2018</w:t>
      </w:r>
      <w:r w:rsidR="00A01C6C">
        <w:rPr>
          <w:rFonts w:ascii="Arial" w:hAnsi="Arial" w:cs="Arial"/>
          <w:szCs w:val="20"/>
        </w:rPr>
        <w:t xml:space="preserve"> but has indicated that it favours option 2 currently</w:t>
      </w:r>
      <w:r w:rsidR="00D35905" w:rsidRPr="00E94F69">
        <w:rPr>
          <w:rFonts w:ascii="Arial" w:hAnsi="Arial" w:cs="Arial"/>
          <w:szCs w:val="20"/>
        </w:rPr>
        <w:t xml:space="preserve">. </w:t>
      </w:r>
    </w:p>
    <w:p w14:paraId="71D13614" w14:textId="77777777" w:rsidR="00A01C6C" w:rsidRPr="00A01C6C" w:rsidRDefault="00A01C6C" w:rsidP="00645486">
      <w:pPr>
        <w:spacing w:after="0"/>
        <w:jc w:val="both"/>
        <w:rPr>
          <w:rFonts w:ascii="Arial" w:hAnsi="Arial" w:cs="Arial"/>
          <w:szCs w:val="20"/>
        </w:rPr>
      </w:pPr>
    </w:p>
    <w:p w14:paraId="292B1A11" w14:textId="64718BC2" w:rsidR="00A01C6C" w:rsidRDefault="00A01C6C" w:rsidP="000E152E">
      <w:pPr>
        <w:pStyle w:val="ListParagraph"/>
        <w:numPr>
          <w:ilvl w:val="0"/>
          <w:numId w:val="37"/>
        </w:numPr>
        <w:spacing w:after="0"/>
        <w:rPr>
          <w:rFonts w:ascii="Arial" w:hAnsi="Arial" w:cs="Arial"/>
          <w:szCs w:val="20"/>
        </w:rPr>
      </w:pPr>
      <w:r>
        <w:rPr>
          <w:rFonts w:ascii="Arial" w:hAnsi="Arial" w:cs="Arial"/>
          <w:szCs w:val="20"/>
        </w:rPr>
        <w:t xml:space="preserve">The Bank’s position is </w:t>
      </w:r>
      <w:r w:rsidR="00E94F69">
        <w:rPr>
          <w:rFonts w:ascii="Arial" w:hAnsi="Arial" w:cs="Arial"/>
          <w:szCs w:val="20"/>
        </w:rPr>
        <w:t>concerning</w:t>
      </w:r>
      <w:r w:rsidR="008660C5">
        <w:rPr>
          <w:rFonts w:ascii="Arial" w:hAnsi="Arial" w:cs="Arial"/>
          <w:szCs w:val="20"/>
        </w:rPr>
        <w:t>, especially as the Bank is per</w:t>
      </w:r>
      <w:r w:rsidR="0034767C">
        <w:rPr>
          <w:rFonts w:ascii="Arial" w:hAnsi="Arial" w:cs="Arial"/>
          <w:szCs w:val="20"/>
        </w:rPr>
        <w:t>suaded that the majority of consumers do not have a strong preference between debit card schemes</w:t>
      </w:r>
      <w:r w:rsidR="0034767C">
        <w:rPr>
          <w:rStyle w:val="FootnoteReference"/>
          <w:rFonts w:ascii="Arial" w:hAnsi="Arial" w:cs="Arial"/>
          <w:szCs w:val="20"/>
        </w:rPr>
        <w:footnoteReference w:id="17"/>
      </w:r>
      <w:r w:rsidR="00E94F69">
        <w:rPr>
          <w:rFonts w:ascii="Arial" w:hAnsi="Arial" w:cs="Arial"/>
          <w:szCs w:val="20"/>
        </w:rPr>
        <w:t xml:space="preserve">.  All the good pricing outcomes from LCR </w:t>
      </w:r>
      <w:r w:rsidR="002D6D2F">
        <w:rPr>
          <w:rFonts w:ascii="Arial" w:hAnsi="Arial" w:cs="Arial"/>
          <w:szCs w:val="20"/>
        </w:rPr>
        <w:t>could</w:t>
      </w:r>
      <w:r w:rsidR="00E94F69">
        <w:rPr>
          <w:rFonts w:ascii="Arial" w:hAnsi="Arial" w:cs="Arial"/>
          <w:szCs w:val="20"/>
        </w:rPr>
        <w:t xml:space="preserve"> be unwound </w:t>
      </w:r>
      <w:r>
        <w:rPr>
          <w:rFonts w:ascii="Arial" w:hAnsi="Arial" w:cs="Arial"/>
          <w:szCs w:val="20"/>
        </w:rPr>
        <w:t xml:space="preserve">rapidly </w:t>
      </w:r>
      <w:r w:rsidR="00E94F69">
        <w:rPr>
          <w:rFonts w:ascii="Arial" w:hAnsi="Arial" w:cs="Arial"/>
          <w:szCs w:val="20"/>
        </w:rPr>
        <w:t xml:space="preserve">through the preliminary policy positions </w:t>
      </w:r>
      <w:r w:rsidR="002D6D2F">
        <w:rPr>
          <w:rFonts w:ascii="Arial" w:hAnsi="Arial" w:cs="Arial"/>
          <w:szCs w:val="20"/>
        </w:rPr>
        <w:t xml:space="preserve">being considered by the Bank.  </w:t>
      </w:r>
      <w:r>
        <w:rPr>
          <w:rFonts w:ascii="Arial" w:hAnsi="Arial" w:cs="Arial"/>
          <w:szCs w:val="20"/>
        </w:rPr>
        <w:t>Even if DNDCs are required</w:t>
      </w:r>
      <w:r w:rsidR="004E75F9">
        <w:rPr>
          <w:rFonts w:ascii="Arial" w:hAnsi="Arial" w:cs="Arial"/>
          <w:szCs w:val="20"/>
        </w:rPr>
        <w:t xml:space="preserve"> for all issuers</w:t>
      </w:r>
      <w:r>
        <w:rPr>
          <w:rFonts w:ascii="Arial" w:hAnsi="Arial" w:cs="Arial"/>
          <w:szCs w:val="20"/>
        </w:rPr>
        <w:t>, regulation of LCR is still required</w:t>
      </w:r>
      <w:r w:rsidR="001C05CB">
        <w:rPr>
          <w:rFonts w:ascii="Arial" w:hAnsi="Arial" w:cs="Arial"/>
          <w:szCs w:val="20"/>
        </w:rPr>
        <w:t>.</w:t>
      </w:r>
      <w:r w:rsidR="001C05CB">
        <w:rPr>
          <w:rFonts w:ascii="Arial" w:hAnsi="Arial" w:cs="Arial"/>
          <w:szCs w:val="20"/>
        </w:rPr>
        <w:br/>
      </w:r>
    </w:p>
    <w:p w14:paraId="085356B5" w14:textId="77DE5B3C" w:rsidR="00182BE1" w:rsidRPr="0009122E" w:rsidRDefault="00182BE1" w:rsidP="00645486">
      <w:pPr>
        <w:pStyle w:val="ListParagraph"/>
        <w:numPr>
          <w:ilvl w:val="0"/>
          <w:numId w:val="37"/>
        </w:numPr>
        <w:spacing w:after="0"/>
        <w:jc w:val="both"/>
        <w:rPr>
          <w:rFonts w:ascii="Arial" w:hAnsi="Arial" w:cs="Arial"/>
        </w:rPr>
      </w:pPr>
      <w:r w:rsidRPr="0009122E">
        <w:rPr>
          <w:rFonts w:ascii="Arial" w:hAnsi="Arial" w:cs="Arial" w:hint="eastAsia"/>
        </w:rPr>
        <w:t>The statistics are telling</w:t>
      </w:r>
      <w:r w:rsidR="00BA22E2" w:rsidRPr="0009122E">
        <w:rPr>
          <w:rFonts w:ascii="Arial" w:hAnsi="Arial" w:cs="Arial" w:hint="eastAsia"/>
        </w:rPr>
        <w:t xml:space="preserve"> </w:t>
      </w:r>
      <w:r w:rsidR="00BA22E2" w:rsidRPr="0009122E">
        <w:rPr>
          <w:rFonts w:ascii="Arial" w:hAnsi="Arial" w:cs="Arial" w:hint="eastAsia"/>
        </w:rPr>
        <w:t>–</w:t>
      </w:r>
      <w:r w:rsidR="00BA22E2" w:rsidRPr="0009122E">
        <w:rPr>
          <w:rFonts w:ascii="Arial" w:hAnsi="Arial" w:cs="Arial" w:hint="eastAsia"/>
        </w:rPr>
        <w:t xml:space="preserve"> suasion does not work</w:t>
      </w:r>
      <w:r w:rsidRPr="0009122E">
        <w:rPr>
          <w:rFonts w:ascii="Arial" w:hAnsi="Arial" w:cs="Arial" w:hint="eastAsia"/>
        </w:rPr>
        <w:t>:</w:t>
      </w:r>
    </w:p>
    <w:p w14:paraId="4A7DD112" w14:textId="5B95B9A9" w:rsidR="00E542A0" w:rsidRDefault="00A01C6C" w:rsidP="00645486">
      <w:pPr>
        <w:pStyle w:val="ListParagraph"/>
        <w:numPr>
          <w:ilvl w:val="0"/>
          <w:numId w:val="39"/>
        </w:numPr>
        <w:spacing w:after="0"/>
        <w:jc w:val="both"/>
        <w:rPr>
          <w:rFonts w:ascii="Arial" w:hAnsi="Arial" w:cs="Arial"/>
        </w:rPr>
      </w:pPr>
      <w:r w:rsidRPr="0DAB75B4">
        <w:rPr>
          <w:rFonts w:ascii="Arial" w:hAnsi="Arial" w:cs="Arial"/>
        </w:rPr>
        <w:t>6 years after the undertakings which gave chip application priority to the ICS and therefore higher interchange to issuing banks and higher costs to merchants</w:t>
      </w:r>
      <w:r w:rsidR="00E542A0">
        <w:rPr>
          <w:rFonts w:ascii="Arial" w:hAnsi="Arial" w:cs="Arial"/>
        </w:rPr>
        <w:t xml:space="preserve"> before</w:t>
      </w:r>
      <w:r w:rsidRPr="0DAB75B4">
        <w:rPr>
          <w:rFonts w:ascii="Arial" w:hAnsi="Arial" w:cs="Arial"/>
        </w:rPr>
        <w:t xml:space="preserve"> </w:t>
      </w:r>
      <w:r w:rsidRPr="0009122E">
        <w:rPr>
          <w:rFonts w:ascii="Arial" w:hAnsi="Arial" w:cs="Arial"/>
          <w:u w:val="single"/>
        </w:rPr>
        <w:t>any</w:t>
      </w:r>
      <w:r w:rsidRPr="0DAB75B4">
        <w:rPr>
          <w:rFonts w:ascii="Arial" w:hAnsi="Arial" w:cs="Arial"/>
        </w:rPr>
        <w:t xml:space="preserve"> bank to enable LCR</w:t>
      </w:r>
      <w:r w:rsidR="00E542A0">
        <w:rPr>
          <w:rFonts w:ascii="Arial" w:hAnsi="Arial" w:cs="Arial"/>
        </w:rPr>
        <w:t>;</w:t>
      </w:r>
    </w:p>
    <w:p w14:paraId="6FAD31FF" w14:textId="08754563" w:rsidR="00BA22E2" w:rsidRDefault="00CC1BE1" w:rsidP="00645486">
      <w:pPr>
        <w:pStyle w:val="ListParagraph"/>
        <w:numPr>
          <w:ilvl w:val="0"/>
          <w:numId w:val="39"/>
        </w:numPr>
        <w:spacing w:after="0"/>
        <w:jc w:val="both"/>
        <w:rPr>
          <w:rFonts w:ascii="Arial" w:hAnsi="Arial" w:cs="Arial"/>
        </w:rPr>
      </w:pPr>
      <w:r>
        <w:rPr>
          <w:rFonts w:ascii="Arial" w:hAnsi="Arial" w:cs="Arial"/>
        </w:rPr>
        <w:t xml:space="preserve">8 years to achieve </w:t>
      </w:r>
      <w:r w:rsidR="00935F72" w:rsidRPr="0009122E">
        <w:rPr>
          <w:rFonts w:ascii="Arial" w:hAnsi="Arial" w:cs="Arial"/>
          <w:u w:val="single"/>
        </w:rPr>
        <w:t>less than 10%</w:t>
      </w:r>
      <w:r w:rsidR="00935F72">
        <w:rPr>
          <w:rFonts w:ascii="Arial" w:hAnsi="Arial" w:cs="Arial"/>
        </w:rPr>
        <w:t xml:space="preserve"> of merchants receiving the benefit of routing</w:t>
      </w:r>
      <w:r w:rsidR="00BA22E2">
        <w:rPr>
          <w:rFonts w:ascii="Arial" w:hAnsi="Arial" w:cs="Arial"/>
        </w:rPr>
        <w:t>;</w:t>
      </w:r>
    </w:p>
    <w:p w14:paraId="551C42B3" w14:textId="7A2915AE" w:rsidR="00D91B6D" w:rsidRDefault="00972C9E" w:rsidP="00645486">
      <w:pPr>
        <w:pStyle w:val="ListParagraph"/>
        <w:numPr>
          <w:ilvl w:val="0"/>
          <w:numId w:val="39"/>
        </w:numPr>
        <w:spacing w:after="0"/>
        <w:jc w:val="both"/>
        <w:rPr>
          <w:rFonts w:ascii="Arial" w:hAnsi="Arial" w:cs="Arial"/>
        </w:rPr>
      </w:pPr>
      <w:r>
        <w:rPr>
          <w:rFonts w:ascii="Arial" w:hAnsi="Arial" w:cs="Arial"/>
        </w:rPr>
        <w:t xml:space="preserve">the total </w:t>
      </w:r>
      <w:proofErr w:type="spellStart"/>
      <w:r>
        <w:rPr>
          <w:rFonts w:ascii="Arial" w:hAnsi="Arial" w:cs="Arial"/>
        </w:rPr>
        <w:t>debit</w:t>
      </w:r>
      <w:proofErr w:type="spellEnd"/>
      <w:r>
        <w:rPr>
          <w:rFonts w:ascii="Arial" w:hAnsi="Arial" w:cs="Arial"/>
        </w:rPr>
        <w:t xml:space="preserve"> payments market grew by</w:t>
      </w:r>
      <w:r w:rsidR="00C63CB4">
        <w:rPr>
          <w:rFonts w:ascii="Arial" w:hAnsi="Arial" w:cs="Arial"/>
        </w:rPr>
        <w:t xml:space="preserve"> </w:t>
      </w:r>
      <w:r w:rsidR="00EA33A7">
        <w:rPr>
          <w:rFonts w:ascii="Arial" w:hAnsi="Arial" w:cs="Arial"/>
        </w:rPr>
        <w:t>21.1</w:t>
      </w:r>
      <w:r w:rsidR="00C63CB4">
        <w:rPr>
          <w:rFonts w:ascii="Arial" w:hAnsi="Arial" w:cs="Arial"/>
        </w:rPr>
        <w:t xml:space="preserve">% as at </w:t>
      </w:r>
      <w:r w:rsidR="00EA33A7">
        <w:rPr>
          <w:rFonts w:ascii="Arial" w:hAnsi="Arial" w:cs="Arial"/>
        </w:rPr>
        <w:t>May</w:t>
      </w:r>
      <w:r w:rsidR="00C63CB4">
        <w:rPr>
          <w:rFonts w:ascii="Arial" w:hAnsi="Arial" w:cs="Arial"/>
        </w:rPr>
        <w:t xml:space="preserve"> 2021</w:t>
      </w:r>
      <w:r w:rsidR="00C63CB4">
        <w:rPr>
          <w:rStyle w:val="FootnoteReference"/>
          <w:rFonts w:ascii="Arial" w:hAnsi="Arial" w:cs="Arial"/>
        </w:rPr>
        <w:footnoteReference w:id="18"/>
      </w:r>
      <w:r w:rsidR="00C63CB4">
        <w:rPr>
          <w:rFonts w:ascii="Arial" w:hAnsi="Arial" w:cs="Arial"/>
        </w:rPr>
        <w:t xml:space="preserve">; eftpos’ growth was </w:t>
      </w:r>
      <w:r w:rsidR="00960BDD">
        <w:rPr>
          <w:rFonts w:ascii="Arial" w:hAnsi="Arial" w:cs="Arial"/>
        </w:rPr>
        <w:t xml:space="preserve">less than that </w:t>
      </w:r>
      <w:r w:rsidR="00C63CB4" w:rsidRPr="0009122E">
        <w:rPr>
          <w:rFonts w:ascii="Arial" w:hAnsi="Arial" w:cs="Arial"/>
        </w:rPr>
        <w:t xml:space="preserve">due to the inability to access </w:t>
      </w:r>
      <w:r w:rsidR="00C113BB" w:rsidRPr="0009122E">
        <w:rPr>
          <w:rFonts w:ascii="Arial" w:hAnsi="Arial" w:cs="Arial"/>
        </w:rPr>
        <w:t>mobile and online payments which are the largest growing area of payments</w:t>
      </w:r>
    </w:p>
    <w:p w14:paraId="7E7A6606" w14:textId="77777777" w:rsidR="00960BDD" w:rsidRPr="00960BDD" w:rsidRDefault="00960BDD" w:rsidP="00960BDD">
      <w:pPr>
        <w:spacing w:after="0"/>
        <w:ind w:left="1080"/>
        <w:jc w:val="both"/>
        <w:rPr>
          <w:rFonts w:ascii="Arial" w:hAnsi="Arial" w:cs="Arial"/>
        </w:rPr>
      </w:pPr>
    </w:p>
    <w:p w14:paraId="4CF33BCE" w14:textId="07AF4645" w:rsidR="007B5156" w:rsidRPr="0009122E" w:rsidRDefault="001C05CB" w:rsidP="000E152E">
      <w:pPr>
        <w:pStyle w:val="ListParagraph"/>
        <w:numPr>
          <w:ilvl w:val="0"/>
          <w:numId w:val="37"/>
        </w:numPr>
        <w:tabs>
          <w:tab w:val="left" w:pos="9781"/>
        </w:tabs>
        <w:spacing w:after="0"/>
        <w:jc w:val="both"/>
        <w:rPr>
          <w:rFonts w:ascii="Arial" w:hAnsi="Arial" w:cs="Arial"/>
        </w:rPr>
      </w:pPr>
      <w:r>
        <w:rPr>
          <w:rFonts w:ascii="Arial" w:hAnsi="Arial" w:cs="Arial"/>
        </w:rPr>
        <w:t>The effects that are currently experienced will continue if there is no regulation:</w:t>
      </w:r>
    </w:p>
    <w:p w14:paraId="59C0E999" w14:textId="213FE1EE" w:rsidR="005C09C2" w:rsidRDefault="005C09C2" w:rsidP="00645486">
      <w:pPr>
        <w:pStyle w:val="ListParagraph"/>
        <w:numPr>
          <w:ilvl w:val="0"/>
          <w:numId w:val="39"/>
        </w:numPr>
        <w:spacing w:after="0"/>
        <w:ind w:left="1134" w:hanging="425"/>
        <w:jc w:val="both"/>
        <w:rPr>
          <w:rFonts w:ascii="Arial" w:hAnsi="Arial" w:cs="Arial"/>
          <w:szCs w:val="20"/>
        </w:rPr>
      </w:pPr>
      <w:r>
        <w:rPr>
          <w:rFonts w:ascii="Arial" w:hAnsi="Arial" w:cs="Arial"/>
          <w:szCs w:val="20"/>
        </w:rPr>
        <w:t>the lack of regulation to date as given rise to various forms of conduct that have sought to prevent, delay or circumvent the regulator</w:t>
      </w:r>
      <w:r w:rsidR="00446331">
        <w:rPr>
          <w:rFonts w:ascii="Arial" w:hAnsi="Arial" w:cs="Arial"/>
          <w:szCs w:val="20"/>
        </w:rPr>
        <w:t>y</w:t>
      </w:r>
      <w:r>
        <w:rPr>
          <w:rFonts w:ascii="Arial" w:hAnsi="Arial" w:cs="Arial"/>
          <w:szCs w:val="20"/>
        </w:rPr>
        <w:t xml:space="preserve"> intent of LCR.  The continued absence of regulation will see those tactics continue and prolong the take up of LCR in the Device Not Present environment</w:t>
      </w:r>
      <w:r w:rsidR="00090C81">
        <w:rPr>
          <w:rFonts w:ascii="Arial" w:hAnsi="Arial" w:cs="Arial"/>
          <w:szCs w:val="20"/>
        </w:rPr>
        <w:t xml:space="preserve"> as well. </w:t>
      </w:r>
    </w:p>
    <w:p w14:paraId="79A1BEEE" w14:textId="77777777" w:rsidR="00645486" w:rsidRDefault="00A01C6C" w:rsidP="00E40752">
      <w:pPr>
        <w:pStyle w:val="ListParagraph"/>
        <w:numPr>
          <w:ilvl w:val="0"/>
          <w:numId w:val="39"/>
        </w:numPr>
        <w:spacing w:after="120"/>
        <w:ind w:left="1134" w:hanging="425"/>
        <w:jc w:val="both"/>
        <w:rPr>
          <w:rFonts w:ascii="Arial" w:hAnsi="Arial" w:cs="Arial"/>
          <w:szCs w:val="20"/>
        </w:rPr>
      </w:pPr>
      <w:r w:rsidRPr="00645486">
        <w:rPr>
          <w:rFonts w:ascii="Arial" w:hAnsi="Arial" w:cs="Arial"/>
          <w:szCs w:val="20"/>
        </w:rPr>
        <w:t xml:space="preserve">leakage </w:t>
      </w:r>
      <w:r w:rsidR="00774DE5" w:rsidRPr="00645486">
        <w:rPr>
          <w:rFonts w:ascii="Arial" w:hAnsi="Arial" w:cs="Arial"/>
          <w:szCs w:val="20"/>
        </w:rPr>
        <w:t xml:space="preserve">for large merchants </w:t>
      </w:r>
      <w:r w:rsidRPr="00645486">
        <w:rPr>
          <w:rFonts w:ascii="Arial" w:hAnsi="Arial" w:cs="Arial"/>
          <w:szCs w:val="20"/>
        </w:rPr>
        <w:t>from the implementation of mobile payments</w:t>
      </w:r>
      <w:r w:rsidR="002D6D2F" w:rsidRPr="00645486">
        <w:rPr>
          <w:rFonts w:ascii="Arial" w:hAnsi="Arial" w:cs="Arial"/>
          <w:szCs w:val="20"/>
        </w:rPr>
        <w:t>,</w:t>
      </w:r>
      <w:r w:rsidRPr="00645486">
        <w:rPr>
          <w:rFonts w:ascii="Arial" w:hAnsi="Arial" w:cs="Arial"/>
          <w:szCs w:val="20"/>
        </w:rPr>
        <w:t xml:space="preserve"> which do not provide choice to merchants to enable exercise of their right to LCR</w:t>
      </w:r>
      <w:r w:rsidR="008873FA" w:rsidRPr="00645486">
        <w:rPr>
          <w:rFonts w:ascii="Arial" w:hAnsi="Arial" w:cs="Arial"/>
          <w:szCs w:val="20"/>
        </w:rPr>
        <w:t>,</w:t>
      </w:r>
      <w:r w:rsidR="002D6D2F" w:rsidRPr="00645486">
        <w:rPr>
          <w:rFonts w:ascii="Arial" w:hAnsi="Arial" w:cs="Arial"/>
          <w:szCs w:val="20"/>
        </w:rPr>
        <w:t xml:space="preserve"> and online currently impacting decisions of merchants whether to route in the Device Present environment</w:t>
      </w:r>
      <w:r w:rsidRPr="00645486">
        <w:rPr>
          <w:rFonts w:ascii="Arial" w:hAnsi="Arial" w:cs="Arial"/>
          <w:szCs w:val="20"/>
        </w:rPr>
        <w:t xml:space="preserve">; </w:t>
      </w:r>
    </w:p>
    <w:p w14:paraId="35D18E38" w14:textId="7F90F208" w:rsidR="00A01C6C" w:rsidRPr="00645486" w:rsidRDefault="005B27ED" w:rsidP="00E40752">
      <w:pPr>
        <w:pStyle w:val="ListParagraph"/>
        <w:numPr>
          <w:ilvl w:val="0"/>
          <w:numId w:val="39"/>
        </w:numPr>
        <w:spacing w:after="120"/>
        <w:ind w:left="1134" w:hanging="425"/>
        <w:jc w:val="both"/>
        <w:rPr>
          <w:rFonts w:ascii="Arial" w:hAnsi="Arial" w:cs="Arial"/>
          <w:szCs w:val="20"/>
        </w:rPr>
      </w:pPr>
      <w:r w:rsidRPr="00645486">
        <w:rPr>
          <w:rFonts w:ascii="Arial" w:hAnsi="Arial" w:cs="Arial"/>
          <w:szCs w:val="20"/>
        </w:rPr>
        <w:t xml:space="preserve">the lack of competition in acquiring </w:t>
      </w:r>
      <w:proofErr w:type="spellStart"/>
      <w:r w:rsidRPr="00645486">
        <w:rPr>
          <w:rFonts w:ascii="Arial" w:hAnsi="Arial" w:cs="Arial"/>
          <w:szCs w:val="20"/>
        </w:rPr>
        <w:t>sert</w:t>
      </w:r>
      <w:proofErr w:type="spellEnd"/>
      <w:r w:rsidRPr="00645486">
        <w:rPr>
          <w:rFonts w:ascii="Arial" w:hAnsi="Arial" w:cs="Arial"/>
          <w:szCs w:val="20"/>
        </w:rPr>
        <w:t xml:space="preserve"> has been identified by the Bank in the Consultation Paper</w:t>
      </w:r>
      <w:r w:rsidR="001973FB" w:rsidRPr="00645486">
        <w:rPr>
          <w:rFonts w:ascii="Arial" w:hAnsi="Arial" w:cs="Arial"/>
          <w:szCs w:val="20"/>
        </w:rPr>
        <w:t>,</w:t>
      </w:r>
      <w:r w:rsidRPr="00645486">
        <w:rPr>
          <w:rFonts w:ascii="Arial" w:hAnsi="Arial" w:cs="Arial"/>
          <w:szCs w:val="20"/>
        </w:rPr>
        <w:t xml:space="preserve"> which limits the ability of merchants to take other action to mitigate their costs</w:t>
      </w:r>
      <w:r w:rsidR="000F6C4B">
        <w:rPr>
          <w:rStyle w:val="FootnoteReference"/>
          <w:rFonts w:ascii="Arial" w:hAnsi="Arial" w:cs="Arial"/>
          <w:szCs w:val="20"/>
        </w:rPr>
        <w:footnoteReference w:id="19"/>
      </w:r>
      <w:r w:rsidRPr="00645486">
        <w:rPr>
          <w:rFonts w:ascii="Arial" w:hAnsi="Arial" w:cs="Arial"/>
          <w:szCs w:val="20"/>
        </w:rPr>
        <w:t xml:space="preserve">; </w:t>
      </w:r>
    </w:p>
    <w:p w14:paraId="5C31AB20" w14:textId="1202C1F2" w:rsidR="006E499A" w:rsidRPr="00960BDD" w:rsidRDefault="00DA3077" w:rsidP="00960BDD">
      <w:pPr>
        <w:pStyle w:val="ListParagraph"/>
        <w:numPr>
          <w:ilvl w:val="0"/>
          <w:numId w:val="39"/>
        </w:numPr>
        <w:spacing w:after="0"/>
        <w:ind w:left="1134" w:hanging="425"/>
        <w:jc w:val="both"/>
        <w:rPr>
          <w:rFonts w:ascii="Arial" w:hAnsi="Arial" w:cs="Arial"/>
          <w:szCs w:val="20"/>
        </w:rPr>
      </w:pPr>
      <w:r w:rsidRPr="00AA28D9">
        <w:rPr>
          <w:rFonts w:ascii="Arial" w:hAnsi="Arial" w:cs="Arial"/>
          <w:szCs w:val="20"/>
        </w:rPr>
        <w:t>t</w:t>
      </w:r>
      <w:r w:rsidR="00A01C6C" w:rsidRPr="00AA28D9">
        <w:rPr>
          <w:rFonts w:ascii="Arial" w:hAnsi="Arial" w:cs="Arial"/>
          <w:szCs w:val="20"/>
        </w:rPr>
        <w:t xml:space="preserve">o provide a level playing field </w:t>
      </w:r>
      <w:r w:rsidR="001973FB" w:rsidRPr="00AA28D9">
        <w:rPr>
          <w:rFonts w:ascii="Arial" w:hAnsi="Arial" w:cs="Arial"/>
          <w:szCs w:val="20"/>
        </w:rPr>
        <w:t>in the</w:t>
      </w:r>
      <w:r w:rsidR="00A01C6C" w:rsidRPr="00AA28D9">
        <w:rPr>
          <w:rFonts w:ascii="Arial" w:hAnsi="Arial" w:cs="Arial"/>
          <w:szCs w:val="20"/>
        </w:rPr>
        <w:t xml:space="preserve"> Device Not Present </w:t>
      </w:r>
      <w:r w:rsidRPr="00AA28D9">
        <w:rPr>
          <w:rFonts w:ascii="Arial" w:hAnsi="Arial" w:cs="Arial"/>
          <w:szCs w:val="20"/>
        </w:rPr>
        <w:t>environment</w:t>
      </w:r>
      <w:r w:rsidR="001973FB" w:rsidRPr="00AA28D9">
        <w:rPr>
          <w:rFonts w:ascii="Arial" w:hAnsi="Arial" w:cs="Arial"/>
          <w:szCs w:val="20"/>
        </w:rPr>
        <w:t>,</w:t>
      </w:r>
      <w:r w:rsidRPr="00AA28D9">
        <w:rPr>
          <w:rFonts w:ascii="Arial" w:hAnsi="Arial" w:cs="Arial"/>
          <w:szCs w:val="20"/>
        </w:rPr>
        <w:t xml:space="preserve"> given </w:t>
      </w:r>
      <w:r w:rsidR="00A01C6C" w:rsidRPr="00AA28D9">
        <w:rPr>
          <w:rFonts w:ascii="Arial" w:hAnsi="Arial" w:cs="Arial"/>
          <w:szCs w:val="20"/>
        </w:rPr>
        <w:t xml:space="preserve">eftpos </w:t>
      </w:r>
      <w:r w:rsidRPr="00AA28D9">
        <w:rPr>
          <w:rFonts w:ascii="Arial" w:hAnsi="Arial" w:cs="Arial"/>
          <w:szCs w:val="20"/>
        </w:rPr>
        <w:t>is</w:t>
      </w:r>
      <w:r w:rsidR="00A01C6C" w:rsidRPr="00AA28D9">
        <w:rPr>
          <w:rFonts w:ascii="Arial" w:hAnsi="Arial" w:cs="Arial"/>
          <w:szCs w:val="20"/>
        </w:rPr>
        <w:t xml:space="preserve"> on the cusp of being able to offer true competition and choice for online transactions</w:t>
      </w:r>
      <w:r w:rsidRPr="00AA28D9">
        <w:rPr>
          <w:rFonts w:ascii="Arial" w:hAnsi="Arial" w:cs="Arial"/>
          <w:szCs w:val="20"/>
        </w:rPr>
        <w:t xml:space="preserve"> and </w:t>
      </w:r>
      <w:r w:rsidR="001973FB" w:rsidRPr="00AA28D9">
        <w:rPr>
          <w:rFonts w:ascii="Arial" w:hAnsi="Arial" w:cs="Arial"/>
          <w:szCs w:val="20"/>
        </w:rPr>
        <w:t xml:space="preserve">is currently </w:t>
      </w:r>
      <w:r w:rsidRPr="00AA28D9">
        <w:rPr>
          <w:rFonts w:ascii="Arial" w:hAnsi="Arial" w:cs="Arial"/>
          <w:szCs w:val="20"/>
        </w:rPr>
        <w:t xml:space="preserve">being stymied </w:t>
      </w:r>
      <w:r w:rsidR="001973FB" w:rsidRPr="00AA28D9">
        <w:rPr>
          <w:rFonts w:ascii="Arial" w:hAnsi="Arial" w:cs="Arial"/>
          <w:szCs w:val="20"/>
        </w:rPr>
        <w:t>by</w:t>
      </w:r>
      <w:r w:rsidRPr="00AA28D9">
        <w:rPr>
          <w:rFonts w:ascii="Arial" w:hAnsi="Arial" w:cs="Arial"/>
          <w:szCs w:val="20"/>
        </w:rPr>
        <w:t xml:space="preserve"> conduct </w:t>
      </w:r>
      <w:r w:rsidR="001973FB" w:rsidRPr="00AA28D9">
        <w:rPr>
          <w:rFonts w:ascii="Arial" w:hAnsi="Arial" w:cs="Arial"/>
          <w:szCs w:val="20"/>
        </w:rPr>
        <w:t>which the Bank has identified in the Consultation Paper as concerning</w:t>
      </w:r>
      <w:r w:rsidR="00A01C6C" w:rsidRPr="00AA28D9">
        <w:rPr>
          <w:rFonts w:ascii="Arial" w:hAnsi="Arial" w:cs="Arial"/>
          <w:szCs w:val="20"/>
        </w:rPr>
        <w:t>.</w:t>
      </w:r>
      <w:r w:rsidRPr="00AA28D9">
        <w:rPr>
          <w:rFonts w:ascii="Arial" w:hAnsi="Arial" w:cs="Arial"/>
          <w:szCs w:val="20"/>
        </w:rPr>
        <w:t xml:space="preserve"> </w:t>
      </w:r>
      <w:r w:rsidR="00EC211A" w:rsidRPr="00AA28D9">
        <w:rPr>
          <w:rFonts w:ascii="Arial" w:hAnsi="Arial" w:cs="Arial"/>
          <w:szCs w:val="20"/>
        </w:rPr>
        <w:t xml:space="preserve">The Bank has identified that LCR could generate material competition and efficiency benefit in the online environment so, in eftpos’ view, now is precisely the time to regulate to </w:t>
      </w:r>
      <w:r w:rsidR="001973FB" w:rsidRPr="00AA28D9">
        <w:rPr>
          <w:rFonts w:ascii="Arial" w:hAnsi="Arial" w:cs="Arial"/>
          <w:szCs w:val="20"/>
        </w:rPr>
        <w:t>enable</w:t>
      </w:r>
      <w:r w:rsidR="00EC211A" w:rsidRPr="00AA28D9">
        <w:rPr>
          <w:rFonts w:ascii="Arial" w:hAnsi="Arial" w:cs="Arial"/>
          <w:szCs w:val="20"/>
        </w:rPr>
        <w:t xml:space="preserve"> that competition and efficiency.</w:t>
      </w:r>
      <w:r w:rsidR="008C448C" w:rsidRPr="00AA28D9">
        <w:rPr>
          <w:rFonts w:ascii="Arial" w:hAnsi="Arial" w:cs="Arial"/>
          <w:szCs w:val="20"/>
        </w:rPr>
        <w:t xml:space="preserve">. </w:t>
      </w:r>
      <w:r w:rsidRPr="00AA28D9">
        <w:rPr>
          <w:rFonts w:ascii="Arial" w:hAnsi="Arial" w:cs="Arial"/>
          <w:szCs w:val="20"/>
        </w:rPr>
        <w:t xml:space="preserve"> In eftpos’ view, it is </w:t>
      </w:r>
      <w:r w:rsidR="000054C1" w:rsidRPr="00AA28D9">
        <w:rPr>
          <w:rFonts w:ascii="Arial" w:hAnsi="Arial" w:cs="Arial"/>
          <w:szCs w:val="20"/>
        </w:rPr>
        <w:t>unusual for a regulator</w:t>
      </w:r>
      <w:r w:rsidRPr="00AA28D9">
        <w:rPr>
          <w:rFonts w:ascii="Arial" w:hAnsi="Arial" w:cs="Arial"/>
          <w:szCs w:val="20"/>
        </w:rPr>
        <w:t xml:space="preserve"> to identify conduct that is preventing or delaying competition and then not regulate to prohibit it to enable competition</w:t>
      </w:r>
      <w:r w:rsidR="00091960" w:rsidRPr="00AA28D9">
        <w:rPr>
          <w:rFonts w:ascii="Arial" w:hAnsi="Arial" w:cs="Arial"/>
          <w:szCs w:val="20"/>
        </w:rPr>
        <w:t xml:space="preserve"> or otherwise enforce against it</w:t>
      </w:r>
      <w:r w:rsidR="00BC2C5F" w:rsidRPr="0009122E">
        <w:rPr>
          <w:rFonts w:ascii="Arial" w:hAnsi="Arial" w:cs="Arial"/>
          <w:szCs w:val="20"/>
        </w:rPr>
        <w:t>.</w:t>
      </w:r>
      <w:r w:rsidR="00BC2C5F" w:rsidRPr="00AA28D9">
        <w:rPr>
          <w:rFonts w:ascii="Arial" w:hAnsi="Arial" w:cs="Arial"/>
          <w:szCs w:val="20"/>
        </w:rPr>
        <w:t xml:space="preserve">  </w:t>
      </w:r>
    </w:p>
    <w:p w14:paraId="3315B176" w14:textId="77777777" w:rsidR="006E499A" w:rsidRDefault="006E499A" w:rsidP="00645486">
      <w:pPr>
        <w:spacing w:after="0"/>
        <w:ind w:left="1080"/>
        <w:jc w:val="both"/>
        <w:rPr>
          <w:rFonts w:ascii="Arial" w:hAnsi="Arial" w:cs="Arial"/>
          <w:szCs w:val="20"/>
        </w:rPr>
      </w:pPr>
    </w:p>
    <w:p w14:paraId="64B61E99" w14:textId="1CAF6768" w:rsidR="0048667F" w:rsidRDefault="00E94F69" w:rsidP="00645486">
      <w:pPr>
        <w:pStyle w:val="ListParagraph"/>
        <w:numPr>
          <w:ilvl w:val="0"/>
          <w:numId w:val="37"/>
        </w:numPr>
        <w:spacing w:after="0"/>
        <w:jc w:val="both"/>
        <w:rPr>
          <w:rFonts w:ascii="Arial" w:hAnsi="Arial" w:cs="Arial"/>
          <w:szCs w:val="20"/>
        </w:rPr>
      </w:pPr>
      <w:r>
        <w:rPr>
          <w:rFonts w:ascii="Arial" w:hAnsi="Arial" w:cs="Arial"/>
          <w:szCs w:val="20"/>
        </w:rPr>
        <w:t>eftpos submits that</w:t>
      </w:r>
      <w:r w:rsidR="0048667F">
        <w:rPr>
          <w:rFonts w:ascii="Arial" w:hAnsi="Arial" w:cs="Arial"/>
          <w:szCs w:val="20"/>
        </w:rPr>
        <w:t xml:space="preserve"> </w:t>
      </w:r>
      <w:r w:rsidR="0048667F" w:rsidRPr="0048667F">
        <w:rPr>
          <w:rFonts w:ascii="Arial" w:hAnsi="Arial" w:cs="Arial"/>
          <w:szCs w:val="20"/>
        </w:rPr>
        <w:t xml:space="preserve">LCR policy should </w:t>
      </w:r>
      <w:r w:rsidR="0048667F">
        <w:rPr>
          <w:rFonts w:ascii="Arial" w:hAnsi="Arial" w:cs="Arial"/>
          <w:szCs w:val="20"/>
        </w:rPr>
        <w:t xml:space="preserve">be supported by </w:t>
      </w:r>
      <w:r w:rsidR="0048667F" w:rsidRPr="00FD3DA2">
        <w:rPr>
          <w:rFonts w:ascii="Arial" w:hAnsi="Arial" w:cs="Arial"/>
          <w:szCs w:val="20"/>
          <w:u w:val="single"/>
        </w:rPr>
        <w:t>explicit regulation</w:t>
      </w:r>
      <w:r w:rsidR="0048667F">
        <w:rPr>
          <w:rFonts w:ascii="Arial" w:hAnsi="Arial" w:cs="Arial"/>
          <w:szCs w:val="20"/>
        </w:rPr>
        <w:t xml:space="preserve"> that:</w:t>
      </w:r>
    </w:p>
    <w:p w14:paraId="6C698C73" w14:textId="10C7C6F5" w:rsidR="0048667F" w:rsidRDefault="008132FF" w:rsidP="00645486">
      <w:pPr>
        <w:pStyle w:val="ListParagraph"/>
        <w:numPr>
          <w:ilvl w:val="0"/>
          <w:numId w:val="38"/>
        </w:numPr>
        <w:spacing w:after="0"/>
        <w:jc w:val="both"/>
        <w:rPr>
          <w:rFonts w:ascii="Arial" w:hAnsi="Arial" w:cs="Arial"/>
          <w:szCs w:val="20"/>
        </w:rPr>
      </w:pPr>
      <w:r>
        <w:rPr>
          <w:rFonts w:ascii="Arial" w:hAnsi="Arial" w:cs="Arial"/>
          <w:szCs w:val="20"/>
        </w:rPr>
        <w:t xml:space="preserve">applies to </w:t>
      </w:r>
      <w:r w:rsidR="0048667F">
        <w:rPr>
          <w:rFonts w:ascii="Arial" w:hAnsi="Arial" w:cs="Arial"/>
          <w:szCs w:val="20"/>
        </w:rPr>
        <w:t xml:space="preserve">acquirers and payment facilitators </w:t>
      </w:r>
      <w:r w:rsidR="00653079">
        <w:rPr>
          <w:rFonts w:ascii="Arial" w:hAnsi="Arial" w:cs="Arial"/>
          <w:szCs w:val="20"/>
        </w:rPr>
        <w:t>(explicitly inclusive of gateways)</w:t>
      </w:r>
      <w:r w:rsidR="00206851">
        <w:rPr>
          <w:rFonts w:ascii="Arial" w:hAnsi="Arial" w:cs="Arial"/>
          <w:szCs w:val="20"/>
        </w:rPr>
        <w:t xml:space="preserve"> </w:t>
      </w:r>
      <w:r w:rsidR="009A5A6F">
        <w:rPr>
          <w:rFonts w:ascii="Arial" w:hAnsi="Arial" w:cs="Arial"/>
          <w:szCs w:val="20"/>
        </w:rPr>
        <w:t xml:space="preserve">– this is </w:t>
      </w:r>
      <w:r w:rsidR="0048667F">
        <w:rPr>
          <w:rFonts w:ascii="Arial" w:hAnsi="Arial" w:cs="Arial"/>
          <w:szCs w:val="20"/>
        </w:rPr>
        <w:t xml:space="preserve">to overcome the arguments of some </w:t>
      </w:r>
      <w:r w:rsidR="00206851">
        <w:rPr>
          <w:rFonts w:ascii="Arial" w:hAnsi="Arial" w:cs="Arial"/>
          <w:szCs w:val="20"/>
        </w:rPr>
        <w:t xml:space="preserve">acquirers that they cannot offer LCR </w:t>
      </w:r>
      <w:r w:rsidR="009A5A6F">
        <w:rPr>
          <w:rFonts w:ascii="Arial" w:hAnsi="Arial" w:cs="Arial"/>
          <w:szCs w:val="20"/>
        </w:rPr>
        <w:t xml:space="preserve">in the Device Not Present environment </w:t>
      </w:r>
      <w:r w:rsidR="00206851">
        <w:rPr>
          <w:rFonts w:ascii="Arial" w:hAnsi="Arial" w:cs="Arial"/>
          <w:szCs w:val="20"/>
        </w:rPr>
        <w:t>because a gateway will not enable it.  The argument then made by the gateway (particularly those</w:t>
      </w:r>
      <w:r w:rsidR="0048667F">
        <w:rPr>
          <w:rFonts w:ascii="Arial" w:hAnsi="Arial" w:cs="Arial"/>
          <w:szCs w:val="20"/>
        </w:rPr>
        <w:t xml:space="preserve"> affiliated or owned by ICS</w:t>
      </w:r>
      <w:r w:rsidR="00206851">
        <w:rPr>
          <w:rFonts w:ascii="Arial" w:hAnsi="Arial" w:cs="Arial"/>
          <w:szCs w:val="20"/>
        </w:rPr>
        <w:t>) is</w:t>
      </w:r>
      <w:r w:rsidR="0048667F">
        <w:rPr>
          <w:rFonts w:ascii="Arial" w:hAnsi="Arial" w:cs="Arial"/>
          <w:szCs w:val="20"/>
        </w:rPr>
        <w:t xml:space="preserve"> that unless there is net new volume for the gateway (which will never be the case for LCR for online given the current market </w:t>
      </w:r>
      <w:r w:rsidR="0095082B">
        <w:rPr>
          <w:rFonts w:ascii="Arial" w:hAnsi="Arial" w:cs="Arial"/>
          <w:szCs w:val="20"/>
        </w:rPr>
        <w:t>share of the ICS</w:t>
      </w:r>
      <w:r w:rsidR="0048667F">
        <w:rPr>
          <w:rFonts w:ascii="Arial" w:hAnsi="Arial" w:cs="Arial"/>
          <w:szCs w:val="20"/>
        </w:rPr>
        <w:t xml:space="preserve"> in online) then they will not enable LCR for any acquirer or merchant</w:t>
      </w:r>
      <w:r w:rsidR="00680827">
        <w:rPr>
          <w:rFonts w:ascii="Arial" w:hAnsi="Arial" w:cs="Arial"/>
          <w:szCs w:val="20"/>
        </w:rPr>
        <w:t xml:space="preserve">.  </w:t>
      </w:r>
      <w:r w:rsidR="00206851">
        <w:rPr>
          <w:rFonts w:ascii="Arial" w:hAnsi="Arial" w:cs="Arial"/>
          <w:szCs w:val="20"/>
        </w:rPr>
        <w:t xml:space="preserve">By such exclusionary conduct </w:t>
      </w:r>
      <w:r w:rsidR="00680827">
        <w:rPr>
          <w:rFonts w:ascii="Arial" w:hAnsi="Arial" w:cs="Arial"/>
          <w:szCs w:val="20"/>
        </w:rPr>
        <w:t xml:space="preserve">the gateway can prevent access by a competitor to a channel or customers </w:t>
      </w:r>
      <w:r w:rsidR="00653079">
        <w:rPr>
          <w:rFonts w:ascii="Arial" w:hAnsi="Arial" w:cs="Arial"/>
          <w:szCs w:val="20"/>
        </w:rPr>
        <w:t>whether individually or in concert with an affiliated designated payment system</w:t>
      </w:r>
      <w:r w:rsidR="00A01C6C">
        <w:rPr>
          <w:rFonts w:ascii="Arial" w:hAnsi="Arial" w:cs="Arial"/>
          <w:szCs w:val="20"/>
        </w:rPr>
        <w:t>.  eftpos notes that the principles in Box B do not address this conduct</w:t>
      </w:r>
      <w:r w:rsidR="0048667F">
        <w:rPr>
          <w:rFonts w:ascii="Arial" w:hAnsi="Arial" w:cs="Arial"/>
          <w:szCs w:val="20"/>
        </w:rPr>
        <w:t>;</w:t>
      </w:r>
    </w:p>
    <w:p w14:paraId="33E3EF79" w14:textId="0CB04126" w:rsidR="0048667F" w:rsidRDefault="00867C2E" w:rsidP="00645486">
      <w:pPr>
        <w:pStyle w:val="ListParagraph"/>
        <w:numPr>
          <w:ilvl w:val="0"/>
          <w:numId w:val="38"/>
        </w:numPr>
        <w:spacing w:after="0"/>
        <w:jc w:val="both"/>
        <w:rPr>
          <w:rFonts w:ascii="Arial" w:hAnsi="Arial" w:cs="Arial"/>
          <w:szCs w:val="20"/>
        </w:rPr>
      </w:pPr>
      <w:r>
        <w:rPr>
          <w:rFonts w:ascii="Arial" w:hAnsi="Arial" w:cs="Arial"/>
          <w:szCs w:val="20"/>
        </w:rPr>
        <w:lastRenderedPageBreak/>
        <w:t xml:space="preserve">applies </w:t>
      </w:r>
      <w:r w:rsidR="00B33EE0">
        <w:rPr>
          <w:rFonts w:ascii="Arial" w:hAnsi="Arial" w:cs="Arial"/>
          <w:szCs w:val="20"/>
        </w:rPr>
        <w:t xml:space="preserve">both </w:t>
      </w:r>
      <w:r>
        <w:rPr>
          <w:rFonts w:ascii="Arial" w:hAnsi="Arial" w:cs="Arial"/>
          <w:szCs w:val="20"/>
        </w:rPr>
        <w:t xml:space="preserve">to the </w:t>
      </w:r>
      <w:r w:rsidR="0048667F">
        <w:rPr>
          <w:rFonts w:ascii="Arial" w:hAnsi="Arial" w:cs="Arial"/>
          <w:szCs w:val="20"/>
        </w:rPr>
        <w:t xml:space="preserve">Device Present and Device Not Present environment to the same extent </w:t>
      </w:r>
      <w:r>
        <w:rPr>
          <w:rFonts w:ascii="Arial" w:hAnsi="Arial" w:cs="Arial"/>
          <w:szCs w:val="20"/>
        </w:rPr>
        <w:t>- specifically</w:t>
      </w:r>
      <w:r w:rsidR="0048667F">
        <w:rPr>
          <w:rFonts w:ascii="Arial" w:hAnsi="Arial" w:cs="Arial"/>
          <w:szCs w:val="20"/>
        </w:rPr>
        <w:t xml:space="preserve"> the standard should refer to </w:t>
      </w:r>
      <w:r w:rsidR="0048667F" w:rsidRPr="0048667F">
        <w:rPr>
          <w:rFonts w:ascii="Arial" w:hAnsi="Arial" w:cs="Arial"/>
          <w:szCs w:val="20"/>
        </w:rPr>
        <w:t>“offer, support and promote” LCR rather than have an alternative to just “support”</w:t>
      </w:r>
      <w:r w:rsidR="00B33EE0">
        <w:rPr>
          <w:rFonts w:ascii="Arial" w:hAnsi="Arial" w:cs="Arial"/>
          <w:szCs w:val="20"/>
        </w:rPr>
        <w:t xml:space="preserve"> for online</w:t>
      </w:r>
      <w:r w:rsidR="0048667F" w:rsidRPr="0048667F">
        <w:rPr>
          <w:rFonts w:ascii="Arial" w:hAnsi="Arial" w:cs="Arial"/>
          <w:szCs w:val="20"/>
        </w:rPr>
        <w:t xml:space="preserve">.  The reason we say this is because, experience has shown, that participants will technically enable but not activate or will support </w:t>
      </w:r>
      <w:proofErr w:type="spellStart"/>
      <w:r w:rsidR="0048667F" w:rsidRPr="0048667F">
        <w:rPr>
          <w:rFonts w:ascii="Arial" w:hAnsi="Arial" w:cs="Arial"/>
          <w:szCs w:val="20"/>
        </w:rPr>
        <w:t>ie</w:t>
      </w:r>
      <w:proofErr w:type="spellEnd"/>
      <w:r w:rsidR="0048667F" w:rsidRPr="0048667F">
        <w:rPr>
          <w:rFonts w:ascii="Arial" w:hAnsi="Arial" w:cs="Arial"/>
          <w:szCs w:val="20"/>
        </w:rPr>
        <w:t xml:space="preserve"> make LCR available, but not actually offer or promote LCR</w:t>
      </w:r>
      <w:r w:rsidR="002F3C7D">
        <w:rPr>
          <w:rFonts w:ascii="Arial" w:hAnsi="Arial" w:cs="Arial"/>
          <w:szCs w:val="20"/>
        </w:rPr>
        <w:t xml:space="preserve"> or will make available but not explain the benefits to merchants or </w:t>
      </w:r>
      <w:r w:rsidR="00FF4FC4">
        <w:rPr>
          <w:rFonts w:ascii="Arial" w:hAnsi="Arial" w:cs="Arial"/>
          <w:szCs w:val="20"/>
        </w:rPr>
        <w:t xml:space="preserve">not </w:t>
      </w:r>
      <w:r w:rsidR="002F3C7D">
        <w:rPr>
          <w:rFonts w:ascii="Arial" w:hAnsi="Arial" w:cs="Arial"/>
          <w:szCs w:val="20"/>
        </w:rPr>
        <w:t>provide transparency about the costs of different payment methods, particularly if they blend or bundle pricing</w:t>
      </w:r>
      <w:r w:rsidR="00B33EE0">
        <w:rPr>
          <w:rFonts w:ascii="Arial" w:hAnsi="Arial" w:cs="Arial"/>
          <w:szCs w:val="20"/>
        </w:rPr>
        <w:t>.  Specifically</w:t>
      </w:r>
      <w:r w:rsidR="000C6BD7">
        <w:rPr>
          <w:rFonts w:ascii="Arial" w:hAnsi="Arial" w:cs="Arial"/>
          <w:szCs w:val="20"/>
        </w:rPr>
        <w:t xml:space="preserve">, the growth in online transactions </w:t>
      </w:r>
      <w:r w:rsidR="008A7C0D">
        <w:rPr>
          <w:rFonts w:ascii="Arial" w:hAnsi="Arial" w:cs="Arial"/>
          <w:szCs w:val="20"/>
        </w:rPr>
        <w:t xml:space="preserve">has accelerated </w:t>
      </w:r>
      <w:r w:rsidR="000C6BD7">
        <w:rPr>
          <w:rFonts w:ascii="Arial" w:hAnsi="Arial" w:cs="Arial"/>
          <w:szCs w:val="20"/>
        </w:rPr>
        <w:t>since COVID</w:t>
      </w:r>
      <w:r w:rsidR="008A7C0D">
        <w:rPr>
          <w:rFonts w:ascii="Arial" w:hAnsi="Arial" w:cs="Arial"/>
          <w:szCs w:val="20"/>
        </w:rPr>
        <w:t>,</w:t>
      </w:r>
      <w:r w:rsidR="000C6BD7">
        <w:rPr>
          <w:rFonts w:ascii="Arial" w:hAnsi="Arial" w:cs="Arial"/>
          <w:szCs w:val="20"/>
        </w:rPr>
        <w:t xml:space="preserve"> </w:t>
      </w:r>
      <w:r w:rsidR="00F61CF7">
        <w:rPr>
          <w:rFonts w:ascii="Arial" w:hAnsi="Arial" w:cs="Arial"/>
          <w:szCs w:val="20"/>
        </w:rPr>
        <w:t xml:space="preserve">which means that for merchants, this is an urgent issue right now and should addressed through regulation requiring opt out </w:t>
      </w:r>
      <w:r w:rsidR="002450D5">
        <w:rPr>
          <w:rFonts w:ascii="Arial" w:hAnsi="Arial" w:cs="Arial"/>
          <w:szCs w:val="20"/>
        </w:rPr>
        <w:t xml:space="preserve">provision of LCR now rather than wait to see if, despite </w:t>
      </w:r>
      <w:r w:rsidR="004D058B">
        <w:rPr>
          <w:rFonts w:ascii="Arial" w:hAnsi="Arial" w:cs="Arial"/>
          <w:szCs w:val="20"/>
        </w:rPr>
        <w:t>un</w:t>
      </w:r>
      <w:r w:rsidR="00081854">
        <w:rPr>
          <w:rFonts w:ascii="Arial" w:hAnsi="Arial" w:cs="Arial"/>
          <w:szCs w:val="20"/>
        </w:rPr>
        <w:t>addressed</w:t>
      </w:r>
      <w:r w:rsidR="004D058B">
        <w:rPr>
          <w:rFonts w:ascii="Arial" w:hAnsi="Arial" w:cs="Arial"/>
          <w:szCs w:val="20"/>
        </w:rPr>
        <w:t xml:space="preserve"> </w:t>
      </w:r>
      <w:r w:rsidR="002450D5">
        <w:rPr>
          <w:rFonts w:ascii="Arial" w:hAnsi="Arial" w:cs="Arial"/>
          <w:szCs w:val="20"/>
        </w:rPr>
        <w:t>hurdles to a level playing field, competition increases in online</w:t>
      </w:r>
      <w:r w:rsidR="0048667F">
        <w:rPr>
          <w:rFonts w:ascii="Arial" w:hAnsi="Arial" w:cs="Arial"/>
          <w:szCs w:val="20"/>
        </w:rPr>
        <w:t>;</w:t>
      </w:r>
    </w:p>
    <w:p w14:paraId="271F65D7" w14:textId="36E56C33" w:rsidR="0048667F" w:rsidRDefault="00213838" w:rsidP="00645486">
      <w:pPr>
        <w:pStyle w:val="ListParagraph"/>
        <w:numPr>
          <w:ilvl w:val="0"/>
          <w:numId w:val="38"/>
        </w:numPr>
        <w:spacing w:after="0"/>
        <w:jc w:val="both"/>
        <w:rPr>
          <w:rFonts w:ascii="Arial" w:hAnsi="Arial" w:cs="Arial"/>
          <w:szCs w:val="20"/>
        </w:rPr>
      </w:pPr>
      <w:r>
        <w:rPr>
          <w:rFonts w:ascii="Arial" w:hAnsi="Arial" w:cs="Arial"/>
          <w:szCs w:val="20"/>
        </w:rPr>
        <w:t xml:space="preserve">in </w:t>
      </w:r>
      <w:r w:rsidR="00E94F69" w:rsidRPr="0048667F">
        <w:rPr>
          <w:rFonts w:ascii="Arial" w:hAnsi="Arial" w:cs="Arial"/>
          <w:szCs w:val="20"/>
        </w:rPr>
        <w:t>the Device Present environment</w:t>
      </w:r>
      <w:r>
        <w:rPr>
          <w:rFonts w:ascii="Arial" w:hAnsi="Arial" w:cs="Arial"/>
          <w:szCs w:val="20"/>
        </w:rPr>
        <w:t xml:space="preserve"> is</w:t>
      </w:r>
      <w:r w:rsidR="00E94F69" w:rsidRPr="0048667F">
        <w:rPr>
          <w:rFonts w:ascii="Arial" w:hAnsi="Arial" w:cs="Arial"/>
          <w:szCs w:val="20"/>
        </w:rPr>
        <w:t xml:space="preserve"> inclusive of mobile wallets, per the Bank’s comments on DNDC.  </w:t>
      </w:r>
      <w:r w:rsidR="0048667F" w:rsidRPr="0048667F">
        <w:rPr>
          <w:rFonts w:ascii="Arial" w:hAnsi="Arial" w:cs="Arial"/>
          <w:szCs w:val="20"/>
        </w:rPr>
        <w:t>By this we mean that not only should two tokens be required to be provisioned to a mobile wallet from a DNDC but both tokens should be presented to the merchant for payment so that LCR can apply for mobile device form factors.  This would stop the current point of leakage for LCR that merchants face, which will only grow as mobile payments become more prevalent</w:t>
      </w:r>
      <w:r w:rsidR="0048667F">
        <w:rPr>
          <w:rFonts w:ascii="Arial" w:hAnsi="Arial" w:cs="Arial"/>
          <w:szCs w:val="20"/>
        </w:rPr>
        <w:t>;</w:t>
      </w:r>
    </w:p>
    <w:p w14:paraId="529E2E51" w14:textId="7F5E5D02" w:rsidR="004D448C" w:rsidRPr="0048667F" w:rsidRDefault="0048667F" w:rsidP="00645486">
      <w:pPr>
        <w:pStyle w:val="ListParagraph"/>
        <w:numPr>
          <w:ilvl w:val="0"/>
          <w:numId w:val="38"/>
        </w:numPr>
        <w:spacing w:after="0"/>
        <w:jc w:val="both"/>
        <w:rPr>
          <w:rFonts w:ascii="Arial" w:hAnsi="Arial" w:cs="Arial"/>
          <w:szCs w:val="20"/>
        </w:rPr>
      </w:pPr>
      <w:r>
        <w:rPr>
          <w:rFonts w:ascii="Arial" w:hAnsi="Arial" w:cs="Arial"/>
          <w:szCs w:val="20"/>
        </w:rPr>
        <w:t>prohibit</w:t>
      </w:r>
      <w:r w:rsidR="005964DB">
        <w:rPr>
          <w:rFonts w:ascii="Arial" w:hAnsi="Arial" w:cs="Arial"/>
          <w:szCs w:val="20"/>
        </w:rPr>
        <w:t>s</w:t>
      </w:r>
      <w:r>
        <w:rPr>
          <w:rFonts w:ascii="Arial" w:hAnsi="Arial" w:cs="Arial"/>
          <w:szCs w:val="20"/>
        </w:rPr>
        <w:t xml:space="preserve"> conduct, based on an expanded set of principles such as those in Box B in the Consultation Paper, that seeks to prevent or delay the entry of a competitor to a channel or from scaling</w:t>
      </w:r>
      <w:r w:rsidRPr="0048667F">
        <w:rPr>
          <w:rFonts w:ascii="Arial" w:hAnsi="Arial" w:cs="Arial"/>
          <w:szCs w:val="20"/>
        </w:rPr>
        <w:t>.</w:t>
      </w:r>
      <w:r w:rsidR="00684014">
        <w:rPr>
          <w:rFonts w:ascii="Arial" w:hAnsi="Arial" w:cs="Arial"/>
          <w:szCs w:val="20"/>
        </w:rPr>
        <w:t xml:space="preserve">  We are aware that some industry participants are seeking to assign development of those principles to AusPayNet</w:t>
      </w:r>
      <w:r w:rsidR="00292673">
        <w:rPr>
          <w:rFonts w:ascii="Arial" w:hAnsi="Arial" w:cs="Arial"/>
          <w:szCs w:val="20"/>
        </w:rPr>
        <w:t xml:space="preserve">.  In eftpos’ view, the Bank should state the regulatory policy in clear </w:t>
      </w:r>
      <w:r w:rsidR="00180A42">
        <w:rPr>
          <w:rFonts w:ascii="Arial" w:hAnsi="Arial" w:cs="Arial"/>
          <w:szCs w:val="20"/>
        </w:rPr>
        <w:t xml:space="preserve">regulation which is issued now rather than leave resolution of this issue to industry participants who are unmotivated to enable LCR and have vastly disparate </w:t>
      </w:r>
      <w:r w:rsidR="0081526A">
        <w:rPr>
          <w:rFonts w:ascii="Arial" w:hAnsi="Arial" w:cs="Arial"/>
          <w:szCs w:val="20"/>
        </w:rPr>
        <w:t>commercial interests in the outcome, very few of which are aligned to the merchant vie</w:t>
      </w:r>
      <w:r w:rsidR="00D83E09">
        <w:rPr>
          <w:rFonts w:ascii="Arial" w:hAnsi="Arial" w:cs="Arial"/>
          <w:szCs w:val="20"/>
        </w:rPr>
        <w:t>w.</w:t>
      </w:r>
    </w:p>
    <w:p w14:paraId="67460129" w14:textId="77777777" w:rsidR="0048667F" w:rsidRPr="0048667F" w:rsidRDefault="0048667F" w:rsidP="00645486">
      <w:pPr>
        <w:pStyle w:val="ListParagraph"/>
        <w:jc w:val="both"/>
        <w:rPr>
          <w:rFonts w:ascii="Arial" w:hAnsi="Arial" w:cs="Arial"/>
          <w:szCs w:val="20"/>
        </w:rPr>
      </w:pPr>
    </w:p>
    <w:p w14:paraId="20B12B29" w14:textId="52EFA572" w:rsidR="00212FA9" w:rsidRDefault="00212FA9" w:rsidP="00645486">
      <w:pPr>
        <w:pStyle w:val="ListParagraph"/>
        <w:numPr>
          <w:ilvl w:val="0"/>
          <w:numId w:val="37"/>
        </w:numPr>
        <w:spacing w:after="0"/>
        <w:ind w:left="1440" w:hanging="1080"/>
        <w:rPr>
          <w:rFonts w:ascii="Arial" w:hAnsi="Arial" w:cs="Arial"/>
          <w:szCs w:val="20"/>
        </w:rPr>
      </w:pPr>
      <w:r>
        <w:rPr>
          <w:rFonts w:ascii="Arial" w:hAnsi="Arial" w:cs="Arial"/>
          <w:szCs w:val="20"/>
        </w:rPr>
        <w:t>eftpos is supportive of a requirement for designated payment systems to provide to the Bank a copy of their rules and any changes to them.</w:t>
      </w:r>
      <w:r>
        <w:rPr>
          <w:rFonts w:ascii="Arial" w:hAnsi="Arial" w:cs="Arial"/>
          <w:szCs w:val="20"/>
        </w:rPr>
        <w:br/>
      </w:r>
    </w:p>
    <w:p w14:paraId="3EE7145C" w14:textId="3D260B2C" w:rsidR="00BB1B9E" w:rsidRDefault="001973FB" w:rsidP="00645486">
      <w:pPr>
        <w:pStyle w:val="ListParagraph"/>
        <w:numPr>
          <w:ilvl w:val="0"/>
          <w:numId w:val="37"/>
        </w:numPr>
        <w:spacing w:after="0"/>
        <w:ind w:left="1440" w:hanging="1080"/>
        <w:jc w:val="both"/>
        <w:rPr>
          <w:rFonts w:ascii="Arial" w:hAnsi="Arial" w:cs="Arial"/>
          <w:szCs w:val="20"/>
        </w:rPr>
      </w:pPr>
      <w:r>
        <w:rPr>
          <w:rFonts w:ascii="Arial" w:hAnsi="Arial" w:cs="Arial"/>
          <w:szCs w:val="20"/>
        </w:rPr>
        <w:t>On the principles in Box C</w:t>
      </w:r>
      <w:r w:rsidR="00711987">
        <w:rPr>
          <w:rFonts w:ascii="Arial" w:hAnsi="Arial" w:cs="Arial"/>
          <w:szCs w:val="20"/>
        </w:rPr>
        <w:t xml:space="preserve"> in the Consultation Paper</w:t>
      </w:r>
      <w:r w:rsidR="00DB74B6">
        <w:rPr>
          <w:rFonts w:ascii="Arial" w:hAnsi="Arial" w:cs="Arial"/>
          <w:szCs w:val="20"/>
        </w:rPr>
        <w:t xml:space="preserve">, proposed to be applicable to LCR in the </w:t>
      </w:r>
      <w:r w:rsidR="000B3102">
        <w:rPr>
          <w:rFonts w:ascii="Arial" w:hAnsi="Arial" w:cs="Arial"/>
          <w:szCs w:val="20"/>
        </w:rPr>
        <w:t>Device Not Present</w:t>
      </w:r>
      <w:r w:rsidR="00DB74B6">
        <w:rPr>
          <w:rFonts w:ascii="Arial" w:hAnsi="Arial" w:cs="Arial"/>
          <w:szCs w:val="20"/>
        </w:rPr>
        <w:t xml:space="preserve"> environment</w:t>
      </w:r>
      <w:r>
        <w:rPr>
          <w:rFonts w:ascii="Arial" w:hAnsi="Arial" w:cs="Arial"/>
          <w:szCs w:val="20"/>
        </w:rPr>
        <w:t>, eftpos is supportive of the intent and submits that those principles should be specified in regulation</w:t>
      </w:r>
      <w:r w:rsidR="00C912A0">
        <w:rPr>
          <w:rFonts w:ascii="Arial" w:hAnsi="Arial" w:cs="Arial"/>
          <w:szCs w:val="20"/>
        </w:rPr>
        <w:t xml:space="preserve"> now and not passed off to AusPayNet to develop further.  Specifically,</w:t>
      </w:r>
      <w:r w:rsidR="00BB1B9E">
        <w:rPr>
          <w:rFonts w:ascii="Arial" w:hAnsi="Arial" w:cs="Arial"/>
          <w:szCs w:val="20"/>
        </w:rPr>
        <w:t>:</w:t>
      </w:r>
    </w:p>
    <w:p w14:paraId="7E9F0548" w14:textId="77777777" w:rsidR="008A192D" w:rsidRDefault="001973FB" w:rsidP="00645486">
      <w:pPr>
        <w:pStyle w:val="ListParagraph"/>
        <w:numPr>
          <w:ilvl w:val="0"/>
          <w:numId w:val="40"/>
        </w:numPr>
        <w:spacing w:after="0"/>
        <w:jc w:val="both"/>
        <w:rPr>
          <w:rFonts w:ascii="Arial" w:hAnsi="Arial" w:cs="Arial"/>
          <w:szCs w:val="20"/>
        </w:rPr>
      </w:pPr>
      <w:r w:rsidRPr="00BB1B9E">
        <w:rPr>
          <w:rFonts w:ascii="Arial" w:hAnsi="Arial" w:cs="Arial"/>
          <w:szCs w:val="20"/>
        </w:rPr>
        <w:t>Principle 3 should be extended to include</w:t>
      </w:r>
      <w:r w:rsidR="008A192D">
        <w:rPr>
          <w:rFonts w:ascii="Arial" w:hAnsi="Arial" w:cs="Arial"/>
          <w:szCs w:val="20"/>
        </w:rPr>
        <w:t>:</w:t>
      </w:r>
    </w:p>
    <w:p w14:paraId="4E272855" w14:textId="77777777" w:rsidR="008A192D" w:rsidRDefault="001973FB" w:rsidP="00645486">
      <w:pPr>
        <w:pStyle w:val="ListParagraph"/>
        <w:numPr>
          <w:ilvl w:val="1"/>
          <w:numId w:val="40"/>
        </w:numPr>
        <w:spacing w:after="0"/>
        <w:jc w:val="both"/>
        <w:rPr>
          <w:rFonts w:ascii="Arial" w:hAnsi="Arial" w:cs="Arial"/>
          <w:szCs w:val="20"/>
        </w:rPr>
      </w:pPr>
      <w:r w:rsidRPr="00BB1B9E">
        <w:rPr>
          <w:rFonts w:ascii="Arial" w:hAnsi="Arial" w:cs="Arial"/>
          <w:szCs w:val="20"/>
        </w:rPr>
        <w:t xml:space="preserve">a prohibition on a scheme from requiring an image of the front of a card </w:t>
      </w:r>
      <w:r w:rsidR="00274241" w:rsidRPr="00BB1B9E">
        <w:rPr>
          <w:rFonts w:ascii="Arial" w:hAnsi="Arial" w:cs="Arial"/>
          <w:szCs w:val="20"/>
        </w:rPr>
        <w:t xml:space="preserve">(whether physical card, by the name of card or image of a digital representation of a card) </w:t>
      </w:r>
      <w:r w:rsidR="008A192D">
        <w:rPr>
          <w:rFonts w:ascii="Arial" w:hAnsi="Arial" w:cs="Arial"/>
          <w:szCs w:val="20"/>
        </w:rPr>
        <w:t xml:space="preserve">or the name of the card </w:t>
      </w:r>
      <w:r w:rsidRPr="00BB1B9E">
        <w:rPr>
          <w:rFonts w:ascii="Arial" w:hAnsi="Arial" w:cs="Arial"/>
          <w:szCs w:val="20"/>
        </w:rPr>
        <w:t>as the means by which merchants inform consumers what payment methods are accepted given ICS do not permit an eftpos logo from appearing on the front of a card</w:t>
      </w:r>
      <w:r w:rsidR="00274241" w:rsidRPr="00BB1B9E">
        <w:rPr>
          <w:rFonts w:ascii="Arial" w:hAnsi="Arial" w:cs="Arial"/>
          <w:szCs w:val="20"/>
        </w:rPr>
        <w:t>, some mobile wallets also only show an image of the front of a card and ICS have agreements with some banks whereby the name of the card or account bears the ICS name</w:t>
      </w:r>
      <w:r w:rsidR="008A192D">
        <w:rPr>
          <w:rFonts w:ascii="Arial" w:hAnsi="Arial" w:cs="Arial"/>
          <w:szCs w:val="20"/>
        </w:rPr>
        <w:t>; and</w:t>
      </w:r>
    </w:p>
    <w:p w14:paraId="71BB487D" w14:textId="3590842D" w:rsidR="00BB1B9E" w:rsidRDefault="008A192D" w:rsidP="00645486">
      <w:pPr>
        <w:pStyle w:val="ListParagraph"/>
        <w:numPr>
          <w:ilvl w:val="1"/>
          <w:numId w:val="40"/>
        </w:numPr>
        <w:spacing w:after="0"/>
        <w:jc w:val="both"/>
        <w:rPr>
          <w:rFonts w:ascii="Arial" w:hAnsi="Arial" w:cs="Arial"/>
          <w:szCs w:val="20"/>
        </w:rPr>
      </w:pPr>
      <w:r>
        <w:rPr>
          <w:rFonts w:ascii="Arial" w:hAnsi="Arial" w:cs="Arial"/>
          <w:szCs w:val="20"/>
        </w:rPr>
        <w:t xml:space="preserve">an obligation of issuers to inform cardholders of the networks available on the card or form factor.  This is because for the process in Box C </w:t>
      </w:r>
      <w:r w:rsidR="00133CCE">
        <w:rPr>
          <w:rFonts w:ascii="Arial" w:hAnsi="Arial" w:cs="Arial"/>
          <w:szCs w:val="20"/>
        </w:rPr>
        <w:t xml:space="preserve">of the Consultation Paper </w:t>
      </w:r>
      <w:r>
        <w:rPr>
          <w:rFonts w:ascii="Arial" w:hAnsi="Arial" w:cs="Arial"/>
          <w:szCs w:val="20"/>
        </w:rPr>
        <w:t xml:space="preserve">to work, the consumer needs to know what networks they can select for the cards they have and </w:t>
      </w:r>
      <w:r w:rsidR="00553620">
        <w:rPr>
          <w:rFonts w:ascii="Arial" w:hAnsi="Arial" w:cs="Arial"/>
          <w:szCs w:val="20"/>
        </w:rPr>
        <w:t>few</w:t>
      </w:r>
      <w:r>
        <w:rPr>
          <w:rFonts w:ascii="Arial" w:hAnsi="Arial" w:cs="Arial"/>
          <w:szCs w:val="20"/>
        </w:rPr>
        <w:t xml:space="preserve"> issuers refer to eftpos at all in any of their card literature.  If a consumer looks at the front of their card to select a payment system, they will only see the ICS and if they refer to their bank’s card literature they will not see reference to eftpos and therefore will be highly unlikely to ever select eftpos</w:t>
      </w:r>
      <w:r w:rsidR="00BB1B9E">
        <w:rPr>
          <w:rFonts w:ascii="Arial" w:hAnsi="Arial" w:cs="Arial"/>
          <w:szCs w:val="20"/>
        </w:rPr>
        <w:t>; and</w:t>
      </w:r>
    </w:p>
    <w:p w14:paraId="67A9F601" w14:textId="63F0B238" w:rsidR="00396D10" w:rsidRDefault="00BB1B9E" w:rsidP="00C94A22">
      <w:pPr>
        <w:pStyle w:val="ListParagraph"/>
        <w:numPr>
          <w:ilvl w:val="0"/>
          <w:numId w:val="40"/>
        </w:numPr>
        <w:spacing w:after="120"/>
        <w:jc w:val="both"/>
        <w:rPr>
          <w:rFonts w:ascii="Arial" w:hAnsi="Arial" w:cs="Arial"/>
          <w:szCs w:val="20"/>
        </w:rPr>
      </w:pPr>
      <w:r w:rsidRPr="001D218F">
        <w:rPr>
          <w:rFonts w:ascii="Arial" w:hAnsi="Arial" w:cs="Arial"/>
          <w:szCs w:val="20"/>
        </w:rPr>
        <w:t>Principle 4 should be extended to fees</w:t>
      </w:r>
      <w:r w:rsidR="00A22852" w:rsidRPr="001D218F">
        <w:rPr>
          <w:rFonts w:ascii="Arial" w:hAnsi="Arial" w:cs="Arial"/>
          <w:szCs w:val="20"/>
        </w:rPr>
        <w:t xml:space="preserve"> and also prohibit marketing incentives being used to alter the statement of available schemes or prohibit reference to competing schemes in issuer terms and conditions</w:t>
      </w:r>
      <w:r w:rsidR="001973FB" w:rsidRPr="001D218F">
        <w:rPr>
          <w:rFonts w:ascii="Arial" w:hAnsi="Arial" w:cs="Arial"/>
          <w:szCs w:val="20"/>
        </w:rPr>
        <w:t>.</w:t>
      </w:r>
    </w:p>
    <w:p w14:paraId="23F1EDBB" w14:textId="77777777" w:rsidR="001D218F" w:rsidRPr="001D218F" w:rsidRDefault="001D218F" w:rsidP="001D218F">
      <w:pPr>
        <w:pStyle w:val="ListParagraph"/>
        <w:spacing w:after="120"/>
        <w:ind w:left="1800"/>
        <w:jc w:val="both"/>
        <w:rPr>
          <w:rFonts w:ascii="Arial" w:hAnsi="Arial" w:cs="Arial"/>
          <w:szCs w:val="20"/>
        </w:rPr>
      </w:pPr>
    </w:p>
    <w:p w14:paraId="6DF243CE" w14:textId="256945F5" w:rsidR="00DD2F8C" w:rsidRPr="0009122E" w:rsidRDefault="00DD2F8C" w:rsidP="00645486">
      <w:pPr>
        <w:pStyle w:val="ListParagraph"/>
        <w:numPr>
          <w:ilvl w:val="0"/>
          <w:numId w:val="32"/>
        </w:numPr>
        <w:jc w:val="both"/>
        <w:rPr>
          <w:rFonts w:ascii="Arial" w:hAnsi="Arial" w:cs="Arial"/>
          <w:b/>
          <w:bCs/>
          <w:szCs w:val="20"/>
        </w:rPr>
      </w:pPr>
      <w:r w:rsidRPr="0009122E">
        <w:rPr>
          <w:rFonts w:ascii="Arial" w:hAnsi="Arial" w:cs="Arial"/>
          <w:b/>
          <w:bCs/>
          <w:szCs w:val="20"/>
        </w:rPr>
        <w:t>Interchange fees</w:t>
      </w:r>
    </w:p>
    <w:p w14:paraId="52AD80CC" w14:textId="74E4EC2B" w:rsidR="00B9264A" w:rsidRDefault="00B9264A" w:rsidP="00645486">
      <w:pPr>
        <w:pStyle w:val="ListParagraph"/>
        <w:numPr>
          <w:ilvl w:val="1"/>
          <w:numId w:val="32"/>
        </w:numPr>
        <w:jc w:val="both"/>
        <w:rPr>
          <w:rFonts w:ascii="Arial" w:hAnsi="Arial" w:cs="Arial"/>
          <w:szCs w:val="20"/>
        </w:rPr>
      </w:pPr>
      <w:r>
        <w:rPr>
          <w:rFonts w:ascii="Arial" w:hAnsi="Arial" w:cs="Arial"/>
          <w:szCs w:val="20"/>
        </w:rPr>
        <w:t>The Bank is considering three reform options:</w:t>
      </w:r>
    </w:p>
    <w:p w14:paraId="0D45359F" w14:textId="5E90D0CD" w:rsidR="00B9264A" w:rsidRDefault="00B9264A" w:rsidP="00645486">
      <w:pPr>
        <w:pStyle w:val="ListParagraph"/>
        <w:numPr>
          <w:ilvl w:val="2"/>
          <w:numId w:val="32"/>
        </w:numPr>
        <w:jc w:val="both"/>
        <w:rPr>
          <w:rFonts w:ascii="Arial" w:hAnsi="Arial" w:cs="Arial"/>
          <w:szCs w:val="20"/>
        </w:rPr>
      </w:pPr>
      <w:r>
        <w:rPr>
          <w:rFonts w:ascii="Arial" w:hAnsi="Arial" w:cs="Arial"/>
          <w:szCs w:val="20"/>
        </w:rPr>
        <w:t>Retain the current debit interchange caps</w:t>
      </w:r>
    </w:p>
    <w:p w14:paraId="74A721EF" w14:textId="0A6C2B1D" w:rsidR="00B9264A" w:rsidRDefault="00B9264A" w:rsidP="00645486">
      <w:pPr>
        <w:pStyle w:val="ListParagraph"/>
        <w:numPr>
          <w:ilvl w:val="2"/>
          <w:numId w:val="32"/>
        </w:numPr>
        <w:jc w:val="both"/>
        <w:rPr>
          <w:rFonts w:ascii="Arial" w:hAnsi="Arial" w:cs="Arial"/>
          <w:szCs w:val="20"/>
        </w:rPr>
      </w:pPr>
      <w:r>
        <w:rPr>
          <w:rFonts w:ascii="Arial" w:hAnsi="Arial" w:cs="Arial"/>
          <w:szCs w:val="20"/>
        </w:rPr>
        <w:lastRenderedPageBreak/>
        <w:t>Reduce the cents-based debit interchange cap</w:t>
      </w:r>
      <w:r w:rsidR="006451CE">
        <w:rPr>
          <w:rFonts w:ascii="Arial" w:hAnsi="Arial" w:cs="Arial"/>
          <w:szCs w:val="20"/>
        </w:rPr>
        <w:t xml:space="preserve"> to 10 cents for DNDC transactions (and all prepaid) and 6 cents for SNDC transactions (including prop cards) but without change in the ad valorem cap of 0.20%</w:t>
      </w:r>
    </w:p>
    <w:p w14:paraId="72BEB366" w14:textId="51B67AC7" w:rsidR="006451CE" w:rsidRDefault="006451CE" w:rsidP="00645486">
      <w:pPr>
        <w:pStyle w:val="ListParagraph"/>
        <w:numPr>
          <w:ilvl w:val="2"/>
          <w:numId w:val="32"/>
        </w:numPr>
        <w:rPr>
          <w:rFonts w:ascii="Arial" w:hAnsi="Arial" w:cs="Arial"/>
          <w:szCs w:val="20"/>
        </w:rPr>
      </w:pPr>
      <w:r>
        <w:rPr>
          <w:rFonts w:ascii="Arial" w:hAnsi="Arial" w:cs="Arial"/>
          <w:szCs w:val="20"/>
        </w:rPr>
        <w:t>Require any debit interchange fees to be set in ad valorem terms.</w:t>
      </w:r>
      <w:r>
        <w:rPr>
          <w:rFonts w:ascii="Arial" w:hAnsi="Arial" w:cs="Arial"/>
          <w:szCs w:val="20"/>
        </w:rPr>
        <w:br/>
      </w:r>
    </w:p>
    <w:p w14:paraId="18CB9AB6" w14:textId="4492F552" w:rsidR="006451CE" w:rsidRDefault="006451CE" w:rsidP="00645486">
      <w:pPr>
        <w:pStyle w:val="ListParagraph"/>
        <w:numPr>
          <w:ilvl w:val="1"/>
          <w:numId w:val="32"/>
        </w:numPr>
        <w:rPr>
          <w:rFonts w:ascii="Arial" w:hAnsi="Arial" w:cs="Arial"/>
          <w:szCs w:val="20"/>
        </w:rPr>
      </w:pPr>
      <w:r>
        <w:rPr>
          <w:rFonts w:ascii="Arial" w:hAnsi="Arial" w:cs="Arial"/>
          <w:szCs w:val="20"/>
        </w:rPr>
        <w:t xml:space="preserve">The Bank is also considering policy reform for foreign issued cards </w:t>
      </w:r>
      <w:r w:rsidR="00294F88">
        <w:rPr>
          <w:rFonts w:ascii="Arial" w:hAnsi="Arial" w:cs="Arial"/>
          <w:szCs w:val="20"/>
        </w:rPr>
        <w:t xml:space="preserve">on </w:t>
      </w:r>
      <w:r>
        <w:rPr>
          <w:rFonts w:ascii="Arial" w:hAnsi="Arial" w:cs="Arial"/>
          <w:szCs w:val="20"/>
        </w:rPr>
        <w:t>which eftpos will not express a view.</w:t>
      </w:r>
      <w:r w:rsidR="00294F88">
        <w:rPr>
          <w:rFonts w:ascii="Arial" w:hAnsi="Arial" w:cs="Arial"/>
          <w:szCs w:val="20"/>
        </w:rPr>
        <w:br/>
      </w:r>
    </w:p>
    <w:p w14:paraId="5B88C0E7" w14:textId="1CF848C8" w:rsidR="00294F88" w:rsidRDefault="00294F88" w:rsidP="00645486">
      <w:pPr>
        <w:pStyle w:val="ListParagraph"/>
        <w:numPr>
          <w:ilvl w:val="1"/>
          <w:numId w:val="32"/>
        </w:numPr>
        <w:rPr>
          <w:rFonts w:ascii="Arial" w:hAnsi="Arial" w:cs="Arial"/>
          <w:szCs w:val="20"/>
        </w:rPr>
      </w:pPr>
      <w:r>
        <w:rPr>
          <w:rFonts w:ascii="Arial" w:hAnsi="Arial" w:cs="Arial"/>
          <w:szCs w:val="20"/>
        </w:rPr>
        <w:t>The Bank currently favours option 2 for domestic issued cards as it is consistent with current frameworks and provides flexibility.</w:t>
      </w:r>
      <w:r>
        <w:rPr>
          <w:rFonts w:ascii="Arial" w:hAnsi="Arial" w:cs="Arial"/>
          <w:szCs w:val="20"/>
        </w:rPr>
        <w:br/>
      </w:r>
    </w:p>
    <w:p w14:paraId="0D2A9BD6" w14:textId="7D53F9B3" w:rsidR="006E399F" w:rsidRDefault="00347E19" w:rsidP="00645486">
      <w:pPr>
        <w:pStyle w:val="ListParagraph"/>
        <w:numPr>
          <w:ilvl w:val="1"/>
          <w:numId w:val="32"/>
        </w:numPr>
        <w:jc w:val="both"/>
        <w:rPr>
          <w:rFonts w:ascii="Arial" w:hAnsi="Arial" w:cs="Arial"/>
          <w:szCs w:val="20"/>
        </w:rPr>
      </w:pPr>
      <w:r w:rsidRPr="00A34BF3">
        <w:rPr>
          <w:rFonts w:ascii="Arial" w:hAnsi="Arial" w:cs="Arial"/>
          <w:szCs w:val="20"/>
        </w:rPr>
        <w:t>The</w:t>
      </w:r>
      <w:r>
        <w:rPr>
          <w:rFonts w:ascii="Arial" w:hAnsi="Arial" w:cs="Arial"/>
          <w:szCs w:val="20"/>
        </w:rPr>
        <w:t xml:space="preserve"> problem identified by the Bank, </w:t>
      </w:r>
      <w:proofErr w:type="spellStart"/>
      <w:r>
        <w:rPr>
          <w:rFonts w:ascii="Arial" w:hAnsi="Arial" w:cs="Arial"/>
          <w:szCs w:val="20"/>
        </w:rPr>
        <w:t>ie</w:t>
      </w:r>
      <w:proofErr w:type="spellEnd"/>
      <w:r>
        <w:rPr>
          <w:rFonts w:ascii="Arial" w:hAnsi="Arial" w:cs="Arial"/>
          <w:szCs w:val="20"/>
        </w:rPr>
        <w:t xml:space="preserve"> a large range of interchange rates and incentives being provided by higher interchange in non-routable channels</w:t>
      </w:r>
      <w:r w:rsidR="00163484">
        <w:rPr>
          <w:rFonts w:ascii="Arial" w:hAnsi="Arial" w:cs="Arial"/>
          <w:szCs w:val="20"/>
        </w:rPr>
        <w:t xml:space="preserve">, only exists in form factors and channels where there is little to no competition </w:t>
      </w:r>
      <w:proofErr w:type="spellStart"/>
      <w:r w:rsidR="00163484">
        <w:rPr>
          <w:rFonts w:ascii="Arial" w:hAnsi="Arial" w:cs="Arial"/>
          <w:szCs w:val="20"/>
        </w:rPr>
        <w:t>eg</w:t>
      </w:r>
      <w:proofErr w:type="spellEnd"/>
      <w:r w:rsidR="00163484">
        <w:rPr>
          <w:rFonts w:ascii="Arial" w:hAnsi="Arial" w:cs="Arial"/>
          <w:szCs w:val="20"/>
        </w:rPr>
        <w:t xml:space="preserve"> SNDC, mobile and Device Not Present</w:t>
      </w:r>
      <w:r w:rsidR="006E399F">
        <w:rPr>
          <w:rFonts w:ascii="Arial" w:hAnsi="Arial" w:cs="Arial"/>
          <w:szCs w:val="20"/>
        </w:rPr>
        <w:t>.</w:t>
      </w:r>
      <w:r w:rsidR="00AB68B3">
        <w:rPr>
          <w:rFonts w:ascii="Arial" w:hAnsi="Arial" w:cs="Arial"/>
          <w:szCs w:val="20"/>
        </w:rPr>
        <w:t xml:space="preserve">  </w:t>
      </w:r>
      <w:r w:rsidR="00CE3C72">
        <w:rPr>
          <w:rFonts w:ascii="Arial" w:hAnsi="Arial" w:cs="Arial"/>
          <w:szCs w:val="20"/>
        </w:rPr>
        <w:t>In eftpos’ view, t</w:t>
      </w:r>
      <w:r w:rsidR="00AB68B3">
        <w:rPr>
          <w:rFonts w:ascii="Arial" w:hAnsi="Arial" w:cs="Arial"/>
          <w:szCs w:val="20"/>
        </w:rPr>
        <w:t xml:space="preserve">he solution to the problem is to </w:t>
      </w:r>
      <w:r w:rsidR="00CE3C72">
        <w:rPr>
          <w:rFonts w:ascii="Arial" w:hAnsi="Arial" w:cs="Arial"/>
          <w:szCs w:val="20"/>
        </w:rPr>
        <w:t>have principles based regulation that supports</w:t>
      </w:r>
      <w:r w:rsidR="00AB68B3">
        <w:rPr>
          <w:rFonts w:ascii="Arial" w:hAnsi="Arial" w:cs="Arial"/>
          <w:szCs w:val="20"/>
        </w:rPr>
        <w:t xml:space="preserve"> competition for all form factors and all channels</w:t>
      </w:r>
      <w:r w:rsidR="0007101E">
        <w:rPr>
          <w:rFonts w:ascii="Arial" w:hAnsi="Arial" w:cs="Arial"/>
          <w:szCs w:val="20"/>
        </w:rPr>
        <w:t>, rather than reduce the caps on interchange which serves a purpose of supporting innovation</w:t>
      </w:r>
      <w:r w:rsidR="00CE3C72">
        <w:rPr>
          <w:rFonts w:ascii="Arial" w:hAnsi="Arial" w:cs="Arial"/>
          <w:szCs w:val="20"/>
        </w:rPr>
        <w:t>.</w:t>
      </w:r>
      <w:r w:rsidR="00133C1E">
        <w:rPr>
          <w:rFonts w:ascii="Arial" w:hAnsi="Arial" w:cs="Arial"/>
          <w:szCs w:val="20"/>
        </w:rPr>
        <w:t xml:space="preserve"> </w:t>
      </w:r>
      <w:r w:rsidR="004500DF">
        <w:rPr>
          <w:rFonts w:ascii="Arial" w:hAnsi="Arial" w:cs="Arial"/>
          <w:szCs w:val="20"/>
        </w:rPr>
        <w:t xml:space="preserve">Reducing the </w:t>
      </w:r>
      <w:r w:rsidR="00882A5F">
        <w:rPr>
          <w:rFonts w:ascii="Arial" w:hAnsi="Arial" w:cs="Arial"/>
          <w:szCs w:val="20"/>
        </w:rPr>
        <w:t xml:space="preserve">caps on interchange may have an unintended effect of stifling innovation when the issue to be addressed is increasing competition, which can be achieved </w:t>
      </w:r>
      <w:r w:rsidR="00C90DB4">
        <w:rPr>
          <w:rFonts w:ascii="Arial" w:hAnsi="Arial" w:cs="Arial"/>
          <w:szCs w:val="20"/>
        </w:rPr>
        <w:t>by having two networks on all form factors issued by all issuers and available for all merchants in all channels.</w:t>
      </w:r>
      <w:r w:rsidR="00133C1E">
        <w:rPr>
          <w:rFonts w:ascii="Arial" w:hAnsi="Arial" w:cs="Arial"/>
          <w:szCs w:val="20"/>
        </w:rPr>
        <w:t xml:space="preserve"> </w:t>
      </w:r>
    </w:p>
    <w:p w14:paraId="5E26CDB0" w14:textId="77777777" w:rsidR="005E238B" w:rsidRPr="005E238B" w:rsidRDefault="005E238B" w:rsidP="00645486">
      <w:pPr>
        <w:jc w:val="both"/>
        <w:rPr>
          <w:rFonts w:ascii="Arial" w:hAnsi="Arial" w:cs="Arial"/>
          <w:szCs w:val="20"/>
        </w:rPr>
      </w:pPr>
    </w:p>
    <w:p w14:paraId="04E6DFBA" w14:textId="63F3E662" w:rsidR="00DD2F8C" w:rsidRPr="0009122E" w:rsidRDefault="71708B4A" w:rsidP="00645486">
      <w:pPr>
        <w:pStyle w:val="ListParagraph"/>
        <w:numPr>
          <w:ilvl w:val="0"/>
          <w:numId w:val="32"/>
        </w:numPr>
        <w:jc w:val="both"/>
        <w:rPr>
          <w:rFonts w:ascii="Arial" w:hAnsi="Arial" w:cs="Arial"/>
          <w:b/>
          <w:bCs/>
          <w:szCs w:val="20"/>
        </w:rPr>
      </w:pPr>
      <w:r w:rsidRPr="0009122E">
        <w:rPr>
          <w:rFonts w:ascii="Arial" w:hAnsi="Arial" w:cs="Arial"/>
          <w:b/>
          <w:bCs/>
          <w:szCs w:val="20"/>
        </w:rPr>
        <w:t>Transparency of scheme fees</w:t>
      </w:r>
    </w:p>
    <w:p w14:paraId="1EDA1E90" w14:textId="643414DD" w:rsidR="00C15789" w:rsidRDefault="00C15789" w:rsidP="00645486">
      <w:pPr>
        <w:pStyle w:val="ListParagraph"/>
        <w:numPr>
          <w:ilvl w:val="1"/>
          <w:numId w:val="32"/>
        </w:numPr>
        <w:jc w:val="both"/>
        <w:rPr>
          <w:rFonts w:ascii="Arial" w:hAnsi="Arial" w:cs="Arial"/>
          <w:szCs w:val="20"/>
        </w:rPr>
      </w:pPr>
      <w:r>
        <w:rPr>
          <w:rFonts w:ascii="Arial" w:hAnsi="Arial" w:cs="Arial"/>
          <w:szCs w:val="20"/>
        </w:rPr>
        <w:t>The Bank is considering three broad policy options:</w:t>
      </w:r>
    </w:p>
    <w:p w14:paraId="3D114BEF" w14:textId="38C3A7CE" w:rsidR="00C15789" w:rsidRDefault="00C15789" w:rsidP="00645486">
      <w:pPr>
        <w:pStyle w:val="ListParagraph"/>
        <w:numPr>
          <w:ilvl w:val="2"/>
          <w:numId w:val="32"/>
        </w:numPr>
        <w:jc w:val="both"/>
        <w:rPr>
          <w:rFonts w:ascii="Arial" w:hAnsi="Arial" w:cs="Arial"/>
          <w:szCs w:val="20"/>
        </w:rPr>
      </w:pPr>
      <w:r>
        <w:rPr>
          <w:rFonts w:ascii="Arial" w:hAnsi="Arial" w:cs="Arial"/>
          <w:szCs w:val="20"/>
        </w:rPr>
        <w:t>No additional disclosure requirements</w:t>
      </w:r>
    </w:p>
    <w:p w14:paraId="45094BC6" w14:textId="406F2DA8" w:rsidR="00C15789" w:rsidRDefault="00C15789" w:rsidP="00645486">
      <w:pPr>
        <w:pStyle w:val="ListParagraph"/>
        <w:numPr>
          <w:ilvl w:val="2"/>
          <w:numId w:val="32"/>
        </w:numPr>
        <w:jc w:val="both"/>
        <w:rPr>
          <w:rFonts w:ascii="Arial" w:hAnsi="Arial" w:cs="Arial"/>
          <w:szCs w:val="20"/>
        </w:rPr>
      </w:pPr>
      <w:r>
        <w:rPr>
          <w:rFonts w:ascii="Arial" w:hAnsi="Arial" w:cs="Arial"/>
          <w:szCs w:val="20"/>
        </w:rPr>
        <w:t>Schemes to publicly disclose all scheme fee rates and rules</w:t>
      </w:r>
    </w:p>
    <w:p w14:paraId="04376A97" w14:textId="64FFDADE" w:rsidR="00C15789" w:rsidRDefault="00C15789" w:rsidP="00645486">
      <w:pPr>
        <w:pStyle w:val="ListParagraph"/>
        <w:numPr>
          <w:ilvl w:val="2"/>
          <w:numId w:val="32"/>
        </w:numPr>
        <w:rPr>
          <w:rFonts w:ascii="Arial" w:hAnsi="Arial" w:cs="Arial"/>
          <w:szCs w:val="20"/>
        </w:rPr>
      </w:pPr>
      <w:r>
        <w:rPr>
          <w:rFonts w:ascii="Arial" w:hAnsi="Arial" w:cs="Arial"/>
          <w:szCs w:val="20"/>
        </w:rPr>
        <w:t>Schemes to disclose to the Bank all scheme fee rates and rules as well as aggregate data on scheme fees paid by Australian scheme participants with publication of some aggregate data</w:t>
      </w:r>
      <w:r w:rsidR="001B515F">
        <w:rPr>
          <w:rFonts w:ascii="Arial" w:hAnsi="Arial" w:cs="Arial"/>
          <w:szCs w:val="20"/>
        </w:rPr>
        <w:br/>
      </w:r>
    </w:p>
    <w:p w14:paraId="696D9171" w14:textId="63156034" w:rsidR="00C15789" w:rsidRDefault="00C15789" w:rsidP="00645486">
      <w:pPr>
        <w:pStyle w:val="ListParagraph"/>
        <w:numPr>
          <w:ilvl w:val="1"/>
          <w:numId w:val="32"/>
        </w:numPr>
        <w:jc w:val="both"/>
        <w:rPr>
          <w:rFonts w:ascii="Arial" w:hAnsi="Arial" w:cs="Arial"/>
          <w:szCs w:val="20"/>
        </w:rPr>
      </w:pPr>
      <w:r>
        <w:rPr>
          <w:rFonts w:ascii="Arial" w:hAnsi="Arial" w:cs="Arial"/>
          <w:szCs w:val="20"/>
        </w:rPr>
        <w:t>The Bank views transparency as an important mechanism for improving efficiency and promoting competition</w:t>
      </w:r>
      <w:r w:rsidR="001B515F">
        <w:rPr>
          <w:rFonts w:ascii="Arial" w:hAnsi="Arial" w:cs="Arial"/>
          <w:szCs w:val="20"/>
        </w:rPr>
        <w:t xml:space="preserve"> and currently favours option 3</w:t>
      </w:r>
      <w:r>
        <w:rPr>
          <w:rFonts w:ascii="Arial" w:hAnsi="Arial" w:cs="Arial"/>
          <w:szCs w:val="20"/>
        </w:rPr>
        <w:t>.</w:t>
      </w:r>
      <w:r w:rsidR="00466180">
        <w:rPr>
          <w:rFonts w:ascii="Arial" w:hAnsi="Arial" w:cs="Arial"/>
          <w:szCs w:val="20"/>
        </w:rPr>
        <w:t xml:space="preserve">  Specifically, the Bank proposes to:</w:t>
      </w:r>
    </w:p>
    <w:p w14:paraId="3D4D0130" w14:textId="6FA1E049" w:rsidR="00466180" w:rsidRPr="00466180" w:rsidRDefault="00466180" w:rsidP="00645486">
      <w:pPr>
        <w:pStyle w:val="ListParagraph"/>
        <w:numPr>
          <w:ilvl w:val="0"/>
          <w:numId w:val="42"/>
        </w:numPr>
        <w:autoSpaceDE w:val="0"/>
        <w:autoSpaceDN w:val="0"/>
        <w:adjustRightInd w:val="0"/>
        <w:spacing w:after="0" w:line="240" w:lineRule="auto"/>
        <w:jc w:val="both"/>
        <w:rPr>
          <w:rFonts w:ascii="Arial" w:hAnsi="Arial" w:cs="Arial"/>
          <w:szCs w:val="20"/>
        </w:rPr>
      </w:pPr>
      <w:r w:rsidRPr="00466180">
        <w:rPr>
          <w:rFonts w:ascii="Arial" w:hAnsi="Arial" w:cs="Arial"/>
          <w:szCs w:val="20"/>
        </w:rPr>
        <w:t>collect quarterly data from card schemes on scheme fee revenue (net of rebates), as well as information on the top 20 fees by value, and annual data from larger issuers and acquirers on scheme fee payments (net of rebates)</w:t>
      </w:r>
    </w:p>
    <w:p w14:paraId="578C90AA" w14:textId="3BE80992" w:rsidR="00466180" w:rsidRPr="00466180" w:rsidRDefault="00466180" w:rsidP="00511F75">
      <w:pPr>
        <w:pStyle w:val="ListParagraph"/>
        <w:numPr>
          <w:ilvl w:val="0"/>
          <w:numId w:val="42"/>
        </w:numPr>
        <w:autoSpaceDE w:val="0"/>
        <w:autoSpaceDN w:val="0"/>
        <w:adjustRightInd w:val="0"/>
        <w:spacing w:after="0" w:line="240" w:lineRule="auto"/>
        <w:rPr>
          <w:rFonts w:ascii="Arial" w:hAnsi="Arial" w:cs="Arial"/>
          <w:szCs w:val="20"/>
        </w:rPr>
      </w:pPr>
      <w:r w:rsidRPr="00466180">
        <w:rPr>
          <w:rFonts w:ascii="Arial" w:hAnsi="Arial" w:cs="Arial"/>
          <w:szCs w:val="20"/>
        </w:rPr>
        <w:t>collect merchant-level data on payment costs from large acquirers each year and using it to publish pricing information and other educational material for merchants (with acquirers expected to notify merchants at least once each year where to find the published material)</w:t>
      </w:r>
      <w:r>
        <w:rPr>
          <w:rFonts w:ascii="Arial" w:hAnsi="Arial" w:cs="Arial"/>
          <w:szCs w:val="20"/>
        </w:rPr>
        <w:br/>
      </w:r>
    </w:p>
    <w:p w14:paraId="2039512C" w14:textId="57E61ACB" w:rsidR="00DC4579" w:rsidRDefault="001B515F" w:rsidP="00511F75">
      <w:pPr>
        <w:pStyle w:val="ListParagraph"/>
        <w:numPr>
          <w:ilvl w:val="1"/>
          <w:numId w:val="32"/>
        </w:numPr>
        <w:rPr>
          <w:rFonts w:ascii="Arial" w:hAnsi="Arial" w:cs="Arial"/>
          <w:szCs w:val="20"/>
        </w:rPr>
      </w:pPr>
      <w:r>
        <w:rPr>
          <w:rFonts w:ascii="Arial" w:hAnsi="Arial" w:cs="Arial"/>
          <w:szCs w:val="20"/>
        </w:rPr>
        <w:t xml:space="preserve">eftpos </w:t>
      </w:r>
      <w:r w:rsidR="00E62436">
        <w:rPr>
          <w:rFonts w:ascii="Arial" w:hAnsi="Arial" w:cs="Arial"/>
          <w:szCs w:val="20"/>
        </w:rPr>
        <w:t xml:space="preserve">agrees that </w:t>
      </w:r>
      <w:r w:rsidR="002F25BC">
        <w:rPr>
          <w:rFonts w:ascii="Arial" w:hAnsi="Arial" w:cs="Arial"/>
          <w:szCs w:val="20"/>
        </w:rPr>
        <w:t>transparency in pricing will drive competition and help set a level playing field</w:t>
      </w:r>
      <w:r w:rsidR="002978E2">
        <w:rPr>
          <w:rFonts w:ascii="Arial" w:hAnsi="Arial" w:cs="Arial"/>
          <w:szCs w:val="20"/>
        </w:rPr>
        <w:t xml:space="preserve"> if the transparency flows through to merchants to </w:t>
      </w:r>
      <w:r w:rsidR="00167B3B">
        <w:rPr>
          <w:rFonts w:ascii="Arial" w:hAnsi="Arial" w:cs="Arial"/>
          <w:szCs w:val="20"/>
        </w:rPr>
        <w:t>provide price signals about</w:t>
      </w:r>
      <w:r w:rsidR="002978E2">
        <w:rPr>
          <w:rFonts w:ascii="Arial" w:hAnsi="Arial" w:cs="Arial"/>
          <w:szCs w:val="20"/>
        </w:rPr>
        <w:t xml:space="preserve"> the different impacts on them of accepting different payment methods.  Therefore, eftpos </w:t>
      </w:r>
      <w:r>
        <w:rPr>
          <w:rFonts w:ascii="Arial" w:hAnsi="Arial" w:cs="Arial"/>
          <w:szCs w:val="20"/>
        </w:rPr>
        <w:t xml:space="preserve">also supports option 3 for the reasons identified by the Bank </w:t>
      </w:r>
      <w:r w:rsidR="008A3D2B">
        <w:rPr>
          <w:rFonts w:ascii="Arial" w:hAnsi="Arial" w:cs="Arial"/>
          <w:szCs w:val="20"/>
        </w:rPr>
        <w:t xml:space="preserve">for that option </w:t>
      </w:r>
      <w:r>
        <w:rPr>
          <w:rFonts w:ascii="Arial" w:hAnsi="Arial" w:cs="Arial"/>
          <w:szCs w:val="20"/>
        </w:rPr>
        <w:t xml:space="preserve">in the Consultation Paper.  </w:t>
      </w:r>
      <w:r w:rsidR="00466180">
        <w:rPr>
          <w:rFonts w:ascii="Arial" w:hAnsi="Arial" w:cs="Arial"/>
          <w:szCs w:val="20"/>
        </w:rPr>
        <w:t>e</w:t>
      </w:r>
      <w:r w:rsidR="00DC4579">
        <w:rPr>
          <w:rFonts w:ascii="Arial" w:hAnsi="Arial" w:cs="Arial"/>
          <w:szCs w:val="20"/>
        </w:rPr>
        <w:t>ftpos notes that the descriptions of the fees would need careful consideration as not all scheme fees that are applied to transactions are charged on a per transaction basis.  The most useful calculation for disclosure of aggregated data to merchants would be a per transaction aggregate fee to enable apple</w:t>
      </w:r>
      <w:r w:rsidR="00257140">
        <w:rPr>
          <w:rFonts w:ascii="Arial" w:hAnsi="Arial" w:cs="Arial"/>
          <w:szCs w:val="20"/>
        </w:rPr>
        <w:t>s</w:t>
      </w:r>
      <w:r w:rsidR="00DC4579">
        <w:rPr>
          <w:rFonts w:ascii="Arial" w:hAnsi="Arial" w:cs="Arial"/>
          <w:szCs w:val="20"/>
        </w:rPr>
        <w:t xml:space="preserve"> for apples comparison by merchants of the relative cost of acceptance.</w:t>
      </w:r>
      <w:r w:rsidR="00DC4579">
        <w:rPr>
          <w:rFonts w:ascii="Arial" w:hAnsi="Arial" w:cs="Arial"/>
          <w:szCs w:val="20"/>
        </w:rPr>
        <w:br/>
      </w:r>
    </w:p>
    <w:p w14:paraId="31DEA3C6" w14:textId="61762AD1" w:rsidR="00960BDD" w:rsidRDefault="001B515F" w:rsidP="005D1932">
      <w:pPr>
        <w:pStyle w:val="ListParagraph"/>
        <w:numPr>
          <w:ilvl w:val="1"/>
          <w:numId w:val="32"/>
        </w:numPr>
        <w:spacing w:after="120"/>
        <w:rPr>
          <w:rFonts w:ascii="Arial" w:hAnsi="Arial" w:cs="Arial"/>
          <w:szCs w:val="20"/>
        </w:rPr>
      </w:pPr>
      <w:r w:rsidRPr="00F347F6">
        <w:rPr>
          <w:rFonts w:ascii="Arial" w:hAnsi="Arial" w:cs="Arial"/>
          <w:szCs w:val="20"/>
        </w:rPr>
        <w:t xml:space="preserve">While the initial set up effort to enable this reporting could be up to two weeks effort, the ongoing burden would reduce and not be </w:t>
      </w:r>
      <w:r w:rsidR="00DC4579" w:rsidRPr="00F347F6">
        <w:rPr>
          <w:rFonts w:ascii="Arial" w:hAnsi="Arial" w:cs="Arial"/>
          <w:szCs w:val="20"/>
        </w:rPr>
        <w:t xml:space="preserve">unduly </w:t>
      </w:r>
      <w:r w:rsidRPr="00F347F6">
        <w:rPr>
          <w:rFonts w:ascii="Arial" w:hAnsi="Arial" w:cs="Arial"/>
          <w:szCs w:val="20"/>
        </w:rPr>
        <w:t>burdensome.</w:t>
      </w:r>
    </w:p>
    <w:p w14:paraId="0D55849F" w14:textId="77777777" w:rsidR="00F347F6" w:rsidRPr="00F347F6" w:rsidRDefault="00F347F6" w:rsidP="00F347F6">
      <w:pPr>
        <w:pStyle w:val="ListParagraph"/>
        <w:spacing w:after="120"/>
        <w:ind w:left="1080"/>
        <w:rPr>
          <w:rFonts w:ascii="Arial" w:hAnsi="Arial" w:cs="Arial"/>
          <w:szCs w:val="20"/>
        </w:rPr>
      </w:pPr>
    </w:p>
    <w:p w14:paraId="0D9C7750" w14:textId="4699FA39" w:rsidR="0080005B" w:rsidRPr="00C441D2" w:rsidRDefault="0080005B" w:rsidP="00645486">
      <w:pPr>
        <w:pStyle w:val="ListParagraph"/>
        <w:numPr>
          <w:ilvl w:val="0"/>
          <w:numId w:val="32"/>
        </w:numPr>
        <w:jc w:val="both"/>
        <w:rPr>
          <w:rFonts w:ascii="Arial" w:hAnsi="Arial" w:cs="Arial"/>
          <w:b/>
          <w:bCs/>
          <w:szCs w:val="20"/>
        </w:rPr>
      </w:pPr>
      <w:r w:rsidRPr="00C441D2">
        <w:rPr>
          <w:rFonts w:ascii="Arial" w:hAnsi="Arial" w:cs="Arial"/>
          <w:b/>
          <w:bCs/>
          <w:szCs w:val="20"/>
        </w:rPr>
        <w:t>Surcharging</w:t>
      </w:r>
    </w:p>
    <w:p w14:paraId="2E3C01FA" w14:textId="307978EA" w:rsidR="008258CA" w:rsidRDefault="0080005B" w:rsidP="00511F75">
      <w:pPr>
        <w:pStyle w:val="ListParagraph"/>
        <w:numPr>
          <w:ilvl w:val="1"/>
          <w:numId w:val="32"/>
        </w:numPr>
        <w:rPr>
          <w:rFonts w:ascii="Arial" w:hAnsi="Arial" w:cs="Arial"/>
        </w:rPr>
      </w:pPr>
      <w:r w:rsidRPr="6912D37D">
        <w:rPr>
          <w:rFonts w:ascii="Arial" w:hAnsi="Arial" w:cs="Arial"/>
        </w:rPr>
        <w:t>The Bank considered but does not propose to regulate the current no surcharging rule applied by BNPL providers at this time on the basis that they provide valuable competition which could lead to downward pressure on merchant fees.</w:t>
      </w:r>
      <w:r w:rsidR="5735BDC3" w:rsidRPr="6912D37D">
        <w:rPr>
          <w:rFonts w:ascii="Arial" w:hAnsi="Arial" w:cs="Arial"/>
        </w:rPr>
        <w:t xml:space="preserve">  </w:t>
      </w:r>
      <w:r w:rsidR="00AC474A">
        <w:rPr>
          <w:rFonts w:ascii="Arial" w:hAnsi="Arial" w:cs="Arial"/>
        </w:rPr>
        <w:br/>
      </w:r>
    </w:p>
    <w:p w14:paraId="1C214576" w14:textId="24074B13" w:rsidR="0080005B" w:rsidRDefault="001B6BDF" w:rsidP="007A11E9">
      <w:pPr>
        <w:pStyle w:val="ListParagraph"/>
        <w:numPr>
          <w:ilvl w:val="1"/>
          <w:numId w:val="32"/>
        </w:numPr>
        <w:spacing w:after="120"/>
        <w:rPr>
          <w:rFonts w:ascii="Arial" w:hAnsi="Arial" w:cs="Arial"/>
        </w:rPr>
      </w:pPr>
      <w:r w:rsidRPr="00ED710B">
        <w:rPr>
          <w:rFonts w:ascii="Arial" w:hAnsi="Arial" w:cs="Arial"/>
        </w:rPr>
        <w:lastRenderedPageBreak/>
        <w:t xml:space="preserve">The Bank has </w:t>
      </w:r>
      <w:r w:rsidR="0084185E" w:rsidRPr="00ED710B">
        <w:rPr>
          <w:rFonts w:ascii="Arial" w:hAnsi="Arial" w:cs="Arial"/>
        </w:rPr>
        <w:t xml:space="preserve">identified that </w:t>
      </w:r>
      <w:r w:rsidR="000B5233" w:rsidRPr="00ED710B">
        <w:rPr>
          <w:rFonts w:ascii="Arial" w:hAnsi="Arial" w:cs="Arial"/>
        </w:rPr>
        <w:t xml:space="preserve">the number of available </w:t>
      </w:r>
      <w:r w:rsidR="00867A68" w:rsidRPr="00ED710B">
        <w:rPr>
          <w:rFonts w:ascii="Arial" w:hAnsi="Arial" w:cs="Arial"/>
        </w:rPr>
        <w:t>BNPL</w:t>
      </w:r>
      <w:r w:rsidR="0084185E" w:rsidRPr="00ED710B">
        <w:rPr>
          <w:rFonts w:ascii="Arial" w:hAnsi="Arial" w:cs="Arial"/>
        </w:rPr>
        <w:t xml:space="preserve"> offerings </w:t>
      </w:r>
      <w:r w:rsidR="00AA0818" w:rsidRPr="00ED710B">
        <w:rPr>
          <w:rFonts w:ascii="Arial" w:hAnsi="Arial" w:cs="Arial"/>
        </w:rPr>
        <w:t>ha</w:t>
      </w:r>
      <w:r w:rsidR="000B5233" w:rsidRPr="00ED710B">
        <w:rPr>
          <w:rFonts w:ascii="Arial" w:hAnsi="Arial" w:cs="Arial"/>
        </w:rPr>
        <w:t>s</w:t>
      </w:r>
      <w:r w:rsidR="00AA0818" w:rsidRPr="00ED710B">
        <w:rPr>
          <w:rFonts w:ascii="Arial" w:hAnsi="Arial" w:cs="Arial"/>
        </w:rPr>
        <w:t xml:space="preserve"> </w:t>
      </w:r>
      <w:r w:rsidR="009D4F7D" w:rsidRPr="00ED710B">
        <w:rPr>
          <w:rFonts w:ascii="Arial" w:hAnsi="Arial" w:cs="Arial"/>
        </w:rPr>
        <w:t>grown and their use has grown recently</w:t>
      </w:r>
      <w:r w:rsidR="00125114">
        <w:rPr>
          <w:rStyle w:val="FootnoteReference"/>
          <w:rFonts w:ascii="Arial" w:hAnsi="Arial" w:cs="Arial"/>
        </w:rPr>
        <w:footnoteReference w:id="20"/>
      </w:r>
      <w:r w:rsidR="00034EE1" w:rsidRPr="00ED710B">
        <w:rPr>
          <w:rFonts w:ascii="Arial" w:hAnsi="Arial" w:cs="Arial"/>
        </w:rPr>
        <w:t xml:space="preserve"> but that</w:t>
      </w:r>
      <w:r w:rsidR="000B5233" w:rsidRPr="00ED710B">
        <w:rPr>
          <w:rFonts w:ascii="Arial" w:hAnsi="Arial" w:cs="Arial"/>
        </w:rPr>
        <w:t xml:space="preserve"> the Bank does not propose to regulate to prevent “no surcharge” rules at this stage.  </w:t>
      </w:r>
      <w:r w:rsidR="00B24249" w:rsidRPr="00ED710B">
        <w:rPr>
          <w:rFonts w:ascii="Arial" w:hAnsi="Arial" w:cs="Arial"/>
        </w:rPr>
        <w:t>e</w:t>
      </w:r>
      <w:r w:rsidR="000B5233" w:rsidRPr="00ED710B">
        <w:rPr>
          <w:rFonts w:ascii="Arial" w:hAnsi="Arial" w:cs="Arial"/>
        </w:rPr>
        <w:t>ftpos</w:t>
      </w:r>
      <w:r w:rsidR="009D0B90" w:rsidRPr="00ED710B">
        <w:rPr>
          <w:rFonts w:ascii="Arial" w:hAnsi="Arial" w:cs="Arial"/>
        </w:rPr>
        <w:t xml:space="preserve"> notes that the purpose of surcharging is to not only allow the merchant to mitigate their costs of accepting higher cost payment methods but also to provide appropriate price signals to consumers</w:t>
      </w:r>
      <w:r w:rsidR="00046043" w:rsidRPr="00ED710B">
        <w:rPr>
          <w:rFonts w:ascii="Arial" w:hAnsi="Arial" w:cs="Arial"/>
        </w:rPr>
        <w:t xml:space="preserve">.  </w:t>
      </w:r>
      <w:r w:rsidR="009B2F6C" w:rsidRPr="00ED710B">
        <w:rPr>
          <w:rFonts w:ascii="Arial" w:hAnsi="Arial" w:cs="Arial"/>
        </w:rPr>
        <w:t>Given BNPL offerings are an innovative way of using</w:t>
      </w:r>
      <w:r w:rsidR="00E461D5" w:rsidRPr="00ED710B">
        <w:rPr>
          <w:rFonts w:ascii="Arial" w:hAnsi="Arial" w:cs="Arial"/>
        </w:rPr>
        <w:t xml:space="preserve"> or an evolution in DNDCs</w:t>
      </w:r>
      <w:r w:rsidR="002B5F1C" w:rsidRPr="00ED710B">
        <w:rPr>
          <w:rFonts w:ascii="Arial" w:hAnsi="Arial" w:cs="Arial"/>
        </w:rPr>
        <w:t xml:space="preserve"> (which are moving online and into mobile wallets with significantly higher interchange like pricing and higher scheme fee like fees)</w:t>
      </w:r>
      <w:r w:rsidR="00E461D5" w:rsidRPr="00ED710B">
        <w:rPr>
          <w:rFonts w:ascii="Arial" w:hAnsi="Arial" w:cs="Arial"/>
        </w:rPr>
        <w:t>, i</w:t>
      </w:r>
      <w:r w:rsidR="00046043" w:rsidRPr="00ED710B">
        <w:rPr>
          <w:rFonts w:ascii="Arial" w:hAnsi="Arial" w:cs="Arial"/>
        </w:rPr>
        <w:t>t is unclear why this principle has not been applied to a growing segment of the market</w:t>
      </w:r>
      <w:r w:rsidR="00B24249" w:rsidRPr="00ED710B">
        <w:rPr>
          <w:rFonts w:ascii="Arial" w:hAnsi="Arial" w:cs="Arial"/>
        </w:rPr>
        <w:t xml:space="preserve"> and why competitive neutrality is not being applied as a regulatory principle</w:t>
      </w:r>
      <w:r w:rsidR="004B731E">
        <w:rPr>
          <w:rStyle w:val="FootnoteReference"/>
          <w:rFonts w:ascii="Arial" w:hAnsi="Arial" w:cs="Arial"/>
        </w:rPr>
        <w:footnoteReference w:id="21"/>
      </w:r>
      <w:r w:rsidR="00B24249" w:rsidRPr="00ED710B">
        <w:rPr>
          <w:rFonts w:ascii="Arial" w:hAnsi="Arial" w:cs="Arial"/>
        </w:rPr>
        <w:t>.</w:t>
      </w:r>
    </w:p>
    <w:p w14:paraId="46D7E8E6" w14:textId="77777777" w:rsidR="00ED710B" w:rsidRPr="00ED710B" w:rsidRDefault="00ED710B" w:rsidP="00ED710B">
      <w:pPr>
        <w:pStyle w:val="ListParagraph"/>
        <w:spacing w:after="120"/>
        <w:ind w:left="1080"/>
        <w:rPr>
          <w:rFonts w:ascii="Arial" w:hAnsi="Arial" w:cs="Arial"/>
        </w:rPr>
      </w:pPr>
    </w:p>
    <w:p w14:paraId="255384BF" w14:textId="157E779E" w:rsidR="0080005B" w:rsidRPr="0009122E" w:rsidRDefault="0080005B" w:rsidP="00645486">
      <w:pPr>
        <w:pStyle w:val="ListParagraph"/>
        <w:numPr>
          <w:ilvl w:val="0"/>
          <w:numId w:val="32"/>
        </w:numPr>
        <w:jc w:val="both"/>
        <w:rPr>
          <w:rFonts w:ascii="Arial" w:hAnsi="Arial" w:cs="Arial"/>
          <w:b/>
          <w:bCs/>
          <w:szCs w:val="20"/>
        </w:rPr>
      </w:pPr>
      <w:r w:rsidRPr="0009122E">
        <w:rPr>
          <w:rFonts w:ascii="Arial" w:hAnsi="Arial" w:cs="Arial"/>
          <w:b/>
          <w:bCs/>
          <w:szCs w:val="20"/>
        </w:rPr>
        <w:t>Net compensation rule</w:t>
      </w:r>
    </w:p>
    <w:p w14:paraId="57A74163" w14:textId="656D5624" w:rsidR="002655DC" w:rsidRDefault="0080005B" w:rsidP="00645486">
      <w:pPr>
        <w:pStyle w:val="ListParagraph"/>
        <w:numPr>
          <w:ilvl w:val="1"/>
          <w:numId w:val="32"/>
        </w:numPr>
        <w:jc w:val="both"/>
        <w:rPr>
          <w:rFonts w:ascii="Arial" w:hAnsi="Arial" w:cs="Arial"/>
          <w:szCs w:val="20"/>
        </w:rPr>
      </w:pPr>
      <w:r>
        <w:rPr>
          <w:rFonts w:ascii="Arial" w:hAnsi="Arial" w:cs="Arial"/>
          <w:szCs w:val="20"/>
        </w:rPr>
        <w:t>The Bank proposes minor revisions which eftpos supports</w:t>
      </w:r>
      <w:r w:rsidR="0037234C">
        <w:rPr>
          <w:rFonts w:ascii="Arial" w:hAnsi="Arial" w:cs="Arial"/>
          <w:szCs w:val="20"/>
        </w:rPr>
        <w:t>,</w:t>
      </w:r>
      <w:r>
        <w:rPr>
          <w:rFonts w:ascii="Arial" w:hAnsi="Arial" w:cs="Arial"/>
          <w:szCs w:val="20"/>
        </w:rPr>
        <w:t xml:space="preserve"> noting that</w:t>
      </w:r>
      <w:r w:rsidR="002655DC">
        <w:rPr>
          <w:rFonts w:ascii="Arial" w:hAnsi="Arial" w:cs="Arial"/>
          <w:szCs w:val="20"/>
        </w:rPr>
        <w:t>:</w:t>
      </w:r>
    </w:p>
    <w:p w14:paraId="7744AA09" w14:textId="77777777" w:rsidR="002655DC" w:rsidRDefault="0080005B" w:rsidP="00645486">
      <w:pPr>
        <w:pStyle w:val="ListParagraph"/>
        <w:numPr>
          <w:ilvl w:val="2"/>
          <w:numId w:val="32"/>
        </w:numPr>
        <w:jc w:val="both"/>
        <w:rPr>
          <w:rFonts w:ascii="Arial" w:hAnsi="Arial" w:cs="Arial"/>
          <w:szCs w:val="20"/>
        </w:rPr>
      </w:pPr>
      <w:r>
        <w:rPr>
          <w:rFonts w:ascii="Arial" w:hAnsi="Arial" w:cs="Arial"/>
          <w:szCs w:val="20"/>
        </w:rPr>
        <w:t>card migration benefits should be included within the net compensation calculation, especially whether there is a card change from prop to DNDC or other SNDC or a change from DNDC to SNDC</w:t>
      </w:r>
      <w:r w:rsidR="002655DC">
        <w:rPr>
          <w:rFonts w:ascii="Arial" w:hAnsi="Arial" w:cs="Arial"/>
          <w:szCs w:val="20"/>
        </w:rPr>
        <w:t>;</w:t>
      </w:r>
    </w:p>
    <w:p w14:paraId="25BC4CCC" w14:textId="77777777" w:rsidR="002655DC" w:rsidRDefault="002655DC" w:rsidP="00645486">
      <w:pPr>
        <w:pStyle w:val="ListParagraph"/>
        <w:numPr>
          <w:ilvl w:val="2"/>
          <w:numId w:val="32"/>
        </w:numPr>
        <w:jc w:val="both"/>
        <w:rPr>
          <w:rFonts w:ascii="Arial" w:hAnsi="Arial" w:cs="Arial"/>
          <w:szCs w:val="20"/>
        </w:rPr>
      </w:pPr>
      <w:r>
        <w:rPr>
          <w:rFonts w:ascii="Arial" w:hAnsi="Arial" w:cs="Arial"/>
          <w:szCs w:val="20"/>
        </w:rPr>
        <w:t>the net compensation rules should apply equally to prepaid card payments as well as debit card payments to issuers;</w:t>
      </w:r>
    </w:p>
    <w:p w14:paraId="75E7CF1D" w14:textId="77777777" w:rsidR="00C81550" w:rsidRDefault="002655DC" w:rsidP="00C81550">
      <w:pPr>
        <w:pStyle w:val="ListParagraph"/>
        <w:numPr>
          <w:ilvl w:val="2"/>
          <w:numId w:val="32"/>
        </w:numPr>
        <w:jc w:val="both"/>
        <w:rPr>
          <w:rFonts w:ascii="Arial" w:hAnsi="Arial" w:cs="Arial"/>
          <w:szCs w:val="20"/>
        </w:rPr>
      </w:pPr>
      <w:r>
        <w:rPr>
          <w:rFonts w:ascii="Arial" w:hAnsi="Arial" w:cs="Arial"/>
          <w:szCs w:val="20"/>
        </w:rPr>
        <w:t>core services should be interpreted narrowly and not include additional or extended value chain service fees which are properly a fee for optional services rather than a necessary payment for participation in the card scheme; and</w:t>
      </w:r>
    </w:p>
    <w:p w14:paraId="136F5EF5" w14:textId="1B8C716B" w:rsidR="00A71CE6" w:rsidRPr="00C81550" w:rsidRDefault="00EE5518" w:rsidP="00C81550">
      <w:pPr>
        <w:pStyle w:val="ListParagraph"/>
        <w:numPr>
          <w:ilvl w:val="2"/>
          <w:numId w:val="32"/>
        </w:numPr>
        <w:rPr>
          <w:rFonts w:ascii="Arial" w:hAnsi="Arial" w:cs="Arial"/>
          <w:szCs w:val="20"/>
        </w:rPr>
      </w:pPr>
      <w:r w:rsidRPr="00C81550">
        <w:rPr>
          <w:rFonts w:ascii="Arial" w:hAnsi="Arial" w:cs="Arial"/>
          <w:szCs w:val="20"/>
        </w:rPr>
        <w:t xml:space="preserve">eftpos refers to and repeats its </w:t>
      </w:r>
      <w:r w:rsidR="00C2301B" w:rsidRPr="00C81550">
        <w:rPr>
          <w:rFonts w:ascii="Arial" w:hAnsi="Arial" w:cs="Arial"/>
          <w:szCs w:val="20"/>
        </w:rPr>
        <w:t xml:space="preserve">Original Submission </w:t>
      </w:r>
      <w:r w:rsidRPr="00C81550">
        <w:rPr>
          <w:rFonts w:ascii="Arial" w:hAnsi="Arial" w:cs="Arial"/>
          <w:szCs w:val="20"/>
        </w:rPr>
        <w:t>in respect of the Issues Paper for the enforcements to be applied to breaches of the net compensation rule</w:t>
      </w:r>
      <w:r w:rsidR="0080005B" w:rsidRPr="00C81550">
        <w:rPr>
          <w:rFonts w:ascii="Arial" w:hAnsi="Arial" w:cs="Arial"/>
          <w:szCs w:val="20"/>
        </w:rPr>
        <w:t>.</w:t>
      </w:r>
      <w:r w:rsidR="002655DC" w:rsidRPr="00C81550">
        <w:rPr>
          <w:rFonts w:ascii="Arial" w:hAnsi="Arial" w:cs="Arial"/>
          <w:szCs w:val="20"/>
        </w:rPr>
        <w:br/>
      </w:r>
    </w:p>
    <w:p w14:paraId="3A8039F3" w14:textId="0FDE0AA0" w:rsidR="00DD2F8C" w:rsidRPr="0009122E" w:rsidRDefault="00DD2F8C" w:rsidP="00645486">
      <w:pPr>
        <w:pStyle w:val="ListParagraph"/>
        <w:numPr>
          <w:ilvl w:val="0"/>
          <w:numId w:val="32"/>
        </w:numPr>
        <w:jc w:val="both"/>
        <w:rPr>
          <w:rFonts w:ascii="Arial" w:hAnsi="Arial" w:cs="Arial"/>
          <w:b/>
          <w:bCs/>
          <w:szCs w:val="20"/>
        </w:rPr>
      </w:pPr>
      <w:r w:rsidRPr="0009122E">
        <w:rPr>
          <w:rFonts w:ascii="Arial" w:hAnsi="Arial" w:cs="Arial"/>
          <w:b/>
          <w:bCs/>
          <w:szCs w:val="20"/>
        </w:rPr>
        <w:t>Regulation of digital wallet market</w:t>
      </w:r>
    </w:p>
    <w:p w14:paraId="56316960" w14:textId="4B0479E5" w:rsidR="008608D5" w:rsidRPr="008608D5" w:rsidRDefault="008608D5" w:rsidP="008045AA">
      <w:pPr>
        <w:pStyle w:val="ListParagraph"/>
        <w:numPr>
          <w:ilvl w:val="1"/>
          <w:numId w:val="32"/>
        </w:numPr>
        <w:rPr>
          <w:rFonts w:ascii="Arial" w:hAnsi="Arial" w:cs="Arial"/>
          <w:szCs w:val="20"/>
        </w:rPr>
      </w:pPr>
      <w:r w:rsidRPr="008608D5">
        <w:rPr>
          <w:rFonts w:ascii="Arial" w:hAnsi="Arial" w:cs="Arial"/>
          <w:szCs w:val="20"/>
        </w:rPr>
        <w:t xml:space="preserve">While the Bank itself submitted </w:t>
      </w:r>
      <w:r w:rsidR="0004260D" w:rsidRPr="008608D5">
        <w:rPr>
          <w:rFonts w:ascii="Arial" w:hAnsi="Arial" w:cs="Arial"/>
          <w:szCs w:val="20"/>
        </w:rPr>
        <w:t xml:space="preserve">in the mobile and digital platform enquiry </w:t>
      </w:r>
      <w:r w:rsidRPr="008608D5">
        <w:rPr>
          <w:rFonts w:ascii="Arial" w:hAnsi="Arial" w:cs="Arial"/>
          <w:szCs w:val="20"/>
        </w:rPr>
        <w:t xml:space="preserve">that there is a need to address anti-competitive conduct, the Bank does not propose any regulatory action at this stage, pending the completion of Treasury’s review of the payments regulatory architecture.  </w:t>
      </w:r>
      <w:r w:rsidRPr="008608D5">
        <w:rPr>
          <w:rFonts w:ascii="Arial" w:hAnsi="Arial" w:cs="Arial"/>
          <w:szCs w:val="20"/>
        </w:rPr>
        <w:br/>
      </w:r>
    </w:p>
    <w:p w14:paraId="544A4902" w14:textId="6FBF13CB" w:rsidR="008608D5" w:rsidRPr="008608D5" w:rsidRDefault="008608D5" w:rsidP="00645486">
      <w:pPr>
        <w:pStyle w:val="ListParagraph"/>
        <w:numPr>
          <w:ilvl w:val="1"/>
          <w:numId w:val="32"/>
        </w:numPr>
        <w:jc w:val="both"/>
        <w:rPr>
          <w:rFonts w:ascii="Arial" w:hAnsi="Arial" w:cs="Arial"/>
          <w:szCs w:val="20"/>
        </w:rPr>
      </w:pPr>
      <w:r w:rsidRPr="008608D5">
        <w:rPr>
          <w:rFonts w:ascii="Arial" w:hAnsi="Arial" w:cs="Arial"/>
          <w:szCs w:val="20"/>
        </w:rPr>
        <w:t xml:space="preserve">eftpos </w:t>
      </w:r>
      <w:r w:rsidR="00566052">
        <w:rPr>
          <w:rFonts w:ascii="Arial" w:hAnsi="Arial" w:cs="Arial"/>
          <w:szCs w:val="20"/>
        </w:rPr>
        <w:t xml:space="preserve">refers to the </w:t>
      </w:r>
      <w:r w:rsidR="00712497">
        <w:rPr>
          <w:rFonts w:ascii="Arial" w:hAnsi="Arial" w:cs="Arial"/>
          <w:szCs w:val="20"/>
        </w:rPr>
        <w:t>second interim report</w:t>
      </w:r>
      <w:r w:rsidR="00E67641">
        <w:rPr>
          <w:rFonts w:ascii="Arial" w:hAnsi="Arial" w:cs="Arial"/>
          <w:szCs w:val="20"/>
        </w:rPr>
        <w:t xml:space="preserve"> from the ACCC’s digital platform services inquiry</w:t>
      </w:r>
      <w:r w:rsidR="00E67641">
        <w:rPr>
          <w:rStyle w:val="FootnoteReference"/>
          <w:rFonts w:ascii="Arial" w:hAnsi="Arial" w:cs="Arial"/>
          <w:szCs w:val="20"/>
        </w:rPr>
        <w:footnoteReference w:id="22"/>
      </w:r>
      <w:r w:rsidR="00E67641">
        <w:rPr>
          <w:rFonts w:ascii="Arial" w:hAnsi="Arial" w:cs="Arial"/>
          <w:szCs w:val="20"/>
        </w:rPr>
        <w:t xml:space="preserve"> and otherwise</w:t>
      </w:r>
      <w:r w:rsidR="00566052">
        <w:rPr>
          <w:rFonts w:ascii="Arial" w:hAnsi="Arial" w:cs="Arial"/>
          <w:szCs w:val="20"/>
        </w:rPr>
        <w:t xml:space="preserve"> </w:t>
      </w:r>
      <w:r w:rsidRPr="008608D5">
        <w:rPr>
          <w:rFonts w:ascii="Arial" w:hAnsi="Arial" w:cs="Arial"/>
          <w:szCs w:val="20"/>
        </w:rPr>
        <w:t xml:space="preserve">repeats and confirms its submissions to the </w:t>
      </w:r>
      <w:r w:rsidR="00E71B71">
        <w:rPr>
          <w:rFonts w:ascii="Arial" w:hAnsi="Arial" w:cs="Arial"/>
          <w:szCs w:val="20"/>
        </w:rPr>
        <w:t>RBA’s Issues Paper which are also relevant to digital wallets and elaborates below</w:t>
      </w:r>
      <w:r w:rsidRPr="008608D5">
        <w:rPr>
          <w:rFonts w:ascii="Arial" w:hAnsi="Arial" w:cs="Arial"/>
          <w:szCs w:val="20"/>
        </w:rPr>
        <w:t>:</w:t>
      </w:r>
    </w:p>
    <w:p w14:paraId="2E8FA4DE" w14:textId="77777777" w:rsidR="008045AA" w:rsidRPr="008045AA" w:rsidRDefault="008045AA" w:rsidP="008045AA">
      <w:pPr>
        <w:pStyle w:val="ListParagraph"/>
        <w:spacing w:after="120"/>
        <w:ind w:left="1800"/>
        <w:rPr>
          <w:rFonts w:ascii="Arial" w:hAnsi="Arial" w:cs="Arial"/>
          <w:szCs w:val="20"/>
        </w:rPr>
      </w:pPr>
    </w:p>
    <w:p w14:paraId="3F35FF45" w14:textId="628B9EC0" w:rsidR="007B7A38" w:rsidRPr="0009122E" w:rsidRDefault="007B7A38" w:rsidP="00645486">
      <w:pPr>
        <w:pStyle w:val="ListParagraph"/>
        <w:numPr>
          <w:ilvl w:val="0"/>
          <w:numId w:val="32"/>
        </w:numPr>
        <w:jc w:val="both"/>
        <w:rPr>
          <w:rFonts w:ascii="Arial" w:hAnsi="Arial" w:cs="Arial"/>
          <w:b/>
          <w:bCs/>
          <w:szCs w:val="20"/>
        </w:rPr>
      </w:pPr>
      <w:r w:rsidRPr="0009122E">
        <w:rPr>
          <w:rFonts w:ascii="Arial" w:hAnsi="Arial" w:cs="Arial"/>
          <w:b/>
          <w:bCs/>
          <w:szCs w:val="20"/>
        </w:rPr>
        <w:t>Regulation and enforcement</w:t>
      </w:r>
    </w:p>
    <w:p w14:paraId="215608E3" w14:textId="32B9BD15" w:rsidR="007B7A38" w:rsidRDefault="007B7A38" w:rsidP="00511F75">
      <w:pPr>
        <w:pStyle w:val="ListParagraph"/>
        <w:numPr>
          <w:ilvl w:val="1"/>
          <w:numId w:val="32"/>
        </w:numPr>
        <w:rPr>
          <w:rFonts w:ascii="Arial" w:hAnsi="Arial" w:cs="Arial"/>
          <w:szCs w:val="20"/>
        </w:rPr>
      </w:pPr>
      <w:r>
        <w:rPr>
          <w:rFonts w:ascii="Arial" w:hAnsi="Arial" w:cs="Arial"/>
          <w:szCs w:val="20"/>
        </w:rPr>
        <w:t>While the Bank has submitted to Treasury that the PSRA should be clarified to ensure that all entities that play a role in facilitating payments could be subject to regulation under that Act, the Bank does not consider that major changes to enforcement powers are warranted at this stage.</w:t>
      </w:r>
      <w:r>
        <w:rPr>
          <w:rFonts w:ascii="Arial" w:hAnsi="Arial" w:cs="Arial"/>
          <w:szCs w:val="20"/>
        </w:rPr>
        <w:br/>
      </w:r>
    </w:p>
    <w:p w14:paraId="5217AA7E" w14:textId="46E2CBE2" w:rsidR="007B7A38" w:rsidRDefault="007B7A38" w:rsidP="00511F75">
      <w:pPr>
        <w:pStyle w:val="ListParagraph"/>
        <w:numPr>
          <w:ilvl w:val="1"/>
          <w:numId w:val="32"/>
        </w:numPr>
        <w:rPr>
          <w:rFonts w:ascii="Arial" w:hAnsi="Arial" w:cs="Arial"/>
          <w:szCs w:val="20"/>
        </w:rPr>
      </w:pPr>
      <w:r>
        <w:rPr>
          <w:rFonts w:ascii="Arial" w:hAnsi="Arial" w:cs="Arial"/>
          <w:szCs w:val="20"/>
        </w:rPr>
        <w:t>eftpos submits that enforcement powers are needed and should be exercised to address the conduct identified in the Consultation Paper and breaches of the explicit regulation that eftpos call</w:t>
      </w:r>
      <w:r w:rsidR="00070DB9">
        <w:rPr>
          <w:rFonts w:ascii="Arial" w:hAnsi="Arial" w:cs="Arial"/>
          <w:szCs w:val="20"/>
        </w:rPr>
        <w:t>s</w:t>
      </w:r>
      <w:r>
        <w:rPr>
          <w:rFonts w:ascii="Arial" w:hAnsi="Arial" w:cs="Arial"/>
          <w:szCs w:val="20"/>
        </w:rPr>
        <w:t xml:space="preserve"> for under this response.  </w:t>
      </w:r>
      <w:r w:rsidR="004D78F7">
        <w:rPr>
          <w:rFonts w:ascii="Arial" w:hAnsi="Arial" w:cs="Arial"/>
          <w:szCs w:val="20"/>
        </w:rPr>
        <w:br/>
      </w:r>
    </w:p>
    <w:p w14:paraId="29EB85F5" w14:textId="77777777" w:rsidR="00A06611" w:rsidRPr="0009122E" w:rsidRDefault="00A06611" w:rsidP="00645486">
      <w:pPr>
        <w:pStyle w:val="ListParagraph"/>
        <w:numPr>
          <w:ilvl w:val="0"/>
          <w:numId w:val="32"/>
        </w:numPr>
        <w:jc w:val="both"/>
        <w:rPr>
          <w:rFonts w:ascii="Arial" w:hAnsi="Arial" w:cs="Arial"/>
          <w:b/>
          <w:bCs/>
          <w:szCs w:val="20"/>
        </w:rPr>
      </w:pPr>
      <w:r w:rsidRPr="0009122E">
        <w:rPr>
          <w:rFonts w:ascii="Arial" w:hAnsi="Arial" w:cs="Arial"/>
          <w:b/>
          <w:bCs/>
          <w:szCs w:val="20"/>
        </w:rPr>
        <w:t>Additional questions</w:t>
      </w:r>
    </w:p>
    <w:p w14:paraId="5B328997" w14:textId="1D381E29" w:rsidR="00A06611" w:rsidRPr="00055223" w:rsidRDefault="00055223" w:rsidP="00A17156">
      <w:pPr>
        <w:pStyle w:val="ListParagraph"/>
        <w:numPr>
          <w:ilvl w:val="1"/>
          <w:numId w:val="32"/>
        </w:numPr>
        <w:rPr>
          <w:rFonts w:ascii="Arial" w:hAnsi="Arial" w:cs="Arial"/>
          <w:szCs w:val="20"/>
        </w:rPr>
      </w:pPr>
      <w:r w:rsidRPr="00055223">
        <w:rPr>
          <w:rFonts w:ascii="Arial" w:hAnsi="Arial" w:cs="Arial"/>
          <w:szCs w:val="20"/>
        </w:rPr>
        <w:t>Re</w:t>
      </w:r>
      <w:r w:rsidR="00A06611" w:rsidRPr="00055223">
        <w:rPr>
          <w:rFonts w:ascii="Arial" w:hAnsi="Arial" w:cs="Arial"/>
          <w:szCs w:val="20"/>
        </w:rPr>
        <w:t xml:space="preserve"> draft changes to standard</w:t>
      </w:r>
      <w:r w:rsidRPr="00055223">
        <w:rPr>
          <w:rFonts w:ascii="Arial" w:hAnsi="Arial" w:cs="Arial"/>
          <w:szCs w:val="20"/>
        </w:rPr>
        <w:t xml:space="preserve"> #2</w:t>
      </w:r>
      <w:r w:rsidR="00A06611" w:rsidRPr="00055223">
        <w:rPr>
          <w:rFonts w:ascii="Arial" w:hAnsi="Arial" w:cs="Arial"/>
          <w:szCs w:val="20"/>
        </w:rPr>
        <w:t xml:space="preserve"> interchange for domestic transactions from foreign issued </w:t>
      </w:r>
      <w:r w:rsidR="00CB195C" w:rsidRPr="00055223">
        <w:rPr>
          <w:rFonts w:ascii="Arial" w:hAnsi="Arial" w:cs="Arial"/>
          <w:szCs w:val="20"/>
        </w:rPr>
        <w:t xml:space="preserve">debit </w:t>
      </w:r>
      <w:r w:rsidR="00A06611" w:rsidRPr="00055223">
        <w:rPr>
          <w:rFonts w:ascii="Arial" w:hAnsi="Arial" w:cs="Arial"/>
          <w:szCs w:val="20"/>
        </w:rPr>
        <w:t xml:space="preserve">cards </w:t>
      </w:r>
      <w:r w:rsidR="00CB195C" w:rsidRPr="00055223">
        <w:rPr>
          <w:rFonts w:ascii="Arial" w:hAnsi="Arial" w:cs="Arial"/>
          <w:szCs w:val="20"/>
        </w:rPr>
        <w:t xml:space="preserve">(Standard #2) </w:t>
      </w:r>
      <w:r w:rsidR="00A06611" w:rsidRPr="00055223">
        <w:rPr>
          <w:rFonts w:ascii="Arial" w:hAnsi="Arial" w:cs="Arial"/>
          <w:szCs w:val="20"/>
        </w:rPr>
        <w:t>– eftpos suggests that the definition of International Interchange Fee not be defined by reference to the name of the fee but rather the effect of the fee.</w:t>
      </w:r>
      <w:r>
        <w:rPr>
          <w:rFonts w:ascii="Arial" w:hAnsi="Arial" w:cs="Arial"/>
          <w:szCs w:val="20"/>
        </w:rPr>
        <w:br/>
      </w:r>
    </w:p>
    <w:p w14:paraId="7F9910FD" w14:textId="77777777" w:rsidR="009E077D" w:rsidRDefault="00A06611" w:rsidP="00511F75">
      <w:pPr>
        <w:pStyle w:val="ListParagraph"/>
        <w:numPr>
          <w:ilvl w:val="1"/>
          <w:numId w:val="32"/>
        </w:numPr>
        <w:rPr>
          <w:rFonts w:ascii="Arial" w:hAnsi="Arial" w:cs="Arial"/>
        </w:rPr>
      </w:pPr>
      <w:r w:rsidRPr="0DAB75B4">
        <w:rPr>
          <w:rFonts w:ascii="Arial" w:hAnsi="Arial" w:cs="Arial"/>
        </w:rPr>
        <w:t xml:space="preserve">Stakeholders have had ample opportunity to provide the Bank with their views on the topics under the Consultation Paper.  Therefore, eftpos encourages the Bank to proceed with expediency now to implement explicit regulation to implement its policy agenda given that consultation under this review has </w:t>
      </w:r>
      <w:r w:rsidRPr="0DAB75B4">
        <w:rPr>
          <w:rFonts w:ascii="Arial" w:hAnsi="Arial" w:cs="Arial"/>
        </w:rPr>
        <w:lastRenderedPageBreak/>
        <w:t>already been protracted due to COVID_19. A further three months should be sufficient to conclude and publish the Bank’s views as well as the regulation to implement them.</w:t>
      </w:r>
    </w:p>
    <w:p w14:paraId="2AEDC06C" w14:textId="77777777" w:rsidR="009E077D" w:rsidRDefault="009E077D">
      <w:pPr>
        <w:spacing w:after="120"/>
        <w:rPr>
          <w:rFonts w:ascii="Arial" w:hAnsi="Arial" w:cs="Arial"/>
        </w:rPr>
      </w:pPr>
      <w:r>
        <w:rPr>
          <w:rFonts w:ascii="Arial" w:hAnsi="Arial" w:cs="Arial"/>
        </w:rPr>
        <w:br w:type="page"/>
      </w:r>
    </w:p>
    <w:p w14:paraId="64923EC1" w14:textId="49552A65" w:rsidR="00A06611" w:rsidRDefault="009E077D" w:rsidP="009E077D">
      <w:pPr>
        <w:pStyle w:val="ListParagraph"/>
        <w:ind w:left="1080"/>
        <w:rPr>
          <w:rFonts w:ascii="Arial" w:hAnsi="Arial" w:cs="Arial"/>
        </w:rPr>
      </w:pPr>
      <w:r>
        <w:rPr>
          <w:b/>
          <w:bCs/>
        </w:rPr>
        <w:lastRenderedPageBreak/>
        <w:t>Part C – Report (see attached)</w:t>
      </w:r>
      <w:r w:rsidR="00A06611">
        <w:br/>
      </w:r>
    </w:p>
    <w:p w14:paraId="367E3911" w14:textId="77777777" w:rsidR="003859D4" w:rsidRPr="006B65AF" w:rsidRDefault="003859D4" w:rsidP="00645486">
      <w:pPr>
        <w:tabs>
          <w:tab w:val="num" w:pos="720"/>
        </w:tabs>
        <w:jc w:val="both"/>
        <w:rPr>
          <w:rFonts w:ascii="Arial" w:hAnsi="Arial" w:cs="Arial"/>
          <w:b/>
          <w:bCs/>
          <w:szCs w:val="20"/>
        </w:rPr>
      </w:pPr>
    </w:p>
    <w:p w14:paraId="46800F5A" w14:textId="2929C4A0" w:rsidR="005C10E3" w:rsidRPr="00FC07B4" w:rsidRDefault="005C10E3" w:rsidP="00645486">
      <w:pPr>
        <w:jc w:val="both"/>
      </w:pPr>
    </w:p>
    <w:sectPr w:rsidR="005C10E3" w:rsidRPr="00FC07B4" w:rsidSect="000E152E">
      <w:pgSz w:w="11907" w:h="16840" w:code="9"/>
      <w:pgMar w:top="720" w:right="720" w:bottom="720" w:left="720" w:header="1701" w:footer="851"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40AB7A" w14:textId="77777777" w:rsidR="001E2B2F" w:rsidRDefault="001E2B2F" w:rsidP="00062759">
      <w:pPr>
        <w:spacing w:after="0" w:line="240" w:lineRule="auto"/>
      </w:pPr>
      <w:r>
        <w:separator/>
      </w:r>
    </w:p>
  </w:endnote>
  <w:endnote w:type="continuationSeparator" w:id="0">
    <w:p w14:paraId="4BA1917F" w14:textId="77777777" w:rsidR="001E2B2F" w:rsidRDefault="001E2B2F" w:rsidP="00062759">
      <w:pPr>
        <w:spacing w:after="0" w:line="240" w:lineRule="auto"/>
      </w:pPr>
      <w:r>
        <w:continuationSeparator/>
      </w:r>
    </w:p>
  </w:endnote>
  <w:endnote w:type="continuationNotice" w:id="1">
    <w:p w14:paraId="0BA18CA6" w14:textId="77777777" w:rsidR="001E2B2F" w:rsidRDefault="001E2B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Manrope">
    <w:altName w:val="Cambria"/>
    <w:panose1 w:val="00000000000000000000"/>
    <w:charset w:val="00"/>
    <w:family w:val="auto"/>
    <w:pitch w:val="variable"/>
    <w:sig w:usb0="A00002BF" w:usb1="5000206B" w:usb2="00000000" w:usb3="00000000" w:csb0="0000009F" w:csb1="00000000"/>
  </w:font>
  <w:font w:name="Sharp Grotesk SmBold 23">
    <w:altName w:val="Cambria"/>
    <w:panose1 w:val="020B0707050702030204"/>
    <w:charset w:val="00"/>
    <w:family w:val="swiss"/>
    <w:pitch w:val="variable"/>
    <w:sig w:usb0="00000007" w:usb1="00000001"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EDC48F" w14:textId="76B9F49C" w:rsidR="00403FAB" w:rsidRDefault="00F55147">
    <w:pPr>
      <w:pStyle w:val="Footer"/>
    </w:pPr>
    <w:r>
      <w:rPr>
        <w:rFonts w:hint="eastAsia"/>
        <w:noProof/>
      </w:rPr>
      <mc:AlternateContent>
        <mc:Choice Requires="wps">
          <w:drawing>
            <wp:anchor distT="0" distB="0" distL="0" distR="0" simplePos="0" relativeHeight="251658244" behindDoc="0" locked="0" layoutInCell="1" allowOverlap="1" wp14:anchorId="28C7223E" wp14:editId="64B869F9">
              <wp:simplePos x="635" y="635"/>
              <wp:positionH relativeFrom="column">
                <wp:align>center</wp:align>
              </wp:positionH>
              <wp:positionV relativeFrom="paragraph">
                <wp:posOffset>635</wp:posOffset>
              </wp:positionV>
              <wp:extent cx="443865" cy="443865"/>
              <wp:effectExtent l="0" t="0" r="635" b="13335"/>
              <wp:wrapSquare wrapText="bothSides"/>
              <wp:docPr id="2" name="Text Box 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2012D0F" w14:textId="322A9D39" w:rsidR="00F55147" w:rsidRPr="00F55147" w:rsidRDefault="00F55147">
                          <w:pPr>
                            <w:rPr>
                              <w:rFonts w:ascii="Calibri" w:eastAsia="Calibri" w:hAnsi="Calibri" w:cs="Calibri"/>
                              <w:color w:val="000000"/>
                              <w:szCs w:val="20"/>
                            </w:rPr>
                          </w:pPr>
                          <w:r w:rsidRPr="00F55147">
                            <w:rPr>
                              <w:rFonts w:ascii="Calibri" w:eastAsia="Calibri" w:hAnsi="Calibri" w:cs="Calibri"/>
                              <w:color w:val="000000"/>
                              <w:szCs w:val="20"/>
                            </w:rPr>
                            <w:t>Confidential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28C7223E" id="_x0000_t202" coordsize="21600,21600" o:spt="202" path="m,l,21600r21600,l21600,xe">
              <v:stroke joinstyle="miter"/>
              <v:path gradientshapeok="t" o:connecttype="rect"/>
            </v:shapetype>
            <v:shape id="Text Box 2" o:spid="_x0000_s1028" type="#_x0000_t202" alt="Confidential" style="position:absolute;margin-left:0;margin-top:.05pt;width:34.95pt;height:34.95pt;z-index:25165824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" filled="f" stroked="f">
              <v:textbox style="mso-fit-shape-to-text:t" inset="0,0,0,0">
                <w:txbxContent>
                  <w:p w14:paraId="72012D0F" w14:textId="322A9D39" w:rsidR="00F55147" w:rsidRPr="00F55147" w:rsidRDefault="00F55147">
                    <w:pPr>
                      <w:rPr>
                        <w:rFonts w:ascii="Calibri" w:eastAsia="Calibri" w:hAnsi="Calibri" w:cs="Calibri"/>
                        <w:color w:val="000000"/>
                        <w:szCs w:val="20"/>
                      </w:rPr>
                    </w:pPr>
                    <w:r w:rsidRPr="00F55147">
                      <w:rPr>
                        <w:rFonts w:ascii="Calibri" w:eastAsia="Calibri" w:hAnsi="Calibri" w:cs="Calibri"/>
                        <w:color w:val="000000"/>
                        <w:szCs w:val="20"/>
                      </w:rPr>
                      <w:t>Confidential</w:t>
                    </w:r>
                  </w:p>
                </w:txbxContent>
              </v:textbox>
              <w10:wrap type="square"/>
            </v:shape>
          </w:pict>
        </mc:Fallback>
      </mc:AlternateContent>
    </w:r>
    <w:r w:rsidR="001616F4">
      <w:rPr>
        <w:rFonts w:hint="eastAsia"/>
        <w:noProof/>
      </w:rPr>
      <mc:AlternateContent>
        <mc:Choice Requires="wps">
          <w:drawing>
            <wp:anchor distT="0" distB="0" distL="0" distR="0" simplePos="0" relativeHeight="251658242" behindDoc="0" locked="0" layoutInCell="1" allowOverlap="1" wp14:anchorId="56EA077F" wp14:editId="5F30C8E0">
              <wp:simplePos x="635" y="635"/>
              <wp:positionH relativeFrom="column">
                <wp:align>center</wp:align>
              </wp:positionH>
              <wp:positionV relativeFrom="paragraph">
                <wp:posOffset>635</wp:posOffset>
              </wp:positionV>
              <wp:extent cx="443865" cy="443865"/>
              <wp:effectExtent l="0" t="0" r="2540" b="6985"/>
              <wp:wrapSquare wrapText="bothSides"/>
              <wp:docPr id="6" name="Text Box 6" descr="For 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12A1F01" w14:textId="37F43BB6" w:rsidR="001616F4" w:rsidRPr="001616F4" w:rsidRDefault="001616F4">
                          <w:pPr>
                            <w:rPr>
                              <w:rFonts w:ascii="Calibri" w:eastAsia="Calibri" w:hAnsi="Calibri" w:cs="Calibri"/>
                              <w:color w:val="000000"/>
                              <w:szCs w:val="20"/>
                            </w:rPr>
                          </w:pPr>
                          <w:r w:rsidRPr="001616F4">
                            <w:rPr>
                              <w:rFonts w:ascii="Calibri" w:eastAsia="Calibri" w:hAnsi="Calibri" w:cs="Calibri"/>
                              <w:color w:val="000000"/>
                              <w:szCs w:val="20"/>
                            </w:rPr>
                            <w:t>For Official Use Only</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56EA077F" id="Text Box 6" o:spid="_x0000_s1029" type="#_x0000_t202" alt="For Official Use Only" style="position:absolute;margin-left:0;margin-top:.05pt;width:34.95pt;height:34.95pt;z-index:25165824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" filled="f" stroked="f">
              <v:textbox style="mso-fit-shape-to-text:t" inset="0,0,0,0">
                <w:txbxContent>
                  <w:p w14:paraId="312A1F01" w14:textId="37F43BB6" w:rsidR="001616F4" w:rsidRPr="001616F4" w:rsidRDefault="001616F4">
                    <w:pPr>
                      <w:rPr>
                        <w:rFonts w:ascii="Calibri" w:eastAsia="Calibri" w:hAnsi="Calibri" w:cs="Calibri"/>
                        <w:color w:val="000000"/>
                        <w:szCs w:val="20"/>
                      </w:rPr>
                    </w:pPr>
                    <w:r w:rsidRPr="001616F4">
                      <w:rPr>
                        <w:rFonts w:ascii="Calibri" w:eastAsia="Calibri" w:hAnsi="Calibri" w:cs="Calibri"/>
                        <w:color w:val="000000"/>
                        <w:szCs w:val="20"/>
                      </w:rPr>
                      <w:t>For Official Use Only</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b/>
        <w:bCs/>
        <w:color w:val="FF0066"/>
        <w:sz w:val="16"/>
        <w:szCs w:val="16"/>
      </w:rPr>
      <w:id w:val="-1091855332"/>
      <w:docPartObj>
        <w:docPartGallery w:val="Page Numbers (Bottom of Page)"/>
        <w:docPartUnique/>
      </w:docPartObj>
    </w:sdtPr>
    <w:sdtEndPr>
      <w:rPr>
        <w:noProof/>
      </w:rPr>
    </w:sdtEndPr>
    <w:sdtContent>
      <w:p w14:paraId="3073A7BB" w14:textId="0E107534" w:rsidR="00645486" w:rsidRPr="00645486" w:rsidRDefault="00645486">
        <w:pPr>
          <w:pStyle w:val="Footer"/>
          <w:jc w:val="right"/>
          <w:rPr>
            <w:b/>
            <w:bCs/>
            <w:color w:val="FF0066"/>
            <w:sz w:val="16"/>
            <w:szCs w:val="16"/>
          </w:rPr>
        </w:pPr>
        <w:r w:rsidRPr="00645486">
          <w:rPr>
            <w:b/>
            <w:bCs/>
            <w:color w:val="FF0066"/>
            <w:sz w:val="16"/>
            <w:szCs w:val="16"/>
          </w:rPr>
          <w:fldChar w:fldCharType="begin"/>
        </w:r>
        <w:r w:rsidRPr="00645486">
          <w:rPr>
            <w:b/>
            <w:bCs/>
            <w:color w:val="FF0066"/>
            <w:sz w:val="16"/>
            <w:szCs w:val="16"/>
          </w:rPr>
          <w:instrText xml:space="preserve"> PAGE   \* MERGEFORMAT </w:instrText>
        </w:r>
        <w:r w:rsidRPr="00645486">
          <w:rPr>
            <w:b/>
            <w:bCs/>
            <w:color w:val="FF0066"/>
            <w:sz w:val="16"/>
            <w:szCs w:val="16"/>
          </w:rPr>
          <w:fldChar w:fldCharType="separate"/>
        </w:r>
        <w:r w:rsidRPr="00645486">
          <w:rPr>
            <w:b/>
            <w:bCs/>
            <w:noProof/>
            <w:color w:val="FF0066"/>
            <w:sz w:val="16"/>
            <w:szCs w:val="16"/>
          </w:rPr>
          <w:t>2</w:t>
        </w:r>
        <w:r w:rsidRPr="00645486">
          <w:rPr>
            <w:b/>
            <w:bCs/>
            <w:noProof/>
            <w:color w:val="FF0066"/>
            <w:sz w:val="16"/>
            <w:szCs w:val="16"/>
          </w:rPr>
          <w:fldChar w:fldCharType="end"/>
        </w:r>
      </w:p>
    </w:sdtContent>
  </w:sdt>
  <w:p w14:paraId="3726D13C" w14:textId="286D12A0" w:rsidR="0055711D" w:rsidRPr="00724F1D" w:rsidRDefault="0026284B" w:rsidP="00724F1D">
    <w:pPr>
      <w:pStyle w:val="Footer"/>
      <w:tabs>
        <w:tab w:val="clear" w:pos="4513"/>
        <w:tab w:val="clear" w:pos="9026"/>
      </w:tabs>
      <w:ind w:right="-1"/>
      <w:rPr>
        <w:b/>
        <w:bCs/>
        <w:color w:val="8D1B3D" w:themeColor="accent1"/>
        <w:sz w:val="16"/>
        <w:szCs w:val="16"/>
      </w:rPr>
    </w:pPr>
    <w:r>
      <w:rPr>
        <w:rFonts w:hint="eastAsia"/>
        <w:noProof/>
      </w:rPr>
      <mc:AlternateContent>
        <mc:Choice Requires="wps">
          <w:drawing>
            <wp:anchor distT="0" distB="0" distL="0" distR="0" simplePos="0" relativeHeight="251662341" behindDoc="0" locked="0" layoutInCell="1" allowOverlap="1" wp14:anchorId="59AC44A6" wp14:editId="5CCA9482">
              <wp:simplePos x="0" y="0"/>
              <wp:positionH relativeFrom="margin">
                <wp:posOffset>2406650</wp:posOffset>
              </wp:positionH>
              <wp:positionV relativeFrom="paragraph">
                <wp:posOffset>101600</wp:posOffset>
              </wp:positionV>
              <wp:extent cx="443865" cy="443865"/>
              <wp:effectExtent l="0" t="0" r="635" b="13335"/>
              <wp:wrapSquare wrapText="bothSides"/>
              <wp:docPr id="12" name="Text Box 1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BC7D0EA" w14:textId="77777777" w:rsidR="0026284B" w:rsidRPr="00482C17" w:rsidRDefault="0026284B" w:rsidP="0026284B">
                          <w:pPr>
                            <w:tabs>
                              <w:tab w:val="left" w:pos="567"/>
                            </w:tabs>
                            <w:rPr>
                              <w:rFonts w:ascii="Calibri" w:eastAsia="Calibri" w:hAnsi="Calibri" w:cs="Calibri"/>
                              <w:color w:val="FF0000"/>
                              <w:szCs w:val="20"/>
                            </w:rPr>
                          </w:pPr>
                        </w:p>
                        <w:p w14:paraId="6BA69751" w14:textId="77777777" w:rsidR="0026284B" w:rsidRPr="00645486" w:rsidRDefault="0026284B" w:rsidP="0026284B">
                          <w:pPr>
                            <w:tabs>
                              <w:tab w:val="left" w:pos="567"/>
                            </w:tabs>
                            <w:rPr>
                              <w:rFonts w:eastAsia="Calibri" w:cs="Calibri"/>
                              <w:sz w:val="16"/>
                              <w:szCs w:val="16"/>
                            </w:rPr>
                          </w:pPr>
                          <w:r w:rsidRPr="00645486">
                            <w:rPr>
                              <w:rFonts w:eastAsia="Calibri" w:cs="Calibri"/>
                              <w:sz w:val="16"/>
                              <w:szCs w:val="16"/>
                            </w:rPr>
                            <w:t>For Official Use Only</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59AC44A6" id="_x0000_t202" coordsize="21600,21600" o:spt="202" path="m,l,21600r21600,l21600,xe">
              <v:stroke joinstyle="miter"/>
              <v:path gradientshapeok="t" o:connecttype="rect"/>
            </v:shapetype>
            <v:shape id="Text Box 12" o:spid="_x0000_s1030" type="#_x0000_t202" alt="Confidential" style="position:absolute;margin-left:189.5pt;margin-top:8pt;width:34.95pt;height:34.95pt;z-index:251662341;visibility:visible;mso-wrap-style:non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" filled="f" stroked="f">
              <v:textbox style="mso-fit-shape-to-text:t" inset="0,0,0,0">
                <w:txbxContent>
                  <w:p w14:paraId="6BC7D0EA" w14:textId="77777777" w:rsidR="0026284B" w:rsidRPr="00482C17" w:rsidRDefault="0026284B" w:rsidP="0026284B">
                    <w:pPr>
                      <w:tabs>
                        <w:tab w:val="left" w:pos="567"/>
                      </w:tabs>
                      <w:rPr>
                        <w:rFonts w:ascii="Calibri" w:eastAsia="Calibri" w:hAnsi="Calibri" w:cs="Calibri"/>
                        <w:color w:val="FF0000"/>
                        <w:szCs w:val="20"/>
                      </w:rPr>
                    </w:pPr>
                  </w:p>
                  <w:p w14:paraId="6BA69751" w14:textId="77777777" w:rsidR="0026284B" w:rsidRPr="00645486" w:rsidRDefault="0026284B" w:rsidP="0026284B">
                    <w:pPr>
                      <w:tabs>
                        <w:tab w:val="left" w:pos="567"/>
                      </w:tabs>
                      <w:rPr>
                        <w:rFonts w:eastAsia="Calibri" w:cs="Calibri"/>
                        <w:sz w:val="16"/>
                        <w:szCs w:val="16"/>
                      </w:rPr>
                    </w:pPr>
                    <w:r w:rsidRPr="00645486">
                      <w:rPr>
                        <w:rFonts w:eastAsia="Calibri" w:cs="Calibri"/>
                        <w:sz w:val="16"/>
                        <w:szCs w:val="16"/>
                      </w:rPr>
                      <w:t>For Official Use Only</w:t>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0777BF" w14:textId="77777777" w:rsidR="00482C17" w:rsidRPr="0055711D" w:rsidRDefault="00482C17" w:rsidP="00482C17">
    <w:pPr>
      <w:tabs>
        <w:tab w:val="left" w:pos="283"/>
      </w:tabs>
      <w:suppressAutoHyphens/>
      <w:spacing w:before="200" w:after="0"/>
      <w:ind w:right="851"/>
      <w:rPr>
        <w:rFonts w:cs="Segoe UI"/>
        <w:color w:val="5A5B5E"/>
        <w:spacing w:val="-3"/>
        <w:sz w:val="16"/>
        <w:szCs w:val="16"/>
      </w:rPr>
    </w:pPr>
    <w:r w:rsidRPr="0055711D">
      <w:rPr>
        <w:b/>
        <w:bCs/>
        <w:sz w:val="16"/>
        <w:szCs w:val="16"/>
      </w:rPr>
      <w:t xml:space="preserve">Head Office </w:t>
    </w:r>
    <w:r w:rsidRPr="0055711D">
      <w:rPr>
        <w:sz w:val="16"/>
        <w:szCs w:val="16"/>
      </w:rPr>
      <w:t xml:space="preserve">Level 11, 45 Clarence Street, </w:t>
    </w:r>
    <w:r w:rsidRPr="0055711D">
      <w:rPr>
        <w:sz w:val="16"/>
        <w:szCs w:val="16"/>
        <w:lang w:val="en-US"/>
      </w:rPr>
      <w:t>Sydney NSW 2000</w:t>
    </w:r>
    <w:r>
      <w:rPr>
        <w:sz w:val="16"/>
        <w:szCs w:val="16"/>
        <w:lang w:val="en-US"/>
      </w:rPr>
      <w:t xml:space="preserve"> </w:t>
    </w:r>
    <w:r w:rsidRPr="0055711D">
      <w:rPr>
        <w:sz w:val="16"/>
        <w:szCs w:val="16"/>
        <w:lang w:val="en-US"/>
      </w:rPr>
      <w:t xml:space="preserve"> </w:t>
    </w:r>
    <w:r>
      <w:rPr>
        <w:sz w:val="16"/>
        <w:szCs w:val="16"/>
        <w:lang w:val="en-US"/>
      </w:rPr>
      <w:t xml:space="preserve"> </w:t>
    </w:r>
    <w:r w:rsidRPr="0055711D">
      <w:rPr>
        <w:sz w:val="16"/>
        <w:szCs w:val="16"/>
        <w:lang w:val="en-US"/>
      </w:rPr>
      <w:t>|</w:t>
    </w:r>
    <w:r>
      <w:rPr>
        <w:sz w:val="16"/>
        <w:szCs w:val="16"/>
        <w:lang w:val="en-US"/>
      </w:rPr>
      <w:t xml:space="preserve">  </w:t>
    </w:r>
    <w:r w:rsidRPr="0055711D">
      <w:rPr>
        <w:sz w:val="16"/>
        <w:szCs w:val="16"/>
        <w:lang w:val="en-US"/>
      </w:rPr>
      <w:t xml:space="preserve"> </w:t>
    </w:r>
    <w:r w:rsidRPr="0055711D">
      <w:rPr>
        <w:rFonts w:cs="Segoe UI"/>
        <w:color w:val="5A5B5E"/>
        <w:spacing w:val="-1"/>
        <w:sz w:val="16"/>
        <w:szCs w:val="16"/>
      </w:rPr>
      <w:t>GPO Box 126, Sydney NSW 2001</w:t>
    </w:r>
  </w:p>
  <w:p w14:paraId="7989B319" w14:textId="174056F7" w:rsidR="00482C17" w:rsidRPr="0055711D" w:rsidRDefault="00482C17" w:rsidP="00482C17">
    <w:pPr>
      <w:tabs>
        <w:tab w:val="left" w:pos="283"/>
      </w:tabs>
      <w:suppressAutoHyphens/>
      <w:spacing w:after="0"/>
      <w:ind w:right="851"/>
      <w:rPr>
        <w:rFonts w:cs="Segoe UI"/>
        <w:color w:val="58595B" w:themeColor="text1"/>
        <w:spacing w:val="-3"/>
        <w:sz w:val="16"/>
        <w:szCs w:val="16"/>
      </w:rPr>
    </w:pPr>
    <w:r w:rsidRPr="0055711D">
      <w:rPr>
        <w:rFonts w:cs="Segoe UI"/>
        <w:color w:val="5A5B5E"/>
        <w:spacing w:val="-3"/>
        <w:sz w:val="16"/>
        <w:szCs w:val="16"/>
      </w:rPr>
      <w:t>Telephone +61 2 8270 1800</w:t>
    </w:r>
    <w:r>
      <w:rPr>
        <w:rFonts w:cs="Segoe UI"/>
        <w:color w:val="5A5B5E"/>
        <w:spacing w:val="-3"/>
        <w:sz w:val="16"/>
        <w:szCs w:val="16"/>
      </w:rPr>
      <w:t xml:space="preserve"> </w:t>
    </w:r>
    <w:r w:rsidRPr="0055711D">
      <w:rPr>
        <w:rFonts w:cs="Segoe UI"/>
        <w:color w:val="5A5B5E"/>
        <w:spacing w:val="-3"/>
        <w:sz w:val="16"/>
        <w:szCs w:val="16"/>
      </w:rPr>
      <w:t xml:space="preserve">  | </w:t>
    </w:r>
    <w:r>
      <w:rPr>
        <w:rFonts w:cs="Segoe UI"/>
        <w:color w:val="5A5B5E"/>
        <w:spacing w:val="-3"/>
        <w:sz w:val="16"/>
        <w:szCs w:val="16"/>
      </w:rPr>
      <w:t xml:space="preserve">  </w:t>
    </w:r>
    <w:r w:rsidRPr="0055711D">
      <w:rPr>
        <w:rFonts w:cs="Segoe UI"/>
        <w:color w:val="5A5B5E"/>
        <w:spacing w:val="-3"/>
        <w:sz w:val="16"/>
        <w:szCs w:val="16"/>
      </w:rPr>
      <w:t>Facsimile +61 2 9299 2885</w:t>
    </w:r>
    <w:r>
      <w:rPr>
        <w:rFonts w:cs="Segoe UI"/>
        <w:color w:val="5A5B5E"/>
        <w:spacing w:val="-3"/>
        <w:sz w:val="16"/>
        <w:szCs w:val="16"/>
      </w:rPr>
      <w:t xml:space="preserve">  </w:t>
    </w:r>
    <w:r w:rsidRPr="0055711D">
      <w:rPr>
        <w:rFonts w:cs="Segoe UI"/>
        <w:color w:val="5A5B5E"/>
        <w:spacing w:val="-1"/>
        <w:sz w:val="16"/>
        <w:szCs w:val="16"/>
      </w:rPr>
      <w:t xml:space="preserve"> | </w:t>
    </w:r>
    <w:r>
      <w:rPr>
        <w:rFonts w:cs="Segoe UI"/>
        <w:color w:val="5A5B5E"/>
        <w:spacing w:val="-1"/>
        <w:sz w:val="16"/>
        <w:szCs w:val="16"/>
      </w:rPr>
      <w:t xml:space="preserve">  </w:t>
    </w:r>
    <w:r w:rsidRPr="0055711D">
      <w:rPr>
        <w:color w:val="58595B" w:themeColor="text1"/>
        <w:sz w:val="16"/>
        <w:szCs w:val="16"/>
      </w:rPr>
      <w:t xml:space="preserve">Email: </w:t>
    </w:r>
    <w:hyperlink r:id="rId1" w:history="1">
      <w:r w:rsidRPr="0055711D">
        <w:rPr>
          <w:rStyle w:val="Hyperlink"/>
          <w:color w:val="58595B" w:themeColor="text1"/>
          <w:sz w:val="16"/>
          <w:szCs w:val="16"/>
          <w:u w:val="none"/>
        </w:rPr>
        <w:t>info@eftposaustralia.com.au</w:t>
      </w:r>
    </w:hyperlink>
  </w:p>
  <w:p w14:paraId="3EA719BD" w14:textId="6DB084CB" w:rsidR="00482C17" w:rsidRPr="00482C17" w:rsidRDefault="00482C17" w:rsidP="00482C17">
    <w:pPr>
      <w:pStyle w:val="Footer"/>
      <w:rPr>
        <w:b/>
        <w:bCs/>
        <w:color w:val="8D1B3D" w:themeColor="accent1"/>
        <w:sz w:val="16"/>
        <w:szCs w:val="16"/>
      </w:rPr>
    </w:pPr>
    <w:r>
      <w:rPr>
        <w:rFonts w:hint="eastAsia"/>
        <w:noProof/>
      </w:rPr>
      <mc:AlternateContent>
        <mc:Choice Requires="wps">
          <w:drawing>
            <wp:anchor distT="0" distB="0" distL="0" distR="0" simplePos="0" relativeHeight="251658243" behindDoc="0" locked="0" layoutInCell="1" allowOverlap="1" wp14:anchorId="5EFB8CD0" wp14:editId="0CEAF615">
              <wp:simplePos x="0" y="0"/>
              <wp:positionH relativeFrom="margin">
                <wp:posOffset>2691130</wp:posOffset>
              </wp:positionH>
              <wp:positionV relativeFrom="paragraph">
                <wp:posOffset>70485</wp:posOffset>
              </wp:positionV>
              <wp:extent cx="443865" cy="443865"/>
              <wp:effectExtent l="0" t="0" r="635" b="13335"/>
              <wp:wrapSquare wrapText="bothSides"/>
              <wp:docPr id="1" name="Text Box 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C257565" w14:textId="77777777" w:rsidR="00482C17" w:rsidRPr="00482C17" w:rsidRDefault="00482C17">
                          <w:pPr>
                            <w:rPr>
                              <w:rFonts w:ascii="Calibri" w:eastAsia="Calibri" w:hAnsi="Calibri" w:cs="Calibri"/>
                              <w:color w:val="FF0000"/>
                              <w:szCs w:val="20"/>
                            </w:rPr>
                          </w:pPr>
                        </w:p>
                        <w:p w14:paraId="17A78051" w14:textId="35D2B519" w:rsidR="00F55147" w:rsidRPr="00645486" w:rsidRDefault="00482C17">
                          <w:pPr>
                            <w:rPr>
                              <w:rFonts w:eastAsia="Calibri" w:cs="Calibri"/>
                              <w:sz w:val="16"/>
                              <w:szCs w:val="16"/>
                            </w:rPr>
                          </w:pPr>
                          <w:r w:rsidRPr="00645486">
                            <w:rPr>
                              <w:rFonts w:eastAsia="Calibri" w:cs="Calibri"/>
                              <w:sz w:val="16"/>
                              <w:szCs w:val="16"/>
                            </w:rPr>
                            <w:t>For Official Use Only</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5EFB8CD0" id="_x0000_t202" coordsize="21600,21600" o:spt="202" path="m,l,21600r21600,l21600,xe">
              <v:stroke joinstyle="miter"/>
              <v:path gradientshapeok="t" o:connecttype="rect"/>
            </v:shapetype>
            <v:shape id="Text Box 1" o:spid="_x0000_s1031" type="#_x0000_t202" alt="Confidential" style="position:absolute;margin-left:211.9pt;margin-top:5.55pt;width:34.95pt;height:34.95pt;z-index:251658243;visibility:visible;mso-wrap-style:none;mso-wrap-distance-left:0;mso-wrap-distance-top:0;mso-wrap-distance-right:0;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" filled="f" stroked="f">
              <v:textbox style="mso-fit-shape-to-text:t" inset="0,0,0,0">
                <w:txbxContent>
                  <w:p w14:paraId="5C257565" w14:textId="77777777" w:rsidR="00482C17" w:rsidRPr="00482C17" w:rsidRDefault="00482C17">
                    <w:pPr>
                      <w:rPr>
                        <w:rFonts w:ascii="Calibri" w:eastAsia="Calibri" w:hAnsi="Calibri" w:cs="Calibri"/>
                        <w:color w:val="FF0000"/>
                        <w:szCs w:val="20"/>
                      </w:rPr>
                    </w:pPr>
                  </w:p>
                  <w:p w14:paraId="17A78051" w14:textId="35D2B519" w:rsidR="00F55147" w:rsidRPr="00645486" w:rsidRDefault="00482C17">
                    <w:pPr>
                      <w:rPr>
                        <w:rFonts w:eastAsia="Calibri" w:cs="Calibri"/>
                        <w:sz w:val="16"/>
                        <w:szCs w:val="16"/>
                      </w:rPr>
                    </w:pPr>
                    <w:r w:rsidRPr="00645486">
                      <w:rPr>
                        <w:rFonts w:eastAsia="Calibri" w:cs="Calibri"/>
                        <w:sz w:val="16"/>
                        <w:szCs w:val="16"/>
                      </w:rPr>
                      <w:t>For Official Use Only</w:t>
                    </w:r>
                  </w:p>
                </w:txbxContent>
              </v:textbox>
              <w10:wrap type="square" anchorx="margin"/>
            </v:shape>
          </w:pict>
        </mc:Fallback>
      </mc:AlternateContent>
    </w:r>
    <w:hyperlink r:id="rId2" w:history="1">
      <w:r w:rsidRPr="0055711D">
        <w:rPr>
          <w:rStyle w:val="Hyperlink"/>
          <w:b/>
          <w:bCs/>
          <w:color w:val="8D1B3D" w:themeColor="accent1"/>
          <w:sz w:val="16"/>
          <w:szCs w:val="16"/>
          <w:u w:val="none"/>
        </w:rPr>
        <w:t>www.eftposaustralia.com.au</w:t>
      </w:r>
    </w:hyperlink>
    <w:r w:rsidR="00102351">
      <w:rPr>
        <w:rStyle w:val="Hyperlink"/>
        <w:b/>
        <w:bCs/>
        <w:color w:val="8D1B3D" w:themeColor="accent1"/>
        <w:sz w:val="16"/>
        <w:szCs w:val="16"/>
        <w:u w:val="none"/>
      </w:rPr>
      <w:tab/>
    </w:r>
    <w:r w:rsidR="00102351">
      <w:rPr>
        <w:rStyle w:val="Hyperlink"/>
        <w:b/>
        <w:bCs/>
        <w:color w:val="8D1B3D" w:themeColor="accent1"/>
        <w:sz w:val="16"/>
        <w:szCs w:val="16"/>
        <w:u w:val="none"/>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116A1F" w14:textId="77777777" w:rsidR="001E2B2F" w:rsidRDefault="001E2B2F" w:rsidP="00062759">
      <w:pPr>
        <w:spacing w:after="0" w:line="240" w:lineRule="auto"/>
      </w:pPr>
      <w:r>
        <w:separator/>
      </w:r>
    </w:p>
  </w:footnote>
  <w:footnote w:type="continuationSeparator" w:id="0">
    <w:p w14:paraId="205304CF" w14:textId="77777777" w:rsidR="001E2B2F" w:rsidRDefault="001E2B2F" w:rsidP="00062759">
      <w:pPr>
        <w:spacing w:after="0" w:line="240" w:lineRule="auto"/>
      </w:pPr>
      <w:r>
        <w:continuationSeparator/>
      </w:r>
    </w:p>
  </w:footnote>
  <w:footnote w:type="continuationNotice" w:id="1">
    <w:p w14:paraId="1E105F4F" w14:textId="77777777" w:rsidR="001E2B2F" w:rsidRDefault="001E2B2F">
      <w:pPr>
        <w:spacing w:after="0" w:line="240" w:lineRule="auto"/>
      </w:pPr>
    </w:p>
  </w:footnote>
  <w:footnote w:id="2">
    <w:p w14:paraId="68C190EE" w14:textId="1D5B1ABD" w:rsidR="001B64E1" w:rsidRPr="000E152E" w:rsidRDefault="001B64E1">
      <w:pPr>
        <w:pStyle w:val="FootnoteText"/>
        <w:rPr>
          <w:sz w:val="16"/>
          <w:szCs w:val="16"/>
          <w:lang w:val="en-US"/>
        </w:rPr>
      </w:pPr>
      <w:r w:rsidRPr="000E152E">
        <w:rPr>
          <w:rStyle w:val="FootnoteReference"/>
          <w:sz w:val="16"/>
          <w:szCs w:val="16"/>
        </w:rPr>
        <w:footnoteRef/>
      </w:r>
      <w:r w:rsidRPr="000E152E">
        <w:rPr>
          <w:sz w:val="16"/>
          <w:szCs w:val="16"/>
        </w:rPr>
        <w:t xml:space="preserve"> </w:t>
      </w:r>
      <w:r w:rsidR="002D1B3D" w:rsidRPr="000E152E">
        <w:rPr>
          <w:sz w:val="16"/>
          <w:szCs w:val="16"/>
          <w:lang w:val="en-US"/>
        </w:rPr>
        <w:t>https://www.rba.gov.au/payments-and-infrastructure/role-of-payments-system-board/</w:t>
      </w:r>
    </w:p>
  </w:footnote>
  <w:footnote w:id="3">
    <w:p w14:paraId="23BE252E" w14:textId="30039CC8" w:rsidR="0006228C" w:rsidRPr="000E152E" w:rsidRDefault="0006228C">
      <w:pPr>
        <w:pStyle w:val="FootnoteText"/>
        <w:rPr>
          <w:sz w:val="16"/>
          <w:szCs w:val="16"/>
          <w:lang w:val="en-US"/>
        </w:rPr>
      </w:pPr>
      <w:r w:rsidRPr="000E152E">
        <w:rPr>
          <w:rStyle w:val="FootnoteReference"/>
          <w:sz w:val="16"/>
          <w:szCs w:val="16"/>
        </w:rPr>
        <w:footnoteRef/>
      </w:r>
      <w:r w:rsidRPr="000E152E">
        <w:rPr>
          <w:sz w:val="16"/>
          <w:szCs w:val="16"/>
        </w:rPr>
        <w:t xml:space="preserve"> </w:t>
      </w:r>
      <w:r w:rsidRPr="000E152E">
        <w:rPr>
          <w:sz w:val="16"/>
          <w:szCs w:val="16"/>
          <w:lang w:val="en-US"/>
        </w:rPr>
        <w:t>An economic consultant for over 10 years, prior to which he worked for the Australian Government, serving as the competition and microeconomic advisor to the Treasurer from March 1996 until June 1999. He also served as a Director in the mergers and acquisitions branch of the Australian Competition and Consumer Commission (ACCC) from June 1999 until September 2003.</w:t>
      </w:r>
    </w:p>
  </w:footnote>
  <w:footnote w:id="4">
    <w:p w14:paraId="2DFF3EBF" w14:textId="034097FC" w:rsidR="00593DA2" w:rsidRPr="000E152E" w:rsidRDefault="002A4FAA" w:rsidP="00593DA2">
      <w:pPr>
        <w:rPr>
          <w:rFonts w:cs="Arial"/>
          <w:sz w:val="16"/>
          <w:szCs w:val="16"/>
        </w:rPr>
      </w:pPr>
      <w:r w:rsidRPr="000E152E">
        <w:rPr>
          <w:rStyle w:val="FootnoteReference"/>
          <w:sz w:val="16"/>
          <w:szCs w:val="16"/>
        </w:rPr>
        <w:footnoteRef/>
      </w:r>
      <w:r w:rsidRPr="000E152E">
        <w:rPr>
          <w:sz w:val="16"/>
          <w:szCs w:val="16"/>
        </w:rPr>
        <w:t xml:space="preserve"> </w:t>
      </w:r>
      <w:r w:rsidRPr="000E152E">
        <w:rPr>
          <w:rFonts w:cs="Arial"/>
          <w:sz w:val="16"/>
          <w:szCs w:val="16"/>
        </w:rPr>
        <w:t>CBA estimates that 50% of their transactions will be through mobile devices by the end of calendar year 2021 -</w:t>
      </w:r>
      <w:r w:rsidRPr="000E152E">
        <w:rPr>
          <w:sz w:val="16"/>
          <w:szCs w:val="16"/>
          <w:highlight w:val="cyan"/>
          <w:lang w:val="en-US"/>
        </w:rPr>
        <w:t xml:space="preserve"> </w:t>
      </w:r>
      <w:hyperlink r:id="rId1" w:history="1">
        <w:r w:rsidR="00593DA2" w:rsidRPr="000E152E">
          <w:rPr>
            <w:rStyle w:val="Hyperlink"/>
            <w:rFonts w:cs="Arial"/>
            <w:sz w:val="16"/>
            <w:szCs w:val="16"/>
          </w:rPr>
          <w:t>https://www.commbank.com.au/articles/newsroom/2021/05/digital-wallets-contactless-soar.html</w:t>
        </w:r>
      </w:hyperlink>
    </w:p>
    <w:p w14:paraId="0A21C659" w14:textId="60134369" w:rsidR="002A4FAA" w:rsidRPr="009D754E" w:rsidRDefault="002A4FAA" w:rsidP="002A4FAA">
      <w:pPr>
        <w:pStyle w:val="FootnoteText"/>
        <w:rPr>
          <w:lang w:val="en-US"/>
        </w:rPr>
      </w:pPr>
    </w:p>
  </w:footnote>
  <w:footnote w:id="5">
    <w:p w14:paraId="4527FEC0" w14:textId="6444C1DE" w:rsidR="00791100" w:rsidRPr="000E152E" w:rsidRDefault="00791100">
      <w:pPr>
        <w:pStyle w:val="FootnoteText"/>
        <w:rPr>
          <w:sz w:val="16"/>
          <w:szCs w:val="16"/>
          <w:lang w:val="en-US"/>
        </w:rPr>
      </w:pPr>
      <w:r w:rsidRPr="000E152E">
        <w:rPr>
          <w:rStyle w:val="FootnoteReference"/>
          <w:sz w:val="16"/>
          <w:szCs w:val="16"/>
        </w:rPr>
        <w:footnoteRef/>
      </w:r>
      <w:r w:rsidRPr="000E152E">
        <w:rPr>
          <w:sz w:val="16"/>
          <w:szCs w:val="16"/>
        </w:rPr>
        <w:t xml:space="preserve"> </w:t>
      </w:r>
      <w:r w:rsidR="00AD7DA0" w:rsidRPr="000E152E">
        <w:rPr>
          <w:sz w:val="16"/>
          <w:szCs w:val="16"/>
          <w:lang w:val="en-US"/>
        </w:rPr>
        <w:t xml:space="preserve">See Part C – Report by Dr Alistair Davey of Pegasus Economics, July 2021 </w:t>
      </w:r>
      <w:r w:rsidR="009C5406" w:rsidRPr="000E152E">
        <w:rPr>
          <w:sz w:val="16"/>
          <w:szCs w:val="16"/>
          <w:lang w:val="en-US"/>
        </w:rPr>
        <w:t>for background</w:t>
      </w:r>
    </w:p>
  </w:footnote>
  <w:footnote w:id="6">
    <w:p w14:paraId="0B7BBE63" w14:textId="7EF661AA" w:rsidR="00321009" w:rsidRPr="000E152E" w:rsidRDefault="00321009" w:rsidP="00482C17">
      <w:pPr>
        <w:rPr>
          <w:sz w:val="16"/>
          <w:szCs w:val="16"/>
          <w:lang w:val="en-US"/>
        </w:rPr>
      </w:pPr>
      <w:r w:rsidRPr="000E152E">
        <w:rPr>
          <w:rStyle w:val="FootnoteReference"/>
          <w:sz w:val="16"/>
          <w:szCs w:val="16"/>
        </w:rPr>
        <w:footnoteRef/>
      </w:r>
      <w:r w:rsidRPr="000E152E">
        <w:rPr>
          <w:sz w:val="16"/>
          <w:szCs w:val="16"/>
        </w:rPr>
        <w:t xml:space="preserve"> </w:t>
      </w:r>
      <w:hyperlink r:id="rId2" w:tooltip="https://www.finextra.com/newsarticle/36784/uk-retailers-attack-visa-and-mastercard-over-card-fees" w:history="1">
        <w:r w:rsidR="00E7252D" w:rsidRPr="000E152E">
          <w:rPr>
            <w:rStyle w:val="Hyperlink"/>
            <w:sz w:val="16"/>
            <w:szCs w:val="16"/>
          </w:rPr>
          <w:t>https://www.finextra.com/newsarticle/36784/uk-retailers-attack-visa-and-mastercard-over-card-fees</w:t>
        </w:r>
      </w:hyperlink>
      <w:r w:rsidR="00250AE0" w:rsidRPr="000E152E">
        <w:rPr>
          <w:sz w:val="16"/>
          <w:szCs w:val="16"/>
        </w:rPr>
        <w:t xml:space="preserve">; </w:t>
      </w:r>
      <w:hyperlink r:id="rId3" w:tooltip="https://www.bbc.com/news/business-54606252" w:history="1">
        <w:r w:rsidR="00E7252D" w:rsidRPr="000E152E">
          <w:rPr>
            <w:rStyle w:val="Hyperlink"/>
            <w:sz w:val="16"/>
            <w:szCs w:val="16"/>
          </w:rPr>
          <w:t>https://www.bbc.com/news/business-54606252</w:t>
        </w:r>
      </w:hyperlink>
    </w:p>
  </w:footnote>
  <w:footnote w:id="7">
    <w:p w14:paraId="1C403EB8" w14:textId="23FCB86D" w:rsidR="007F2862" w:rsidRPr="000E152E" w:rsidRDefault="007F2862" w:rsidP="007F2862">
      <w:pPr>
        <w:pStyle w:val="FootnoteText"/>
        <w:rPr>
          <w:sz w:val="16"/>
          <w:szCs w:val="16"/>
          <w:lang w:val="en-US"/>
        </w:rPr>
      </w:pPr>
      <w:r w:rsidRPr="000E152E">
        <w:rPr>
          <w:rStyle w:val="FootnoteReference"/>
          <w:sz w:val="16"/>
          <w:szCs w:val="16"/>
        </w:rPr>
        <w:footnoteRef/>
      </w:r>
      <w:r w:rsidRPr="000E152E">
        <w:rPr>
          <w:sz w:val="16"/>
          <w:szCs w:val="16"/>
        </w:rPr>
        <w:t xml:space="preserve"> </w:t>
      </w:r>
      <w:hyperlink r:id="rId4" w:history="1">
        <w:r w:rsidR="001616F4" w:rsidRPr="000E152E">
          <w:rPr>
            <w:rStyle w:val="Hyperlink"/>
            <w:sz w:val="16"/>
            <w:szCs w:val="16"/>
            <w:lang w:val="en-US"/>
          </w:rPr>
          <w:t>https://www.visa.com.au/about-visa/interchange.html.html</w:t>
        </w:r>
      </w:hyperlink>
    </w:p>
    <w:p w14:paraId="258CE94C" w14:textId="6BAC37C8" w:rsidR="007F2862" w:rsidRPr="000E152E" w:rsidRDefault="003060EB" w:rsidP="007F2862">
      <w:pPr>
        <w:pStyle w:val="FootnoteText"/>
        <w:rPr>
          <w:sz w:val="16"/>
          <w:szCs w:val="16"/>
          <w:lang w:val="en-US"/>
        </w:rPr>
      </w:pPr>
      <w:r w:rsidRPr="000E152E">
        <w:rPr>
          <w:sz w:val="16"/>
          <w:szCs w:val="16"/>
          <w:lang w:val="en-US"/>
        </w:rPr>
        <w:t>https://www.mastercard.com.au/en-au/about-mastercard/what-we-do/interchange.html</w:t>
      </w:r>
    </w:p>
  </w:footnote>
  <w:footnote w:id="8">
    <w:p w14:paraId="00792B3D" w14:textId="11C59491" w:rsidR="003F3893" w:rsidRPr="00482C17" w:rsidRDefault="003F3893">
      <w:pPr>
        <w:pStyle w:val="FootnoteText"/>
        <w:rPr>
          <w:lang w:val="en-US"/>
        </w:rPr>
      </w:pPr>
      <w:r w:rsidRPr="000E152E">
        <w:rPr>
          <w:rStyle w:val="FootnoteReference"/>
          <w:sz w:val="16"/>
          <w:szCs w:val="16"/>
        </w:rPr>
        <w:footnoteRef/>
      </w:r>
      <w:r w:rsidRPr="000E152E">
        <w:rPr>
          <w:sz w:val="16"/>
          <w:szCs w:val="16"/>
        </w:rPr>
        <w:t xml:space="preserve"> </w:t>
      </w:r>
      <w:r w:rsidRPr="000E152E">
        <w:rPr>
          <w:sz w:val="16"/>
          <w:szCs w:val="16"/>
          <w:lang w:val="en-US"/>
        </w:rPr>
        <w:t>Consultation Paper page 9</w:t>
      </w:r>
    </w:p>
  </w:footnote>
  <w:footnote w:id="9">
    <w:p w14:paraId="5ADFC9D7" w14:textId="71434762" w:rsidR="00150B0C" w:rsidRPr="000E152E" w:rsidRDefault="00150B0C">
      <w:pPr>
        <w:pStyle w:val="FootnoteText"/>
        <w:rPr>
          <w:sz w:val="16"/>
          <w:szCs w:val="16"/>
          <w:lang w:val="en-US"/>
        </w:rPr>
      </w:pPr>
      <w:r w:rsidRPr="000E152E">
        <w:rPr>
          <w:rStyle w:val="FootnoteReference"/>
          <w:sz w:val="16"/>
          <w:szCs w:val="16"/>
        </w:rPr>
        <w:footnoteRef/>
      </w:r>
      <w:r w:rsidRPr="000E152E">
        <w:rPr>
          <w:sz w:val="16"/>
          <w:szCs w:val="16"/>
        </w:rPr>
        <w:t xml:space="preserve"> </w:t>
      </w:r>
      <w:r w:rsidRPr="000E152E">
        <w:rPr>
          <w:sz w:val="16"/>
          <w:szCs w:val="16"/>
          <w:lang w:val="en-US"/>
        </w:rPr>
        <w:t xml:space="preserve">See also </w:t>
      </w:r>
      <w:r w:rsidR="00613D5C" w:rsidRPr="000E152E">
        <w:rPr>
          <w:sz w:val="16"/>
          <w:szCs w:val="16"/>
          <w:lang w:val="en-US"/>
        </w:rPr>
        <w:t>Part C – Report by Dr Alistair Davey of Pegasus Economics, July 2021</w:t>
      </w:r>
      <w:r w:rsidR="003D1AF6" w:rsidRPr="000E152E">
        <w:rPr>
          <w:sz w:val="16"/>
          <w:szCs w:val="16"/>
          <w:lang w:val="en-US"/>
        </w:rPr>
        <w:t>–</w:t>
      </w:r>
      <w:r w:rsidRPr="000E152E">
        <w:rPr>
          <w:sz w:val="16"/>
          <w:szCs w:val="16"/>
          <w:lang w:val="en-US"/>
        </w:rPr>
        <w:t xml:space="preserve"> page</w:t>
      </w:r>
      <w:r w:rsidR="003D1AF6" w:rsidRPr="000E152E">
        <w:rPr>
          <w:sz w:val="16"/>
          <w:szCs w:val="16"/>
          <w:lang w:val="en-US"/>
        </w:rPr>
        <w:t xml:space="preserve"> 40 </w:t>
      </w:r>
    </w:p>
  </w:footnote>
  <w:footnote w:id="10">
    <w:p w14:paraId="43D13446" w14:textId="4F46F3AC" w:rsidR="00121ADF" w:rsidRPr="00482C17" w:rsidRDefault="00121ADF">
      <w:pPr>
        <w:pStyle w:val="FootnoteText"/>
        <w:rPr>
          <w:rFonts w:ascii="Arial" w:eastAsiaTheme="minorEastAsia" w:hAnsi="Arial" w:cs="Arial"/>
          <w:sz w:val="16"/>
          <w:szCs w:val="16"/>
        </w:rPr>
      </w:pPr>
      <w:r w:rsidRPr="000E152E">
        <w:rPr>
          <w:rStyle w:val="FootnoteReference"/>
          <w:sz w:val="16"/>
          <w:szCs w:val="16"/>
        </w:rPr>
        <w:footnoteRef/>
      </w:r>
      <w:r w:rsidRPr="000E152E">
        <w:rPr>
          <w:sz w:val="16"/>
          <w:szCs w:val="16"/>
        </w:rPr>
        <w:t xml:space="preserve"> </w:t>
      </w:r>
      <w:r w:rsidRPr="000E152E">
        <w:rPr>
          <w:rFonts w:eastAsiaTheme="minorEastAsia" w:cs="Arial"/>
          <w:sz w:val="16"/>
          <w:szCs w:val="16"/>
        </w:rPr>
        <w:t>https://www.rba.gov.au/speeches/2020/sp-ag-2020-06-03.html</w:t>
      </w:r>
    </w:p>
  </w:footnote>
  <w:footnote w:id="11">
    <w:p w14:paraId="2027746C" w14:textId="18526924" w:rsidR="00BB5516" w:rsidRPr="000E152E" w:rsidRDefault="00BB5516" w:rsidP="00BB5516">
      <w:pPr>
        <w:rPr>
          <w:sz w:val="16"/>
          <w:szCs w:val="16"/>
          <w:lang w:val="en-US"/>
        </w:rPr>
      </w:pPr>
      <w:r w:rsidRPr="000E152E">
        <w:rPr>
          <w:rStyle w:val="FootnoteReference"/>
          <w:sz w:val="16"/>
          <w:szCs w:val="16"/>
        </w:rPr>
        <w:footnoteRef/>
      </w:r>
      <w:r w:rsidRPr="000E152E">
        <w:rPr>
          <w:sz w:val="16"/>
          <w:szCs w:val="16"/>
        </w:rPr>
        <w:t xml:space="preserve"> </w:t>
      </w:r>
      <w:r w:rsidR="00B2558F" w:rsidRPr="000E152E">
        <w:rPr>
          <w:sz w:val="16"/>
          <w:szCs w:val="16"/>
        </w:rPr>
        <w:t>RBA Payment Statistics. Debit Cards – Original Series – C2.1.xls. May 2020 to April 2021 equating to a year</w:t>
      </w:r>
      <w:r w:rsidRPr="000E152E">
        <w:rPr>
          <w:sz w:val="16"/>
          <w:szCs w:val="16"/>
        </w:rPr>
        <w:t>. Fee Assumption: ICS Scheme fee is assumed to be $0.005 per transaction and 6.7bps ad valorem on transaction amount.  Ecommerce/CNP and Mobile/Tokenised transaction is assumed to be 30% of the total transaction mix.</w:t>
      </w:r>
    </w:p>
  </w:footnote>
  <w:footnote w:id="12">
    <w:p w14:paraId="6EB5490D" w14:textId="5BCA3EC9" w:rsidR="00514FCD" w:rsidRPr="000E152E" w:rsidRDefault="00514FCD">
      <w:pPr>
        <w:pStyle w:val="FootnoteText"/>
        <w:rPr>
          <w:sz w:val="16"/>
          <w:szCs w:val="16"/>
          <w:lang w:val="en-US"/>
        </w:rPr>
      </w:pPr>
      <w:r w:rsidRPr="000E152E">
        <w:rPr>
          <w:rStyle w:val="FootnoteReference"/>
          <w:sz w:val="16"/>
          <w:szCs w:val="16"/>
        </w:rPr>
        <w:footnoteRef/>
      </w:r>
      <w:r w:rsidRPr="000E152E">
        <w:rPr>
          <w:sz w:val="16"/>
          <w:szCs w:val="16"/>
        </w:rPr>
        <w:t xml:space="preserve"> </w:t>
      </w:r>
      <w:r w:rsidR="002C6E74" w:rsidRPr="000E152E">
        <w:rPr>
          <w:sz w:val="16"/>
          <w:szCs w:val="16"/>
        </w:rPr>
        <w:t>Interchange rate of 2 cents per transaction under MCR, rather than an average of 9 cents outside of Strategic Merchant rates from the international Card Schemes</w:t>
      </w:r>
    </w:p>
  </w:footnote>
  <w:footnote w:id="13">
    <w:p w14:paraId="1842524E" w14:textId="23DF7FE8" w:rsidR="009B24EA" w:rsidRPr="00482C17" w:rsidRDefault="009B24EA">
      <w:pPr>
        <w:pStyle w:val="FootnoteText"/>
        <w:rPr>
          <w:lang w:val="en-US"/>
        </w:rPr>
      </w:pPr>
      <w:r w:rsidRPr="000E152E">
        <w:rPr>
          <w:rStyle w:val="FootnoteReference"/>
          <w:sz w:val="16"/>
          <w:szCs w:val="16"/>
        </w:rPr>
        <w:footnoteRef/>
      </w:r>
      <w:r w:rsidRPr="000E152E">
        <w:rPr>
          <w:sz w:val="16"/>
          <w:szCs w:val="16"/>
        </w:rPr>
        <w:t xml:space="preserve"> C3 Average Merchant Fees for Debit, Credit and Charge Cards. Derived delta between eftpos merchant fees and International scheme merchant fees, March 2021 data</w:t>
      </w:r>
    </w:p>
  </w:footnote>
  <w:footnote w:id="14">
    <w:p w14:paraId="62C07D37" w14:textId="22F1F808" w:rsidR="00774BE8" w:rsidRPr="000E152E" w:rsidRDefault="00774BE8" w:rsidP="00774BE8">
      <w:pPr>
        <w:rPr>
          <w:sz w:val="16"/>
          <w:szCs w:val="16"/>
        </w:rPr>
      </w:pPr>
      <w:r w:rsidRPr="000E152E">
        <w:rPr>
          <w:rStyle w:val="FootnoteReference"/>
          <w:sz w:val="16"/>
          <w:szCs w:val="16"/>
        </w:rPr>
        <w:footnoteRef/>
      </w:r>
      <w:r w:rsidRPr="000E152E">
        <w:rPr>
          <w:sz w:val="16"/>
          <w:szCs w:val="16"/>
        </w:rPr>
        <w:t xml:space="preserve"> </w:t>
      </w:r>
      <w:hyperlink r:id="rId5" w:history="1">
        <w:r w:rsidRPr="000E152E">
          <w:rPr>
            <w:rStyle w:val="Hyperlink"/>
            <w:sz w:val="16"/>
            <w:szCs w:val="16"/>
          </w:rPr>
          <w:t>https://www.finextra.com/newsarticle/36784/uk-retailers-attack-visa-and-mastercard-over-card-fees</w:t>
        </w:r>
      </w:hyperlink>
      <w:r w:rsidRPr="000E152E">
        <w:rPr>
          <w:sz w:val="16"/>
          <w:szCs w:val="16"/>
        </w:rPr>
        <w:t xml:space="preserve">; </w:t>
      </w:r>
      <w:hyperlink r:id="rId6" w:history="1">
        <w:r w:rsidRPr="000E152E">
          <w:rPr>
            <w:rStyle w:val="Hyperlink"/>
            <w:sz w:val="16"/>
            <w:szCs w:val="16"/>
          </w:rPr>
          <w:t>https://www.bbc.com/news/business-54606252</w:t>
        </w:r>
      </w:hyperlink>
    </w:p>
    <w:p w14:paraId="1B524FF7" w14:textId="0D9091D5" w:rsidR="00774BE8" w:rsidRPr="000E152E" w:rsidRDefault="00774BE8">
      <w:pPr>
        <w:pStyle w:val="FootnoteText"/>
        <w:rPr>
          <w:sz w:val="16"/>
          <w:szCs w:val="16"/>
          <w:lang w:val="en-US"/>
        </w:rPr>
      </w:pPr>
    </w:p>
  </w:footnote>
  <w:footnote w:id="15">
    <w:p w14:paraId="46893F6D" w14:textId="24F5C782" w:rsidR="00E90429" w:rsidRPr="000E152E" w:rsidRDefault="00E90429">
      <w:pPr>
        <w:pStyle w:val="FootnoteText"/>
        <w:rPr>
          <w:sz w:val="16"/>
          <w:szCs w:val="16"/>
          <w:lang w:val="en-US"/>
        </w:rPr>
      </w:pPr>
      <w:r w:rsidRPr="000E152E">
        <w:rPr>
          <w:rStyle w:val="FootnoteReference"/>
          <w:sz w:val="16"/>
          <w:szCs w:val="16"/>
        </w:rPr>
        <w:footnoteRef/>
      </w:r>
      <w:r w:rsidRPr="000E152E">
        <w:rPr>
          <w:sz w:val="16"/>
          <w:szCs w:val="16"/>
        </w:rPr>
        <w:t xml:space="preserve"> Fee Assumption: ICS Scheme fee is assumed to be $0.005 per transaction and 6.7bps ad valorem on transaction amount.  Ecommerce/CNP and Mobile/Tokenised transaction is assumed to be 30% of the total transaction mix.</w:t>
      </w:r>
    </w:p>
  </w:footnote>
  <w:footnote w:id="16">
    <w:p w14:paraId="0235C0FB" w14:textId="20381B77" w:rsidR="003F7F39" w:rsidRPr="00482C17" w:rsidRDefault="003F7F39" w:rsidP="00A17156">
      <w:pPr>
        <w:pStyle w:val="FootnoteText"/>
        <w:tabs>
          <w:tab w:val="left" w:pos="3261"/>
        </w:tabs>
        <w:rPr>
          <w:lang w:val="en-US"/>
        </w:rPr>
      </w:pPr>
      <w:r w:rsidRPr="000E152E">
        <w:rPr>
          <w:rStyle w:val="FootnoteReference"/>
          <w:sz w:val="16"/>
          <w:szCs w:val="16"/>
        </w:rPr>
        <w:footnoteRef/>
      </w:r>
      <w:r w:rsidRPr="000E152E">
        <w:rPr>
          <w:sz w:val="16"/>
          <w:szCs w:val="16"/>
        </w:rPr>
        <w:t xml:space="preserve"> C3 Average Merchant Fees for Debit, Credit and Charge Cards. Derived delta between eftpos merchant fees and International scheme merchant fees, 2013 and March 2021 data</w:t>
      </w:r>
    </w:p>
  </w:footnote>
  <w:footnote w:id="17">
    <w:p w14:paraId="7A59ABF0" w14:textId="6E1B3F84" w:rsidR="0034767C" w:rsidRPr="000E152E" w:rsidRDefault="0034767C">
      <w:pPr>
        <w:pStyle w:val="FootnoteText"/>
        <w:rPr>
          <w:sz w:val="16"/>
          <w:szCs w:val="16"/>
          <w:lang w:val="en-US"/>
        </w:rPr>
      </w:pPr>
      <w:r w:rsidRPr="000E152E">
        <w:rPr>
          <w:rStyle w:val="FootnoteReference"/>
          <w:sz w:val="16"/>
          <w:szCs w:val="16"/>
        </w:rPr>
        <w:footnoteRef/>
      </w:r>
      <w:r w:rsidRPr="000E152E">
        <w:rPr>
          <w:sz w:val="16"/>
          <w:szCs w:val="16"/>
        </w:rPr>
        <w:t xml:space="preserve"> </w:t>
      </w:r>
      <w:r w:rsidRPr="000E152E">
        <w:rPr>
          <w:sz w:val="16"/>
          <w:szCs w:val="16"/>
          <w:lang w:val="en-US"/>
        </w:rPr>
        <w:t>RBA Retail Payments Regulatory Review Consultation Paper page 18.</w:t>
      </w:r>
    </w:p>
  </w:footnote>
  <w:footnote w:id="18">
    <w:p w14:paraId="4E83C2B5" w14:textId="76AEECCC" w:rsidR="00C63CB4" w:rsidRPr="000E152E" w:rsidRDefault="00C63CB4" w:rsidP="00A72FD1">
      <w:pPr>
        <w:pStyle w:val="CommentText"/>
        <w:rPr>
          <w:rFonts w:asciiTheme="minorHAnsi" w:hAnsiTheme="minorHAnsi"/>
          <w:sz w:val="16"/>
          <w:szCs w:val="16"/>
        </w:rPr>
      </w:pPr>
      <w:r w:rsidRPr="000E152E">
        <w:rPr>
          <w:rStyle w:val="FootnoteReference"/>
          <w:rFonts w:asciiTheme="minorHAnsi" w:hAnsiTheme="minorHAnsi"/>
          <w:sz w:val="16"/>
          <w:szCs w:val="16"/>
        </w:rPr>
        <w:footnoteRef/>
      </w:r>
      <w:r w:rsidRPr="000E152E">
        <w:rPr>
          <w:rFonts w:asciiTheme="minorHAnsi" w:hAnsiTheme="minorHAnsi"/>
          <w:sz w:val="16"/>
          <w:szCs w:val="16"/>
        </w:rPr>
        <w:t xml:space="preserve"> </w:t>
      </w:r>
      <w:r w:rsidR="00EA33A7" w:rsidRPr="000E152E">
        <w:rPr>
          <w:rFonts w:asciiTheme="minorHAnsi" w:hAnsiTheme="minorHAnsi"/>
          <w:color w:val="auto"/>
          <w:sz w:val="16"/>
          <w:szCs w:val="16"/>
        </w:rPr>
        <w:t>https://www.rba.gov.au/statistics/frequency/retail-payments/2021/retail-payments-0521.html</w:t>
      </w:r>
    </w:p>
  </w:footnote>
  <w:footnote w:id="19">
    <w:p w14:paraId="6F46F1AF" w14:textId="6D859875" w:rsidR="000F6C4B" w:rsidRPr="000E152E" w:rsidRDefault="000F6C4B">
      <w:pPr>
        <w:pStyle w:val="FootnoteText"/>
        <w:rPr>
          <w:sz w:val="16"/>
          <w:szCs w:val="16"/>
          <w:lang w:val="en-US"/>
        </w:rPr>
      </w:pPr>
      <w:r w:rsidRPr="000E152E">
        <w:rPr>
          <w:rStyle w:val="FootnoteReference"/>
          <w:sz w:val="16"/>
          <w:szCs w:val="16"/>
        </w:rPr>
        <w:footnoteRef/>
      </w:r>
      <w:r w:rsidRPr="000E152E">
        <w:rPr>
          <w:sz w:val="16"/>
          <w:szCs w:val="16"/>
        </w:rPr>
        <w:t xml:space="preserve"> </w:t>
      </w:r>
      <w:r w:rsidRPr="000E152E">
        <w:rPr>
          <w:sz w:val="16"/>
          <w:szCs w:val="16"/>
          <w:lang w:val="en-US"/>
        </w:rPr>
        <w:t>The Bank has noted that surcharging instances are low</w:t>
      </w:r>
      <w:r w:rsidR="007E79E7" w:rsidRPr="000E152E">
        <w:rPr>
          <w:sz w:val="16"/>
          <w:szCs w:val="16"/>
          <w:lang w:val="en-US"/>
        </w:rPr>
        <w:t xml:space="preserve"> (page 26 Consultation Paper] although one reason for that could be the competitive disadvantage to merchants that do surcharge against those that do.</w:t>
      </w:r>
    </w:p>
  </w:footnote>
  <w:footnote w:id="20">
    <w:p w14:paraId="36F9CF96" w14:textId="0F66E1E8" w:rsidR="00125114" w:rsidRPr="00A17156" w:rsidRDefault="00125114">
      <w:pPr>
        <w:pStyle w:val="FootnoteText"/>
        <w:rPr>
          <w:sz w:val="16"/>
          <w:szCs w:val="16"/>
          <w:lang w:val="en-US"/>
        </w:rPr>
      </w:pPr>
      <w:r w:rsidRPr="00A17156">
        <w:rPr>
          <w:rStyle w:val="FootnoteReference"/>
          <w:sz w:val="16"/>
          <w:szCs w:val="16"/>
        </w:rPr>
        <w:footnoteRef/>
      </w:r>
      <w:r w:rsidRPr="00A17156">
        <w:rPr>
          <w:sz w:val="16"/>
          <w:szCs w:val="16"/>
        </w:rPr>
        <w:t xml:space="preserve"> </w:t>
      </w:r>
      <w:r w:rsidR="000323CF" w:rsidRPr="00A17156">
        <w:rPr>
          <w:sz w:val="16"/>
          <w:szCs w:val="16"/>
        </w:rPr>
        <w:t>Consultation Paper pages 32-39</w:t>
      </w:r>
    </w:p>
  </w:footnote>
  <w:footnote w:id="21">
    <w:p w14:paraId="5AFA0BF5" w14:textId="138DB906" w:rsidR="004B731E" w:rsidRPr="00482C17" w:rsidRDefault="004B731E">
      <w:pPr>
        <w:pStyle w:val="FootnoteText"/>
        <w:rPr>
          <w:lang w:val="en-US"/>
        </w:rPr>
      </w:pPr>
      <w:r w:rsidRPr="00A17156">
        <w:rPr>
          <w:rStyle w:val="FootnoteReference"/>
          <w:sz w:val="16"/>
          <w:szCs w:val="16"/>
        </w:rPr>
        <w:footnoteRef/>
      </w:r>
      <w:r w:rsidRPr="00A17156">
        <w:rPr>
          <w:sz w:val="16"/>
          <w:szCs w:val="16"/>
        </w:rPr>
        <w:t xml:space="preserve"> </w:t>
      </w:r>
      <w:r w:rsidRPr="00A17156">
        <w:rPr>
          <w:sz w:val="16"/>
          <w:szCs w:val="16"/>
          <w:lang w:val="en-US"/>
        </w:rPr>
        <w:t xml:space="preserve">See </w:t>
      </w:r>
      <w:r w:rsidR="00167719" w:rsidRPr="00A17156">
        <w:rPr>
          <w:sz w:val="16"/>
          <w:szCs w:val="16"/>
          <w:lang w:val="en-US"/>
        </w:rPr>
        <w:t>Part C – Report by Dr Alistair Davey of Pegasus Economics, July 2021, pages vii and ix, 5-6 and 36</w:t>
      </w:r>
    </w:p>
  </w:footnote>
  <w:footnote w:id="22">
    <w:p w14:paraId="106738CD" w14:textId="05B480C3" w:rsidR="00E67641" w:rsidRPr="00A17156" w:rsidRDefault="00E67641" w:rsidP="004172B3">
      <w:pPr>
        <w:rPr>
          <w:sz w:val="16"/>
          <w:szCs w:val="16"/>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7FC57E" w14:textId="77777777" w:rsidR="009E077D" w:rsidRDefault="009E07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EAA0CA" w14:textId="77777777" w:rsidR="009E077D" w:rsidRDefault="009E07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01F488" w14:textId="77777777" w:rsidR="00482C17" w:rsidRDefault="00482C17" w:rsidP="00482C17">
    <w:pPr>
      <w:pStyle w:val="Heading5"/>
    </w:pPr>
    <w:r>
      <w:t>eftpos Payments Australia Limited</w:t>
    </w:r>
  </w:p>
  <w:p w14:paraId="666DA624" w14:textId="6308C515" w:rsidR="00482C17" w:rsidRDefault="00482C17" w:rsidP="00482C17">
    <w:pPr>
      <w:pStyle w:val="eftposcaption"/>
    </w:pPr>
    <w:r>
      <w:rPr>
        <w:noProof/>
      </w:rPr>
      <w:drawing>
        <wp:anchor distT="0" distB="0" distL="114300" distR="114300" simplePos="0" relativeHeight="251660293" behindDoc="0" locked="1" layoutInCell="1" allowOverlap="0" wp14:anchorId="498A16C6" wp14:editId="51989500">
          <wp:simplePos x="0" y="0"/>
          <wp:positionH relativeFrom="page">
            <wp:posOffset>5942965</wp:posOffset>
          </wp:positionH>
          <wp:positionV relativeFrom="page">
            <wp:posOffset>377825</wp:posOffset>
          </wp:positionV>
          <wp:extent cx="937895" cy="1079500"/>
          <wp:effectExtent l="0" t="0" r="0" b="6350"/>
          <wp:wrapNone/>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37895" cy="1079500"/>
                  </a:xfrm>
                  <a:prstGeom prst="rect">
                    <a:avLst/>
                  </a:prstGeom>
                </pic:spPr>
              </pic:pic>
            </a:graphicData>
          </a:graphic>
          <wp14:sizeRelH relativeFrom="margin">
            <wp14:pctWidth>0</wp14:pctWidth>
          </wp14:sizeRelH>
          <wp14:sizeRelV relativeFrom="margin">
            <wp14:pctHeight>0</wp14:pctHeight>
          </wp14:sizeRelV>
        </wp:anchor>
      </w:drawing>
    </w:r>
    <w:r w:rsidRPr="00754AB5">
      <w:t>ABN 37 136 180 366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F96514"/>
    <w:multiLevelType w:val="hybridMultilevel"/>
    <w:tmpl w:val="2D36CD4A"/>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09842CEF"/>
    <w:multiLevelType w:val="hybridMultilevel"/>
    <w:tmpl w:val="EEEED96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 w15:restartNumberingAfterBreak="0">
    <w:nsid w:val="0AC54F8F"/>
    <w:multiLevelType w:val="hybridMultilevel"/>
    <w:tmpl w:val="07BE6976"/>
    <w:lvl w:ilvl="0" w:tplc="6034FFCE">
      <w:start w:val="1000"/>
      <w:numFmt w:val="bullet"/>
      <w:lvlText w:val=""/>
      <w:lvlJc w:val="left"/>
      <w:pPr>
        <w:ind w:left="720" w:hanging="360"/>
      </w:pPr>
      <w:rPr>
        <w:rFonts w:ascii="Symbol" w:eastAsiaTheme="minorEastAsia"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AEC43BF"/>
    <w:multiLevelType w:val="multilevel"/>
    <w:tmpl w:val="963E38A6"/>
    <w:styleLink w:val="eftbulletlist"/>
    <w:lvl w:ilvl="0">
      <w:start w:val="1"/>
      <w:numFmt w:val="bullet"/>
      <w:suff w:val="space"/>
      <w:lvlText w:val=""/>
      <w:lvlJc w:val="left"/>
      <w:pPr>
        <w:ind w:left="284" w:hanging="284"/>
      </w:pPr>
      <w:rPr>
        <w:rFonts w:ascii="Symbol" w:hAnsi="Symbol" w:hint="default"/>
      </w:rPr>
    </w:lvl>
    <w:lvl w:ilvl="1">
      <w:start w:val="1"/>
      <w:numFmt w:val="bullet"/>
      <w:lvlRestart w:val="0"/>
      <w:suff w:val="space"/>
      <w:lvlText w:val=""/>
      <w:lvlJc w:val="left"/>
      <w:pPr>
        <w:ind w:left="284" w:firstLine="283"/>
      </w:pPr>
      <w:rPr>
        <w:rFonts w:ascii="Symbol" w:hAnsi="Symbol" w:hint="default"/>
      </w:rPr>
    </w:lvl>
    <w:lvl w:ilvl="2">
      <w:start w:val="1"/>
      <w:numFmt w:val="bullet"/>
      <w:lvlRestart w:val="0"/>
      <w:suff w:val="space"/>
      <w:lvlText w:val=""/>
      <w:lvlJc w:val="left"/>
      <w:pPr>
        <w:ind w:left="284" w:firstLine="850"/>
      </w:pPr>
      <w:rPr>
        <w:rFonts w:ascii="Wingdings" w:hAnsi="Wingdings" w:hint="default"/>
      </w:rPr>
    </w:lvl>
    <w:lvl w:ilvl="3">
      <w:start w:val="1"/>
      <w:numFmt w:val="bullet"/>
      <w:lvlRestart w:val="0"/>
      <w:suff w:val="space"/>
      <w:lvlText w:val=""/>
      <w:lvlJc w:val="left"/>
      <w:pPr>
        <w:ind w:left="284" w:firstLine="1417"/>
      </w:pPr>
      <w:rPr>
        <w:rFonts w:ascii="Symbol" w:hAnsi="Symbol" w:hint="default"/>
      </w:rPr>
    </w:lvl>
    <w:lvl w:ilvl="4">
      <w:start w:val="1"/>
      <w:numFmt w:val="bullet"/>
      <w:suff w:val="space"/>
      <w:lvlText w:val=""/>
      <w:lvlJc w:val="left"/>
      <w:pPr>
        <w:ind w:left="284" w:firstLine="1984"/>
      </w:pPr>
      <w:rPr>
        <w:rFonts w:ascii="Wingdings" w:hAnsi="Wingdings" w:hint="default"/>
      </w:rPr>
    </w:lvl>
    <w:lvl w:ilvl="5">
      <w:start w:val="1"/>
      <w:numFmt w:val="bullet"/>
      <w:lvlText w:val=""/>
      <w:lvlJc w:val="left"/>
      <w:pPr>
        <w:ind w:left="3119" w:hanging="284"/>
      </w:pPr>
      <w:rPr>
        <w:rFonts w:ascii="Wingdings" w:hAnsi="Wingdings" w:hint="default"/>
      </w:rPr>
    </w:lvl>
    <w:lvl w:ilvl="6">
      <w:start w:val="1"/>
      <w:numFmt w:val="bullet"/>
      <w:lvlText w:val=""/>
      <w:lvlJc w:val="left"/>
      <w:pPr>
        <w:ind w:left="3686" w:hanging="284"/>
      </w:pPr>
      <w:rPr>
        <w:rFonts w:ascii="Symbol" w:hAnsi="Symbol" w:hint="default"/>
      </w:rPr>
    </w:lvl>
    <w:lvl w:ilvl="7">
      <w:start w:val="1"/>
      <w:numFmt w:val="bullet"/>
      <w:lvlText w:val="o"/>
      <w:lvlJc w:val="left"/>
      <w:pPr>
        <w:ind w:left="4253" w:hanging="284"/>
      </w:pPr>
      <w:rPr>
        <w:rFonts w:ascii="Courier New" w:hAnsi="Courier New" w:cs="Courier New" w:hint="default"/>
      </w:rPr>
    </w:lvl>
    <w:lvl w:ilvl="8">
      <w:start w:val="1"/>
      <w:numFmt w:val="bullet"/>
      <w:lvlText w:val=""/>
      <w:lvlJc w:val="left"/>
      <w:pPr>
        <w:ind w:left="4820" w:hanging="284"/>
      </w:pPr>
      <w:rPr>
        <w:rFonts w:ascii="Wingdings" w:hAnsi="Wingdings" w:hint="default"/>
      </w:rPr>
    </w:lvl>
  </w:abstractNum>
  <w:abstractNum w:abstractNumId="4" w15:restartNumberingAfterBreak="0">
    <w:nsid w:val="0B876276"/>
    <w:multiLevelType w:val="multilevel"/>
    <w:tmpl w:val="0C09001D"/>
    <w:styleLink w:val="BulletList"/>
    <w:lvl w:ilvl="0">
      <w:start w:val="1"/>
      <w:numFmt w:val="bullet"/>
      <w:lvlText w:val="o"/>
      <w:lvlJc w:val="left"/>
      <w:pPr>
        <w:ind w:left="360" w:hanging="360"/>
      </w:pPr>
      <w:rPr>
        <w:rFonts w:ascii="Open Sans" w:hAnsi="Open Sans"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0E06369E"/>
    <w:multiLevelType w:val="hybridMultilevel"/>
    <w:tmpl w:val="0ED8F7D0"/>
    <w:lvl w:ilvl="0" w:tplc="E30AA136">
      <w:start w:val="1"/>
      <w:numFmt w:val="lowerLetter"/>
      <w:lvlText w:val="(%1)"/>
      <w:lvlJc w:val="left"/>
      <w:pPr>
        <w:ind w:left="108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0F0D0A9A"/>
    <w:multiLevelType w:val="hybridMultilevel"/>
    <w:tmpl w:val="A26EC27E"/>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FDE846FA">
      <w:start w:val="1"/>
      <w:numFmt w:val="decimal"/>
      <w:lvlText w:val="%4"/>
      <w:lvlJc w:val="left"/>
      <w:pPr>
        <w:ind w:left="2880" w:hanging="720"/>
      </w:pPr>
      <w:rPr>
        <w:rFonts w:hint="default"/>
      </w:r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15:restartNumberingAfterBreak="0">
    <w:nsid w:val="10096C76"/>
    <w:multiLevelType w:val="hybridMultilevel"/>
    <w:tmpl w:val="87C8730A"/>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8" w15:restartNumberingAfterBreak="0">
    <w:nsid w:val="10135A67"/>
    <w:multiLevelType w:val="hybridMultilevel"/>
    <w:tmpl w:val="9F86589A"/>
    <w:lvl w:ilvl="0" w:tplc="AD145FA2">
      <w:start w:val="1"/>
      <w:numFmt w:val="decimal"/>
      <w:lvlText w:val="%1."/>
      <w:lvlJc w:val="left"/>
      <w:pPr>
        <w:ind w:left="360" w:hanging="360"/>
      </w:pPr>
      <w:rPr>
        <w:rFonts w:hint="default"/>
      </w:rPr>
    </w:lvl>
    <w:lvl w:ilvl="1" w:tplc="E30AA136">
      <w:start w:val="1"/>
      <w:numFmt w:val="lowerLetter"/>
      <w:lvlText w:val="(%2)"/>
      <w:lvlJc w:val="left"/>
      <w:pPr>
        <w:ind w:left="1080" w:hanging="360"/>
      </w:pPr>
      <w:rPr>
        <w:rFonts w:hint="default"/>
      </w:rPr>
    </w:lvl>
    <w:lvl w:ilvl="2" w:tplc="AD145FA2">
      <w:start w:val="1"/>
      <w:numFmt w:val="decimal"/>
      <w:lvlText w:val="%3."/>
      <w:lvlJc w:val="left"/>
      <w:pPr>
        <w:ind w:left="1800" w:hanging="180"/>
      </w:pPr>
      <w:rPr>
        <w:rFonts w:hint="default"/>
      </w:r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 w15:restartNumberingAfterBreak="0">
    <w:nsid w:val="12225F3C"/>
    <w:multiLevelType w:val="hybridMultilevel"/>
    <w:tmpl w:val="67C6A3CE"/>
    <w:lvl w:ilvl="0" w:tplc="E30AA136">
      <w:start w:val="1"/>
      <w:numFmt w:val="lowerLetter"/>
      <w:lvlText w:val="(%1)"/>
      <w:lvlJc w:val="left"/>
      <w:pPr>
        <w:ind w:left="720" w:hanging="360"/>
      </w:pPr>
      <w:rPr>
        <w:rFonts w:hint="default"/>
      </w:rPr>
    </w:lvl>
    <w:lvl w:ilvl="1" w:tplc="AD145FA2">
      <w:start w:val="1"/>
      <w:numFmt w:val="decimal"/>
      <w:lvlText w:val="%2."/>
      <w:lvlJc w:val="left"/>
      <w:pPr>
        <w:ind w:left="1440" w:hanging="360"/>
      </w:pPr>
      <w:rPr>
        <w:rFonts w:hint="default"/>
      </w:r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15A6429D"/>
    <w:multiLevelType w:val="hybridMultilevel"/>
    <w:tmpl w:val="0D0AA468"/>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1" w15:restartNumberingAfterBreak="0">
    <w:nsid w:val="17B07F8D"/>
    <w:multiLevelType w:val="multilevel"/>
    <w:tmpl w:val="ADA664D4"/>
    <w:styleLink w:val="eftposlist"/>
    <w:lvl w:ilvl="0">
      <w:start w:val="1"/>
      <w:numFmt w:val="bullet"/>
      <w:lvlText w:val=""/>
      <w:lvlJc w:val="left"/>
      <w:pPr>
        <w:ind w:left="871" w:hanging="511"/>
      </w:pPr>
      <w:rPr>
        <w:rFonts w:ascii="Symbol" w:hAnsi="Symbol" w:hint="default"/>
      </w:rPr>
    </w:lvl>
    <w:lvl w:ilvl="1">
      <w:start w:val="1"/>
      <w:numFmt w:val="bullet"/>
      <w:lvlText w:val=""/>
      <w:lvlJc w:val="left"/>
      <w:pPr>
        <w:ind w:left="1155" w:hanging="511"/>
      </w:pPr>
      <w:rPr>
        <w:rFonts w:ascii="Symbol" w:hAnsi="Symbol" w:hint="default"/>
      </w:rPr>
    </w:lvl>
    <w:lvl w:ilvl="2">
      <w:start w:val="1"/>
      <w:numFmt w:val="bullet"/>
      <w:lvlText w:val=""/>
      <w:lvlJc w:val="left"/>
      <w:pPr>
        <w:ind w:left="1439" w:hanging="511"/>
      </w:pPr>
      <w:rPr>
        <w:rFonts w:ascii="Wingdings" w:hAnsi="Wingdings"/>
      </w:rPr>
    </w:lvl>
    <w:lvl w:ilvl="3">
      <w:start w:val="1"/>
      <w:numFmt w:val="bullet"/>
      <w:lvlText w:val=""/>
      <w:lvlJc w:val="left"/>
      <w:pPr>
        <w:ind w:left="1723" w:hanging="511"/>
      </w:pPr>
      <w:rPr>
        <w:rFonts w:ascii="Symbol" w:hAnsi="Symbol" w:hint="default"/>
      </w:rPr>
    </w:lvl>
    <w:lvl w:ilvl="4">
      <w:start w:val="1"/>
      <w:numFmt w:val="bullet"/>
      <w:lvlText w:val="o"/>
      <w:lvlJc w:val="left"/>
      <w:pPr>
        <w:ind w:left="2007" w:hanging="511"/>
      </w:pPr>
      <w:rPr>
        <w:rFonts w:ascii="Courier New" w:hAnsi="Courier New" w:cs="Courier New" w:hint="default"/>
      </w:rPr>
    </w:lvl>
    <w:lvl w:ilvl="5">
      <w:start w:val="1"/>
      <w:numFmt w:val="bullet"/>
      <w:lvlText w:val=""/>
      <w:lvlJc w:val="left"/>
      <w:pPr>
        <w:ind w:left="2291" w:hanging="511"/>
      </w:pPr>
      <w:rPr>
        <w:rFonts w:ascii="Wingdings" w:hAnsi="Wingdings" w:hint="default"/>
      </w:rPr>
    </w:lvl>
    <w:lvl w:ilvl="6">
      <w:start w:val="1"/>
      <w:numFmt w:val="bullet"/>
      <w:lvlText w:val=""/>
      <w:lvlJc w:val="left"/>
      <w:pPr>
        <w:ind w:left="2575" w:hanging="511"/>
      </w:pPr>
      <w:rPr>
        <w:rFonts w:ascii="Symbol" w:hAnsi="Symbol" w:hint="default"/>
      </w:rPr>
    </w:lvl>
    <w:lvl w:ilvl="7">
      <w:start w:val="1"/>
      <w:numFmt w:val="bullet"/>
      <w:lvlText w:val="o"/>
      <w:lvlJc w:val="left"/>
      <w:pPr>
        <w:ind w:left="2859" w:hanging="511"/>
      </w:pPr>
      <w:rPr>
        <w:rFonts w:ascii="Courier New" w:hAnsi="Courier New" w:cs="Courier New" w:hint="default"/>
      </w:rPr>
    </w:lvl>
    <w:lvl w:ilvl="8">
      <w:start w:val="1"/>
      <w:numFmt w:val="bullet"/>
      <w:lvlText w:val=""/>
      <w:lvlJc w:val="left"/>
      <w:pPr>
        <w:ind w:left="3143" w:hanging="511"/>
      </w:pPr>
      <w:rPr>
        <w:rFonts w:ascii="Wingdings" w:hAnsi="Wingdings" w:hint="default"/>
      </w:rPr>
    </w:lvl>
  </w:abstractNum>
  <w:abstractNum w:abstractNumId="12" w15:restartNumberingAfterBreak="0">
    <w:nsid w:val="1B431417"/>
    <w:multiLevelType w:val="hybridMultilevel"/>
    <w:tmpl w:val="734CC00A"/>
    <w:lvl w:ilvl="0" w:tplc="E934FC8C">
      <w:start w:val="12"/>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1C687417"/>
    <w:multiLevelType w:val="multilevel"/>
    <w:tmpl w:val="5FEC58BC"/>
    <w:styleLink w:val="Style2"/>
    <w:lvl w:ilvl="0">
      <w:start w:val="1"/>
      <w:numFmt w:val="decimal"/>
      <w:lvlText w:val="%1."/>
      <w:lvlJc w:val="left"/>
      <w:pPr>
        <w:ind w:left="907" w:hanging="907"/>
      </w:pPr>
      <w:rPr>
        <w:rFonts w:hint="default"/>
      </w:rPr>
    </w:lvl>
    <w:lvl w:ilvl="1">
      <w:start w:val="1"/>
      <w:numFmt w:val="lowerLetter"/>
      <w:lvlText w:val="%2."/>
      <w:lvlJc w:val="left"/>
      <w:pPr>
        <w:ind w:left="1191" w:hanging="907"/>
      </w:pPr>
      <w:rPr>
        <w:rFonts w:hint="default"/>
      </w:rPr>
    </w:lvl>
    <w:lvl w:ilvl="2">
      <w:start w:val="1"/>
      <w:numFmt w:val="lowerRoman"/>
      <w:lvlText w:val="%3."/>
      <w:lvlJc w:val="right"/>
      <w:pPr>
        <w:ind w:left="1475" w:hanging="907"/>
      </w:pPr>
      <w:rPr>
        <w:rFonts w:hint="default"/>
      </w:rPr>
    </w:lvl>
    <w:lvl w:ilvl="3">
      <w:start w:val="1"/>
      <w:numFmt w:val="decimal"/>
      <w:lvlText w:val="%4."/>
      <w:lvlJc w:val="left"/>
      <w:pPr>
        <w:ind w:left="1759" w:hanging="907"/>
      </w:pPr>
      <w:rPr>
        <w:rFonts w:hint="default"/>
      </w:rPr>
    </w:lvl>
    <w:lvl w:ilvl="4">
      <w:start w:val="1"/>
      <w:numFmt w:val="lowerLetter"/>
      <w:lvlText w:val="%5."/>
      <w:lvlJc w:val="left"/>
      <w:pPr>
        <w:ind w:left="2043" w:hanging="907"/>
      </w:pPr>
      <w:rPr>
        <w:rFonts w:hint="default"/>
      </w:rPr>
    </w:lvl>
    <w:lvl w:ilvl="5">
      <w:start w:val="1"/>
      <w:numFmt w:val="lowerRoman"/>
      <w:lvlText w:val="%6."/>
      <w:lvlJc w:val="right"/>
      <w:pPr>
        <w:ind w:left="2327" w:hanging="907"/>
      </w:pPr>
      <w:rPr>
        <w:rFonts w:hint="default"/>
      </w:rPr>
    </w:lvl>
    <w:lvl w:ilvl="6">
      <w:start w:val="1"/>
      <w:numFmt w:val="decimal"/>
      <w:lvlText w:val="%7."/>
      <w:lvlJc w:val="left"/>
      <w:pPr>
        <w:ind w:left="2611" w:hanging="907"/>
      </w:pPr>
      <w:rPr>
        <w:rFonts w:hint="default"/>
      </w:rPr>
    </w:lvl>
    <w:lvl w:ilvl="7">
      <w:start w:val="1"/>
      <w:numFmt w:val="lowerLetter"/>
      <w:lvlText w:val="%8."/>
      <w:lvlJc w:val="left"/>
      <w:pPr>
        <w:ind w:left="2895" w:hanging="907"/>
      </w:pPr>
      <w:rPr>
        <w:rFonts w:hint="default"/>
      </w:rPr>
    </w:lvl>
    <w:lvl w:ilvl="8">
      <w:start w:val="1"/>
      <w:numFmt w:val="lowerRoman"/>
      <w:lvlText w:val="%9."/>
      <w:lvlJc w:val="right"/>
      <w:pPr>
        <w:ind w:left="3179" w:hanging="907"/>
      </w:pPr>
      <w:rPr>
        <w:rFonts w:hint="default"/>
      </w:rPr>
    </w:lvl>
  </w:abstractNum>
  <w:abstractNum w:abstractNumId="14" w15:restartNumberingAfterBreak="0">
    <w:nsid w:val="1C7908BA"/>
    <w:multiLevelType w:val="hybridMultilevel"/>
    <w:tmpl w:val="002CFF6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1E322E08"/>
    <w:multiLevelType w:val="hybridMultilevel"/>
    <w:tmpl w:val="70E0DCE0"/>
    <w:lvl w:ilvl="0" w:tplc="E30AA136">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22B1215D"/>
    <w:multiLevelType w:val="hybridMultilevel"/>
    <w:tmpl w:val="3336F3A0"/>
    <w:lvl w:ilvl="0" w:tplc="B810D9D4">
      <w:start w:val="17"/>
      <w:numFmt w:val="lowerLetter"/>
      <w:lvlText w:val="(%1)"/>
      <w:lvlJc w:val="left"/>
      <w:pPr>
        <w:ind w:left="720" w:hanging="360"/>
      </w:pPr>
      <w:rPr>
        <w:rFonts w:ascii="Arial" w:hAnsi="Aria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24D83CBB"/>
    <w:multiLevelType w:val="hybridMultilevel"/>
    <w:tmpl w:val="1A7687B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15:restartNumberingAfterBreak="0">
    <w:nsid w:val="293806B0"/>
    <w:multiLevelType w:val="hybridMultilevel"/>
    <w:tmpl w:val="A794778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2B5804D2"/>
    <w:multiLevelType w:val="multilevel"/>
    <w:tmpl w:val="25E4E7EE"/>
    <w:lvl w:ilvl="0">
      <w:start w:val="1"/>
      <w:numFmt w:val="decimal"/>
      <w:pStyle w:val="eftposnumberlist"/>
      <w:lvlText w:val="%1."/>
      <w:lvlJc w:val="left"/>
      <w:pPr>
        <w:ind w:left="284" w:hanging="284"/>
      </w:pPr>
      <w:rPr>
        <w:rFonts w:ascii="Manrope" w:hAnsi="Manrope" w:hint="default"/>
        <w:b/>
        <w:i w:val="0"/>
      </w:rPr>
    </w:lvl>
    <w:lvl w:ilvl="1">
      <w:start w:val="1"/>
      <w:numFmt w:val="decimal"/>
      <w:lvlText w:val="%1.%2."/>
      <w:lvlJc w:val="left"/>
      <w:pPr>
        <w:ind w:left="568" w:hanging="284"/>
      </w:pPr>
      <w:rPr>
        <w:rFonts w:ascii="Manrope" w:hAnsi="Manrope" w:hint="default"/>
        <w:b/>
        <w:i w:val="0"/>
      </w:rPr>
    </w:lvl>
    <w:lvl w:ilvl="2">
      <w:start w:val="1"/>
      <w:numFmt w:val="decimal"/>
      <w:lvlText w:val="%1.%2.%3."/>
      <w:lvlJc w:val="left"/>
      <w:pPr>
        <w:ind w:left="852" w:hanging="284"/>
      </w:pPr>
      <w:rPr>
        <w:rFonts w:ascii="Manrope" w:hAnsi="Manrope" w:hint="default"/>
        <w:b/>
        <w:i w:val="0"/>
      </w:rPr>
    </w:lvl>
    <w:lvl w:ilvl="3">
      <w:start w:val="1"/>
      <w:numFmt w:val="decimal"/>
      <w:lvlText w:val="%1.%2.%3.%4."/>
      <w:lvlJc w:val="left"/>
      <w:pPr>
        <w:ind w:left="1136" w:hanging="284"/>
      </w:pPr>
      <w:rPr>
        <w:rFonts w:ascii="Manrope" w:hAnsi="Manrope" w:hint="default"/>
        <w:b/>
        <w:i w:val="0"/>
      </w:rPr>
    </w:lvl>
    <w:lvl w:ilvl="4">
      <w:start w:val="1"/>
      <w:numFmt w:val="decimal"/>
      <w:lvlText w:val="%1.%2.%3.%4.%5."/>
      <w:lvlJc w:val="left"/>
      <w:pPr>
        <w:ind w:left="1420" w:hanging="284"/>
      </w:pPr>
      <w:rPr>
        <w:rFonts w:ascii="Manrope" w:hAnsi="Manrope" w:hint="default"/>
        <w:b/>
        <w:i w:val="0"/>
      </w:rPr>
    </w:lvl>
    <w:lvl w:ilvl="5">
      <w:start w:val="1"/>
      <w:numFmt w:val="decimal"/>
      <w:lvlText w:val="%1.%2.%3.%4.%5.%6."/>
      <w:lvlJc w:val="left"/>
      <w:pPr>
        <w:ind w:left="1704" w:hanging="284"/>
      </w:pPr>
      <w:rPr>
        <w:rFonts w:ascii="Manrope" w:hAnsi="Manrope" w:hint="default"/>
        <w:b/>
        <w:i w:val="0"/>
      </w:rPr>
    </w:lvl>
    <w:lvl w:ilvl="6">
      <w:start w:val="1"/>
      <w:numFmt w:val="decimal"/>
      <w:lvlText w:val="%1.%2.%3.%4.%5.%6.%7."/>
      <w:lvlJc w:val="left"/>
      <w:pPr>
        <w:ind w:left="1988" w:hanging="284"/>
      </w:pPr>
      <w:rPr>
        <w:rFonts w:hint="default"/>
      </w:rPr>
    </w:lvl>
    <w:lvl w:ilvl="7">
      <w:start w:val="1"/>
      <w:numFmt w:val="decimal"/>
      <w:lvlText w:val="%1.%2.%3.%4.%5.%6.%7.%8."/>
      <w:lvlJc w:val="left"/>
      <w:pPr>
        <w:ind w:left="2272" w:hanging="284"/>
      </w:pPr>
      <w:rPr>
        <w:rFonts w:hint="default"/>
      </w:rPr>
    </w:lvl>
    <w:lvl w:ilvl="8">
      <w:start w:val="1"/>
      <w:numFmt w:val="decimal"/>
      <w:lvlText w:val="%1.%2.%3.%4.%5.%6.%7.%8.%9."/>
      <w:lvlJc w:val="left"/>
      <w:pPr>
        <w:ind w:left="2556" w:hanging="284"/>
      </w:pPr>
      <w:rPr>
        <w:rFonts w:hint="default"/>
      </w:rPr>
    </w:lvl>
  </w:abstractNum>
  <w:abstractNum w:abstractNumId="20" w15:restartNumberingAfterBreak="0">
    <w:nsid w:val="2DDF79A5"/>
    <w:multiLevelType w:val="hybridMultilevel"/>
    <w:tmpl w:val="291A2418"/>
    <w:lvl w:ilvl="0" w:tplc="C4C8E4F0">
      <w:start w:val="14"/>
      <w:numFmt w:val="lowerLetter"/>
      <w:lvlText w:val="(%1)"/>
      <w:lvlJc w:val="left"/>
      <w:pPr>
        <w:ind w:left="720" w:hanging="360"/>
      </w:pPr>
      <w:rPr>
        <w:rFonts w:ascii="Arial" w:hAnsi="Aria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2F2E2E1C"/>
    <w:multiLevelType w:val="hybridMultilevel"/>
    <w:tmpl w:val="58BCA2C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30283BA3"/>
    <w:multiLevelType w:val="hybridMultilevel"/>
    <w:tmpl w:val="4C863AB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32D31691"/>
    <w:multiLevelType w:val="hybridMultilevel"/>
    <w:tmpl w:val="FA088D1A"/>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4" w15:restartNumberingAfterBreak="0">
    <w:nsid w:val="33807258"/>
    <w:multiLevelType w:val="multilevel"/>
    <w:tmpl w:val="5E40265C"/>
    <w:styleLink w:val="Style1"/>
    <w:lvl w:ilvl="0">
      <w:start w:val="1"/>
      <w:numFmt w:val="bullet"/>
      <w:lvlText w:val="–"/>
      <w:lvlJc w:val="left"/>
      <w:pPr>
        <w:ind w:left="357" w:hanging="357"/>
      </w:pPr>
      <w:rPr>
        <w:rFonts w:ascii="Open Sans" w:hAnsi="Open Sans" w:hint="default"/>
      </w:rPr>
    </w:lvl>
    <w:lvl w:ilvl="1">
      <w:start w:val="1"/>
      <w:numFmt w:val="bullet"/>
      <w:lvlText w:val=""/>
      <w:lvlJc w:val="left"/>
      <w:pPr>
        <w:ind w:left="714" w:hanging="357"/>
      </w:pPr>
      <w:rPr>
        <w:rFonts w:ascii="Wingdings" w:hAnsi="Wingdings" w:cs="Wingdings" w:hint="default"/>
        <w:color w:val="auto"/>
      </w:rPr>
    </w:lvl>
    <w:lvl w:ilvl="2">
      <w:start w:val="1"/>
      <w:numFmt w:val="bullet"/>
      <w:lvlText w:val=""/>
      <w:lvlJc w:val="left"/>
      <w:pPr>
        <w:ind w:left="1071" w:hanging="357"/>
      </w:pPr>
      <w:rPr>
        <w:rFonts w:ascii="Wingdings" w:hAnsi="Wingdings" w:cs="Wingdings" w:hint="default"/>
      </w:rPr>
    </w:lvl>
    <w:lvl w:ilvl="3">
      <w:start w:val="1"/>
      <w:numFmt w:val="bullet"/>
      <w:lvlText w:val=""/>
      <w:lvlJc w:val="left"/>
      <w:pPr>
        <w:ind w:left="1428" w:hanging="357"/>
      </w:pPr>
      <w:rPr>
        <w:rFonts w:ascii="Symbol" w:hAnsi="Symbol" w:cs="Symbol" w:hint="default"/>
      </w:rPr>
    </w:lvl>
    <w:lvl w:ilvl="4">
      <w:start w:val="1"/>
      <w:numFmt w:val="bullet"/>
      <w:lvlText w:val=""/>
      <w:lvlJc w:val="left"/>
      <w:pPr>
        <w:ind w:left="1785" w:hanging="357"/>
      </w:pPr>
      <w:rPr>
        <w:rFonts w:ascii="Symbol" w:hAnsi="Symbol" w:cs="Symbol" w:hint="default"/>
      </w:rPr>
    </w:lvl>
    <w:lvl w:ilvl="5">
      <w:start w:val="1"/>
      <w:numFmt w:val="bullet"/>
      <w:lvlText w:val=""/>
      <w:lvlJc w:val="left"/>
      <w:pPr>
        <w:ind w:left="2142" w:hanging="357"/>
      </w:pPr>
      <w:rPr>
        <w:rFonts w:ascii="Wingdings" w:hAnsi="Wingdings" w:cs="Wingdings" w:hint="default"/>
      </w:rPr>
    </w:lvl>
    <w:lvl w:ilvl="6">
      <w:start w:val="1"/>
      <w:numFmt w:val="bullet"/>
      <w:lvlText w:val=""/>
      <w:lvlJc w:val="left"/>
      <w:pPr>
        <w:ind w:left="2499" w:hanging="357"/>
      </w:pPr>
      <w:rPr>
        <w:rFonts w:ascii="Wingdings" w:hAnsi="Wingdings" w:cs="Wingdings" w:hint="default"/>
      </w:rPr>
    </w:lvl>
    <w:lvl w:ilvl="7">
      <w:start w:val="1"/>
      <w:numFmt w:val="bullet"/>
      <w:lvlText w:val=""/>
      <w:lvlJc w:val="left"/>
      <w:pPr>
        <w:ind w:left="2856" w:hanging="357"/>
      </w:pPr>
      <w:rPr>
        <w:rFonts w:ascii="Symbol" w:hAnsi="Symbol" w:cs="Symbol" w:hint="default"/>
      </w:rPr>
    </w:lvl>
    <w:lvl w:ilvl="8">
      <w:start w:val="1"/>
      <w:numFmt w:val="bullet"/>
      <w:lvlText w:val=""/>
      <w:lvlJc w:val="left"/>
      <w:pPr>
        <w:ind w:left="3213" w:hanging="357"/>
      </w:pPr>
      <w:rPr>
        <w:rFonts w:ascii="Symbol" w:hAnsi="Symbol" w:cs="Symbol" w:hint="default"/>
      </w:rPr>
    </w:lvl>
  </w:abstractNum>
  <w:abstractNum w:abstractNumId="25" w15:restartNumberingAfterBreak="0">
    <w:nsid w:val="34892D9E"/>
    <w:multiLevelType w:val="hybridMultilevel"/>
    <w:tmpl w:val="61520726"/>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6" w15:restartNumberingAfterBreak="0">
    <w:nsid w:val="3710277B"/>
    <w:multiLevelType w:val="multilevel"/>
    <w:tmpl w:val="A448D3A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Symbol" w:hAnsi="Symbol" w:hint="default"/>
        <w:sz w:val="20"/>
      </w:rPr>
    </w:lvl>
    <w:lvl w:ilvl="3">
      <w:start w:val="1"/>
      <w:numFmt w:val="bullet"/>
      <w:lvlText w:val=""/>
      <w:lvlJc w:val="left"/>
      <w:pPr>
        <w:tabs>
          <w:tab w:val="num" w:pos="3240"/>
        </w:tabs>
        <w:ind w:left="3240" w:hanging="360"/>
      </w:pPr>
      <w:rPr>
        <w:rFonts w:ascii="Symbol" w:hAnsi="Symbol" w:hint="default"/>
        <w:sz w:val="20"/>
      </w:rPr>
    </w:lvl>
    <w:lvl w:ilvl="4">
      <w:start w:val="1"/>
      <w:numFmt w:val="bullet"/>
      <w:lvlText w:val=""/>
      <w:lvlJc w:val="left"/>
      <w:pPr>
        <w:tabs>
          <w:tab w:val="num" w:pos="3960"/>
        </w:tabs>
        <w:ind w:left="3960" w:hanging="360"/>
      </w:pPr>
      <w:rPr>
        <w:rFonts w:ascii="Symbol" w:hAnsi="Symbol" w:hint="default"/>
        <w:sz w:val="20"/>
      </w:rPr>
    </w:lvl>
    <w:lvl w:ilvl="5">
      <w:start w:val="1"/>
      <w:numFmt w:val="bullet"/>
      <w:lvlText w:val=""/>
      <w:lvlJc w:val="left"/>
      <w:pPr>
        <w:tabs>
          <w:tab w:val="num" w:pos="4680"/>
        </w:tabs>
        <w:ind w:left="4680" w:hanging="360"/>
      </w:pPr>
      <w:rPr>
        <w:rFonts w:ascii="Symbol" w:hAnsi="Symbol" w:hint="default"/>
        <w:sz w:val="20"/>
      </w:rPr>
    </w:lvl>
    <w:lvl w:ilvl="6">
      <w:start w:val="1"/>
      <w:numFmt w:val="bullet"/>
      <w:lvlText w:val=""/>
      <w:lvlJc w:val="left"/>
      <w:pPr>
        <w:tabs>
          <w:tab w:val="num" w:pos="5400"/>
        </w:tabs>
        <w:ind w:left="5400" w:hanging="360"/>
      </w:pPr>
      <w:rPr>
        <w:rFonts w:ascii="Symbol" w:hAnsi="Symbol" w:hint="default"/>
        <w:sz w:val="20"/>
      </w:rPr>
    </w:lvl>
    <w:lvl w:ilvl="7">
      <w:start w:val="1"/>
      <w:numFmt w:val="bullet"/>
      <w:lvlText w:val=""/>
      <w:lvlJc w:val="left"/>
      <w:pPr>
        <w:tabs>
          <w:tab w:val="num" w:pos="6120"/>
        </w:tabs>
        <w:ind w:left="6120" w:hanging="360"/>
      </w:pPr>
      <w:rPr>
        <w:rFonts w:ascii="Symbol" w:hAnsi="Symbol" w:hint="default"/>
        <w:sz w:val="20"/>
      </w:rPr>
    </w:lvl>
    <w:lvl w:ilvl="8">
      <w:start w:val="1"/>
      <w:numFmt w:val="bullet"/>
      <w:lvlText w:val=""/>
      <w:lvlJc w:val="left"/>
      <w:pPr>
        <w:tabs>
          <w:tab w:val="num" w:pos="6840"/>
        </w:tabs>
        <w:ind w:left="6840" w:hanging="360"/>
      </w:pPr>
      <w:rPr>
        <w:rFonts w:ascii="Symbol" w:hAnsi="Symbol" w:hint="default"/>
        <w:sz w:val="20"/>
      </w:rPr>
    </w:lvl>
  </w:abstractNum>
  <w:abstractNum w:abstractNumId="27" w15:restartNumberingAfterBreak="0">
    <w:nsid w:val="39A70047"/>
    <w:multiLevelType w:val="hybridMultilevel"/>
    <w:tmpl w:val="5492F632"/>
    <w:lvl w:ilvl="0" w:tplc="0C090001">
      <w:start w:val="1"/>
      <w:numFmt w:val="bullet"/>
      <w:lvlText w:val=""/>
      <w:lvlJc w:val="left"/>
      <w:pPr>
        <w:ind w:left="1440" w:hanging="360"/>
      </w:pPr>
      <w:rPr>
        <w:rFonts w:ascii="Symbol" w:hAnsi="Symbol"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8" w15:restartNumberingAfterBreak="0">
    <w:nsid w:val="3B962054"/>
    <w:multiLevelType w:val="hybridMultilevel"/>
    <w:tmpl w:val="E68C25E2"/>
    <w:lvl w:ilvl="0" w:tplc="E30AA136">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3C8C09CC"/>
    <w:multiLevelType w:val="hybridMultilevel"/>
    <w:tmpl w:val="EF2AE2B6"/>
    <w:lvl w:ilvl="0" w:tplc="07B026C4">
      <w:start w:val="1"/>
      <w:numFmt w:val="decimal"/>
      <w:lvlText w:val="%1."/>
      <w:lvlJc w:val="left"/>
      <w:pPr>
        <w:ind w:left="720" w:hanging="360"/>
      </w:pPr>
    </w:lvl>
    <w:lvl w:ilvl="1" w:tplc="93803502">
      <w:start w:val="1"/>
      <w:numFmt w:val="lowerLetter"/>
      <w:lvlText w:val="%2."/>
      <w:lvlJc w:val="left"/>
      <w:pPr>
        <w:ind w:left="1440" w:hanging="360"/>
      </w:pPr>
    </w:lvl>
    <w:lvl w:ilvl="2" w:tplc="20022F22">
      <w:start w:val="1"/>
      <w:numFmt w:val="lowerRoman"/>
      <w:lvlText w:val="%3."/>
      <w:lvlJc w:val="right"/>
      <w:pPr>
        <w:ind w:left="2160" w:hanging="180"/>
      </w:pPr>
    </w:lvl>
    <w:lvl w:ilvl="3" w:tplc="968E6CE4">
      <w:start w:val="1"/>
      <w:numFmt w:val="decimal"/>
      <w:lvlText w:val="%4."/>
      <w:lvlJc w:val="left"/>
      <w:pPr>
        <w:ind w:left="2880" w:hanging="360"/>
      </w:pPr>
    </w:lvl>
    <w:lvl w:ilvl="4" w:tplc="CB0ACD36">
      <w:start w:val="1"/>
      <w:numFmt w:val="lowerLetter"/>
      <w:lvlText w:val="%5."/>
      <w:lvlJc w:val="left"/>
      <w:pPr>
        <w:ind w:left="3600" w:hanging="360"/>
      </w:pPr>
    </w:lvl>
    <w:lvl w:ilvl="5" w:tplc="4712F332">
      <w:start w:val="1"/>
      <w:numFmt w:val="lowerRoman"/>
      <w:lvlText w:val="%6."/>
      <w:lvlJc w:val="right"/>
      <w:pPr>
        <w:ind w:left="4320" w:hanging="180"/>
      </w:pPr>
    </w:lvl>
    <w:lvl w:ilvl="6" w:tplc="690C6E24">
      <w:start w:val="1"/>
      <w:numFmt w:val="decimal"/>
      <w:lvlText w:val="%7."/>
      <w:lvlJc w:val="left"/>
      <w:pPr>
        <w:ind w:left="5040" w:hanging="360"/>
      </w:pPr>
    </w:lvl>
    <w:lvl w:ilvl="7" w:tplc="C7C66ACA">
      <w:start w:val="1"/>
      <w:numFmt w:val="lowerLetter"/>
      <w:lvlText w:val="%8."/>
      <w:lvlJc w:val="left"/>
      <w:pPr>
        <w:ind w:left="5760" w:hanging="360"/>
      </w:pPr>
    </w:lvl>
    <w:lvl w:ilvl="8" w:tplc="515A6B38">
      <w:start w:val="1"/>
      <w:numFmt w:val="lowerRoman"/>
      <w:lvlText w:val="%9."/>
      <w:lvlJc w:val="right"/>
      <w:pPr>
        <w:ind w:left="6480" w:hanging="180"/>
      </w:pPr>
    </w:lvl>
  </w:abstractNum>
  <w:abstractNum w:abstractNumId="30" w15:restartNumberingAfterBreak="0">
    <w:nsid w:val="41C43372"/>
    <w:multiLevelType w:val="multilevel"/>
    <w:tmpl w:val="E8DA9CA0"/>
    <w:styleLink w:val="Style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42532980"/>
    <w:multiLevelType w:val="hybridMultilevel"/>
    <w:tmpl w:val="8BB663A8"/>
    <w:lvl w:ilvl="0" w:tplc="E30AA136">
      <w:start w:val="1"/>
      <w:numFmt w:val="lowerLetter"/>
      <w:lvlText w:val="(%1)"/>
      <w:lvlJc w:val="left"/>
      <w:pPr>
        <w:ind w:left="720" w:hanging="360"/>
      </w:pPr>
      <w:rPr>
        <w:rFonts w:hint="default"/>
      </w:rPr>
    </w:lvl>
    <w:lvl w:ilvl="1" w:tplc="AD145FA2">
      <w:start w:val="1"/>
      <w:numFmt w:val="decimal"/>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42AA281D"/>
    <w:multiLevelType w:val="hybridMultilevel"/>
    <w:tmpl w:val="4FA24B7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44C50E11"/>
    <w:multiLevelType w:val="multilevel"/>
    <w:tmpl w:val="D9CAA8F0"/>
    <w:styleLink w:val="Bullet"/>
    <w:lvl w:ilvl="0">
      <w:start w:val="1"/>
      <w:numFmt w:val="bullet"/>
      <w:suff w:val="space"/>
      <w:lvlText w:val=""/>
      <w:lvlJc w:val="left"/>
      <w:pPr>
        <w:ind w:left="284" w:hanging="284"/>
      </w:pPr>
      <w:rPr>
        <w:rFonts w:ascii="Symbol" w:hAnsi="Symbol" w:hint="default"/>
      </w:rPr>
    </w:lvl>
    <w:lvl w:ilvl="1">
      <w:start w:val="1"/>
      <w:numFmt w:val="bullet"/>
      <w:lvlRestart w:val="0"/>
      <w:suff w:val="space"/>
      <w:lvlText w:val=""/>
      <w:lvlJc w:val="left"/>
      <w:pPr>
        <w:ind w:left="568" w:hanging="284"/>
      </w:pPr>
      <w:rPr>
        <w:rFonts w:ascii="Symbol" w:hAnsi="Symbol" w:hint="default"/>
      </w:rPr>
    </w:lvl>
    <w:lvl w:ilvl="2">
      <w:start w:val="1"/>
      <w:numFmt w:val="bullet"/>
      <w:lvlRestart w:val="0"/>
      <w:pStyle w:val="eftposbullet"/>
      <w:suff w:val="space"/>
      <w:lvlText w:val=""/>
      <w:lvlJc w:val="left"/>
      <w:pPr>
        <w:ind w:left="852" w:hanging="284"/>
      </w:pPr>
      <w:rPr>
        <w:rFonts w:ascii="Symbol" w:hAnsi="Symbol" w:hint="default"/>
      </w:rPr>
    </w:lvl>
    <w:lvl w:ilvl="3">
      <w:start w:val="1"/>
      <w:numFmt w:val="bullet"/>
      <w:lvlRestart w:val="0"/>
      <w:suff w:val="space"/>
      <w:lvlText w:val=""/>
      <w:lvlJc w:val="left"/>
      <w:pPr>
        <w:ind w:left="1136" w:hanging="284"/>
      </w:pPr>
      <w:rPr>
        <w:rFonts w:ascii="Wingdings" w:hAnsi="Wingdings" w:hint="default"/>
      </w:rPr>
    </w:lvl>
    <w:lvl w:ilvl="4">
      <w:start w:val="1"/>
      <w:numFmt w:val="bullet"/>
      <w:suff w:val="space"/>
      <w:lvlText w:val=""/>
      <w:lvlJc w:val="left"/>
      <w:pPr>
        <w:ind w:left="1420" w:hanging="284"/>
      </w:pPr>
      <w:rPr>
        <w:rFonts w:ascii="Wingdings" w:hAnsi="Wingdings" w:hint="default"/>
      </w:rPr>
    </w:lvl>
    <w:lvl w:ilvl="5">
      <w:start w:val="1"/>
      <w:numFmt w:val="bullet"/>
      <w:suff w:val="space"/>
      <w:lvlText w:val=""/>
      <w:lvlJc w:val="left"/>
      <w:pPr>
        <w:ind w:left="1704" w:hanging="284"/>
      </w:pPr>
      <w:rPr>
        <w:rFonts w:ascii="Wingdings" w:hAnsi="Wingdings" w:hint="default"/>
      </w:rPr>
    </w:lvl>
    <w:lvl w:ilvl="6">
      <w:start w:val="1"/>
      <w:numFmt w:val="bullet"/>
      <w:suff w:val="space"/>
      <w:lvlText w:val=""/>
      <w:lvlJc w:val="left"/>
      <w:pPr>
        <w:ind w:left="1988" w:hanging="284"/>
      </w:pPr>
      <w:rPr>
        <w:rFonts w:ascii="Symbol" w:hAnsi="Symbol" w:hint="default"/>
      </w:rPr>
    </w:lvl>
    <w:lvl w:ilvl="7">
      <w:start w:val="1"/>
      <w:numFmt w:val="bullet"/>
      <w:lvlText w:val="o"/>
      <w:lvlJc w:val="left"/>
      <w:pPr>
        <w:ind w:left="2272" w:hanging="284"/>
      </w:pPr>
      <w:rPr>
        <w:rFonts w:ascii="Courier New" w:hAnsi="Courier New" w:cs="Courier New" w:hint="default"/>
      </w:rPr>
    </w:lvl>
    <w:lvl w:ilvl="8">
      <w:start w:val="1"/>
      <w:numFmt w:val="bullet"/>
      <w:lvlText w:val=""/>
      <w:lvlJc w:val="left"/>
      <w:pPr>
        <w:ind w:left="2556" w:hanging="284"/>
      </w:pPr>
      <w:rPr>
        <w:rFonts w:ascii="Wingdings" w:hAnsi="Wingdings" w:hint="default"/>
      </w:rPr>
    </w:lvl>
  </w:abstractNum>
  <w:abstractNum w:abstractNumId="34" w15:restartNumberingAfterBreak="0">
    <w:nsid w:val="44C73A28"/>
    <w:multiLevelType w:val="hybridMultilevel"/>
    <w:tmpl w:val="9894F1B6"/>
    <w:lvl w:ilvl="0" w:tplc="E30AA136">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5" w15:restartNumberingAfterBreak="0">
    <w:nsid w:val="480A720A"/>
    <w:multiLevelType w:val="hybridMultilevel"/>
    <w:tmpl w:val="948AFDD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6" w15:restartNumberingAfterBreak="0">
    <w:nsid w:val="4AB30A00"/>
    <w:multiLevelType w:val="hybridMultilevel"/>
    <w:tmpl w:val="A4FAB14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7" w15:restartNumberingAfterBreak="0">
    <w:nsid w:val="4D7F45CF"/>
    <w:multiLevelType w:val="multilevel"/>
    <w:tmpl w:val="CB40F7D8"/>
    <w:lvl w:ilvl="0">
      <w:start w:val="1"/>
      <w:numFmt w:val="decimal"/>
      <w:pStyle w:val="bulletlist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4E7101A2"/>
    <w:multiLevelType w:val="multilevel"/>
    <w:tmpl w:val="3AC03C24"/>
    <w:styleLink w:val="NumberList"/>
    <w:lvl w:ilvl="0">
      <w:start w:val="1"/>
      <w:numFmt w:val="decimal"/>
      <w:lvlText w:val="%1)"/>
      <w:lvlJc w:val="left"/>
      <w:pPr>
        <w:ind w:left="357" w:hanging="357"/>
      </w:pPr>
      <w:rPr>
        <w:rFonts w:ascii="Open Sans" w:hAnsi="Open Sans" w:hint="default"/>
        <w:b/>
        <w:i w:val="0"/>
      </w:rPr>
    </w:lvl>
    <w:lvl w:ilvl="1">
      <w:start w:val="1"/>
      <w:numFmt w:val="lowerLetter"/>
      <w:lvlText w:val="%2)"/>
      <w:lvlJc w:val="left"/>
      <w:pPr>
        <w:ind w:left="714" w:hanging="357"/>
      </w:pPr>
      <w:rPr>
        <w:rFonts w:hint="default"/>
      </w:rPr>
    </w:lvl>
    <w:lvl w:ilvl="2">
      <w:start w:val="1"/>
      <w:numFmt w:val="lowerRoman"/>
      <w:lvlText w:val="%3)"/>
      <w:lvlJc w:val="left"/>
      <w:pPr>
        <w:ind w:left="1071" w:hanging="357"/>
      </w:pPr>
      <w:rPr>
        <w:rFonts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39" w15:restartNumberingAfterBreak="0">
    <w:nsid w:val="4F5D5AEC"/>
    <w:multiLevelType w:val="hybridMultilevel"/>
    <w:tmpl w:val="98D4A36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0" w15:restartNumberingAfterBreak="0">
    <w:nsid w:val="5203053D"/>
    <w:multiLevelType w:val="hybridMultilevel"/>
    <w:tmpl w:val="821264E4"/>
    <w:lvl w:ilvl="0" w:tplc="0C09000F">
      <w:start w:val="1"/>
      <w:numFmt w:val="decimal"/>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57120CA5"/>
    <w:multiLevelType w:val="hybridMultilevel"/>
    <w:tmpl w:val="89922B80"/>
    <w:lvl w:ilvl="0" w:tplc="0C090001">
      <w:start w:val="1"/>
      <w:numFmt w:val="bullet"/>
      <w:lvlText w:val=""/>
      <w:lvlJc w:val="left"/>
      <w:pPr>
        <w:ind w:left="1080" w:hanging="360"/>
      </w:pPr>
      <w:rPr>
        <w:rFonts w:ascii="Symbol" w:hAnsi="Symbol" w:hint="default"/>
      </w:rPr>
    </w:lvl>
    <w:lvl w:ilvl="1" w:tplc="0C09000F">
      <w:start w:val="1"/>
      <w:numFmt w:val="decimal"/>
      <w:lvlText w:val="%2."/>
      <w:lvlJc w:val="left"/>
      <w:pPr>
        <w:ind w:left="1800" w:hanging="360"/>
      </w:pPr>
      <w:rPr>
        <w:rFonts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2" w15:restartNumberingAfterBreak="0">
    <w:nsid w:val="57784DA0"/>
    <w:multiLevelType w:val="multilevel"/>
    <w:tmpl w:val="4DE00BA4"/>
    <w:styleLink w:val="SandstoneNumberList"/>
    <w:lvl w:ilvl="0">
      <w:start w:val="1"/>
      <w:numFmt w:val="decimal"/>
      <w:lvlText w:val="%1."/>
      <w:lvlJc w:val="left"/>
      <w:pPr>
        <w:ind w:left="357" w:hanging="357"/>
      </w:pPr>
      <w:rPr>
        <w:rFonts w:asciiTheme="minorHAnsi" w:hAnsiTheme="minorHAnsi" w:hint="default"/>
        <w:b w:val="0"/>
        <w:i w:val="0"/>
        <w:color w:val="auto"/>
        <w:sz w:val="22"/>
      </w:rPr>
    </w:lvl>
    <w:lvl w:ilvl="1">
      <w:start w:val="1"/>
      <w:numFmt w:val="lowerLetter"/>
      <w:lvlText w:val="%2)"/>
      <w:lvlJc w:val="left"/>
      <w:pPr>
        <w:ind w:left="714" w:hanging="357"/>
      </w:pPr>
      <w:rPr>
        <w:rFonts w:hint="default"/>
      </w:rPr>
    </w:lvl>
    <w:lvl w:ilvl="2">
      <w:start w:val="1"/>
      <w:numFmt w:val="lowerRoman"/>
      <w:lvlText w:val="%3)"/>
      <w:lvlJc w:val="left"/>
      <w:pPr>
        <w:ind w:left="1071" w:hanging="357"/>
      </w:pPr>
      <w:rPr>
        <w:rFonts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43" w15:restartNumberingAfterBreak="0">
    <w:nsid w:val="5AD60EDE"/>
    <w:multiLevelType w:val="hybridMultilevel"/>
    <w:tmpl w:val="AA086B0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4" w15:restartNumberingAfterBreak="0">
    <w:nsid w:val="5CF319C1"/>
    <w:multiLevelType w:val="hybridMultilevel"/>
    <w:tmpl w:val="AF4431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5D456E87"/>
    <w:multiLevelType w:val="hybridMultilevel"/>
    <w:tmpl w:val="171E612C"/>
    <w:lvl w:ilvl="0" w:tplc="E30AA13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6" w15:restartNumberingAfterBreak="0">
    <w:nsid w:val="5E193DDA"/>
    <w:multiLevelType w:val="hybridMultilevel"/>
    <w:tmpl w:val="C920852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15:restartNumberingAfterBreak="0">
    <w:nsid w:val="5F992D82"/>
    <w:multiLevelType w:val="hybridMultilevel"/>
    <w:tmpl w:val="8FD6A5EC"/>
    <w:lvl w:ilvl="0" w:tplc="D5E6988C">
      <w:start w:val="1"/>
      <w:numFmt w:val="bullet"/>
      <w:pStyle w:val="Tablechecklist"/>
      <w:lvlText w:val=""/>
      <w:lvlJc w:val="left"/>
      <w:pPr>
        <w:ind w:left="720" w:hanging="360"/>
      </w:pPr>
      <w:rPr>
        <w:rFonts w:ascii="Wingdings" w:hAnsi="Wingdings" w:cs="Wingdings" w:hint="default"/>
        <w:color w:val="8D1B3D" w:themeColor="accent1"/>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8" w15:restartNumberingAfterBreak="0">
    <w:nsid w:val="6298362E"/>
    <w:multiLevelType w:val="hybridMultilevel"/>
    <w:tmpl w:val="8AB6E7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9" w15:restartNumberingAfterBreak="0">
    <w:nsid w:val="643516F8"/>
    <w:multiLevelType w:val="hybridMultilevel"/>
    <w:tmpl w:val="D8B41ED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0" w15:restartNumberingAfterBreak="0">
    <w:nsid w:val="64F15123"/>
    <w:multiLevelType w:val="multilevel"/>
    <w:tmpl w:val="D9CAA8F0"/>
    <w:numStyleLink w:val="Bullet"/>
  </w:abstractNum>
  <w:abstractNum w:abstractNumId="51" w15:restartNumberingAfterBreak="0">
    <w:nsid w:val="652B694C"/>
    <w:multiLevelType w:val="hybridMultilevel"/>
    <w:tmpl w:val="5A56304E"/>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2" w15:restartNumberingAfterBreak="0">
    <w:nsid w:val="66981221"/>
    <w:multiLevelType w:val="hybridMultilevel"/>
    <w:tmpl w:val="4F20E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3" w15:restartNumberingAfterBreak="0">
    <w:nsid w:val="67C11810"/>
    <w:multiLevelType w:val="hybridMultilevel"/>
    <w:tmpl w:val="9FB69CF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4" w15:restartNumberingAfterBreak="0">
    <w:nsid w:val="67F15994"/>
    <w:multiLevelType w:val="hybridMultilevel"/>
    <w:tmpl w:val="99225CC0"/>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5" w15:restartNumberingAfterBreak="0">
    <w:nsid w:val="697212B5"/>
    <w:multiLevelType w:val="hybridMultilevel"/>
    <w:tmpl w:val="B9905E08"/>
    <w:lvl w:ilvl="0" w:tplc="0C090017">
      <w:start w:val="1"/>
      <w:numFmt w:val="lowerLetter"/>
      <w:lvlText w:val="%1)"/>
      <w:lvlJc w:val="left"/>
      <w:pPr>
        <w:ind w:left="1353" w:hanging="360"/>
      </w:pPr>
    </w:lvl>
    <w:lvl w:ilvl="1" w:tplc="0C090019">
      <w:start w:val="1"/>
      <w:numFmt w:val="lowerLetter"/>
      <w:lvlText w:val="%2."/>
      <w:lvlJc w:val="left"/>
      <w:pPr>
        <w:ind w:left="2073" w:hanging="360"/>
      </w:pPr>
    </w:lvl>
    <w:lvl w:ilvl="2" w:tplc="0C09001B">
      <w:start w:val="1"/>
      <w:numFmt w:val="lowerRoman"/>
      <w:lvlText w:val="%3."/>
      <w:lvlJc w:val="right"/>
      <w:pPr>
        <w:ind w:left="2793" w:hanging="180"/>
      </w:pPr>
    </w:lvl>
    <w:lvl w:ilvl="3" w:tplc="0C09000F">
      <w:start w:val="1"/>
      <w:numFmt w:val="decimal"/>
      <w:lvlText w:val="%4."/>
      <w:lvlJc w:val="left"/>
      <w:pPr>
        <w:ind w:left="3513" w:hanging="360"/>
      </w:pPr>
    </w:lvl>
    <w:lvl w:ilvl="4" w:tplc="0C090019">
      <w:start w:val="1"/>
      <w:numFmt w:val="lowerLetter"/>
      <w:lvlText w:val="%5."/>
      <w:lvlJc w:val="left"/>
      <w:pPr>
        <w:ind w:left="4233" w:hanging="360"/>
      </w:pPr>
    </w:lvl>
    <w:lvl w:ilvl="5" w:tplc="0C09001B">
      <w:start w:val="1"/>
      <w:numFmt w:val="lowerRoman"/>
      <w:lvlText w:val="%6."/>
      <w:lvlJc w:val="right"/>
      <w:pPr>
        <w:ind w:left="4953" w:hanging="180"/>
      </w:pPr>
    </w:lvl>
    <w:lvl w:ilvl="6" w:tplc="0C09000F">
      <w:start w:val="1"/>
      <w:numFmt w:val="decimal"/>
      <w:lvlText w:val="%7."/>
      <w:lvlJc w:val="left"/>
      <w:pPr>
        <w:ind w:left="5673" w:hanging="360"/>
      </w:pPr>
    </w:lvl>
    <w:lvl w:ilvl="7" w:tplc="0C090019">
      <w:start w:val="1"/>
      <w:numFmt w:val="lowerLetter"/>
      <w:lvlText w:val="%8."/>
      <w:lvlJc w:val="left"/>
      <w:pPr>
        <w:ind w:left="6393" w:hanging="360"/>
      </w:pPr>
    </w:lvl>
    <w:lvl w:ilvl="8" w:tplc="0C09001B">
      <w:start w:val="1"/>
      <w:numFmt w:val="lowerRoman"/>
      <w:lvlText w:val="%9."/>
      <w:lvlJc w:val="right"/>
      <w:pPr>
        <w:ind w:left="7113" w:hanging="180"/>
      </w:pPr>
    </w:lvl>
  </w:abstractNum>
  <w:abstractNum w:abstractNumId="56" w15:restartNumberingAfterBreak="0">
    <w:nsid w:val="6BF44D03"/>
    <w:multiLevelType w:val="hybridMultilevel"/>
    <w:tmpl w:val="6DC242C4"/>
    <w:lvl w:ilvl="0" w:tplc="A5600574">
      <w:start w:val="1"/>
      <w:numFmt w:val="decimal"/>
      <w:lvlText w:val="%1."/>
      <w:lvlJc w:val="left"/>
      <w:pPr>
        <w:ind w:left="720" w:hanging="360"/>
      </w:pPr>
    </w:lvl>
    <w:lvl w:ilvl="1" w:tplc="AE28D0C8">
      <w:start w:val="1"/>
      <w:numFmt w:val="lowerLetter"/>
      <w:lvlText w:val="%2."/>
      <w:lvlJc w:val="left"/>
      <w:pPr>
        <w:ind w:left="1440" w:hanging="360"/>
      </w:pPr>
    </w:lvl>
    <w:lvl w:ilvl="2" w:tplc="1018E0BC">
      <w:start w:val="1"/>
      <w:numFmt w:val="lowerRoman"/>
      <w:lvlText w:val="%3."/>
      <w:lvlJc w:val="right"/>
      <w:pPr>
        <w:ind w:left="2160" w:hanging="180"/>
      </w:pPr>
    </w:lvl>
    <w:lvl w:ilvl="3" w:tplc="08D04DFC">
      <w:start w:val="1"/>
      <w:numFmt w:val="decimal"/>
      <w:lvlText w:val="%4."/>
      <w:lvlJc w:val="left"/>
      <w:pPr>
        <w:ind w:left="2880" w:hanging="360"/>
      </w:pPr>
    </w:lvl>
    <w:lvl w:ilvl="4" w:tplc="3EF80676">
      <w:start w:val="1"/>
      <w:numFmt w:val="lowerLetter"/>
      <w:lvlText w:val="%5."/>
      <w:lvlJc w:val="left"/>
      <w:pPr>
        <w:ind w:left="3600" w:hanging="360"/>
      </w:pPr>
    </w:lvl>
    <w:lvl w:ilvl="5" w:tplc="273455F4">
      <w:start w:val="1"/>
      <w:numFmt w:val="lowerRoman"/>
      <w:lvlText w:val="%6."/>
      <w:lvlJc w:val="right"/>
      <w:pPr>
        <w:ind w:left="4320" w:hanging="180"/>
      </w:pPr>
    </w:lvl>
    <w:lvl w:ilvl="6" w:tplc="DEAAD426">
      <w:start w:val="1"/>
      <w:numFmt w:val="decimal"/>
      <w:lvlText w:val="%7."/>
      <w:lvlJc w:val="left"/>
      <w:pPr>
        <w:ind w:left="5040" w:hanging="360"/>
      </w:pPr>
    </w:lvl>
    <w:lvl w:ilvl="7" w:tplc="740ED012">
      <w:start w:val="1"/>
      <w:numFmt w:val="lowerLetter"/>
      <w:lvlText w:val="%8."/>
      <w:lvlJc w:val="left"/>
      <w:pPr>
        <w:ind w:left="5760" w:hanging="360"/>
      </w:pPr>
    </w:lvl>
    <w:lvl w:ilvl="8" w:tplc="CD40B798">
      <w:start w:val="1"/>
      <w:numFmt w:val="lowerRoman"/>
      <w:lvlText w:val="%9."/>
      <w:lvlJc w:val="right"/>
      <w:pPr>
        <w:ind w:left="6480" w:hanging="180"/>
      </w:pPr>
    </w:lvl>
  </w:abstractNum>
  <w:abstractNum w:abstractNumId="57" w15:restartNumberingAfterBreak="0">
    <w:nsid w:val="6DEA6EB4"/>
    <w:multiLevelType w:val="hybridMultilevel"/>
    <w:tmpl w:val="B02AD8E2"/>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8" w15:restartNumberingAfterBreak="0">
    <w:nsid w:val="6E6A2BA9"/>
    <w:multiLevelType w:val="multilevel"/>
    <w:tmpl w:val="3E94320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Symbol" w:hAnsi="Symbol" w:hint="default"/>
        <w:sz w:val="20"/>
      </w:rPr>
    </w:lvl>
    <w:lvl w:ilvl="3">
      <w:start w:val="1"/>
      <w:numFmt w:val="bullet"/>
      <w:lvlText w:val=""/>
      <w:lvlJc w:val="left"/>
      <w:pPr>
        <w:tabs>
          <w:tab w:val="num" w:pos="3240"/>
        </w:tabs>
        <w:ind w:left="3240" w:hanging="360"/>
      </w:pPr>
      <w:rPr>
        <w:rFonts w:ascii="Symbol" w:hAnsi="Symbol" w:hint="default"/>
        <w:sz w:val="20"/>
      </w:rPr>
    </w:lvl>
    <w:lvl w:ilvl="4">
      <w:start w:val="1"/>
      <w:numFmt w:val="bullet"/>
      <w:lvlText w:val=""/>
      <w:lvlJc w:val="left"/>
      <w:pPr>
        <w:tabs>
          <w:tab w:val="num" w:pos="3960"/>
        </w:tabs>
        <w:ind w:left="3960" w:hanging="360"/>
      </w:pPr>
      <w:rPr>
        <w:rFonts w:ascii="Symbol" w:hAnsi="Symbol" w:hint="default"/>
        <w:sz w:val="20"/>
      </w:rPr>
    </w:lvl>
    <w:lvl w:ilvl="5">
      <w:start w:val="1"/>
      <w:numFmt w:val="bullet"/>
      <w:lvlText w:val=""/>
      <w:lvlJc w:val="left"/>
      <w:pPr>
        <w:tabs>
          <w:tab w:val="num" w:pos="4680"/>
        </w:tabs>
        <w:ind w:left="4680" w:hanging="360"/>
      </w:pPr>
      <w:rPr>
        <w:rFonts w:ascii="Symbol" w:hAnsi="Symbol" w:hint="default"/>
        <w:sz w:val="20"/>
      </w:rPr>
    </w:lvl>
    <w:lvl w:ilvl="6">
      <w:start w:val="1"/>
      <w:numFmt w:val="bullet"/>
      <w:lvlText w:val=""/>
      <w:lvlJc w:val="left"/>
      <w:pPr>
        <w:tabs>
          <w:tab w:val="num" w:pos="5400"/>
        </w:tabs>
        <w:ind w:left="5400" w:hanging="360"/>
      </w:pPr>
      <w:rPr>
        <w:rFonts w:ascii="Symbol" w:hAnsi="Symbol" w:hint="default"/>
        <w:sz w:val="20"/>
      </w:rPr>
    </w:lvl>
    <w:lvl w:ilvl="7">
      <w:start w:val="1"/>
      <w:numFmt w:val="bullet"/>
      <w:lvlText w:val=""/>
      <w:lvlJc w:val="left"/>
      <w:pPr>
        <w:tabs>
          <w:tab w:val="num" w:pos="6120"/>
        </w:tabs>
        <w:ind w:left="6120" w:hanging="360"/>
      </w:pPr>
      <w:rPr>
        <w:rFonts w:ascii="Symbol" w:hAnsi="Symbol" w:hint="default"/>
        <w:sz w:val="20"/>
      </w:rPr>
    </w:lvl>
    <w:lvl w:ilvl="8">
      <w:start w:val="1"/>
      <w:numFmt w:val="bullet"/>
      <w:lvlText w:val=""/>
      <w:lvlJc w:val="left"/>
      <w:pPr>
        <w:tabs>
          <w:tab w:val="num" w:pos="6840"/>
        </w:tabs>
        <w:ind w:left="6840" w:hanging="360"/>
      </w:pPr>
      <w:rPr>
        <w:rFonts w:ascii="Symbol" w:hAnsi="Symbol" w:hint="default"/>
        <w:sz w:val="20"/>
      </w:rPr>
    </w:lvl>
  </w:abstractNum>
  <w:abstractNum w:abstractNumId="59" w15:restartNumberingAfterBreak="0">
    <w:nsid w:val="6FD62E75"/>
    <w:multiLevelType w:val="hybridMultilevel"/>
    <w:tmpl w:val="BA3AE4B8"/>
    <w:lvl w:ilvl="0" w:tplc="E30AA136">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0" w15:restartNumberingAfterBreak="0">
    <w:nsid w:val="70FB0D0B"/>
    <w:multiLevelType w:val="hybridMultilevel"/>
    <w:tmpl w:val="0484BA26"/>
    <w:lvl w:ilvl="0" w:tplc="6034FFCE">
      <w:start w:val="1000"/>
      <w:numFmt w:val="bullet"/>
      <w:lvlText w:val=""/>
      <w:lvlJc w:val="left"/>
      <w:pPr>
        <w:ind w:left="720" w:hanging="360"/>
      </w:pPr>
      <w:rPr>
        <w:rFonts w:ascii="Symbol" w:eastAsiaTheme="minorEastAsia" w:hAnsi="Symbol" w:cs="Aria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15:restartNumberingAfterBreak="0">
    <w:nsid w:val="73FF5736"/>
    <w:multiLevelType w:val="hybridMultilevel"/>
    <w:tmpl w:val="19203D4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2" w15:restartNumberingAfterBreak="0">
    <w:nsid w:val="76585F8D"/>
    <w:multiLevelType w:val="hybridMultilevel"/>
    <w:tmpl w:val="E6F4E42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3" w15:restartNumberingAfterBreak="0">
    <w:nsid w:val="769B7C80"/>
    <w:multiLevelType w:val="hybridMultilevel"/>
    <w:tmpl w:val="9C98DC3C"/>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4" w15:restartNumberingAfterBreak="0">
    <w:nsid w:val="77EB3E48"/>
    <w:multiLevelType w:val="hybridMultilevel"/>
    <w:tmpl w:val="EC60D61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5" w15:restartNumberingAfterBreak="0">
    <w:nsid w:val="78EB1C52"/>
    <w:multiLevelType w:val="hybridMultilevel"/>
    <w:tmpl w:val="0006585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6" w15:restartNumberingAfterBreak="0">
    <w:nsid w:val="7C61702B"/>
    <w:multiLevelType w:val="hybridMultilevel"/>
    <w:tmpl w:val="C722D5D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7" w15:restartNumberingAfterBreak="0">
    <w:nsid w:val="7D4B0C4B"/>
    <w:multiLevelType w:val="hybridMultilevel"/>
    <w:tmpl w:val="F54ADF82"/>
    <w:lvl w:ilvl="0" w:tplc="D9F8996E">
      <w:start w:val="1"/>
      <w:numFmt w:val="lowerLetter"/>
      <w:lvlText w:val="(%1)"/>
      <w:lvlJc w:val="left"/>
      <w:pPr>
        <w:ind w:left="720" w:hanging="360"/>
      </w:pPr>
      <w:rPr>
        <w:rFonts w:ascii="Arial" w:hAnsi="Arial" w:hint="default"/>
      </w:r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8" w15:restartNumberingAfterBreak="0">
    <w:nsid w:val="7ED90C0E"/>
    <w:multiLevelType w:val="hybridMultilevel"/>
    <w:tmpl w:val="EFD44B22"/>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abstractNumId w:val="4"/>
  </w:num>
  <w:num w:numId="2">
    <w:abstractNumId w:val="24"/>
  </w:num>
  <w:num w:numId="3">
    <w:abstractNumId w:val="38"/>
  </w:num>
  <w:num w:numId="4">
    <w:abstractNumId w:val="42"/>
  </w:num>
  <w:num w:numId="5">
    <w:abstractNumId w:val="37"/>
  </w:num>
  <w:num w:numId="6">
    <w:abstractNumId w:val="13"/>
  </w:num>
  <w:num w:numId="7">
    <w:abstractNumId w:val="30"/>
  </w:num>
  <w:num w:numId="8">
    <w:abstractNumId w:val="11"/>
  </w:num>
  <w:num w:numId="9">
    <w:abstractNumId w:val="3"/>
  </w:num>
  <w:num w:numId="10">
    <w:abstractNumId w:val="33"/>
  </w:num>
  <w:num w:numId="11">
    <w:abstractNumId w:val="47"/>
  </w:num>
  <w:num w:numId="12">
    <w:abstractNumId w:val="19"/>
  </w:num>
  <w:num w:numId="13">
    <w:abstractNumId w:val="50"/>
  </w:num>
  <w:num w:numId="14">
    <w:abstractNumId w:val="59"/>
  </w:num>
  <w:num w:numId="15">
    <w:abstractNumId w:val="40"/>
  </w:num>
  <w:num w:numId="16">
    <w:abstractNumId w:val="51"/>
  </w:num>
  <w:num w:numId="17">
    <w:abstractNumId w:val="57"/>
  </w:num>
  <w:num w:numId="18">
    <w:abstractNumId w:val="18"/>
  </w:num>
  <w:num w:numId="19">
    <w:abstractNumId w:val="43"/>
  </w:num>
  <w:num w:numId="20">
    <w:abstractNumId w:val="65"/>
  </w:num>
  <w:num w:numId="21">
    <w:abstractNumId w:val="1"/>
  </w:num>
  <w:num w:numId="22">
    <w:abstractNumId w:val="63"/>
  </w:num>
  <w:num w:numId="23">
    <w:abstractNumId w:val="23"/>
  </w:num>
  <w:num w:numId="24">
    <w:abstractNumId w:val="36"/>
  </w:num>
  <w:num w:numId="25">
    <w:abstractNumId w:val="21"/>
  </w:num>
  <w:num w:numId="26">
    <w:abstractNumId w:val="14"/>
  </w:num>
  <w:num w:numId="27">
    <w:abstractNumId w:val="17"/>
  </w:num>
  <w:num w:numId="28">
    <w:abstractNumId w:val="0"/>
  </w:num>
  <w:num w:numId="29">
    <w:abstractNumId w:val="68"/>
  </w:num>
  <w:num w:numId="30">
    <w:abstractNumId w:val="6"/>
  </w:num>
  <w:num w:numId="31">
    <w:abstractNumId w:val="62"/>
  </w:num>
  <w:num w:numId="32">
    <w:abstractNumId w:val="8"/>
  </w:num>
  <w:num w:numId="33">
    <w:abstractNumId w:val="67"/>
  </w:num>
  <w:num w:numId="34">
    <w:abstractNumId w:val="66"/>
  </w:num>
  <w:num w:numId="35">
    <w:abstractNumId w:val="41"/>
  </w:num>
  <w:num w:numId="36">
    <w:abstractNumId w:val="31"/>
  </w:num>
  <w:num w:numId="37">
    <w:abstractNumId w:val="9"/>
  </w:num>
  <w:num w:numId="38">
    <w:abstractNumId w:val="10"/>
  </w:num>
  <w:num w:numId="39">
    <w:abstractNumId w:val="27"/>
  </w:num>
  <w:num w:numId="40">
    <w:abstractNumId w:val="54"/>
  </w:num>
  <w:num w:numId="41">
    <w:abstractNumId w:val="5"/>
  </w:num>
  <w:num w:numId="42">
    <w:abstractNumId w:val="64"/>
  </w:num>
  <w:num w:numId="43">
    <w:abstractNumId w:val="29"/>
  </w:num>
  <w:num w:numId="44">
    <w:abstractNumId w:val="56"/>
  </w:num>
  <w:num w:numId="45">
    <w:abstractNumId w:val="26"/>
  </w:num>
  <w:num w:numId="46">
    <w:abstractNumId w:val="58"/>
  </w:num>
  <w:num w:numId="47">
    <w:abstractNumId w:val="61"/>
  </w:num>
  <w:num w:numId="48">
    <w:abstractNumId w:val="25"/>
  </w:num>
  <w:num w:numId="49">
    <w:abstractNumId w:val="49"/>
  </w:num>
  <w:num w:numId="50">
    <w:abstractNumId w:val="45"/>
  </w:num>
  <w:num w:numId="51">
    <w:abstractNumId w:val="12"/>
  </w:num>
  <w:num w:numId="52">
    <w:abstractNumId w:val="20"/>
  </w:num>
  <w:num w:numId="53">
    <w:abstractNumId w:val="15"/>
  </w:num>
  <w:num w:numId="54">
    <w:abstractNumId w:val="32"/>
  </w:num>
  <w:num w:numId="55">
    <w:abstractNumId w:val="46"/>
  </w:num>
  <w:num w:numId="5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5"/>
  </w:num>
  <w:num w:numId="58">
    <w:abstractNumId w:val="48"/>
  </w:num>
  <w:num w:numId="59">
    <w:abstractNumId w:val="22"/>
  </w:num>
  <w:num w:numId="60">
    <w:abstractNumId w:val="16"/>
  </w:num>
  <w:num w:numId="61">
    <w:abstractNumId w:val="52"/>
  </w:num>
  <w:num w:numId="62">
    <w:abstractNumId w:val="39"/>
  </w:num>
  <w:num w:numId="63">
    <w:abstractNumId w:val="2"/>
  </w:num>
  <w:num w:numId="64">
    <w:abstractNumId w:val="60"/>
  </w:num>
  <w:num w:numId="65">
    <w:abstractNumId w:val="44"/>
  </w:num>
  <w:num w:numId="66">
    <w:abstractNumId w:val="28"/>
  </w:num>
  <w:num w:numId="67">
    <w:abstractNumId w:val="53"/>
  </w:num>
  <w:num w:numId="68">
    <w:abstractNumId w:val="34"/>
  </w:num>
  <w:num w:numId="69">
    <w:abstractNumId w:val="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B42"/>
    <w:rsid w:val="00001FE2"/>
    <w:rsid w:val="000023C9"/>
    <w:rsid w:val="0000337C"/>
    <w:rsid w:val="0000374E"/>
    <w:rsid w:val="00004186"/>
    <w:rsid w:val="000046F4"/>
    <w:rsid w:val="000054C1"/>
    <w:rsid w:val="00005EA4"/>
    <w:rsid w:val="000074E5"/>
    <w:rsid w:val="00007545"/>
    <w:rsid w:val="00010348"/>
    <w:rsid w:val="00010CCE"/>
    <w:rsid w:val="00011474"/>
    <w:rsid w:val="00011CAB"/>
    <w:rsid w:val="000124D3"/>
    <w:rsid w:val="00017220"/>
    <w:rsid w:val="00020566"/>
    <w:rsid w:val="000226B5"/>
    <w:rsid w:val="00022919"/>
    <w:rsid w:val="00025DE8"/>
    <w:rsid w:val="00026237"/>
    <w:rsid w:val="00030427"/>
    <w:rsid w:val="000323CF"/>
    <w:rsid w:val="00034EE1"/>
    <w:rsid w:val="00040E25"/>
    <w:rsid w:val="0004260D"/>
    <w:rsid w:val="000428A2"/>
    <w:rsid w:val="0004341F"/>
    <w:rsid w:val="00044612"/>
    <w:rsid w:val="00045224"/>
    <w:rsid w:val="00046043"/>
    <w:rsid w:val="00050142"/>
    <w:rsid w:val="00050FF2"/>
    <w:rsid w:val="00052E62"/>
    <w:rsid w:val="00055223"/>
    <w:rsid w:val="0005769F"/>
    <w:rsid w:val="00060728"/>
    <w:rsid w:val="000611A3"/>
    <w:rsid w:val="0006228C"/>
    <w:rsid w:val="00062587"/>
    <w:rsid w:val="00062759"/>
    <w:rsid w:val="0006328E"/>
    <w:rsid w:val="000658D7"/>
    <w:rsid w:val="000666ED"/>
    <w:rsid w:val="00066822"/>
    <w:rsid w:val="00070DB9"/>
    <w:rsid w:val="0007101E"/>
    <w:rsid w:val="000717C2"/>
    <w:rsid w:val="00072AC6"/>
    <w:rsid w:val="00072E2B"/>
    <w:rsid w:val="0007435D"/>
    <w:rsid w:val="00074FF8"/>
    <w:rsid w:val="00075463"/>
    <w:rsid w:val="00077347"/>
    <w:rsid w:val="00077EB2"/>
    <w:rsid w:val="000803AD"/>
    <w:rsid w:val="000816F6"/>
    <w:rsid w:val="00081854"/>
    <w:rsid w:val="00081A1C"/>
    <w:rsid w:val="00086D06"/>
    <w:rsid w:val="00090045"/>
    <w:rsid w:val="00090952"/>
    <w:rsid w:val="00090C81"/>
    <w:rsid w:val="0009122E"/>
    <w:rsid w:val="00091960"/>
    <w:rsid w:val="00093BEE"/>
    <w:rsid w:val="000943E1"/>
    <w:rsid w:val="00096960"/>
    <w:rsid w:val="000A109B"/>
    <w:rsid w:val="000A390F"/>
    <w:rsid w:val="000A5479"/>
    <w:rsid w:val="000A59AA"/>
    <w:rsid w:val="000A5EE8"/>
    <w:rsid w:val="000A7738"/>
    <w:rsid w:val="000A779D"/>
    <w:rsid w:val="000A7B81"/>
    <w:rsid w:val="000B269F"/>
    <w:rsid w:val="000B2BE0"/>
    <w:rsid w:val="000B3102"/>
    <w:rsid w:val="000B31B5"/>
    <w:rsid w:val="000B358A"/>
    <w:rsid w:val="000B3949"/>
    <w:rsid w:val="000B5233"/>
    <w:rsid w:val="000B5CAD"/>
    <w:rsid w:val="000C090E"/>
    <w:rsid w:val="000C11A7"/>
    <w:rsid w:val="000C11E4"/>
    <w:rsid w:val="000C1FD4"/>
    <w:rsid w:val="000C337A"/>
    <w:rsid w:val="000C4D66"/>
    <w:rsid w:val="000C62A4"/>
    <w:rsid w:val="000C66E9"/>
    <w:rsid w:val="000C6B4F"/>
    <w:rsid w:val="000C6BD7"/>
    <w:rsid w:val="000D09EE"/>
    <w:rsid w:val="000D0D84"/>
    <w:rsid w:val="000D17CD"/>
    <w:rsid w:val="000D2298"/>
    <w:rsid w:val="000D423C"/>
    <w:rsid w:val="000D4E2D"/>
    <w:rsid w:val="000D7ECF"/>
    <w:rsid w:val="000E152E"/>
    <w:rsid w:val="000E1846"/>
    <w:rsid w:val="000E1BAE"/>
    <w:rsid w:val="000E2440"/>
    <w:rsid w:val="000E2470"/>
    <w:rsid w:val="000E3179"/>
    <w:rsid w:val="000E48E8"/>
    <w:rsid w:val="000E6F08"/>
    <w:rsid w:val="000F0752"/>
    <w:rsid w:val="000F11AA"/>
    <w:rsid w:val="000F13EF"/>
    <w:rsid w:val="000F441F"/>
    <w:rsid w:val="000F62AF"/>
    <w:rsid w:val="000F63A2"/>
    <w:rsid w:val="000F6C4B"/>
    <w:rsid w:val="000F7937"/>
    <w:rsid w:val="0010003D"/>
    <w:rsid w:val="00100467"/>
    <w:rsid w:val="0010132B"/>
    <w:rsid w:val="00102351"/>
    <w:rsid w:val="001029C7"/>
    <w:rsid w:val="00102D7F"/>
    <w:rsid w:val="00103E23"/>
    <w:rsid w:val="00104010"/>
    <w:rsid w:val="001055A8"/>
    <w:rsid w:val="00105686"/>
    <w:rsid w:val="00111E13"/>
    <w:rsid w:val="00114A15"/>
    <w:rsid w:val="001155CA"/>
    <w:rsid w:val="001160AF"/>
    <w:rsid w:val="00117DEE"/>
    <w:rsid w:val="00120D43"/>
    <w:rsid w:val="00121A27"/>
    <w:rsid w:val="00121ADF"/>
    <w:rsid w:val="00122BF9"/>
    <w:rsid w:val="0012483F"/>
    <w:rsid w:val="00124CD8"/>
    <w:rsid w:val="00125114"/>
    <w:rsid w:val="0012512E"/>
    <w:rsid w:val="0012543E"/>
    <w:rsid w:val="00125639"/>
    <w:rsid w:val="00126736"/>
    <w:rsid w:val="0012788B"/>
    <w:rsid w:val="00132F83"/>
    <w:rsid w:val="00133C1E"/>
    <w:rsid w:val="00133CCE"/>
    <w:rsid w:val="00133EF1"/>
    <w:rsid w:val="001340A4"/>
    <w:rsid w:val="00134E8C"/>
    <w:rsid w:val="0013650B"/>
    <w:rsid w:val="00136677"/>
    <w:rsid w:val="00137FC6"/>
    <w:rsid w:val="001425B3"/>
    <w:rsid w:val="00143B56"/>
    <w:rsid w:val="00144740"/>
    <w:rsid w:val="00144F08"/>
    <w:rsid w:val="0014566F"/>
    <w:rsid w:val="00146E87"/>
    <w:rsid w:val="00150B0C"/>
    <w:rsid w:val="0015186D"/>
    <w:rsid w:val="00153D51"/>
    <w:rsid w:val="0016022A"/>
    <w:rsid w:val="001616F4"/>
    <w:rsid w:val="00163484"/>
    <w:rsid w:val="00163F8C"/>
    <w:rsid w:val="0016755A"/>
    <w:rsid w:val="00167719"/>
    <w:rsid w:val="00167B3B"/>
    <w:rsid w:val="00170CFC"/>
    <w:rsid w:val="00170E5A"/>
    <w:rsid w:val="00170EAC"/>
    <w:rsid w:val="0017415A"/>
    <w:rsid w:val="00174C08"/>
    <w:rsid w:val="00175F31"/>
    <w:rsid w:val="00180A42"/>
    <w:rsid w:val="00181976"/>
    <w:rsid w:val="00182BE1"/>
    <w:rsid w:val="00182D88"/>
    <w:rsid w:val="00182F48"/>
    <w:rsid w:val="00183059"/>
    <w:rsid w:val="00183258"/>
    <w:rsid w:val="00184B88"/>
    <w:rsid w:val="00187183"/>
    <w:rsid w:val="001900DE"/>
    <w:rsid w:val="00190459"/>
    <w:rsid w:val="001917D2"/>
    <w:rsid w:val="0019360A"/>
    <w:rsid w:val="0019398C"/>
    <w:rsid w:val="00196E4C"/>
    <w:rsid w:val="001973FB"/>
    <w:rsid w:val="001978A6"/>
    <w:rsid w:val="001A0E10"/>
    <w:rsid w:val="001A1780"/>
    <w:rsid w:val="001A2374"/>
    <w:rsid w:val="001A2751"/>
    <w:rsid w:val="001A3901"/>
    <w:rsid w:val="001A3ACB"/>
    <w:rsid w:val="001A491C"/>
    <w:rsid w:val="001A4CF8"/>
    <w:rsid w:val="001A69F6"/>
    <w:rsid w:val="001A73E7"/>
    <w:rsid w:val="001A7699"/>
    <w:rsid w:val="001B05E9"/>
    <w:rsid w:val="001B515F"/>
    <w:rsid w:val="001B64E1"/>
    <w:rsid w:val="001B69D6"/>
    <w:rsid w:val="001B6B0E"/>
    <w:rsid w:val="001B6BDF"/>
    <w:rsid w:val="001B6DE9"/>
    <w:rsid w:val="001B6FF4"/>
    <w:rsid w:val="001B7459"/>
    <w:rsid w:val="001B7858"/>
    <w:rsid w:val="001C05CB"/>
    <w:rsid w:val="001C2AD8"/>
    <w:rsid w:val="001C38EE"/>
    <w:rsid w:val="001C58C2"/>
    <w:rsid w:val="001C5C7D"/>
    <w:rsid w:val="001C7E66"/>
    <w:rsid w:val="001D02E1"/>
    <w:rsid w:val="001D20FD"/>
    <w:rsid w:val="001D218F"/>
    <w:rsid w:val="001D68C0"/>
    <w:rsid w:val="001E05C4"/>
    <w:rsid w:val="001E2B2F"/>
    <w:rsid w:val="001F1E5A"/>
    <w:rsid w:val="001F3F79"/>
    <w:rsid w:val="001F5003"/>
    <w:rsid w:val="002000B3"/>
    <w:rsid w:val="00200F39"/>
    <w:rsid w:val="002025DE"/>
    <w:rsid w:val="00202FC4"/>
    <w:rsid w:val="00206851"/>
    <w:rsid w:val="00207DE2"/>
    <w:rsid w:val="00210F70"/>
    <w:rsid w:val="00212FA9"/>
    <w:rsid w:val="002135BB"/>
    <w:rsid w:val="00213838"/>
    <w:rsid w:val="00215B8F"/>
    <w:rsid w:val="00222650"/>
    <w:rsid w:val="00223FBF"/>
    <w:rsid w:val="002244BD"/>
    <w:rsid w:val="00224695"/>
    <w:rsid w:val="00226233"/>
    <w:rsid w:val="0023044C"/>
    <w:rsid w:val="00234047"/>
    <w:rsid w:val="002355A7"/>
    <w:rsid w:val="00235962"/>
    <w:rsid w:val="00236F2D"/>
    <w:rsid w:val="002415A6"/>
    <w:rsid w:val="00241DFF"/>
    <w:rsid w:val="0024397D"/>
    <w:rsid w:val="0024437B"/>
    <w:rsid w:val="002447A7"/>
    <w:rsid w:val="00244BDA"/>
    <w:rsid w:val="002450D5"/>
    <w:rsid w:val="00245F09"/>
    <w:rsid w:val="00246A0B"/>
    <w:rsid w:val="00250AE0"/>
    <w:rsid w:val="00251FF3"/>
    <w:rsid w:val="00253382"/>
    <w:rsid w:val="0025431D"/>
    <w:rsid w:val="002547A8"/>
    <w:rsid w:val="002548FB"/>
    <w:rsid w:val="00255155"/>
    <w:rsid w:val="00255F40"/>
    <w:rsid w:val="00257140"/>
    <w:rsid w:val="002577FA"/>
    <w:rsid w:val="00260186"/>
    <w:rsid w:val="002603E5"/>
    <w:rsid w:val="00260885"/>
    <w:rsid w:val="00260A61"/>
    <w:rsid w:val="00260C11"/>
    <w:rsid w:val="00261E39"/>
    <w:rsid w:val="0026284B"/>
    <w:rsid w:val="002632D4"/>
    <w:rsid w:val="002632E3"/>
    <w:rsid w:val="002655DC"/>
    <w:rsid w:val="0027025F"/>
    <w:rsid w:val="00274241"/>
    <w:rsid w:val="00275019"/>
    <w:rsid w:val="00277499"/>
    <w:rsid w:val="00281D76"/>
    <w:rsid w:val="00283E05"/>
    <w:rsid w:val="00284B56"/>
    <w:rsid w:val="00284E5F"/>
    <w:rsid w:val="00284F4F"/>
    <w:rsid w:val="0028623D"/>
    <w:rsid w:val="00286580"/>
    <w:rsid w:val="00292673"/>
    <w:rsid w:val="00292C63"/>
    <w:rsid w:val="00294BFA"/>
    <w:rsid w:val="00294F88"/>
    <w:rsid w:val="00296277"/>
    <w:rsid w:val="002978E2"/>
    <w:rsid w:val="00297E99"/>
    <w:rsid w:val="002A0496"/>
    <w:rsid w:val="002A2B42"/>
    <w:rsid w:val="002A47B7"/>
    <w:rsid w:val="002A4FAA"/>
    <w:rsid w:val="002A78A6"/>
    <w:rsid w:val="002B0087"/>
    <w:rsid w:val="002B13FE"/>
    <w:rsid w:val="002B149A"/>
    <w:rsid w:val="002B45CB"/>
    <w:rsid w:val="002B48B1"/>
    <w:rsid w:val="002B5F1C"/>
    <w:rsid w:val="002C2A54"/>
    <w:rsid w:val="002C3AEB"/>
    <w:rsid w:val="002C3B61"/>
    <w:rsid w:val="002C5D4C"/>
    <w:rsid w:val="002C6E74"/>
    <w:rsid w:val="002C7782"/>
    <w:rsid w:val="002C7B35"/>
    <w:rsid w:val="002D066D"/>
    <w:rsid w:val="002D1B3D"/>
    <w:rsid w:val="002D2C7D"/>
    <w:rsid w:val="002D2C7F"/>
    <w:rsid w:val="002D4530"/>
    <w:rsid w:val="002D6D2F"/>
    <w:rsid w:val="002E01DC"/>
    <w:rsid w:val="002E20B8"/>
    <w:rsid w:val="002E276C"/>
    <w:rsid w:val="002E53DA"/>
    <w:rsid w:val="002E6BA3"/>
    <w:rsid w:val="002E71CF"/>
    <w:rsid w:val="002E762F"/>
    <w:rsid w:val="002F25BC"/>
    <w:rsid w:val="002F2A46"/>
    <w:rsid w:val="002F3837"/>
    <w:rsid w:val="002F3C7D"/>
    <w:rsid w:val="00300525"/>
    <w:rsid w:val="00300B7D"/>
    <w:rsid w:val="003013BD"/>
    <w:rsid w:val="003018AB"/>
    <w:rsid w:val="00302264"/>
    <w:rsid w:val="003026C6"/>
    <w:rsid w:val="00304543"/>
    <w:rsid w:val="00305048"/>
    <w:rsid w:val="003060EB"/>
    <w:rsid w:val="003071F3"/>
    <w:rsid w:val="00307B61"/>
    <w:rsid w:val="00310076"/>
    <w:rsid w:val="003101FE"/>
    <w:rsid w:val="003126E7"/>
    <w:rsid w:val="003176BB"/>
    <w:rsid w:val="00317A72"/>
    <w:rsid w:val="00321009"/>
    <w:rsid w:val="00321D6F"/>
    <w:rsid w:val="00323E04"/>
    <w:rsid w:val="003252D6"/>
    <w:rsid w:val="00331F88"/>
    <w:rsid w:val="00332613"/>
    <w:rsid w:val="00333F9C"/>
    <w:rsid w:val="00334A85"/>
    <w:rsid w:val="00334F8E"/>
    <w:rsid w:val="00335890"/>
    <w:rsid w:val="00337661"/>
    <w:rsid w:val="00340352"/>
    <w:rsid w:val="003404C2"/>
    <w:rsid w:val="003411EB"/>
    <w:rsid w:val="00341587"/>
    <w:rsid w:val="0034232F"/>
    <w:rsid w:val="00343839"/>
    <w:rsid w:val="00345AEB"/>
    <w:rsid w:val="0034667A"/>
    <w:rsid w:val="00346E3F"/>
    <w:rsid w:val="0034767C"/>
    <w:rsid w:val="00347E19"/>
    <w:rsid w:val="00347FBB"/>
    <w:rsid w:val="0035007B"/>
    <w:rsid w:val="00351F18"/>
    <w:rsid w:val="00352329"/>
    <w:rsid w:val="0035255C"/>
    <w:rsid w:val="0035273C"/>
    <w:rsid w:val="00354C66"/>
    <w:rsid w:val="00354C91"/>
    <w:rsid w:val="0035506C"/>
    <w:rsid w:val="003551EC"/>
    <w:rsid w:val="00357565"/>
    <w:rsid w:val="003605BB"/>
    <w:rsid w:val="0036121A"/>
    <w:rsid w:val="0036262A"/>
    <w:rsid w:val="00362F26"/>
    <w:rsid w:val="00363F17"/>
    <w:rsid w:val="00364318"/>
    <w:rsid w:val="00366744"/>
    <w:rsid w:val="003669C4"/>
    <w:rsid w:val="0037066D"/>
    <w:rsid w:val="00371DB6"/>
    <w:rsid w:val="0037234C"/>
    <w:rsid w:val="00372B69"/>
    <w:rsid w:val="0037534E"/>
    <w:rsid w:val="00376391"/>
    <w:rsid w:val="00376599"/>
    <w:rsid w:val="00376C61"/>
    <w:rsid w:val="0037745E"/>
    <w:rsid w:val="00380500"/>
    <w:rsid w:val="003817CB"/>
    <w:rsid w:val="003817DF"/>
    <w:rsid w:val="00381DF8"/>
    <w:rsid w:val="00382B4D"/>
    <w:rsid w:val="00384F0D"/>
    <w:rsid w:val="003859D4"/>
    <w:rsid w:val="00387292"/>
    <w:rsid w:val="0038766E"/>
    <w:rsid w:val="00387EAA"/>
    <w:rsid w:val="00390291"/>
    <w:rsid w:val="0039449E"/>
    <w:rsid w:val="00394850"/>
    <w:rsid w:val="00395489"/>
    <w:rsid w:val="00395822"/>
    <w:rsid w:val="00396D10"/>
    <w:rsid w:val="0039788E"/>
    <w:rsid w:val="00397D43"/>
    <w:rsid w:val="003A0950"/>
    <w:rsid w:val="003A0B27"/>
    <w:rsid w:val="003A129E"/>
    <w:rsid w:val="003A1975"/>
    <w:rsid w:val="003A2C46"/>
    <w:rsid w:val="003A3A08"/>
    <w:rsid w:val="003A4153"/>
    <w:rsid w:val="003A49F9"/>
    <w:rsid w:val="003A4F7D"/>
    <w:rsid w:val="003A5ED2"/>
    <w:rsid w:val="003A6BFD"/>
    <w:rsid w:val="003B09F0"/>
    <w:rsid w:val="003B1D38"/>
    <w:rsid w:val="003B35A6"/>
    <w:rsid w:val="003B5CB5"/>
    <w:rsid w:val="003C4180"/>
    <w:rsid w:val="003C47EB"/>
    <w:rsid w:val="003C4976"/>
    <w:rsid w:val="003C58F4"/>
    <w:rsid w:val="003C66DD"/>
    <w:rsid w:val="003C74BC"/>
    <w:rsid w:val="003D0BDB"/>
    <w:rsid w:val="003D1AF6"/>
    <w:rsid w:val="003D210D"/>
    <w:rsid w:val="003D2650"/>
    <w:rsid w:val="003D433D"/>
    <w:rsid w:val="003D529C"/>
    <w:rsid w:val="003D6487"/>
    <w:rsid w:val="003D717A"/>
    <w:rsid w:val="003E5A89"/>
    <w:rsid w:val="003E5D6A"/>
    <w:rsid w:val="003E653E"/>
    <w:rsid w:val="003E76B2"/>
    <w:rsid w:val="003F06CC"/>
    <w:rsid w:val="003F352F"/>
    <w:rsid w:val="003F3893"/>
    <w:rsid w:val="003F50D8"/>
    <w:rsid w:val="003F6CB9"/>
    <w:rsid w:val="003F7AE9"/>
    <w:rsid w:val="003F7F39"/>
    <w:rsid w:val="004000E1"/>
    <w:rsid w:val="00400956"/>
    <w:rsid w:val="00400ABF"/>
    <w:rsid w:val="00402B16"/>
    <w:rsid w:val="004030DD"/>
    <w:rsid w:val="00403FAB"/>
    <w:rsid w:val="0040503D"/>
    <w:rsid w:val="00407512"/>
    <w:rsid w:val="00412C8C"/>
    <w:rsid w:val="004132DC"/>
    <w:rsid w:val="00413321"/>
    <w:rsid w:val="004157F2"/>
    <w:rsid w:val="004172B3"/>
    <w:rsid w:val="00421597"/>
    <w:rsid w:val="00421F81"/>
    <w:rsid w:val="0042236D"/>
    <w:rsid w:val="00422546"/>
    <w:rsid w:val="00422CFF"/>
    <w:rsid w:val="00425801"/>
    <w:rsid w:val="0043119E"/>
    <w:rsid w:val="0043124C"/>
    <w:rsid w:val="0043298B"/>
    <w:rsid w:val="00435783"/>
    <w:rsid w:val="00435D83"/>
    <w:rsid w:val="00436111"/>
    <w:rsid w:val="00440726"/>
    <w:rsid w:val="0044240B"/>
    <w:rsid w:val="00442B0F"/>
    <w:rsid w:val="00444972"/>
    <w:rsid w:val="0044615E"/>
    <w:rsid w:val="004461EF"/>
    <w:rsid w:val="00446331"/>
    <w:rsid w:val="004500DF"/>
    <w:rsid w:val="004537AE"/>
    <w:rsid w:val="00454E6A"/>
    <w:rsid w:val="0045640A"/>
    <w:rsid w:val="00456AAA"/>
    <w:rsid w:val="00462E64"/>
    <w:rsid w:val="0046424A"/>
    <w:rsid w:val="004643B7"/>
    <w:rsid w:val="00466180"/>
    <w:rsid w:val="00474719"/>
    <w:rsid w:val="004768FF"/>
    <w:rsid w:val="004772FE"/>
    <w:rsid w:val="004779D1"/>
    <w:rsid w:val="00480D2D"/>
    <w:rsid w:val="00481C1A"/>
    <w:rsid w:val="00481E4A"/>
    <w:rsid w:val="00482A81"/>
    <w:rsid w:val="00482C17"/>
    <w:rsid w:val="00482C37"/>
    <w:rsid w:val="00483006"/>
    <w:rsid w:val="00484F21"/>
    <w:rsid w:val="0048667F"/>
    <w:rsid w:val="00486744"/>
    <w:rsid w:val="00487DC0"/>
    <w:rsid w:val="004907E0"/>
    <w:rsid w:val="004912C9"/>
    <w:rsid w:val="004961B5"/>
    <w:rsid w:val="00497957"/>
    <w:rsid w:val="004A0023"/>
    <w:rsid w:val="004A023A"/>
    <w:rsid w:val="004A07FF"/>
    <w:rsid w:val="004A492E"/>
    <w:rsid w:val="004B0363"/>
    <w:rsid w:val="004B308A"/>
    <w:rsid w:val="004B35B9"/>
    <w:rsid w:val="004B4610"/>
    <w:rsid w:val="004B6710"/>
    <w:rsid w:val="004B731E"/>
    <w:rsid w:val="004B7E2B"/>
    <w:rsid w:val="004C0DD9"/>
    <w:rsid w:val="004C15A0"/>
    <w:rsid w:val="004C5DBD"/>
    <w:rsid w:val="004D012E"/>
    <w:rsid w:val="004D058B"/>
    <w:rsid w:val="004D1F40"/>
    <w:rsid w:val="004D225D"/>
    <w:rsid w:val="004D3660"/>
    <w:rsid w:val="004D39B9"/>
    <w:rsid w:val="004D3A83"/>
    <w:rsid w:val="004D3E96"/>
    <w:rsid w:val="004D448C"/>
    <w:rsid w:val="004D454C"/>
    <w:rsid w:val="004D5649"/>
    <w:rsid w:val="004D5880"/>
    <w:rsid w:val="004D6A74"/>
    <w:rsid w:val="004D78F7"/>
    <w:rsid w:val="004E0287"/>
    <w:rsid w:val="004E2879"/>
    <w:rsid w:val="004E2956"/>
    <w:rsid w:val="004E2C02"/>
    <w:rsid w:val="004E35A0"/>
    <w:rsid w:val="004E5760"/>
    <w:rsid w:val="004E75F9"/>
    <w:rsid w:val="004F08AB"/>
    <w:rsid w:val="004F10C4"/>
    <w:rsid w:val="004F1595"/>
    <w:rsid w:val="004F3709"/>
    <w:rsid w:val="004F5DF5"/>
    <w:rsid w:val="004F777A"/>
    <w:rsid w:val="005000D9"/>
    <w:rsid w:val="005000E8"/>
    <w:rsid w:val="005002D6"/>
    <w:rsid w:val="005045A9"/>
    <w:rsid w:val="005045AE"/>
    <w:rsid w:val="00505FAF"/>
    <w:rsid w:val="005115AB"/>
    <w:rsid w:val="00511F75"/>
    <w:rsid w:val="00512360"/>
    <w:rsid w:val="005131E7"/>
    <w:rsid w:val="0051324A"/>
    <w:rsid w:val="00514963"/>
    <w:rsid w:val="005149E1"/>
    <w:rsid w:val="00514FCD"/>
    <w:rsid w:val="00516E8B"/>
    <w:rsid w:val="00517626"/>
    <w:rsid w:val="00520004"/>
    <w:rsid w:val="005217B3"/>
    <w:rsid w:val="00521E11"/>
    <w:rsid w:val="0052215D"/>
    <w:rsid w:val="00522737"/>
    <w:rsid w:val="00523226"/>
    <w:rsid w:val="00523EDE"/>
    <w:rsid w:val="00524039"/>
    <w:rsid w:val="005251F0"/>
    <w:rsid w:val="0052559A"/>
    <w:rsid w:val="00525A4A"/>
    <w:rsid w:val="00525A8B"/>
    <w:rsid w:val="00526382"/>
    <w:rsid w:val="00526BF2"/>
    <w:rsid w:val="005333B9"/>
    <w:rsid w:val="00533BD5"/>
    <w:rsid w:val="005360AA"/>
    <w:rsid w:val="0053713F"/>
    <w:rsid w:val="0054017E"/>
    <w:rsid w:val="0054250B"/>
    <w:rsid w:val="00544395"/>
    <w:rsid w:val="00546B22"/>
    <w:rsid w:val="00553620"/>
    <w:rsid w:val="0055711D"/>
    <w:rsid w:val="00557133"/>
    <w:rsid w:val="005601A9"/>
    <w:rsid w:val="005638B4"/>
    <w:rsid w:val="00563BB9"/>
    <w:rsid w:val="00564858"/>
    <w:rsid w:val="00566052"/>
    <w:rsid w:val="00566386"/>
    <w:rsid w:val="005670B5"/>
    <w:rsid w:val="005670FF"/>
    <w:rsid w:val="00571FA9"/>
    <w:rsid w:val="00572220"/>
    <w:rsid w:val="005813F2"/>
    <w:rsid w:val="00581B22"/>
    <w:rsid w:val="00584046"/>
    <w:rsid w:val="00584A32"/>
    <w:rsid w:val="005873D4"/>
    <w:rsid w:val="0058777D"/>
    <w:rsid w:val="00590627"/>
    <w:rsid w:val="00590809"/>
    <w:rsid w:val="00593CD3"/>
    <w:rsid w:val="00593DA2"/>
    <w:rsid w:val="005955D5"/>
    <w:rsid w:val="005964DB"/>
    <w:rsid w:val="0059651F"/>
    <w:rsid w:val="00596E52"/>
    <w:rsid w:val="005978D8"/>
    <w:rsid w:val="005A076E"/>
    <w:rsid w:val="005A1498"/>
    <w:rsid w:val="005A4EC6"/>
    <w:rsid w:val="005A5621"/>
    <w:rsid w:val="005A5C16"/>
    <w:rsid w:val="005A6EB1"/>
    <w:rsid w:val="005B0777"/>
    <w:rsid w:val="005B07D9"/>
    <w:rsid w:val="005B1A96"/>
    <w:rsid w:val="005B27ED"/>
    <w:rsid w:val="005B3757"/>
    <w:rsid w:val="005B522F"/>
    <w:rsid w:val="005B6FB0"/>
    <w:rsid w:val="005B72CF"/>
    <w:rsid w:val="005B747C"/>
    <w:rsid w:val="005C09C2"/>
    <w:rsid w:val="005C0B55"/>
    <w:rsid w:val="005C10E3"/>
    <w:rsid w:val="005C3FF3"/>
    <w:rsid w:val="005C5432"/>
    <w:rsid w:val="005C7AE4"/>
    <w:rsid w:val="005D0127"/>
    <w:rsid w:val="005D2FC2"/>
    <w:rsid w:val="005D31D1"/>
    <w:rsid w:val="005D613D"/>
    <w:rsid w:val="005E238B"/>
    <w:rsid w:val="005E2507"/>
    <w:rsid w:val="005E2FEC"/>
    <w:rsid w:val="005E3748"/>
    <w:rsid w:val="005E3C86"/>
    <w:rsid w:val="005E3F13"/>
    <w:rsid w:val="005E48FD"/>
    <w:rsid w:val="005E7328"/>
    <w:rsid w:val="005E7E9D"/>
    <w:rsid w:val="005F0195"/>
    <w:rsid w:val="005F03FD"/>
    <w:rsid w:val="005F04F0"/>
    <w:rsid w:val="005F1E75"/>
    <w:rsid w:val="005F545B"/>
    <w:rsid w:val="005F6187"/>
    <w:rsid w:val="005F6A23"/>
    <w:rsid w:val="005F76C1"/>
    <w:rsid w:val="005F7B0A"/>
    <w:rsid w:val="005F7EFE"/>
    <w:rsid w:val="006007CE"/>
    <w:rsid w:val="00601E5A"/>
    <w:rsid w:val="00604180"/>
    <w:rsid w:val="00605446"/>
    <w:rsid w:val="0061376C"/>
    <w:rsid w:val="00613B20"/>
    <w:rsid w:val="00613D5C"/>
    <w:rsid w:val="0061516A"/>
    <w:rsid w:val="0061587E"/>
    <w:rsid w:val="00616561"/>
    <w:rsid w:val="00625BC9"/>
    <w:rsid w:val="00626221"/>
    <w:rsid w:val="006269DD"/>
    <w:rsid w:val="00626D42"/>
    <w:rsid w:val="00631659"/>
    <w:rsid w:val="0063306B"/>
    <w:rsid w:val="0063658F"/>
    <w:rsid w:val="00636F9B"/>
    <w:rsid w:val="006427E8"/>
    <w:rsid w:val="00643483"/>
    <w:rsid w:val="006451CE"/>
    <w:rsid w:val="00645486"/>
    <w:rsid w:val="0064550B"/>
    <w:rsid w:val="006479F5"/>
    <w:rsid w:val="006516C6"/>
    <w:rsid w:val="00653079"/>
    <w:rsid w:val="00654040"/>
    <w:rsid w:val="006558E3"/>
    <w:rsid w:val="00656380"/>
    <w:rsid w:val="006630F8"/>
    <w:rsid w:val="00663633"/>
    <w:rsid w:val="00665244"/>
    <w:rsid w:val="00671617"/>
    <w:rsid w:val="00673D8A"/>
    <w:rsid w:val="00674465"/>
    <w:rsid w:val="0067763C"/>
    <w:rsid w:val="00680827"/>
    <w:rsid w:val="00681A7D"/>
    <w:rsid w:val="00681DBC"/>
    <w:rsid w:val="0068380E"/>
    <w:rsid w:val="00684014"/>
    <w:rsid w:val="00685578"/>
    <w:rsid w:val="0068730F"/>
    <w:rsid w:val="006945A6"/>
    <w:rsid w:val="006A15B5"/>
    <w:rsid w:val="006A17BE"/>
    <w:rsid w:val="006A19F2"/>
    <w:rsid w:val="006A4C52"/>
    <w:rsid w:val="006A5639"/>
    <w:rsid w:val="006B0E85"/>
    <w:rsid w:val="006B2D26"/>
    <w:rsid w:val="006B39CD"/>
    <w:rsid w:val="006B3B04"/>
    <w:rsid w:val="006B4BFB"/>
    <w:rsid w:val="006B4CF4"/>
    <w:rsid w:val="006B64C0"/>
    <w:rsid w:val="006B64D8"/>
    <w:rsid w:val="006C1857"/>
    <w:rsid w:val="006C1F18"/>
    <w:rsid w:val="006C266C"/>
    <w:rsid w:val="006C3A7A"/>
    <w:rsid w:val="006C6A03"/>
    <w:rsid w:val="006C7067"/>
    <w:rsid w:val="006D0B60"/>
    <w:rsid w:val="006D20F9"/>
    <w:rsid w:val="006D3038"/>
    <w:rsid w:val="006D480F"/>
    <w:rsid w:val="006D6405"/>
    <w:rsid w:val="006D7ECA"/>
    <w:rsid w:val="006D7EDF"/>
    <w:rsid w:val="006E399F"/>
    <w:rsid w:val="006E499A"/>
    <w:rsid w:val="006E4FB9"/>
    <w:rsid w:val="006E65A5"/>
    <w:rsid w:val="006E75D2"/>
    <w:rsid w:val="006F2C14"/>
    <w:rsid w:val="006F5242"/>
    <w:rsid w:val="006F5C8B"/>
    <w:rsid w:val="006F79F1"/>
    <w:rsid w:val="007002A5"/>
    <w:rsid w:val="00701058"/>
    <w:rsid w:val="00702169"/>
    <w:rsid w:val="0070251E"/>
    <w:rsid w:val="007062F0"/>
    <w:rsid w:val="00711987"/>
    <w:rsid w:val="00712497"/>
    <w:rsid w:val="00712553"/>
    <w:rsid w:val="00712C13"/>
    <w:rsid w:val="00712E2F"/>
    <w:rsid w:val="00712EB4"/>
    <w:rsid w:val="0071725E"/>
    <w:rsid w:val="00717AF5"/>
    <w:rsid w:val="007205DD"/>
    <w:rsid w:val="007249C8"/>
    <w:rsid w:val="00724A05"/>
    <w:rsid w:val="00724BB9"/>
    <w:rsid w:val="00724F1D"/>
    <w:rsid w:val="007261E7"/>
    <w:rsid w:val="00727217"/>
    <w:rsid w:val="00730F54"/>
    <w:rsid w:val="007313F9"/>
    <w:rsid w:val="00731CDC"/>
    <w:rsid w:val="00731E6D"/>
    <w:rsid w:val="00733FFC"/>
    <w:rsid w:val="0073408F"/>
    <w:rsid w:val="00734675"/>
    <w:rsid w:val="00734D80"/>
    <w:rsid w:val="00734E9A"/>
    <w:rsid w:val="0073557A"/>
    <w:rsid w:val="00736902"/>
    <w:rsid w:val="0073698D"/>
    <w:rsid w:val="007370CC"/>
    <w:rsid w:val="00740F50"/>
    <w:rsid w:val="007422E2"/>
    <w:rsid w:val="00742C46"/>
    <w:rsid w:val="00743122"/>
    <w:rsid w:val="0074382A"/>
    <w:rsid w:val="00745791"/>
    <w:rsid w:val="007457AD"/>
    <w:rsid w:val="0074593E"/>
    <w:rsid w:val="0074594C"/>
    <w:rsid w:val="00747CC6"/>
    <w:rsid w:val="00750700"/>
    <w:rsid w:val="00751D14"/>
    <w:rsid w:val="00752FB0"/>
    <w:rsid w:val="00754A2B"/>
    <w:rsid w:val="00754AB5"/>
    <w:rsid w:val="00761E36"/>
    <w:rsid w:val="00762F23"/>
    <w:rsid w:val="0076668E"/>
    <w:rsid w:val="0077273E"/>
    <w:rsid w:val="00772A42"/>
    <w:rsid w:val="00772FB5"/>
    <w:rsid w:val="00773A0B"/>
    <w:rsid w:val="00773AC5"/>
    <w:rsid w:val="00774542"/>
    <w:rsid w:val="00774BE8"/>
    <w:rsid w:val="00774DE5"/>
    <w:rsid w:val="007751E2"/>
    <w:rsid w:val="007755DC"/>
    <w:rsid w:val="00776B10"/>
    <w:rsid w:val="00777059"/>
    <w:rsid w:val="0078335E"/>
    <w:rsid w:val="00784587"/>
    <w:rsid w:val="00786DEB"/>
    <w:rsid w:val="00791100"/>
    <w:rsid w:val="00791C62"/>
    <w:rsid w:val="00792D86"/>
    <w:rsid w:val="00794CDF"/>
    <w:rsid w:val="0079578D"/>
    <w:rsid w:val="00795BED"/>
    <w:rsid w:val="00797857"/>
    <w:rsid w:val="00797E92"/>
    <w:rsid w:val="007A17CD"/>
    <w:rsid w:val="007A2CB0"/>
    <w:rsid w:val="007A37A3"/>
    <w:rsid w:val="007A7CC6"/>
    <w:rsid w:val="007B3286"/>
    <w:rsid w:val="007B4294"/>
    <w:rsid w:val="007B44FD"/>
    <w:rsid w:val="007B4735"/>
    <w:rsid w:val="007B5156"/>
    <w:rsid w:val="007B5412"/>
    <w:rsid w:val="007B624C"/>
    <w:rsid w:val="007B7A38"/>
    <w:rsid w:val="007C0F15"/>
    <w:rsid w:val="007C2DE0"/>
    <w:rsid w:val="007C44D0"/>
    <w:rsid w:val="007C5070"/>
    <w:rsid w:val="007D014B"/>
    <w:rsid w:val="007D066E"/>
    <w:rsid w:val="007D46C1"/>
    <w:rsid w:val="007D49E5"/>
    <w:rsid w:val="007D5B77"/>
    <w:rsid w:val="007D6941"/>
    <w:rsid w:val="007E28F5"/>
    <w:rsid w:val="007E2DC2"/>
    <w:rsid w:val="007E4377"/>
    <w:rsid w:val="007E4881"/>
    <w:rsid w:val="007E4B5B"/>
    <w:rsid w:val="007E5B99"/>
    <w:rsid w:val="007E7666"/>
    <w:rsid w:val="007E7997"/>
    <w:rsid w:val="007E79E7"/>
    <w:rsid w:val="007F0C94"/>
    <w:rsid w:val="007F1189"/>
    <w:rsid w:val="007F2862"/>
    <w:rsid w:val="007F575E"/>
    <w:rsid w:val="007F65C1"/>
    <w:rsid w:val="0080005B"/>
    <w:rsid w:val="00800864"/>
    <w:rsid w:val="00800880"/>
    <w:rsid w:val="00800EE6"/>
    <w:rsid w:val="00801D01"/>
    <w:rsid w:val="00802F8F"/>
    <w:rsid w:val="008045AA"/>
    <w:rsid w:val="00804B65"/>
    <w:rsid w:val="00804C8F"/>
    <w:rsid w:val="0080640B"/>
    <w:rsid w:val="0080724B"/>
    <w:rsid w:val="0081147B"/>
    <w:rsid w:val="008132FF"/>
    <w:rsid w:val="0081526A"/>
    <w:rsid w:val="00816267"/>
    <w:rsid w:val="00817808"/>
    <w:rsid w:val="00820B0C"/>
    <w:rsid w:val="0082115A"/>
    <w:rsid w:val="00822856"/>
    <w:rsid w:val="00823081"/>
    <w:rsid w:val="00823A7D"/>
    <w:rsid w:val="00824FCA"/>
    <w:rsid w:val="008258CA"/>
    <w:rsid w:val="00826103"/>
    <w:rsid w:val="00827318"/>
    <w:rsid w:val="00827903"/>
    <w:rsid w:val="00830835"/>
    <w:rsid w:val="0083118B"/>
    <w:rsid w:val="00831948"/>
    <w:rsid w:val="00833FAD"/>
    <w:rsid w:val="00835A54"/>
    <w:rsid w:val="00835E27"/>
    <w:rsid w:val="0083777D"/>
    <w:rsid w:val="0084185E"/>
    <w:rsid w:val="00842717"/>
    <w:rsid w:val="00842CF7"/>
    <w:rsid w:val="008439A7"/>
    <w:rsid w:val="00845AE6"/>
    <w:rsid w:val="00845D20"/>
    <w:rsid w:val="00845F74"/>
    <w:rsid w:val="008461EE"/>
    <w:rsid w:val="00846FBD"/>
    <w:rsid w:val="0085006B"/>
    <w:rsid w:val="00851898"/>
    <w:rsid w:val="00851E9C"/>
    <w:rsid w:val="008537E6"/>
    <w:rsid w:val="008547A7"/>
    <w:rsid w:val="00856E7E"/>
    <w:rsid w:val="008572A5"/>
    <w:rsid w:val="008608D5"/>
    <w:rsid w:val="00865480"/>
    <w:rsid w:val="00865BFA"/>
    <w:rsid w:val="008660C5"/>
    <w:rsid w:val="00866DF3"/>
    <w:rsid w:val="00866E2A"/>
    <w:rsid w:val="00866EC7"/>
    <w:rsid w:val="00867A68"/>
    <w:rsid w:val="00867AE8"/>
    <w:rsid w:val="00867C2E"/>
    <w:rsid w:val="00874A29"/>
    <w:rsid w:val="00874AC5"/>
    <w:rsid w:val="00875A67"/>
    <w:rsid w:val="00880258"/>
    <w:rsid w:val="00880C2D"/>
    <w:rsid w:val="0088187D"/>
    <w:rsid w:val="00881E21"/>
    <w:rsid w:val="008827D7"/>
    <w:rsid w:val="00882A5F"/>
    <w:rsid w:val="00883C6E"/>
    <w:rsid w:val="00884D4E"/>
    <w:rsid w:val="00885858"/>
    <w:rsid w:val="008873FA"/>
    <w:rsid w:val="008902BE"/>
    <w:rsid w:val="008949B0"/>
    <w:rsid w:val="008A0933"/>
    <w:rsid w:val="008A192D"/>
    <w:rsid w:val="008A3253"/>
    <w:rsid w:val="008A3D2B"/>
    <w:rsid w:val="008A4849"/>
    <w:rsid w:val="008A4BD4"/>
    <w:rsid w:val="008A6682"/>
    <w:rsid w:val="008A7C0D"/>
    <w:rsid w:val="008B02E7"/>
    <w:rsid w:val="008B0950"/>
    <w:rsid w:val="008B1878"/>
    <w:rsid w:val="008B1DA8"/>
    <w:rsid w:val="008B3F5D"/>
    <w:rsid w:val="008B7A0F"/>
    <w:rsid w:val="008C1038"/>
    <w:rsid w:val="008C448C"/>
    <w:rsid w:val="008C57DA"/>
    <w:rsid w:val="008C7323"/>
    <w:rsid w:val="008D0AFF"/>
    <w:rsid w:val="008D0BC1"/>
    <w:rsid w:val="008D0E41"/>
    <w:rsid w:val="008D2C8D"/>
    <w:rsid w:val="008D3113"/>
    <w:rsid w:val="008D4CAB"/>
    <w:rsid w:val="008E0022"/>
    <w:rsid w:val="008E176F"/>
    <w:rsid w:val="008E4632"/>
    <w:rsid w:val="008E6676"/>
    <w:rsid w:val="008E7FDE"/>
    <w:rsid w:val="008F0970"/>
    <w:rsid w:val="008F6435"/>
    <w:rsid w:val="008F65BC"/>
    <w:rsid w:val="008F79F0"/>
    <w:rsid w:val="008F7C49"/>
    <w:rsid w:val="008F7EE7"/>
    <w:rsid w:val="00901750"/>
    <w:rsid w:val="00902DFB"/>
    <w:rsid w:val="00906BBA"/>
    <w:rsid w:val="009139A1"/>
    <w:rsid w:val="00916FD0"/>
    <w:rsid w:val="00917FCE"/>
    <w:rsid w:val="009212D1"/>
    <w:rsid w:val="0092334D"/>
    <w:rsid w:val="00923871"/>
    <w:rsid w:val="00925D20"/>
    <w:rsid w:val="00926461"/>
    <w:rsid w:val="00930E6B"/>
    <w:rsid w:val="00931122"/>
    <w:rsid w:val="00931A9C"/>
    <w:rsid w:val="00932305"/>
    <w:rsid w:val="0093391B"/>
    <w:rsid w:val="00934501"/>
    <w:rsid w:val="00934F77"/>
    <w:rsid w:val="00935DB1"/>
    <w:rsid w:val="00935E93"/>
    <w:rsid w:val="00935F72"/>
    <w:rsid w:val="00936C98"/>
    <w:rsid w:val="0093721E"/>
    <w:rsid w:val="00940A33"/>
    <w:rsid w:val="009444E4"/>
    <w:rsid w:val="009479B0"/>
    <w:rsid w:val="00947BF7"/>
    <w:rsid w:val="00950615"/>
    <w:rsid w:val="0095082B"/>
    <w:rsid w:val="00954209"/>
    <w:rsid w:val="00957A80"/>
    <w:rsid w:val="00960179"/>
    <w:rsid w:val="00960BDD"/>
    <w:rsid w:val="009621CB"/>
    <w:rsid w:val="009632B2"/>
    <w:rsid w:val="00971488"/>
    <w:rsid w:val="0097198C"/>
    <w:rsid w:val="00972022"/>
    <w:rsid w:val="00972C9E"/>
    <w:rsid w:val="0097337F"/>
    <w:rsid w:val="00975471"/>
    <w:rsid w:val="009771F1"/>
    <w:rsid w:val="0098062F"/>
    <w:rsid w:val="00980688"/>
    <w:rsid w:val="009822C6"/>
    <w:rsid w:val="0098268E"/>
    <w:rsid w:val="00983A74"/>
    <w:rsid w:val="009846B3"/>
    <w:rsid w:val="009848EE"/>
    <w:rsid w:val="00985B7A"/>
    <w:rsid w:val="00987797"/>
    <w:rsid w:val="009908E3"/>
    <w:rsid w:val="00990D91"/>
    <w:rsid w:val="00991BB5"/>
    <w:rsid w:val="00992774"/>
    <w:rsid w:val="009929BF"/>
    <w:rsid w:val="00993A9F"/>
    <w:rsid w:val="00995922"/>
    <w:rsid w:val="00996B96"/>
    <w:rsid w:val="009A0264"/>
    <w:rsid w:val="009A30D9"/>
    <w:rsid w:val="009A4E74"/>
    <w:rsid w:val="009A5A6F"/>
    <w:rsid w:val="009A7959"/>
    <w:rsid w:val="009B0590"/>
    <w:rsid w:val="009B24EA"/>
    <w:rsid w:val="009B2876"/>
    <w:rsid w:val="009B2941"/>
    <w:rsid w:val="009B2F6C"/>
    <w:rsid w:val="009B3C2A"/>
    <w:rsid w:val="009B4437"/>
    <w:rsid w:val="009B5CA2"/>
    <w:rsid w:val="009B6BA6"/>
    <w:rsid w:val="009B6DBE"/>
    <w:rsid w:val="009B7177"/>
    <w:rsid w:val="009B7C92"/>
    <w:rsid w:val="009C5406"/>
    <w:rsid w:val="009C5C8B"/>
    <w:rsid w:val="009C6077"/>
    <w:rsid w:val="009C6D90"/>
    <w:rsid w:val="009D0B90"/>
    <w:rsid w:val="009D14C9"/>
    <w:rsid w:val="009D4859"/>
    <w:rsid w:val="009D4F7D"/>
    <w:rsid w:val="009D5442"/>
    <w:rsid w:val="009D7AFA"/>
    <w:rsid w:val="009E0696"/>
    <w:rsid w:val="009E077D"/>
    <w:rsid w:val="009E0EF2"/>
    <w:rsid w:val="009E235D"/>
    <w:rsid w:val="009E7E56"/>
    <w:rsid w:val="009F0A3D"/>
    <w:rsid w:val="009F1360"/>
    <w:rsid w:val="009F218A"/>
    <w:rsid w:val="00A00B85"/>
    <w:rsid w:val="00A00EF8"/>
    <w:rsid w:val="00A01A43"/>
    <w:rsid w:val="00A01C6C"/>
    <w:rsid w:val="00A0247A"/>
    <w:rsid w:val="00A05DD8"/>
    <w:rsid w:val="00A06611"/>
    <w:rsid w:val="00A06EB1"/>
    <w:rsid w:val="00A10479"/>
    <w:rsid w:val="00A119BC"/>
    <w:rsid w:val="00A15972"/>
    <w:rsid w:val="00A16D56"/>
    <w:rsid w:val="00A17142"/>
    <w:rsid w:val="00A17156"/>
    <w:rsid w:val="00A176BD"/>
    <w:rsid w:val="00A17E1D"/>
    <w:rsid w:val="00A20F28"/>
    <w:rsid w:val="00A21463"/>
    <w:rsid w:val="00A21674"/>
    <w:rsid w:val="00A21C87"/>
    <w:rsid w:val="00A21CD2"/>
    <w:rsid w:val="00A2233B"/>
    <w:rsid w:val="00A22852"/>
    <w:rsid w:val="00A228E2"/>
    <w:rsid w:val="00A2397A"/>
    <w:rsid w:val="00A23BDA"/>
    <w:rsid w:val="00A2417E"/>
    <w:rsid w:val="00A2DBAF"/>
    <w:rsid w:val="00A31C05"/>
    <w:rsid w:val="00A34BF3"/>
    <w:rsid w:val="00A34D19"/>
    <w:rsid w:val="00A35BF9"/>
    <w:rsid w:val="00A371FC"/>
    <w:rsid w:val="00A37912"/>
    <w:rsid w:val="00A40CE9"/>
    <w:rsid w:val="00A4145A"/>
    <w:rsid w:val="00A4213D"/>
    <w:rsid w:val="00A421EB"/>
    <w:rsid w:val="00A43617"/>
    <w:rsid w:val="00A46B79"/>
    <w:rsid w:val="00A5122F"/>
    <w:rsid w:val="00A51679"/>
    <w:rsid w:val="00A52607"/>
    <w:rsid w:val="00A5303E"/>
    <w:rsid w:val="00A53FC5"/>
    <w:rsid w:val="00A56531"/>
    <w:rsid w:val="00A57FCE"/>
    <w:rsid w:val="00A608F7"/>
    <w:rsid w:val="00A621B8"/>
    <w:rsid w:val="00A62C6F"/>
    <w:rsid w:val="00A63038"/>
    <w:rsid w:val="00A6315F"/>
    <w:rsid w:val="00A63C0C"/>
    <w:rsid w:val="00A67544"/>
    <w:rsid w:val="00A67C98"/>
    <w:rsid w:val="00A71793"/>
    <w:rsid w:val="00A71CE6"/>
    <w:rsid w:val="00A72720"/>
    <w:rsid w:val="00A72FD1"/>
    <w:rsid w:val="00A735B6"/>
    <w:rsid w:val="00A74555"/>
    <w:rsid w:val="00A750FD"/>
    <w:rsid w:val="00A804ED"/>
    <w:rsid w:val="00A80C85"/>
    <w:rsid w:val="00A81C3D"/>
    <w:rsid w:val="00A820AC"/>
    <w:rsid w:val="00A83E04"/>
    <w:rsid w:val="00A83E0E"/>
    <w:rsid w:val="00A866C8"/>
    <w:rsid w:val="00A86D43"/>
    <w:rsid w:val="00A955DE"/>
    <w:rsid w:val="00A959AD"/>
    <w:rsid w:val="00A96DB9"/>
    <w:rsid w:val="00AA0208"/>
    <w:rsid w:val="00AA0818"/>
    <w:rsid w:val="00AA0BF0"/>
    <w:rsid w:val="00AA118B"/>
    <w:rsid w:val="00AA2067"/>
    <w:rsid w:val="00AA28D9"/>
    <w:rsid w:val="00AA470A"/>
    <w:rsid w:val="00AA6ADD"/>
    <w:rsid w:val="00AA6FDA"/>
    <w:rsid w:val="00AA7B7B"/>
    <w:rsid w:val="00AB15B3"/>
    <w:rsid w:val="00AB1FEA"/>
    <w:rsid w:val="00AB3E93"/>
    <w:rsid w:val="00AB3FD5"/>
    <w:rsid w:val="00AB478B"/>
    <w:rsid w:val="00AB49FA"/>
    <w:rsid w:val="00AB68B3"/>
    <w:rsid w:val="00AB7201"/>
    <w:rsid w:val="00AC1221"/>
    <w:rsid w:val="00AC34A0"/>
    <w:rsid w:val="00AC474A"/>
    <w:rsid w:val="00AC515E"/>
    <w:rsid w:val="00AC650E"/>
    <w:rsid w:val="00AC6CED"/>
    <w:rsid w:val="00AD2509"/>
    <w:rsid w:val="00AD4DC3"/>
    <w:rsid w:val="00AD6E2E"/>
    <w:rsid w:val="00AD7DA0"/>
    <w:rsid w:val="00AE1E1B"/>
    <w:rsid w:val="00AE4F81"/>
    <w:rsid w:val="00AF2CCC"/>
    <w:rsid w:val="00AF2E1A"/>
    <w:rsid w:val="00AF2E72"/>
    <w:rsid w:val="00AF4476"/>
    <w:rsid w:val="00AF66FD"/>
    <w:rsid w:val="00B019A2"/>
    <w:rsid w:val="00B02EF4"/>
    <w:rsid w:val="00B03E62"/>
    <w:rsid w:val="00B04404"/>
    <w:rsid w:val="00B05429"/>
    <w:rsid w:val="00B07A3A"/>
    <w:rsid w:val="00B107C2"/>
    <w:rsid w:val="00B11158"/>
    <w:rsid w:val="00B11F0E"/>
    <w:rsid w:val="00B128FF"/>
    <w:rsid w:val="00B13776"/>
    <w:rsid w:val="00B144BF"/>
    <w:rsid w:val="00B14D02"/>
    <w:rsid w:val="00B157E1"/>
    <w:rsid w:val="00B16EE8"/>
    <w:rsid w:val="00B17DC3"/>
    <w:rsid w:val="00B21881"/>
    <w:rsid w:val="00B22BEB"/>
    <w:rsid w:val="00B237A4"/>
    <w:rsid w:val="00B23D9D"/>
    <w:rsid w:val="00B24249"/>
    <w:rsid w:val="00B24C2E"/>
    <w:rsid w:val="00B2519B"/>
    <w:rsid w:val="00B251B2"/>
    <w:rsid w:val="00B2558F"/>
    <w:rsid w:val="00B25D44"/>
    <w:rsid w:val="00B27BE3"/>
    <w:rsid w:val="00B30B53"/>
    <w:rsid w:val="00B33EE0"/>
    <w:rsid w:val="00B3461D"/>
    <w:rsid w:val="00B34D5A"/>
    <w:rsid w:val="00B368A5"/>
    <w:rsid w:val="00B373A3"/>
    <w:rsid w:val="00B37CC9"/>
    <w:rsid w:val="00B40B07"/>
    <w:rsid w:val="00B446D0"/>
    <w:rsid w:val="00B453AD"/>
    <w:rsid w:val="00B4689F"/>
    <w:rsid w:val="00B46E40"/>
    <w:rsid w:val="00B4783A"/>
    <w:rsid w:val="00B50588"/>
    <w:rsid w:val="00B50D93"/>
    <w:rsid w:val="00B529D7"/>
    <w:rsid w:val="00B536DE"/>
    <w:rsid w:val="00B53754"/>
    <w:rsid w:val="00B575FB"/>
    <w:rsid w:val="00B577A2"/>
    <w:rsid w:val="00B57901"/>
    <w:rsid w:val="00B6018C"/>
    <w:rsid w:val="00B632DB"/>
    <w:rsid w:val="00B63D9C"/>
    <w:rsid w:val="00B64B70"/>
    <w:rsid w:val="00B65135"/>
    <w:rsid w:val="00B66C5F"/>
    <w:rsid w:val="00B67710"/>
    <w:rsid w:val="00B67809"/>
    <w:rsid w:val="00B70CDE"/>
    <w:rsid w:val="00B734F4"/>
    <w:rsid w:val="00B74A26"/>
    <w:rsid w:val="00B74D5F"/>
    <w:rsid w:val="00B753CC"/>
    <w:rsid w:val="00B75C98"/>
    <w:rsid w:val="00B75F2C"/>
    <w:rsid w:val="00B77480"/>
    <w:rsid w:val="00B80310"/>
    <w:rsid w:val="00B817C0"/>
    <w:rsid w:val="00B85B8C"/>
    <w:rsid w:val="00B87DCC"/>
    <w:rsid w:val="00B906A9"/>
    <w:rsid w:val="00B91990"/>
    <w:rsid w:val="00B91F55"/>
    <w:rsid w:val="00B9264A"/>
    <w:rsid w:val="00B929DA"/>
    <w:rsid w:val="00B92FA3"/>
    <w:rsid w:val="00B93E60"/>
    <w:rsid w:val="00B96406"/>
    <w:rsid w:val="00B96876"/>
    <w:rsid w:val="00B97984"/>
    <w:rsid w:val="00BA0905"/>
    <w:rsid w:val="00BA22E2"/>
    <w:rsid w:val="00BA3CE9"/>
    <w:rsid w:val="00BA42A4"/>
    <w:rsid w:val="00BA4DEC"/>
    <w:rsid w:val="00BA62EB"/>
    <w:rsid w:val="00BA6800"/>
    <w:rsid w:val="00BA6D41"/>
    <w:rsid w:val="00BB0542"/>
    <w:rsid w:val="00BB1119"/>
    <w:rsid w:val="00BB120F"/>
    <w:rsid w:val="00BB1B9E"/>
    <w:rsid w:val="00BB21C0"/>
    <w:rsid w:val="00BB277C"/>
    <w:rsid w:val="00BB2991"/>
    <w:rsid w:val="00BB3D48"/>
    <w:rsid w:val="00BB4599"/>
    <w:rsid w:val="00BB5516"/>
    <w:rsid w:val="00BB5CF2"/>
    <w:rsid w:val="00BB6759"/>
    <w:rsid w:val="00BC0206"/>
    <w:rsid w:val="00BC2C5F"/>
    <w:rsid w:val="00BC3113"/>
    <w:rsid w:val="00BC48D0"/>
    <w:rsid w:val="00BC532F"/>
    <w:rsid w:val="00BD2A46"/>
    <w:rsid w:val="00BD36C6"/>
    <w:rsid w:val="00BD57C8"/>
    <w:rsid w:val="00BD5B63"/>
    <w:rsid w:val="00BD6B43"/>
    <w:rsid w:val="00BD7D9D"/>
    <w:rsid w:val="00BE115A"/>
    <w:rsid w:val="00BE1810"/>
    <w:rsid w:val="00BE1811"/>
    <w:rsid w:val="00BE199D"/>
    <w:rsid w:val="00BE2638"/>
    <w:rsid w:val="00BE641B"/>
    <w:rsid w:val="00BE7DAF"/>
    <w:rsid w:val="00BF1AB3"/>
    <w:rsid w:val="00BF1EF3"/>
    <w:rsid w:val="00BF4721"/>
    <w:rsid w:val="00BF4C0D"/>
    <w:rsid w:val="00C07ACB"/>
    <w:rsid w:val="00C10476"/>
    <w:rsid w:val="00C111B8"/>
    <w:rsid w:val="00C113BB"/>
    <w:rsid w:val="00C11B7B"/>
    <w:rsid w:val="00C125FC"/>
    <w:rsid w:val="00C12C3A"/>
    <w:rsid w:val="00C14ED0"/>
    <w:rsid w:val="00C15789"/>
    <w:rsid w:val="00C16569"/>
    <w:rsid w:val="00C168A4"/>
    <w:rsid w:val="00C16EE3"/>
    <w:rsid w:val="00C170A5"/>
    <w:rsid w:val="00C2301B"/>
    <w:rsid w:val="00C23702"/>
    <w:rsid w:val="00C238BE"/>
    <w:rsid w:val="00C25D6F"/>
    <w:rsid w:val="00C277F9"/>
    <w:rsid w:val="00C27B36"/>
    <w:rsid w:val="00C3044C"/>
    <w:rsid w:val="00C32B71"/>
    <w:rsid w:val="00C33096"/>
    <w:rsid w:val="00C3354F"/>
    <w:rsid w:val="00C34023"/>
    <w:rsid w:val="00C3506E"/>
    <w:rsid w:val="00C35530"/>
    <w:rsid w:val="00C436BA"/>
    <w:rsid w:val="00C43AD9"/>
    <w:rsid w:val="00C44113"/>
    <w:rsid w:val="00C441D2"/>
    <w:rsid w:val="00C463E5"/>
    <w:rsid w:val="00C47E9C"/>
    <w:rsid w:val="00C501B1"/>
    <w:rsid w:val="00C509D1"/>
    <w:rsid w:val="00C527DA"/>
    <w:rsid w:val="00C540C3"/>
    <w:rsid w:val="00C54E45"/>
    <w:rsid w:val="00C56170"/>
    <w:rsid w:val="00C56877"/>
    <w:rsid w:val="00C6057D"/>
    <w:rsid w:val="00C60C26"/>
    <w:rsid w:val="00C63CB4"/>
    <w:rsid w:val="00C65657"/>
    <w:rsid w:val="00C67340"/>
    <w:rsid w:val="00C67E65"/>
    <w:rsid w:val="00C71040"/>
    <w:rsid w:val="00C71D8D"/>
    <w:rsid w:val="00C7273C"/>
    <w:rsid w:val="00C73026"/>
    <w:rsid w:val="00C73BD9"/>
    <w:rsid w:val="00C7419C"/>
    <w:rsid w:val="00C75D53"/>
    <w:rsid w:val="00C76C84"/>
    <w:rsid w:val="00C77097"/>
    <w:rsid w:val="00C77A80"/>
    <w:rsid w:val="00C80777"/>
    <w:rsid w:val="00C80F51"/>
    <w:rsid w:val="00C8109D"/>
    <w:rsid w:val="00C81550"/>
    <w:rsid w:val="00C81973"/>
    <w:rsid w:val="00C82A65"/>
    <w:rsid w:val="00C82CA7"/>
    <w:rsid w:val="00C83862"/>
    <w:rsid w:val="00C86EA7"/>
    <w:rsid w:val="00C87445"/>
    <w:rsid w:val="00C90DB4"/>
    <w:rsid w:val="00C912A0"/>
    <w:rsid w:val="00C92459"/>
    <w:rsid w:val="00C9310D"/>
    <w:rsid w:val="00C934D3"/>
    <w:rsid w:val="00C97DB6"/>
    <w:rsid w:val="00CA26D6"/>
    <w:rsid w:val="00CA3D9D"/>
    <w:rsid w:val="00CA49EE"/>
    <w:rsid w:val="00CA5521"/>
    <w:rsid w:val="00CB0E2D"/>
    <w:rsid w:val="00CB164E"/>
    <w:rsid w:val="00CB195C"/>
    <w:rsid w:val="00CB1A32"/>
    <w:rsid w:val="00CB1E51"/>
    <w:rsid w:val="00CB21BC"/>
    <w:rsid w:val="00CB31BB"/>
    <w:rsid w:val="00CB5B46"/>
    <w:rsid w:val="00CB6959"/>
    <w:rsid w:val="00CB734D"/>
    <w:rsid w:val="00CC0D80"/>
    <w:rsid w:val="00CC0D97"/>
    <w:rsid w:val="00CC0E87"/>
    <w:rsid w:val="00CC1BE1"/>
    <w:rsid w:val="00CC33C0"/>
    <w:rsid w:val="00CC5F2B"/>
    <w:rsid w:val="00CC6A53"/>
    <w:rsid w:val="00CC7A85"/>
    <w:rsid w:val="00CD39AF"/>
    <w:rsid w:val="00CD546C"/>
    <w:rsid w:val="00CD559F"/>
    <w:rsid w:val="00CD5B8A"/>
    <w:rsid w:val="00CD5BB8"/>
    <w:rsid w:val="00CD6CFA"/>
    <w:rsid w:val="00CE0DED"/>
    <w:rsid w:val="00CE2971"/>
    <w:rsid w:val="00CE3B4A"/>
    <w:rsid w:val="00CE3C72"/>
    <w:rsid w:val="00CE5EFD"/>
    <w:rsid w:val="00CE771F"/>
    <w:rsid w:val="00CF0115"/>
    <w:rsid w:val="00CF0F1F"/>
    <w:rsid w:val="00CF1283"/>
    <w:rsid w:val="00CF222F"/>
    <w:rsid w:val="00CF4A14"/>
    <w:rsid w:val="00CF4A95"/>
    <w:rsid w:val="00D00D1F"/>
    <w:rsid w:val="00D02E57"/>
    <w:rsid w:val="00D03B7D"/>
    <w:rsid w:val="00D0476A"/>
    <w:rsid w:val="00D05761"/>
    <w:rsid w:val="00D06131"/>
    <w:rsid w:val="00D1179E"/>
    <w:rsid w:val="00D11B70"/>
    <w:rsid w:val="00D136A1"/>
    <w:rsid w:val="00D1407D"/>
    <w:rsid w:val="00D1562D"/>
    <w:rsid w:val="00D1571E"/>
    <w:rsid w:val="00D20495"/>
    <w:rsid w:val="00D2117C"/>
    <w:rsid w:val="00D22A2A"/>
    <w:rsid w:val="00D2516C"/>
    <w:rsid w:val="00D26124"/>
    <w:rsid w:val="00D272BA"/>
    <w:rsid w:val="00D322D3"/>
    <w:rsid w:val="00D340A4"/>
    <w:rsid w:val="00D343BD"/>
    <w:rsid w:val="00D35905"/>
    <w:rsid w:val="00D36EAC"/>
    <w:rsid w:val="00D37122"/>
    <w:rsid w:val="00D4193D"/>
    <w:rsid w:val="00D41A92"/>
    <w:rsid w:val="00D42F04"/>
    <w:rsid w:val="00D42FE9"/>
    <w:rsid w:val="00D43A4D"/>
    <w:rsid w:val="00D465FA"/>
    <w:rsid w:val="00D468DC"/>
    <w:rsid w:val="00D51130"/>
    <w:rsid w:val="00D540DF"/>
    <w:rsid w:val="00D56C9B"/>
    <w:rsid w:val="00D64B16"/>
    <w:rsid w:val="00D64EAA"/>
    <w:rsid w:val="00D70392"/>
    <w:rsid w:val="00D707A5"/>
    <w:rsid w:val="00D716A5"/>
    <w:rsid w:val="00D72FD9"/>
    <w:rsid w:val="00D7548A"/>
    <w:rsid w:val="00D75917"/>
    <w:rsid w:val="00D764D7"/>
    <w:rsid w:val="00D768B4"/>
    <w:rsid w:val="00D77F20"/>
    <w:rsid w:val="00D81AC1"/>
    <w:rsid w:val="00D82FFA"/>
    <w:rsid w:val="00D836C2"/>
    <w:rsid w:val="00D83E09"/>
    <w:rsid w:val="00D83EB9"/>
    <w:rsid w:val="00D85C86"/>
    <w:rsid w:val="00D9185A"/>
    <w:rsid w:val="00D91B6D"/>
    <w:rsid w:val="00D923AA"/>
    <w:rsid w:val="00D93C3D"/>
    <w:rsid w:val="00D96914"/>
    <w:rsid w:val="00DA156D"/>
    <w:rsid w:val="00DA26C1"/>
    <w:rsid w:val="00DA3077"/>
    <w:rsid w:val="00DA4DD4"/>
    <w:rsid w:val="00DA4F29"/>
    <w:rsid w:val="00DA6DEF"/>
    <w:rsid w:val="00DB1452"/>
    <w:rsid w:val="00DB19FF"/>
    <w:rsid w:val="00DB62BA"/>
    <w:rsid w:val="00DB74B6"/>
    <w:rsid w:val="00DC1870"/>
    <w:rsid w:val="00DC3E9D"/>
    <w:rsid w:val="00DC3EEE"/>
    <w:rsid w:val="00DC4579"/>
    <w:rsid w:val="00DC5D6D"/>
    <w:rsid w:val="00DD079C"/>
    <w:rsid w:val="00DD2F8C"/>
    <w:rsid w:val="00DD33AB"/>
    <w:rsid w:val="00DD466B"/>
    <w:rsid w:val="00DD4976"/>
    <w:rsid w:val="00DD573A"/>
    <w:rsid w:val="00DD5B45"/>
    <w:rsid w:val="00DD6B23"/>
    <w:rsid w:val="00DD75A9"/>
    <w:rsid w:val="00DE2234"/>
    <w:rsid w:val="00DE44E5"/>
    <w:rsid w:val="00DF02E7"/>
    <w:rsid w:val="00DF12F8"/>
    <w:rsid w:val="00DF2200"/>
    <w:rsid w:val="00DF3353"/>
    <w:rsid w:val="00DF4B02"/>
    <w:rsid w:val="00DF521E"/>
    <w:rsid w:val="00DF5E17"/>
    <w:rsid w:val="00DF6281"/>
    <w:rsid w:val="00DF6F85"/>
    <w:rsid w:val="00DF72B2"/>
    <w:rsid w:val="00E01D9A"/>
    <w:rsid w:val="00E0416B"/>
    <w:rsid w:val="00E04DCE"/>
    <w:rsid w:val="00E06769"/>
    <w:rsid w:val="00E06DBB"/>
    <w:rsid w:val="00E11E11"/>
    <w:rsid w:val="00E20B27"/>
    <w:rsid w:val="00E223D8"/>
    <w:rsid w:val="00E22663"/>
    <w:rsid w:val="00E22BF5"/>
    <w:rsid w:val="00E2607C"/>
    <w:rsid w:val="00E275EC"/>
    <w:rsid w:val="00E27CA1"/>
    <w:rsid w:val="00E30D9A"/>
    <w:rsid w:val="00E30FA8"/>
    <w:rsid w:val="00E32B1C"/>
    <w:rsid w:val="00E33A35"/>
    <w:rsid w:val="00E37EFA"/>
    <w:rsid w:val="00E41FA2"/>
    <w:rsid w:val="00E42CA3"/>
    <w:rsid w:val="00E461D5"/>
    <w:rsid w:val="00E467A1"/>
    <w:rsid w:val="00E470D1"/>
    <w:rsid w:val="00E50B5B"/>
    <w:rsid w:val="00E5110F"/>
    <w:rsid w:val="00E514D6"/>
    <w:rsid w:val="00E542A0"/>
    <w:rsid w:val="00E54F38"/>
    <w:rsid w:val="00E55864"/>
    <w:rsid w:val="00E55BC6"/>
    <w:rsid w:val="00E60BF3"/>
    <w:rsid w:val="00E61657"/>
    <w:rsid w:val="00E62436"/>
    <w:rsid w:val="00E6332B"/>
    <w:rsid w:val="00E63D8B"/>
    <w:rsid w:val="00E66CF0"/>
    <w:rsid w:val="00E67134"/>
    <w:rsid w:val="00E67641"/>
    <w:rsid w:val="00E715AA"/>
    <w:rsid w:val="00E71B71"/>
    <w:rsid w:val="00E7252D"/>
    <w:rsid w:val="00E74C13"/>
    <w:rsid w:val="00E74C1D"/>
    <w:rsid w:val="00E75F26"/>
    <w:rsid w:val="00E76E45"/>
    <w:rsid w:val="00E85ABB"/>
    <w:rsid w:val="00E86D52"/>
    <w:rsid w:val="00E90429"/>
    <w:rsid w:val="00E9142F"/>
    <w:rsid w:val="00E9234C"/>
    <w:rsid w:val="00E94F69"/>
    <w:rsid w:val="00E952EC"/>
    <w:rsid w:val="00E95426"/>
    <w:rsid w:val="00E95F2C"/>
    <w:rsid w:val="00E96AE7"/>
    <w:rsid w:val="00EA007C"/>
    <w:rsid w:val="00EA147D"/>
    <w:rsid w:val="00EA2010"/>
    <w:rsid w:val="00EA33A7"/>
    <w:rsid w:val="00EA5C9E"/>
    <w:rsid w:val="00EA6C5F"/>
    <w:rsid w:val="00EB0D57"/>
    <w:rsid w:val="00EB3CE4"/>
    <w:rsid w:val="00EB77B3"/>
    <w:rsid w:val="00EC07F9"/>
    <w:rsid w:val="00EC0AE4"/>
    <w:rsid w:val="00EC13C2"/>
    <w:rsid w:val="00EC211A"/>
    <w:rsid w:val="00EC2F6C"/>
    <w:rsid w:val="00EC432E"/>
    <w:rsid w:val="00EC51FF"/>
    <w:rsid w:val="00EC62FC"/>
    <w:rsid w:val="00EC62FF"/>
    <w:rsid w:val="00EC634D"/>
    <w:rsid w:val="00ECD361"/>
    <w:rsid w:val="00ED24C6"/>
    <w:rsid w:val="00ED34EA"/>
    <w:rsid w:val="00ED63FF"/>
    <w:rsid w:val="00ED6747"/>
    <w:rsid w:val="00ED710B"/>
    <w:rsid w:val="00EE0B0F"/>
    <w:rsid w:val="00EE22BF"/>
    <w:rsid w:val="00EE5518"/>
    <w:rsid w:val="00EE589B"/>
    <w:rsid w:val="00EE77D4"/>
    <w:rsid w:val="00EF034B"/>
    <w:rsid w:val="00EF3D51"/>
    <w:rsid w:val="00EF443A"/>
    <w:rsid w:val="00EF484E"/>
    <w:rsid w:val="00EF5445"/>
    <w:rsid w:val="00EF5662"/>
    <w:rsid w:val="00EF67FD"/>
    <w:rsid w:val="00EF7D49"/>
    <w:rsid w:val="00F00BE3"/>
    <w:rsid w:val="00F01271"/>
    <w:rsid w:val="00F02766"/>
    <w:rsid w:val="00F036F3"/>
    <w:rsid w:val="00F05A6A"/>
    <w:rsid w:val="00F110C1"/>
    <w:rsid w:val="00F1115D"/>
    <w:rsid w:val="00F11E3C"/>
    <w:rsid w:val="00F208CD"/>
    <w:rsid w:val="00F20964"/>
    <w:rsid w:val="00F22DD1"/>
    <w:rsid w:val="00F24CBA"/>
    <w:rsid w:val="00F24D62"/>
    <w:rsid w:val="00F33AF7"/>
    <w:rsid w:val="00F33E25"/>
    <w:rsid w:val="00F347F6"/>
    <w:rsid w:val="00F36EC3"/>
    <w:rsid w:val="00F427B4"/>
    <w:rsid w:val="00F42A0D"/>
    <w:rsid w:val="00F43366"/>
    <w:rsid w:val="00F451AD"/>
    <w:rsid w:val="00F469B4"/>
    <w:rsid w:val="00F47636"/>
    <w:rsid w:val="00F47817"/>
    <w:rsid w:val="00F50DCC"/>
    <w:rsid w:val="00F50E3E"/>
    <w:rsid w:val="00F5301D"/>
    <w:rsid w:val="00F55147"/>
    <w:rsid w:val="00F55435"/>
    <w:rsid w:val="00F574B6"/>
    <w:rsid w:val="00F6024D"/>
    <w:rsid w:val="00F603D1"/>
    <w:rsid w:val="00F60FCD"/>
    <w:rsid w:val="00F61CF7"/>
    <w:rsid w:val="00F63CDB"/>
    <w:rsid w:val="00F643A7"/>
    <w:rsid w:val="00F64D93"/>
    <w:rsid w:val="00F6520E"/>
    <w:rsid w:val="00F655A2"/>
    <w:rsid w:val="00F66C91"/>
    <w:rsid w:val="00F705E2"/>
    <w:rsid w:val="00F70AA5"/>
    <w:rsid w:val="00F70BE4"/>
    <w:rsid w:val="00F72673"/>
    <w:rsid w:val="00F72756"/>
    <w:rsid w:val="00F732B9"/>
    <w:rsid w:val="00F7490B"/>
    <w:rsid w:val="00F81A52"/>
    <w:rsid w:val="00F82352"/>
    <w:rsid w:val="00F82837"/>
    <w:rsid w:val="00F842F2"/>
    <w:rsid w:val="00F85E86"/>
    <w:rsid w:val="00F87E4B"/>
    <w:rsid w:val="00F92491"/>
    <w:rsid w:val="00F930E0"/>
    <w:rsid w:val="00F9370B"/>
    <w:rsid w:val="00F9428B"/>
    <w:rsid w:val="00F952F1"/>
    <w:rsid w:val="00F95DB6"/>
    <w:rsid w:val="00F969ED"/>
    <w:rsid w:val="00F97852"/>
    <w:rsid w:val="00F97A73"/>
    <w:rsid w:val="00FA005F"/>
    <w:rsid w:val="00FA33E3"/>
    <w:rsid w:val="00FA4677"/>
    <w:rsid w:val="00FA4E5D"/>
    <w:rsid w:val="00FA73E7"/>
    <w:rsid w:val="00FB1D86"/>
    <w:rsid w:val="00FB2940"/>
    <w:rsid w:val="00FB4744"/>
    <w:rsid w:val="00FB5450"/>
    <w:rsid w:val="00FB5F2F"/>
    <w:rsid w:val="00FB7405"/>
    <w:rsid w:val="00FB7FAF"/>
    <w:rsid w:val="00FC07B4"/>
    <w:rsid w:val="00FC0933"/>
    <w:rsid w:val="00FC60AD"/>
    <w:rsid w:val="00FC65C1"/>
    <w:rsid w:val="00FC6D4C"/>
    <w:rsid w:val="00FD3348"/>
    <w:rsid w:val="00FD3DA2"/>
    <w:rsid w:val="00FD59B4"/>
    <w:rsid w:val="00FE1091"/>
    <w:rsid w:val="00FE1978"/>
    <w:rsid w:val="00FE1F61"/>
    <w:rsid w:val="00FE2062"/>
    <w:rsid w:val="00FE6124"/>
    <w:rsid w:val="00FE651E"/>
    <w:rsid w:val="00FF2D1D"/>
    <w:rsid w:val="00FF4FC4"/>
    <w:rsid w:val="00FF7E3C"/>
    <w:rsid w:val="00FF7EA2"/>
    <w:rsid w:val="0245682E"/>
    <w:rsid w:val="02B49951"/>
    <w:rsid w:val="037D8C15"/>
    <w:rsid w:val="04121FA8"/>
    <w:rsid w:val="04312390"/>
    <w:rsid w:val="04FCC5A2"/>
    <w:rsid w:val="05FD0EEE"/>
    <w:rsid w:val="07402F01"/>
    <w:rsid w:val="08817C95"/>
    <w:rsid w:val="08966D6E"/>
    <w:rsid w:val="08AD4B41"/>
    <w:rsid w:val="08BD6632"/>
    <w:rsid w:val="093FE02A"/>
    <w:rsid w:val="0A2D12FA"/>
    <w:rsid w:val="0A9E3A30"/>
    <w:rsid w:val="0B889DFA"/>
    <w:rsid w:val="0C3ECA51"/>
    <w:rsid w:val="0C9462A0"/>
    <w:rsid w:val="0CBE13F1"/>
    <w:rsid w:val="0D1A9727"/>
    <w:rsid w:val="0DAB75B4"/>
    <w:rsid w:val="0E13514D"/>
    <w:rsid w:val="0E18A709"/>
    <w:rsid w:val="0F31D945"/>
    <w:rsid w:val="0F6929CF"/>
    <w:rsid w:val="1142AFAB"/>
    <w:rsid w:val="12BC0D98"/>
    <w:rsid w:val="133DEAC3"/>
    <w:rsid w:val="13480707"/>
    <w:rsid w:val="135D5936"/>
    <w:rsid w:val="136BEAF1"/>
    <w:rsid w:val="149E7C23"/>
    <w:rsid w:val="15168B53"/>
    <w:rsid w:val="15BEB0EF"/>
    <w:rsid w:val="15C3E20E"/>
    <w:rsid w:val="16EC59C5"/>
    <w:rsid w:val="16F90D91"/>
    <w:rsid w:val="170C677C"/>
    <w:rsid w:val="1735B33D"/>
    <w:rsid w:val="17C214D3"/>
    <w:rsid w:val="1925D872"/>
    <w:rsid w:val="194FC7B8"/>
    <w:rsid w:val="1BC15720"/>
    <w:rsid w:val="1BD9C814"/>
    <w:rsid w:val="1BEA7749"/>
    <w:rsid w:val="1C1AC2F4"/>
    <w:rsid w:val="1DC40808"/>
    <w:rsid w:val="1EF873C4"/>
    <w:rsid w:val="1FF6BA01"/>
    <w:rsid w:val="20595BC8"/>
    <w:rsid w:val="20BE1FAC"/>
    <w:rsid w:val="214F95A0"/>
    <w:rsid w:val="21B1CC58"/>
    <w:rsid w:val="22DE02D0"/>
    <w:rsid w:val="23144561"/>
    <w:rsid w:val="26056D39"/>
    <w:rsid w:val="263FE724"/>
    <w:rsid w:val="26EE811A"/>
    <w:rsid w:val="2717A1AF"/>
    <w:rsid w:val="27562088"/>
    <w:rsid w:val="27948060"/>
    <w:rsid w:val="28507DE9"/>
    <w:rsid w:val="28E6DC35"/>
    <w:rsid w:val="291DF559"/>
    <w:rsid w:val="29633F14"/>
    <w:rsid w:val="2969072E"/>
    <w:rsid w:val="2A7498ED"/>
    <w:rsid w:val="2A9FAC2C"/>
    <w:rsid w:val="2B27E248"/>
    <w:rsid w:val="2BED4266"/>
    <w:rsid w:val="2BF52C5F"/>
    <w:rsid w:val="2C7AD5DB"/>
    <w:rsid w:val="2CBDD48C"/>
    <w:rsid w:val="2CE69460"/>
    <w:rsid w:val="2DBC1330"/>
    <w:rsid w:val="2DBCF428"/>
    <w:rsid w:val="2DD61003"/>
    <w:rsid w:val="2DD8A16D"/>
    <w:rsid w:val="2F0A692F"/>
    <w:rsid w:val="308FBDE8"/>
    <w:rsid w:val="3097CFFD"/>
    <w:rsid w:val="31C28127"/>
    <w:rsid w:val="330AB509"/>
    <w:rsid w:val="33BD5CE2"/>
    <w:rsid w:val="347BD026"/>
    <w:rsid w:val="3494C5B2"/>
    <w:rsid w:val="3559794C"/>
    <w:rsid w:val="35AE6771"/>
    <w:rsid w:val="3652657B"/>
    <w:rsid w:val="367A7C37"/>
    <w:rsid w:val="36EE4AE4"/>
    <w:rsid w:val="37416F5E"/>
    <w:rsid w:val="376DE281"/>
    <w:rsid w:val="3869C4D0"/>
    <w:rsid w:val="388F2401"/>
    <w:rsid w:val="38AB21D4"/>
    <w:rsid w:val="38B609AC"/>
    <w:rsid w:val="392D15E1"/>
    <w:rsid w:val="393BAD26"/>
    <w:rsid w:val="39F7E51E"/>
    <w:rsid w:val="3DAF7F90"/>
    <w:rsid w:val="3DB8AA86"/>
    <w:rsid w:val="3E2C5691"/>
    <w:rsid w:val="3E6C6420"/>
    <w:rsid w:val="3EF9585F"/>
    <w:rsid w:val="3FB13872"/>
    <w:rsid w:val="3FBE8804"/>
    <w:rsid w:val="418D27CE"/>
    <w:rsid w:val="422214BE"/>
    <w:rsid w:val="42F55946"/>
    <w:rsid w:val="43217699"/>
    <w:rsid w:val="437F4724"/>
    <w:rsid w:val="4398576C"/>
    <w:rsid w:val="43F76D8E"/>
    <w:rsid w:val="440B4D7A"/>
    <w:rsid w:val="4455B3D5"/>
    <w:rsid w:val="44FC0CA7"/>
    <w:rsid w:val="45E49F7D"/>
    <w:rsid w:val="46CAE0D9"/>
    <w:rsid w:val="47E8EF08"/>
    <w:rsid w:val="48DA816A"/>
    <w:rsid w:val="490EA6B0"/>
    <w:rsid w:val="495F53CE"/>
    <w:rsid w:val="4AC70DD1"/>
    <w:rsid w:val="4AF84364"/>
    <w:rsid w:val="4B667FCE"/>
    <w:rsid w:val="4BA0F1B0"/>
    <w:rsid w:val="4C40F564"/>
    <w:rsid w:val="4CD12694"/>
    <w:rsid w:val="4CD7C7FB"/>
    <w:rsid w:val="4D1DD838"/>
    <w:rsid w:val="4EF1AD8A"/>
    <w:rsid w:val="4F948566"/>
    <w:rsid w:val="4FA29415"/>
    <w:rsid w:val="4FD5DFB6"/>
    <w:rsid w:val="51091F53"/>
    <w:rsid w:val="511DEA16"/>
    <w:rsid w:val="523C4CAB"/>
    <w:rsid w:val="52AEFC06"/>
    <w:rsid w:val="52FC8657"/>
    <w:rsid w:val="533D3363"/>
    <w:rsid w:val="5388431C"/>
    <w:rsid w:val="53E5B2FF"/>
    <w:rsid w:val="546813CF"/>
    <w:rsid w:val="5493784C"/>
    <w:rsid w:val="54C29F1D"/>
    <w:rsid w:val="5735BDC3"/>
    <w:rsid w:val="57A3E99C"/>
    <w:rsid w:val="57A84188"/>
    <w:rsid w:val="58B881C5"/>
    <w:rsid w:val="5912C1EE"/>
    <w:rsid w:val="59B43C28"/>
    <w:rsid w:val="59DAAA52"/>
    <w:rsid w:val="59FA1302"/>
    <w:rsid w:val="5AF8A236"/>
    <w:rsid w:val="5B7095CF"/>
    <w:rsid w:val="5B7E6BCC"/>
    <w:rsid w:val="5CEA5BE3"/>
    <w:rsid w:val="5CFE9291"/>
    <w:rsid w:val="5E707E27"/>
    <w:rsid w:val="5E72C245"/>
    <w:rsid w:val="5E75B92D"/>
    <w:rsid w:val="5F427B54"/>
    <w:rsid w:val="5F4FFA5A"/>
    <w:rsid w:val="5FCA1A20"/>
    <w:rsid w:val="601142F5"/>
    <w:rsid w:val="62181084"/>
    <w:rsid w:val="63984691"/>
    <w:rsid w:val="63A9B982"/>
    <w:rsid w:val="63D6C6CD"/>
    <w:rsid w:val="662C327E"/>
    <w:rsid w:val="66437439"/>
    <w:rsid w:val="66D2594A"/>
    <w:rsid w:val="68C6C3E9"/>
    <w:rsid w:val="6912D37D"/>
    <w:rsid w:val="6A9A3932"/>
    <w:rsid w:val="6ACB458E"/>
    <w:rsid w:val="6B219EA9"/>
    <w:rsid w:val="6BDD207B"/>
    <w:rsid w:val="6D77CCDA"/>
    <w:rsid w:val="6D8BAE25"/>
    <w:rsid w:val="6F052FDF"/>
    <w:rsid w:val="6F552CF2"/>
    <w:rsid w:val="71708B4A"/>
    <w:rsid w:val="71BFC77C"/>
    <w:rsid w:val="71DFE045"/>
    <w:rsid w:val="71F294B4"/>
    <w:rsid w:val="738090A7"/>
    <w:rsid w:val="73D4BE59"/>
    <w:rsid w:val="73F6FFAA"/>
    <w:rsid w:val="74310726"/>
    <w:rsid w:val="74DCFF3E"/>
    <w:rsid w:val="75D7277C"/>
    <w:rsid w:val="75EB4AC2"/>
    <w:rsid w:val="7628D3E9"/>
    <w:rsid w:val="76DE0703"/>
    <w:rsid w:val="782DE9D9"/>
    <w:rsid w:val="7831CFC0"/>
    <w:rsid w:val="78CF7A19"/>
    <w:rsid w:val="79A315AC"/>
    <w:rsid w:val="7BD31E56"/>
    <w:rsid w:val="7C9AD01D"/>
    <w:rsid w:val="7CA06E91"/>
    <w:rsid w:val="7D0F3F95"/>
    <w:rsid w:val="7D251BBD"/>
    <w:rsid w:val="7DCC0E5A"/>
    <w:rsid w:val="7E6FFB0A"/>
    <w:rsid w:val="7F02D4DE"/>
    <w:rsid w:val="7F3ABB8F"/>
    <w:rsid w:val="7F7A0BC8"/>
    <w:rsid w:val="7F9BDECF"/>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174436"/>
  <w15:chartTrackingRefBased/>
  <w15:docId w15:val="{C313DEB2-BF86-4E68-B88F-9E9BAA2DF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AU"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ftpos normal"/>
    <w:qFormat/>
    <w:rsid w:val="00724F1D"/>
    <w:pPr>
      <w:spacing w:after="100"/>
    </w:pPr>
    <w:rPr>
      <w:szCs w:val="24"/>
    </w:rPr>
  </w:style>
  <w:style w:type="paragraph" w:styleId="Heading1">
    <w:name w:val="heading 1"/>
    <w:aliases w:val="eftpos H1"/>
    <w:basedOn w:val="Normal"/>
    <w:next w:val="Normal"/>
    <w:link w:val="Heading1Char"/>
    <w:uiPriority w:val="9"/>
    <w:qFormat/>
    <w:rsid w:val="00724F1D"/>
    <w:pPr>
      <w:keepNext/>
      <w:keepLines/>
      <w:spacing w:before="400" w:after="400"/>
      <w:outlineLvl w:val="0"/>
    </w:pPr>
    <w:rPr>
      <w:rFonts w:asciiTheme="majorHAnsi" w:eastAsiaTheme="majorEastAsia" w:hAnsiTheme="majorHAnsi" w:cstheme="majorBidi"/>
      <w:color w:val="8D1B3D" w:themeColor="accent1"/>
      <w:sz w:val="60"/>
      <w:szCs w:val="60"/>
    </w:rPr>
  </w:style>
  <w:style w:type="paragraph" w:styleId="Heading2">
    <w:name w:val="heading 2"/>
    <w:aliases w:val="eftpos H4"/>
    <w:basedOn w:val="Heading4"/>
    <w:next w:val="Normal"/>
    <w:link w:val="Heading2Char"/>
    <w:uiPriority w:val="9"/>
    <w:unhideWhenUsed/>
    <w:qFormat/>
    <w:rsid w:val="000E6F08"/>
    <w:pPr>
      <w:outlineLvl w:val="1"/>
    </w:pPr>
    <w:rPr>
      <w:noProof/>
      <w:sz w:val="28"/>
      <w:szCs w:val="28"/>
    </w:rPr>
  </w:style>
  <w:style w:type="paragraph" w:styleId="Heading3">
    <w:name w:val="heading 3"/>
    <w:aliases w:val="eftpos H2"/>
    <w:basedOn w:val="Normal"/>
    <w:next w:val="Normal"/>
    <w:link w:val="Heading3Char"/>
    <w:uiPriority w:val="9"/>
    <w:unhideWhenUsed/>
    <w:qFormat/>
    <w:rsid w:val="0055711D"/>
    <w:pPr>
      <w:keepNext/>
      <w:keepLines/>
      <w:spacing w:before="200"/>
      <w:outlineLvl w:val="2"/>
    </w:pPr>
    <w:rPr>
      <w:rFonts w:asciiTheme="majorHAnsi" w:eastAsiaTheme="majorEastAsia" w:hAnsiTheme="majorHAnsi" w:cstheme="majorBidi"/>
      <w:color w:val="8C3C6E" w:themeColor="text2"/>
      <w:sz w:val="44"/>
      <w:szCs w:val="44"/>
    </w:rPr>
  </w:style>
  <w:style w:type="paragraph" w:styleId="Heading4">
    <w:name w:val="heading 4"/>
    <w:aliases w:val="eftpos H3"/>
    <w:basedOn w:val="Normal"/>
    <w:next w:val="Normal"/>
    <w:link w:val="Heading4Char"/>
    <w:uiPriority w:val="9"/>
    <w:unhideWhenUsed/>
    <w:qFormat/>
    <w:rsid w:val="000E6F08"/>
    <w:pPr>
      <w:keepNext/>
      <w:keepLines/>
      <w:spacing w:before="100" w:after="200"/>
      <w:outlineLvl w:val="3"/>
    </w:pPr>
    <w:rPr>
      <w:rFonts w:asciiTheme="majorHAnsi" w:eastAsiaTheme="majorEastAsia" w:hAnsiTheme="majorHAnsi" w:cstheme="majorBidi"/>
      <w:color w:val="8C3C6E" w:themeColor="text2"/>
      <w:sz w:val="32"/>
      <w:szCs w:val="32"/>
    </w:rPr>
  </w:style>
  <w:style w:type="paragraph" w:styleId="Heading5">
    <w:name w:val="heading 5"/>
    <w:aliases w:val="eftpos H5"/>
    <w:basedOn w:val="Normal"/>
    <w:next w:val="Normal"/>
    <w:link w:val="Heading5Char"/>
    <w:uiPriority w:val="9"/>
    <w:unhideWhenUsed/>
    <w:qFormat/>
    <w:rsid w:val="002A2B42"/>
    <w:pPr>
      <w:keepNext/>
      <w:keepLines/>
      <w:spacing w:before="40" w:after="0"/>
      <w:outlineLvl w:val="4"/>
    </w:pPr>
    <w:rPr>
      <w:rFonts w:asciiTheme="majorHAnsi" w:eastAsiaTheme="majorEastAsia" w:hAnsiTheme="majorHAnsi" w:cstheme="majorBidi"/>
      <w:color w:val="8C3C6E" w:themeColor="text2"/>
      <w:sz w:val="22"/>
      <w:szCs w:val="22"/>
    </w:rPr>
  </w:style>
  <w:style w:type="paragraph" w:styleId="Heading6">
    <w:name w:val="heading 6"/>
    <w:basedOn w:val="Normal"/>
    <w:next w:val="Normal"/>
    <w:link w:val="Heading6Char"/>
    <w:uiPriority w:val="9"/>
    <w:semiHidden/>
    <w:unhideWhenUsed/>
    <w:rsid w:val="002A2B42"/>
    <w:pPr>
      <w:keepNext/>
      <w:keepLines/>
      <w:spacing w:before="40" w:after="0"/>
      <w:outlineLvl w:val="5"/>
    </w:pPr>
    <w:rPr>
      <w:rFonts w:asciiTheme="majorHAnsi" w:eastAsiaTheme="majorEastAsia" w:hAnsiTheme="majorHAnsi" w:cstheme="majorBidi"/>
      <w:i/>
      <w:iCs/>
      <w:color w:val="8C3C6E" w:themeColor="text2"/>
      <w:sz w:val="21"/>
      <w:szCs w:val="21"/>
    </w:rPr>
  </w:style>
  <w:style w:type="paragraph" w:styleId="Heading7">
    <w:name w:val="heading 7"/>
    <w:basedOn w:val="Normal"/>
    <w:next w:val="Normal"/>
    <w:link w:val="Heading7Char"/>
    <w:uiPriority w:val="9"/>
    <w:semiHidden/>
    <w:unhideWhenUsed/>
    <w:qFormat/>
    <w:rsid w:val="002A2B42"/>
    <w:pPr>
      <w:keepNext/>
      <w:keepLines/>
      <w:spacing w:before="40" w:after="0"/>
      <w:outlineLvl w:val="6"/>
    </w:pPr>
    <w:rPr>
      <w:rFonts w:asciiTheme="majorHAnsi" w:eastAsiaTheme="majorEastAsia" w:hAnsiTheme="majorHAnsi" w:cstheme="majorBidi"/>
      <w:i/>
      <w:iCs/>
      <w:color w:val="460D1E" w:themeColor="accent1" w:themeShade="80"/>
      <w:sz w:val="21"/>
      <w:szCs w:val="21"/>
    </w:rPr>
  </w:style>
  <w:style w:type="paragraph" w:styleId="Heading8">
    <w:name w:val="heading 8"/>
    <w:basedOn w:val="Normal"/>
    <w:next w:val="Normal"/>
    <w:link w:val="Heading8Char"/>
    <w:uiPriority w:val="9"/>
    <w:semiHidden/>
    <w:unhideWhenUsed/>
    <w:qFormat/>
    <w:rsid w:val="002A2B42"/>
    <w:pPr>
      <w:keepNext/>
      <w:keepLines/>
      <w:spacing w:before="40" w:after="0"/>
      <w:outlineLvl w:val="7"/>
    </w:pPr>
    <w:rPr>
      <w:rFonts w:asciiTheme="majorHAnsi" w:eastAsiaTheme="majorEastAsia" w:hAnsiTheme="majorHAnsi" w:cstheme="majorBidi"/>
      <w:b/>
      <w:bCs/>
      <w:color w:val="8C3C6E" w:themeColor="text2"/>
    </w:rPr>
  </w:style>
  <w:style w:type="paragraph" w:styleId="Heading9">
    <w:name w:val="heading 9"/>
    <w:basedOn w:val="Normal"/>
    <w:next w:val="Normal"/>
    <w:link w:val="Heading9Char"/>
    <w:uiPriority w:val="9"/>
    <w:semiHidden/>
    <w:unhideWhenUsed/>
    <w:qFormat/>
    <w:rsid w:val="002A2B42"/>
    <w:pPr>
      <w:keepNext/>
      <w:keepLines/>
      <w:spacing w:before="40" w:after="0"/>
      <w:outlineLvl w:val="8"/>
    </w:pPr>
    <w:rPr>
      <w:rFonts w:asciiTheme="majorHAnsi" w:eastAsiaTheme="majorEastAsia" w:hAnsiTheme="majorHAnsi" w:cstheme="majorBidi"/>
      <w:b/>
      <w:bCs/>
      <w:i/>
      <w:iCs/>
      <w:color w:val="8C3C6E"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eftpos title"/>
    <w:basedOn w:val="Normal"/>
    <w:next w:val="Normal"/>
    <w:link w:val="TitleChar"/>
    <w:uiPriority w:val="10"/>
    <w:qFormat/>
    <w:rsid w:val="00387292"/>
    <w:pPr>
      <w:spacing w:before="2000" w:after="600" w:line="240" w:lineRule="auto"/>
      <w:contextualSpacing/>
    </w:pPr>
    <w:rPr>
      <w:rFonts w:asciiTheme="majorHAnsi" w:eastAsiaTheme="majorEastAsia" w:hAnsiTheme="majorHAnsi" w:cstheme="majorBidi"/>
      <w:noProof/>
      <w:color w:val="FFFFFF" w:themeColor="background1"/>
      <w:spacing w:val="-10"/>
      <w:sz w:val="96"/>
      <w:szCs w:val="96"/>
    </w:rPr>
  </w:style>
  <w:style w:type="character" w:customStyle="1" w:styleId="TitleChar">
    <w:name w:val="Title Char"/>
    <w:aliases w:val="eftpos title Char"/>
    <w:basedOn w:val="DefaultParagraphFont"/>
    <w:link w:val="Title"/>
    <w:uiPriority w:val="10"/>
    <w:rsid w:val="00387292"/>
    <w:rPr>
      <w:rFonts w:asciiTheme="majorHAnsi" w:eastAsiaTheme="majorEastAsia" w:hAnsiTheme="majorHAnsi" w:cstheme="majorBidi"/>
      <w:noProof/>
      <w:color w:val="FFFFFF" w:themeColor="background1"/>
      <w:spacing w:val="-10"/>
      <w:sz w:val="96"/>
      <w:szCs w:val="96"/>
    </w:rPr>
  </w:style>
  <w:style w:type="paragraph" w:styleId="NoSpacing">
    <w:name w:val="No Spacing"/>
    <w:aliases w:val="eftpos subhead"/>
    <w:link w:val="NoSpacingChar"/>
    <w:uiPriority w:val="1"/>
    <w:qFormat/>
    <w:rsid w:val="00CF0115"/>
    <w:pPr>
      <w:spacing w:before="200" w:after="0"/>
    </w:pPr>
    <w:rPr>
      <w:b/>
      <w:bCs/>
      <w:szCs w:val="26"/>
    </w:rPr>
  </w:style>
  <w:style w:type="character" w:customStyle="1" w:styleId="NoSpacingChar">
    <w:name w:val="No Spacing Char"/>
    <w:aliases w:val="eftpos subhead Char"/>
    <w:basedOn w:val="DefaultParagraphFont"/>
    <w:link w:val="NoSpacing"/>
    <w:uiPriority w:val="1"/>
    <w:rsid w:val="00CF0115"/>
    <w:rPr>
      <w:b/>
      <w:bCs/>
      <w:szCs w:val="26"/>
    </w:rPr>
  </w:style>
  <w:style w:type="character" w:customStyle="1" w:styleId="Heading1Char">
    <w:name w:val="Heading 1 Char"/>
    <w:aliases w:val="eftpos H1 Char"/>
    <w:basedOn w:val="DefaultParagraphFont"/>
    <w:link w:val="Heading1"/>
    <w:uiPriority w:val="9"/>
    <w:rsid w:val="00724F1D"/>
    <w:rPr>
      <w:rFonts w:asciiTheme="majorHAnsi" w:eastAsiaTheme="majorEastAsia" w:hAnsiTheme="majorHAnsi" w:cstheme="majorBidi"/>
      <w:color w:val="8D1B3D" w:themeColor="accent1"/>
      <w:sz w:val="60"/>
      <w:szCs w:val="60"/>
    </w:rPr>
  </w:style>
  <w:style w:type="character" w:customStyle="1" w:styleId="Heading2Char">
    <w:name w:val="Heading 2 Char"/>
    <w:aliases w:val="eftpos H4 Char"/>
    <w:basedOn w:val="DefaultParagraphFont"/>
    <w:link w:val="Heading2"/>
    <w:uiPriority w:val="9"/>
    <w:rsid w:val="000E6F08"/>
    <w:rPr>
      <w:rFonts w:asciiTheme="majorHAnsi" w:eastAsiaTheme="majorEastAsia" w:hAnsiTheme="majorHAnsi" w:cstheme="majorBidi"/>
      <w:noProof/>
      <w:color w:val="8C3C6E" w:themeColor="text2"/>
      <w:sz w:val="28"/>
      <w:szCs w:val="28"/>
    </w:rPr>
  </w:style>
  <w:style w:type="character" w:customStyle="1" w:styleId="Heading3Char">
    <w:name w:val="Heading 3 Char"/>
    <w:aliases w:val="eftpos H2 Char"/>
    <w:basedOn w:val="DefaultParagraphFont"/>
    <w:link w:val="Heading3"/>
    <w:uiPriority w:val="9"/>
    <w:rsid w:val="0055711D"/>
    <w:rPr>
      <w:rFonts w:asciiTheme="majorHAnsi" w:eastAsiaTheme="majorEastAsia" w:hAnsiTheme="majorHAnsi" w:cstheme="majorBidi"/>
      <w:color w:val="8C3C6E" w:themeColor="text2"/>
      <w:sz w:val="44"/>
      <w:szCs w:val="44"/>
    </w:rPr>
  </w:style>
  <w:style w:type="character" w:customStyle="1" w:styleId="Heading4Char">
    <w:name w:val="Heading 4 Char"/>
    <w:aliases w:val="eftpos H3 Char"/>
    <w:basedOn w:val="DefaultParagraphFont"/>
    <w:link w:val="Heading4"/>
    <w:uiPriority w:val="9"/>
    <w:rsid w:val="000E6F08"/>
    <w:rPr>
      <w:rFonts w:asciiTheme="majorHAnsi" w:eastAsiaTheme="majorEastAsia" w:hAnsiTheme="majorHAnsi" w:cstheme="majorBidi"/>
      <w:color w:val="8C3C6E" w:themeColor="text2"/>
      <w:sz w:val="32"/>
      <w:szCs w:val="32"/>
    </w:rPr>
  </w:style>
  <w:style w:type="numbering" w:customStyle="1" w:styleId="BulletList">
    <w:name w:val="Bullet List"/>
    <w:uiPriority w:val="99"/>
    <w:rsid w:val="00584A32"/>
    <w:pPr>
      <w:numPr>
        <w:numId w:val="1"/>
      </w:numPr>
    </w:pPr>
  </w:style>
  <w:style w:type="paragraph" w:styleId="ListParagraph">
    <w:name w:val="List Paragraph"/>
    <w:aliases w:val="eftpos bullet list"/>
    <w:basedOn w:val="Normal"/>
    <w:link w:val="ListParagraphChar"/>
    <w:uiPriority w:val="34"/>
    <w:qFormat/>
    <w:rsid w:val="001D20FD"/>
    <w:pPr>
      <w:contextualSpacing/>
    </w:pPr>
  </w:style>
  <w:style w:type="numbering" w:customStyle="1" w:styleId="Style1">
    <w:name w:val="Style1"/>
    <w:uiPriority w:val="99"/>
    <w:rsid w:val="00584A32"/>
    <w:pPr>
      <w:numPr>
        <w:numId w:val="2"/>
      </w:numPr>
    </w:pPr>
  </w:style>
  <w:style w:type="paragraph" w:customStyle="1" w:styleId="bulletlist2">
    <w:name w:val="bullet list 2"/>
    <w:basedOn w:val="ListParagraph"/>
    <w:link w:val="bulletlist2Char"/>
    <w:autoRedefine/>
    <w:rsid w:val="00584A32"/>
    <w:pPr>
      <w:numPr>
        <w:numId w:val="5"/>
      </w:numPr>
      <w:spacing w:after="40"/>
      <w:ind w:left="714" w:hanging="357"/>
    </w:pPr>
    <w:rPr>
      <w:rFonts w:asciiTheme="majorHAnsi" w:eastAsiaTheme="minorHAnsi" w:hAnsiTheme="majorHAnsi"/>
      <w:szCs w:val="20"/>
    </w:rPr>
  </w:style>
  <w:style w:type="character" w:customStyle="1" w:styleId="bulletlist2Char">
    <w:name w:val="bullet list 2 Char"/>
    <w:basedOn w:val="DefaultParagraphFont"/>
    <w:link w:val="bulletlist2"/>
    <w:rsid w:val="00584A32"/>
    <w:rPr>
      <w:rFonts w:asciiTheme="majorHAnsi" w:eastAsiaTheme="minorHAnsi" w:hAnsiTheme="majorHAnsi"/>
    </w:rPr>
  </w:style>
  <w:style w:type="numbering" w:customStyle="1" w:styleId="NumberList">
    <w:name w:val="Number List"/>
    <w:basedOn w:val="NoList"/>
    <w:uiPriority w:val="99"/>
    <w:rsid w:val="00584A32"/>
    <w:pPr>
      <w:numPr>
        <w:numId w:val="3"/>
      </w:numPr>
    </w:pPr>
  </w:style>
  <w:style w:type="paragraph" w:customStyle="1" w:styleId="Numberlist0">
    <w:name w:val="Number list"/>
    <w:basedOn w:val="Normal"/>
    <w:link w:val="NumberlistChar"/>
    <w:rsid w:val="00584A32"/>
    <w:pPr>
      <w:tabs>
        <w:tab w:val="num" w:pos="720"/>
      </w:tabs>
      <w:spacing w:after="40"/>
      <w:ind w:left="720" w:hanging="360"/>
    </w:pPr>
    <w:rPr>
      <w:rFonts w:asciiTheme="majorHAnsi" w:eastAsiaTheme="minorHAnsi" w:hAnsiTheme="majorHAnsi"/>
      <w:sz w:val="22"/>
      <w:szCs w:val="20"/>
    </w:rPr>
  </w:style>
  <w:style w:type="character" w:customStyle="1" w:styleId="NumberlistChar">
    <w:name w:val="Number list Char"/>
    <w:basedOn w:val="DefaultParagraphFont"/>
    <w:link w:val="Numberlist0"/>
    <w:rsid w:val="00584A32"/>
    <w:rPr>
      <w:sz w:val="22"/>
    </w:rPr>
  </w:style>
  <w:style w:type="numbering" w:customStyle="1" w:styleId="SandstoneNumberList">
    <w:name w:val="Sandstone Number List"/>
    <w:uiPriority w:val="99"/>
    <w:rsid w:val="00584A32"/>
    <w:pPr>
      <w:numPr>
        <w:numId w:val="4"/>
      </w:numPr>
    </w:pPr>
  </w:style>
  <w:style w:type="table" w:styleId="PlainTable4">
    <w:name w:val="Plain Table 4"/>
    <w:basedOn w:val="TableNormal"/>
    <w:uiPriority w:val="44"/>
    <w:rsid w:val="00B577A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Tablesubhead">
    <w:name w:val="Table subhead"/>
    <w:basedOn w:val="Normal"/>
    <w:next w:val="Normal"/>
    <w:link w:val="TablesubheadChar"/>
    <w:rsid w:val="00AA6FDA"/>
    <w:pPr>
      <w:spacing w:before="40" w:after="40" w:line="240" w:lineRule="auto"/>
    </w:pPr>
    <w:rPr>
      <w:rFonts w:asciiTheme="majorHAnsi" w:eastAsiaTheme="minorHAnsi" w:hAnsiTheme="majorHAnsi"/>
      <w:b/>
      <w:sz w:val="22"/>
      <w:szCs w:val="20"/>
    </w:rPr>
  </w:style>
  <w:style w:type="character" w:customStyle="1" w:styleId="TablesubheadChar">
    <w:name w:val="Table subhead Char"/>
    <w:basedOn w:val="DefaultParagraphFont"/>
    <w:link w:val="Tablesubhead"/>
    <w:rsid w:val="00AA6FDA"/>
    <w:rPr>
      <w:b/>
      <w:sz w:val="22"/>
    </w:rPr>
  </w:style>
  <w:style w:type="paragraph" w:customStyle="1" w:styleId="Tablebody">
    <w:name w:val="Table body"/>
    <w:basedOn w:val="Normal"/>
    <w:link w:val="TablebodyChar"/>
    <w:rsid w:val="00AA6FDA"/>
    <w:pPr>
      <w:spacing w:before="120" w:after="120" w:line="240" w:lineRule="auto"/>
    </w:pPr>
    <w:rPr>
      <w:rFonts w:asciiTheme="majorHAnsi" w:eastAsiaTheme="minorHAnsi" w:hAnsiTheme="majorHAnsi"/>
      <w:sz w:val="22"/>
      <w:szCs w:val="20"/>
    </w:rPr>
  </w:style>
  <w:style w:type="character" w:customStyle="1" w:styleId="TablebodyChar">
    <w:name w:val="Table body Char"/>
    <w:basedOn w:val="DefaultParagraphFont"/>
    <w:link w:val="Tablebody"/>
    <w:rsid w:val="00AA6FDA"/>
    <w:rPr>
      <w:sz w:val="22"/>
    </w:rPr>
  </w:style>
  <w:style w:type="character" w:customStyle="1" w:styleId="Heading5Char">
    <w:name w:val="Heading 5 Char"/>
    <w:aliases w:val="eftpos H5 Char"/>
    <w:basedOn w:val="DefaultParagraphFont"/>
    <w:link w:val="Heading5"/>
    <w:uiPriority w:val="9"/>
    <w:rsid w:val="002A2B42"/>
    <w:rPr>
      <w:rFonts w:asciiTheme="majorHAnsi" w:eastAsiaTheme="majorEastAsia" w:hAnsiTheme="majorHAnsi" w:cstheme="majorBidi"/>
      <w:color w:val="8C3C6E" w:themeColor="text2"/>
      <w:sz w:val="22"/>
      <w:szCs w:val="22"/>
    </w:rPr>
  </w:style>
  <w:style w:type="character" w:customStyle="1" w:styleId="Heading6Char">
    <w:name w:val="Heading 6 Char"/>
    <w:basedOn w:val="DefaultParagraphFont"/>
    <w:link w:val="Heading6"/>
    <w:uiPriority w:val="9"/>
    <w:semiHidden/>
    <w:rsid w:val="002A2B42"/>
    <w:rPr>
      <w:rFonts w:asciiTheme="majorHAnsi" w:eastAsiaTheme="majorEastAsia" w:hAnsiTheme="majorHAnsi" w:cstheme="majorBidi"/>
      <w:i/>
      <w:iCs/>
      <w:color w:val="8C3C6E" w:themeColor="text2"/>
      <w:sz w:val="21"/>
      <w:szCs w:val="21"/>
    </w:rPr>
  </w:style>
  <w:style w:type="character" w:customStyle="1" w:styleId="Heading7Char">
    <w:name w:val="Heading 7 Char"/>
    <w:basedOn w:val="DefaultParagraphFont"/>
    <w:link w:val="Heading7"/>
    <w:uiPriority w:val="9"/>
    <w:semiHidden/>
    <w:rsid w:val="002A2B42"/>
    <w:rPr>
      <w:rFonts w:asciiTheme="majorHAnsi" w:eastAsiaTheme="majorEastAsia" w:hAnsiTheme="majorHAnsi" w:cstheme="majorBidi"/>
      <w:i/>
      <w:iCs/>
      <w:color w:val="460D1E" w:themeColor="accent1" w:themeShade="80"/>
      <w:sz w:val="21"/>
      <w:szCs w:val="21"/>
    </w:rPr>
  </w:style>
  <w:style w:type="character" w:customStyle="1" w:styleId="Heading8Char">
    <w:name w:val="Heading 8 Char"/>
    <w:basedOn w:val="DefaultParagraphFont"/>
    <w:link w:val="Heading8"/>
    <w:uiPriority w:val="9"/>
    <w:semiHidden/>
    <w:rsid w:val="002A2B42"/>
    <w:rPr>
      <w:rFonts w:asciiTheme="majorHAnsi" w:eastAsiaTheme="majorEastAsia" w:hAnsiTheme="majorHAnsi" w:cstheme="majorBidi"/>
      <w:b/>
      <w:bCs/>
      <w:color w:val="8C3C6E" w:themeColor="text2"/>
    </w:rPr>
  </w:style>
  <w:style w:type="character" w:customStyle="1" w:styleId="Heading9Char">
    <w:name w:val="Heading 9 Char"/>
    <w:basedOn w:val="DefaultParagraphFont"/>
    <w:link w:val="Heading9"/>
    <w:uiPriority w:val="9"/>
    <w:semiHidden/>
    <w:rsid w:val="002A2B42"/>
    <w:rPr>
      <w:rFonts w:asciiTheme="majorHAnsi" w:eastAsiaTheme="majorEastAsia" w:hAnsiTheme="majorHAnsi" w:cstheme="majorBidi"/>
      <w:b/>
      <w:bCs/>
      <w:i/>
      <w:iCs/>
      <w:color w:val="8C3C6E" w:themeColor="text2"/>
    </w:rPr>
  </w:style>
  <w:style w:type="paragraph" w:styleId="Caption">
    <w:name w:val="caption"/>
    <w:basedOn w:val="Normal"/>
    <w:next w:val="Normal"/>
    <w:uiPriority w:val="35"/>
    <w:semiHidden/>
    <w:unhideWhenUsed/>
    <w:qFormat/>
    <w:rsid w:val="002A2B42"/>
    <w:pPr>
      <w:spacing w:line="240" w:lineRule="auto"/>
    </w:pPr>
    <w:rPr>
      <w:b/>
      <w:bCs/>
      <w:smallCaps/>
      <w:color w:val="919295" w:themeColor="text1" w:themeTint="A6"/>
      <w:spacing w:val="6"/>
    </w:rPr>
  </w:style>
  <w:style w:type="paragraph" w:styleId="Subtitle">
    <w:name w:val="Subtitle"/>
    <w:aliases w:val="eftpos subtitle"/>
    <w:basedOn w:val="Normal"/>
    <w:next w:val="Normal"/>
    <w:link w:val="SubtitleChar"/>
    <w:uiPriority w:val="11"/>
    <w:qFormat/>
    <w:rsid w:val="00387292"/>
    <w:pPr>
      <w:numPr>
        <w:ilvl w:val="1"/>
      </w:numPr>
      <w:spacing w:before="300" w:after="0" w:line="240" w:lineRule="auto"/>
    </w:pPr>
    <w:rPr>
      <w:rFonts w:asciiTheme="majorHAnsi" w:eastAsiaTheme="majorEastAsia" w:hAnsiTheme="majorHAnsi" w:cstheme="majorBidi"/>
      <w:color w:val="8D1B3D" w:themeColor="accent1"/>
      <w:sz w:val="48"/>
      <w:szCs w:val="48"/>
    </w:rPr>
  </w:style>
  <w:style w:type="character" w:customStyle="1" w:styleId="SubtitleChar">
    <w:name w:val="Subtitle Char"/>
    <w:aliases w:val="eftpos subtitle Char"/>
    <w:basedOn w:val="DefaultParagraphFont"/>
    <w:link w:val="Subtitle"/>
    <w:uiPriority w:val="11"/>
    <w:rsid w:val="00387292"/>
    <w:rPr>
      <w:rFonts w:asciiTheme="majorHAnsi" w:eastAsiaTheme="majorEastAsia" w:hAnsiTheme="majorHAnsi" w:cstheme="majorBidi"/>
      <w:color w:val="8D1B3D" w:themeColor="accent1"/>
      <w:sz w:val="48"/>
      <w:szCs w:val="48"/>
    </w:rPr>
  </w:style>
  <w:style w:type="character" w:styleId="Strong">
    <w:name w:val="Strong"/>
    <w:aliases w:val="eftpos title byline/date"/>
    <w:basedOn w:val="DefaultParagraphFont"/>
    <w:uiPriority w:val="22"/>
    <w:rsid w:val="00454E6A"/>
    <w:rPr>
      <w:b/>
      <w:bCs/>
      <w:color w:val="FFFFFF" w:themeColor="background1"/>
    </w:rPr>
  </w:style>
  <w:style w:type="character" w:styleId="Emphasis">
    <w:name w:val="Emphasis"/>
    <w:basedOn w:val="DefaultParagraphFont"/>
    <w:uiPriority w:val="20"/>
    <w:rsid w:val="002A2B42"/>
    <w:rPr>
      <w:i/>
      <w:iCs/>
    </w:rPr>
  </w:style>
  <w:style w:type="paragraph" w:styleId="Quote">
    <w:name w:val="Quote"/>
    <w:aliases w:val="eftpos breakout"/>
    <w:basedOn w:val="Normal"/>
    <w:next w:val="Normal"/>
    <w:link w:val="QuoteChar"/>
    <w:uiPriority w:val="29"/>
    <w:qFormat/>
    <w:rsid w:val="00724F1D"/>
    <w:pPr>
      <w:spacing w:before="400" w:after="300"/>
      <w:ind w:right="2268"/>
    </w:pPr>
    <w:rPr>
      <w:rFonts w:asciiTheme="majorHAnsi" w:hAnsiTheme="majorHAnsi"/>
      <w:color w:val="8D1B3D" w:themeColor="accent1"/>
      <w:sz w:val="32"/>
      <w:szCs w:val="32"/>
    </w:rPr>
  </w:style>
  <w:style w:type="character" w:customStyle="1" w:styleId="QuoteChar">
    <w:name w:val="Quote Char"/>
    <w:aliases w:val="eftpos breakout Char"/>
    <w:basedOn w:val="DefaultParagraphFont"/>
    <w:link w:val="Quote"/>
    <w:uiPriority w:val="29"/>
    <w:rsid w:val="00724F1D"/>
    <w:rPr>
      <w:rFonts w:asciiTheme="majorHAnsi" w:hAnsiTheme="majorHAnsi"/>
      <w:color w:val="8D1B3D" w:themeColor="accent1"/>
      <w:sz w:val="32"/>
      <w:szCs w:val="32"/>
    </w:rPr>
  </w:style>
  <w:style w:type="paragraph" w:styleId="IntenseQuote">
    <w:name w:val="Intense Quote"/>
    <w:basedOn w:val="Normal"/>
    <w:next w:val="Normal"/>
    <w:link w:val="IntenseQuoteChar"/>
    <w:uiPriority w:val="30"/>
    <w:rsid w:val="002A2B42"/>
    <w:pPr>
      <w:pBdr>
        <w:left w:val="single" w:sz="18" w:space="12" w:color="8D1B3D" w:themeColor="accent1"/>
      </w:pBdr>
      <w:spacing w:before="100" w:beforeAutospacing="1" w:line="300" w:lineRule="auto"/>
      <w:ind w:left="1224" w:right="1224"/>
    </w:pPr>
    <w:rPr>
      <w:rFonts w:asciiTheme="majorHAnsi" w:eastAsiaTheme="majorEastAsia" w:hAnsiTheme="majorHAnsi" w:cstheme="majorBidi"/>
      <w:color w:val="8D1B3D" w:themeColor="accent1"/>
      <w:sz w:val="28"/>
      <w:szCs w:val="28"/>
    </w:rPr>
  </w:style>
  <w:style w:type="character" w:customStyle="1" w:styleId="IntenseQuoteChar">
    <w:name w:val="Intense Quote Char"/>
    <w:basedOn w:val="DefaultParagraphFont"/>
    <w:link w:val="IntenseQuote"/>
    <w:uiPriority w:val="30"/>
    <w:rsid w:val="002A2B42"/>
    <w:rPr>
      <w:rFonts w:asciiTheme="majorHAnsi" w:eastAsiaTheme="majorEastAsia" w:hAnsiTheme="majorHAnsi" w:cstheme="majorBidi"/>
      <w:color w:val="8D1B3D" w:themeColor="accent1"/>
      <w:sz w:val="28"/>
      <w:szCs w:val="28"/>
    </w:rPr>
  </w:style>
  <w:style w:type="character" w:styleId="SubtleEmphasis">
    <w:name w:val="Subtle Emphasis"/>
    <w:basedOn w:val="DefaultParagraphFont"/>
    <w:uiPriority w:val="19"/>
    <w:rsid w:val="002A2B42"/>
    <w:rPr>
      <w:i/>
      <w:iCs/>
      <w:color w:val="808285" w:themeColor="text1" w:themeTint="BF"/>
    </w:rPr>
  </w:style>
  <w:style w:type="character" w:styleId="IntenseEmphasis">
    <w:name w:val="Intense Emphasis"/>
    <w:basedOn w:val="DefaultParagraphFont"/>
    <w:uiPriority w:val="21"/>
    <w:rsid w:val="002A2B42"/>
    <w:rPr>
      <w:b/>
      <w:bCs/>
      <w:i/>
      <w:iCs/>
    </w:rPr>
  </w:style>
  <w:style w:type="character" w:styleId="SubtleReference">
    <w:name w:val="Subtle Reference"/>
    <w:basedOn w:val="DefaultParagraphFont"/>
    <w:uiPriority w:val="31"/>
    <w:rsid w:val="002A2B42"/>
    <w:rPr>
      <w:smallCaps/>
      <w:color w:val="808285" w:themeColor="text1" w:themeTint="BF"/>
      <w:u w:val="single" w:color="AAABAD" w:themeColor="text1" w:themeTint="80"/>
    </w:rPr>
  </w:style>
  <w:style w:type="character" w:styleId="IntenseReference">
    <w:name w:val="Intense Reference"/>
    <w:basedOn w:val="DefaultParagraphFont"/>
    <w:uiPriority w:val="32"/>
    <w:rsid w:val="002A2B42"/>
    <w:rPr>
      <w:b/>
      <w:bCs/>
      <w:smallCaps/>
      <w:spacing w:val="5"/>
      <w:u w:val="single"/>
    </w:rPr>
  </w:style>
  <w:style w:type="character" w:styleId="BookTitle">
    <w:name w:val="Book Title"/>
    <w:basedOn w:val="DefaultParagraphFont"/>
    <w:uiPriority w:val="33"/>
    <w:rsid w:val="002A2B42"/>
    <w:rPr>
      <w:b/>
      <w:bCs/>
      <w:smallCaps/>
    </w:rPr>
  </w:style>
  <w:style w:type="paragraph" w:styleId="TOCHeading">
    <w:name w:val="TOC Heading"/>
    <w:basedOn w:val="Heading1"/>
    <w:next w:val="Normal"/>
    <w:uiPriority w:val="39"/>
    <w:unhideWhenUsed/>
    <w:qFormat/>
    <w:rsid w:val="002A2B42"/>
    <w:pPr>
      <w:outlineLvl w:val="9"/>
    </w:pPr>
  </w:style>
  <w:style w:type="paragraph" w:customStyle="1" w:styleId="BasicParagraph">
    <w:name w:val="[Basic Paragraph]"/>
    <w:basedOn w:val="Normal"/>
    <w:uiPriority w:val="99"/>
    <w:rsid w:val="002A2B42"/>
    <w:pPr>
      <w:autoSpaceDE w:val="0"/>
      <w:autoSpaceDN w:val="0"/>
      <w:adjustRightInd w:val="0"/>
      <w:spacing w:after="0" w:line="288" w:lineRule="auto"/>
      <w:textAlignment w:val="center"/>
    </w:pPr>
    <w:rPr>
      <w:rFonts w:ascii="Minion Pro" w:hAnsi="Minion Pro" w:cs="Minion Pro"/>
      <w:color w:val="000000"/>
      <w:lang w:val="en-US"/>
    </w:rPr>
  </w:style>
  <w:style w:type="paragraph" w:customStyle="1" w:styleId="eftposnumberlist">
    <w:name w:val="eftpos number list"/>
    <w:basedOn w:val="ListParagraph"/>
    <w:link w:val="eftposnumberlistChar"/>
    <w:qFormat/>
    <w:rsid w:val="000023C9"/>
    <w:pPr>
      <w:numPr>
        <w:numId w:val="12"/>
      </w:numPr>
    </w:pPr>
  </w:style>
  <w:style w:type="paragraph" w:customStyle="1" w:styleId="eftposbullet">
    <w:name w:val="eftpos bullet"/>
    <w:basedOn w:val="ListParagraph"/>
    <w:link w:val="eftposbulletChar"/>
    <w:autoRedefine/>
    <w:qFormat/>
    <w:rsid w:val="00DF521E"/>
    <w:pPr>
      <w:numPr>
        <w:ilvl w:val="2"/>
        <w:numId w:val="13"/>
      </w:numPr>
    </w:pPr>
  </w:style>
  <w:style w:type="character" w:customStyle="1" w:styleId="ListParagraphChar">
    <w:name w:val="List Paragraph Char"/>
    <w:aliases w:val="eftpos bullet list Char"/>
    <w:basedOn w:val="DefaultParagraphFont"/>
    <w:link w:val="ListParagraph"/>
    <w:uiPriority w:val="34"/>
    <w:rsid w:val="001D20FD"/>
    <w:rPr>
      <w:sz w:val="24"/>
      <w:szCs w:val="24"/>
    </w:rPr>
  </w:style>
  <w:style w:type="character" w:customStyle="1" w:styleId="eftposnumberlistChar">
    <w:name w:val="eftpos number list Char"/>
    <w:basedOn w:val="ListParagraphChar"/>
    <w:link w:val="eftposnumberlist"/>
    <w:rsid w:val="000023C9"/>
    <w:rPr>
      <w:sz w:val="24"/>
      <w:szCs w:val="24"/>
    </w:rPr>
  </w:style>
  <w:style w:type="paragraph" w:customStyle="1" w:styleId="eftposcaption">
    <w:name w:val="eftpos caption"/>
    <w:basedOn w:val="Normal"/>
    <w:link w:val="eftposcaptionChar"/>
    <w:qFormat/>
    <w:rsid w:val="00996B96"/>
    <w:rPr>
      <w:b/>
      <w:bCs/>
      <w:szCs w:val="20"/>
    </w:rPr>
  </w:style>
  <w:style w:type="character" w:customStyle="1" w:styleId="eftposbulletChar">
    <w:name w:val="eftpos bullet Char"/>
    <w:basedOn w:val="ListParagraphChar"/>
    <w:link w:val="eftposbullet"/>
    <w:rsid w:val="00DF521E"/>
    <w:rPr>
      <w:sz w:val="24"/>
      <w:szCs w:val="24"/>
    </w:rPr>
  </w:style>
  <w:style w:type="paragraph" w:customStyle="1" w:styleId="eftposbreakoutbyline">
    <w:name w:val="eftpos breakout byline"/>
    <w:basedOn w:val="eftposcaption"/>
    <w:link w:val="eftposbreakoutbylineChar"/>
    <w:qFormat/>
    <w:rsid w:val="00724F1D"/>
    <w:pPr>
      <w:spacing w:after="400"/>
      <w:ind w:right="2268"/>
    </w:pPr>
  </w:style>
  <w:style w:type="character" w:customStyle="1" w:styleId="eftposcaptionChar">
    <w:name w:val="eftpos caption Char"/>
    <w:basedOn w:val="DefaultParagraphFont"/>
    <w:link w:val="eftposcaption"/>
    <w:rsid w:val="00996B96"/>
    <w:rPr>
      <w:b/>
      <w:bCs/>
    </w:rPr>
  </w:style>
  <w:style w:type="paragraph" w:styleId="Header">
    <w:name w:val="header"/>
    <w:basedOn w:val="Normal"/>
    <w:link w:val="HeaderChar"/>
    <w:uiPriority w:val="99"/>
    <w:unhideWhenUsed/>
    <w:rsid w:val="00062759"/>
    <w:pPr>
      <w:tabs>
        <w:tab w:val="center" w:pos="4513"/>
        <w:tab w:val="right" w:pos="9026"/>
      </w:tabs>
      <w:spacing w:after="0" w:line="240" w:lineRule="auto"/>
    </w:pPr>
  </w:style>
  <w:style w:type="character" w:customStyle="1" w:styleId="eftposbreakoutbylineChar">
    <w:name w:val="eftpos breakout byline Char"/>
    <w:basedOn w:val="eftposcaptionChar"/>
    <w:link w:val="eftposbreakoutbyline"/>
    <w:rsid w:val="00724F1D"/>
    <w:rPr>
      <w:b/>
      <w:bCs/>
    </w:rPr>
  </w:style>
  <w:style w:type="character" w:customStyle="1" w:styleId="HeaderChar">
    <w:name w:val="Header Char"/>
    <w:basedOn w:val="DefaultParagraphFont"/>
    <w:link w:val="Header"/>
    <w:uiPriority w:val="99"/>
    <w:rsid w:val="00062759"/>
    <w:rPr>
      <w:sz w:val="24"/>
      <w:szCs w:val="24"/>
    </w:rPr>
  </w:style>
  <w:style w:type="paragraph" w:styleId="Footer">
    <w:name w:val="footer"/>
    <w:basedOn w:val="Normal"/>
    <w:link w:val="FooterChar"/>
    <w:uiPriority w:val="99"/>
    <w:unhideWhenUsed/>
    <w:rsid w:val="000627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2759"/>
    <w:rPr>
      <w:sz w:val="24"/>
      <w:szCs w:val="24"/>
    </w:rPr>
  </w:style>
  <w:style w:type="paragraph" w:customStyle="1" w:styleId="eftposboxtext">
    <w:name w:val="eftpos box text"/>
    <w:basedOn w:val="Normal"/>
    <w:link w:val="eftposboxtextChar"/>
    <w:autoRedefine/>
    <w:qFormat/>
    <w:rsid w:val="0055711D"/>
    <w:rPr>
      <w:b/>
      <w:bCs/>
      <w:color w:val="58595B" w:themeColor="text1"/>
      <w:szCs w:val="20"/>
    </w:rPr>
  </w:style>
  <w:style w:type="numbering" w:customStyle="1" w:styleId="Style2">
    <w:name w:val="Style2"/>
    <w:uiPriority w:val="99"/>
    <w:rsid w:val="00BB3D48"/>
    <w:pPr>
      <w:numPr>
        <w:numId w:val="6"/>
      </w:numPr>
    </w:pPr>
  </w:style>
  <w:style w:type="character" w:customStyle="1" w:styleId="eftposboxtextChar">
    <w:name w:val="eftpos box text Char"/>
    <w:basedOn w:val="HeaderChar"/>
    <w:link w:val="eftposboxtext"/>
    <w:rsid w:val="0055711D"/>
    <w:rPr>
      <w:b/>
      <w:bCs/>
      <w:color w:val="58595B" w:themeColor="text1"/>
      <w:sz w:val="24"/>
      <w:szCs w:val="24"/>
    </w:rPr>
  </w:style>
  <w:style w:type="numbering" w:customStyle="1" w:styleId="Style3">
    <w:name w:val="Style3"/>
    <w:uiPriority w:val="99"/>
    <w:rsid w:val="00B97984"/>
    <w:pPr>
      <w:numPr>
        <w:numId w:val="7"/>
      </w:numPr>
    </w:pPr>
  </w:style>
  <w:style w:type="numbering" w:customStyle="1" w:styleId="eftposlist">
    <w:name w:val="eftpos list"/>
    <w:uiPriority w:val="99"/>
    <w:rsid w:val="000023C9"/>
    <w:pPr>
      <w:numPr>
        <w:numId w:val="8"/>
      </w:numPr>
    </w:pPr>
  </w:style>
  <w:style w:type="paragraph" w:customStyle="1" w:styleId="eftpostbulletlistlevel2">
    <w:name w:val="eftpost bullet list level 2"/>
    <w:basedOn w:val="eftposbullet"/>
    <w:link w:val="eftpostbulletlistlevel2Char"/>
    <w:rsid w:val="000023C9"/>
    <w:pPr>
      <w:ind w:left="568"/>
    </w:pPr>
  </w:style>
  <w:style w:type="numbering" w:customStyle="1" w:styleId="eftbulletlist">
    <w:name w:val="eft bullet list"/>
    <w:uiPriority w:val="99"/>
    <w:rsid w:val="00596E52"/>
    <w:pPr>
      <w:numPr>
        <w:numId w:val="9"/>
      </w:numPr>
    </w:pPr>
  </w:style>
  <w:style w:type="character" w:customStyle="1" w:styleId="eftpostbulletlistlevel2Char">
    <w:name w:val="eftpost bullet list level 2 Char"/>
    <w:basedOn w:val="eftposbulletChar"/>
    <w:link w:val="eftpostbulletlistlevel2"/>
    <w:rsid w:val="000023C9"/>
    <w:rPr>
      <w:sz w:val="24"/>
      <w:szCs w:val="24"/>
    </w:rPr>
  </w:style>
  <w:style w:type="numbering" w:customStyle="1" w:styleId="Bullet">
    <w:name w:val="Bullet"/>
    <w:uiPriority w:val="99"/>
    <w:rsid w:val="00440726"/>
    <w:pPr>
      <w:numPr>
        <w:numId w:val="10"/>
      </w:numPr>
    </w:pPr>
  </w:style>
  <w:style w:type="character" w:styleId="Hyperlink">
    <w:name w:val="Hyperlink"/>
    <w:basedOn w:val="DefaultParagraphFont"/>
    <w:uiPriority w:val="99"/>
    <w:unhideWhenUsed/>
    <w:rsid w:val="0055711D"/>
    <w:rPr>
      <w:color w:val="0000FF" w:themeColor="hyperlink"/>
      <w:u w:val="single"/>
    </w:rPr>
  </w:style>
  <w:style w:type="character" w:styleId="UnresolvedMention">
    <w:name w:val="Unresolved Mention"/>
    <w:basedOn w:val="DefaultParagraphFont"/>
    <w:uiPriority w:val="99"/>
    <w:unhideWhenUsed/>
    <w:rsid w:val="0055711D"/>
    <w:rPr>
      <w:color w:val="605E5C"/>
      <w:shd w:val="clear" w:color="auto" w:fill="E1DFDD"/>
    </w:rPr>
  </w:style>
  <w:style w:type="table" w:styleId="TableGrid">
    <w:name w:val="Table Grid"/>
    <w:basedOn w:val="TableNormal"/>
    <w:uiPriority w:val="39"/>
    <w:rsid w:val="00AF2E72"/>
    <w:pPr>
      <w:spacing w:after="0" w:line="240" w:lineRule="auto"/>
    </w:pPr>
    <w:rPr>
      <w:rFonts w:eastAsiaTheme="minorHAnsi"/>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F2E72"/>
    <w:pPr>
      <w:autoSpaceDE w:val="0"/>
      <w:autoSpaceDN w:val="0"/>
      <w:adjustRightInd w:val="0"/>
      <w:spacing w:after="0" w:line="240" w:lineRule="auto"/>
    </w:pPr>
    <w:rPr>
      <w:rFonts w:ascii="Segoe UI" w:eastAsiaTheme="minorHAnsi" w:hAnsi="Segoe UI" w:cs="Segoe UI"/>
      <w:color w:val="000000"/>
      <w:sz w:val="24"/>
      <w:szCs w:val="24"/>
    </w:rPr>
  </w:style>
  <w:style w:type="character" w:styleId="CommentReference">
    <w:name w:val="annotation reference"/>
    <w:basedOn w:val="DefaultParagraphFont"/>
    <w:uiPriority w:val="99"/>
    <w:semiHidden/>
    <w:unhideWhenUsed/>
    <w:rsid w:val="00AF2E72"/>
    <w:rPr>
      <w:sz w:val="16"/>
      <w:szCs w:val="16"/>
    </w:rPr>
  </w:style>
  <w:style w:type="paragraph" w:styleId="CommentText">
    <w:name w:val="annotation text"/>
    <w:basedOn w:val="Normal"/>
    <w:link w:val="CommentTextChar"/>
    <w:uiPriority w:val="99"/>
    <w:unhideWhenUsed/>
    <w:rsid w:val="00AF2E72"/>
    <w:pPr>
      <w:spacing w:after="0" w:line="240" w:lineRule="auto"/>
    </w:pPr>
    <w:rPr>
      <w:rFonts w:ascii="Arial" w:eastAsiaTheme="minorHAnsi" w:hAnsi="Arial"/>
      <w:color w:val="58595B" w:themeColor="text1"/>
      <w:szCs w:val="20"/>
      <w:lang w:val="en-US"/>
    </w:rPr>
  </w:style>
  <w:style w:type="character" w:customStyle="1" w:styleId="CommentTextChar">
    <w:name w:val="Comment Text Char"/>
    <w:basedOn w:val="DefaultParagraphFont"/>
    <w:link w:val="CommentText"/>
    <w:uiPriority w:val="99"/>
    <w:rsid w:val="00AF2E72"/>
    <w:rPr>
      <w:rFonts w:ascii="Arial" w:eastAsiaTheme="minorHAnsi" w:hAnsi="Arial"/>
      <w:color w:val="58595B" w:themeColor="text1"/>
      <w:lang w:val="en-US"/>
    </w:rPr>
  </w:style>
  <w:style w:type="paragraph" w:styleId="BodyText">
    <w:name w:val="Body Text"/>
    <w:basedOn w:val="Normal"/>
    <w:link w:val="BodyTextChar"/>
    <w:uiPriority w:val="99"/>
    <w:unhideWhenUsed/>
    <w:rsid w:val="00AF2E72"/>
    <w:pPr>
      <w:spacing w:line="240" w:lineRule="auto"/>
    </w:pPr>
    <w:rPr>
      <w:b/>
      <w:bCs/>
    </w:rPr>
  </w:style>
  <w:style w:type="character" w:customStyle="1" w:styleId="BodyTextChar">
    <w:name w:val="Body Text Char"/>
    <w:basedOn w:val="DefaultParagraphFont"/>
    <w:link w:val="BodyText"/>
    <w:uiPriority w:val="99"/>
    <w:rsid w:val="00AF2E72"/>
    <w:rPr>
      <w:b/>
      <w:bCs/>
      <w:sz w:val="24"/>
      <w:szCs w:val="24"/>
    </w:rPr>
  </w:style>
  <w:style w:type="paragraph" w:customStyle="1" w:styleId="eftpostabletext">
    <w:name w:val="eftpos table text"/>
    <w:basedOn w:val="Normal"/>
    <w:link w:val="eftpostabletextChar"/>
    <w:qFormat/>
    <w:rsid w:val="00AF2E72"/>
    <w:pPr>
      <w:spacing w:after="0"/>
    </w:pPr>
  </w:style>
  <w:style w:type="paragraph" w:styleId="CommentSubject">
    <w:name w:val="annotation subject"/>
    <w:basedOn w:val="CommentText"/>
    <w:next w:val="CommentText"/>
    <w:link w:val="CommentSubjectChar"/>
    <w:uiPriority w:val="99"/>
    <w:semiHidden/>
    <w:unhideWhenUsed/>
    <w:rsid w:val="00AF2E72"/>
    <w:pPr>
      <w:spacing w:after="100"/>
      <w:ind w:right="3119"/>
    </w:pPr>
    <w:rPr>
      <w:rFonts w:asciiTheme="minorHAnsi" w:eastAsiaTheme="minorEastAsia" w:hAnsiTheme="minorHAnsi"/>
      <w:b/>
      <w:bCs/>
      <w:color w:val="auto"/>
      <w:lang w:val="en-AU"/>
    </w:rPr>
  </w:style>
  <w:style w:type="character" w:customStyle="1" w:styleId="eftpostabletextChar">
    <w:name w:val="eftpos table text Char"/>
    <w:basedOn w:val="DefaultParagraphFont"/>
    <w:link w:val="eftpostabletext"/>
    <w:rsid w:val="00AF2E72"/>
    <w:rPr>
      <w:sz w:val="24"/>
      <w:szCs w:val="24"/>
    </w:rPr>
  </w:style>
  <w:style w:type="character" w:customStyle="1" w:styleId="CommentSubjectChar">
    <w:name w:val="Comment Subject Char"/>
    <w:basedOn w:val="CommentTextChar"/>
    <w:link w:val="CommentSubject"/>
    <w:uiPriority w:val="99"/>
    <w:semiHidden/>
    <w:rsid w:val="00AF2E72"/>
    <w:rPr>
      <w:rFonts w:ascii="Arial" w:eastAsiaTheme="minorHAnsi" w:hAnsi="Arial"/>
      <w:b/>
      <w:bCs/>
      <w:color w:val="58595B" w:themeColor="text1"/>
      <w:lang w:val="en-US"/>
    </w:rPr>
  </w:style>
  <w:style w:type="paragraph" w:customStyle="1" w:styleId="Tablechecklist">
    <w:name w:val="Table checklist"/>
    <w:basedOn w:val="eftpostabletext"/>
    <w:link w:val="TablechecklistChar"/>
    <w:rsid w:val="00B577A2"/>
    <w:pPr>
      <w:numPr>
        <w:numId w:val="11"/>
      </w:numPr>
      <w:spacing w:line="240" w:lineRule="auto"/>
      <w:ind w:left="284" w:hanging="284"/>
    </w:pPr>
  </w:style>
  <w:style w:type="paragraph" w:customStyle="1" w:styleId="Tablechecklist-notick">
    <w:name w:val="Table checklist - no tick"/>
    <w:basedOn w:val="Tablechecklist"/>
    <w:link w:val="Tablechecklist-notickChar"/>
    <w:rsid w:val="00B577A2"/>
    <w:pPr>
      <w:numPr>
        <w:numId w:val="0"/>
      </w:numPr>
      <w:ind w:left="284"/>
    </w:pPr>
  </w:style>
  <w:style w:type="character" w:customStyle="1" w:styleId="TablechecklistChar">
    <w:name w:val="Table checklist Char"/>
    <w:basedOn w:val="eftpostabletextChar"/>
    <w:link w:val="Tablechecklist"/>
    <w:rsid w:val="00B577A2"/>
    <w:rPr>
      <w:sz w:val="24"/>
      <w:szCs w:val="24"/>
    </w:rPr>
  </w:style>
  <w:style w:type="table" w:customStyle="1" w:styleId="eftpos">
    <w:name w:val="eftpos"/>
    <w:basedOn w:val="TableNormal"/>
    <w:uiPriority w:val="99"/>
    <w:rsid w:val="000E6F08"/>
    <w:pPr>
      <w:spacing w:after="0" w:line="240" w:lineRule="auto"/>
    </w:pPr>
    <w:tblPr>
      <w:tblBorders>
        <w:bottom w:val="single" w:sz="4" w:space="0" w:color="8C3C6E" w:themeColor="text2"/>
        <w:insideH w:val="single" w:sz="4" w:space="0" w:color="8C3C6E" w:themeColor="text2"/>
      </w:tblBorders>
      <w:tblCellMar>
        <w:top w:w="113" w:type="dxa"/>
        <w:left w:w="57" w:type="dxa"/>
        <w:bottom w:w="113" w:type="dxa"/>
        <w:right w:w="57" w:type="dxa"/>
      </w:tblCellMar>
    </w:tblPr>
  </w:style>
  <w:style w:type="character" w:customStyle="1" w:styleId="Tablechecklist-notickChar">
    <w:name w:val="Table checklist - no tick Char"/>
    <w:basedOn w:val="TablechecklistChar"/>
    <w:link w:val="Tablechecklist-notick"/>
    <w:rsid w:val="00B577A2"/>
    <w:rPr>
      <w:sz w:val="24"/>
      <w:szCs w:val="24"/>
    </w:rPr>
  </w:style>
  <w:style w:type="paragraph" w:styleId="TOC1">
    <w:name w:val="toc 1"/>
    <w:basedOn w:val="Normal"/>
    <w:next w:val="Normal"/>
    <w:link w:val="TOC1Char"/>
    <w:autoRedefine/>
    <w:uiPriority w:val="39"/>
    <w:unhideWhenUsed/>
    <w:rsid w:val="000666ED"/>
    <w:rPr>
      <w:b/>
    </w:rPr>
  </w:style>
  <w:style w:type="paragraph" w:styleId="TOC3">
    <w:name w:val="toc 3"/>
    <w:basedOn w:val="Normal"/>
    <w:next w:val="Normal"/>
    <w:autoRedefine/>
    <w:uiPriority w:val="39"/>
    <w:unhideWhenUsed/>
    <w:rsid w:val="000666ED"/>
    <w:pPr>
      <w:ind w:left="400"/>
    </w:pPr>
    <w:rPr>
      <w:b/>
    </w:rPr>
  </w:style>
  <w:style w:type="paragraph" w:styleId="TOC2">
    <w:name w:val="toc 2"/>
    <w:basedOn w:val="Normal"/>
    <w:next w:val="Normal"/>
    <w:autoRedefine/>
    <w:uiPriority w:val="39"/>
    <w:unhideWhenUsed/>
    <w:rsid w:val="000666ED"/>
    <w:pPr>
      <w:ind w:left="200"/>
    </w:pPr>
    <w:rPr>
      <w:b/>
    </w:rPr>
  </w:style>
  <w:style w:type="paragraph" w:customStyle="1" w:styleId="TOCBody">
    <w:name w:val="TOC Body"/>
    <w:basedOn w:val="TOC1"/>
    <w:link w:val="TOCBodyChar"/>
    <w:qFormat/>
    <w:rsid w:val="000666ED"/>
    <w:pPr>
      <w:tabs>
        <w:tab w:val="right" w:leader="dot" w:pos="10195"/>
      </w:tabs>
    </w:pPr>
    <w:rPr>
      <w:b w:val="0"/>
      <w:noProof/>
    </w:rPr>
  </w:style>
  <w:style w:type="character" w:customStyle="1" w:styleId="TOC1Char">
    <w:name w:val="TOC 1 Char"/>
    <w:basedOn w:val="DefaultParagraphFont"/>
    <w:link w:val="TOC1"/>
    <w:uiPriority w:val="39"/>
    <w:rsid w:val="000666ED"/>
    <w:rPr>
      <w:b/>
      <w:szCs w:val="24"/>
    </w:rPr>
  </w:style>
  <w:style w:type="character" w:customStyle="1" w:styleId="TOCBodyChar">
    <w:name w:val="TOC Body Char"/>
    <w:basedOn w:val="TOC1Char"/>
    <w:link w:val="TOCBody"/>
    <w:rsid w:val="000666ED"/>
    <w:rPr>
      <w:b w:val="0"/>
      <w:noProof/>
      <w:szCs w:val="24"/>
    </w:rPr>
  </w:style>
  <w:style w:type="paragraph" w:styleId="TOC4">
    <w:name w:val="toc 4"/>
    <w:basedOn w:val="Normal"/>
    <w:next w:val="Normal"/>
    <w:autoRedefine/>
    <w:uiPriority w:val="39"/>
    <w:unhideWhenUsed/>
    <w:rsid w:val="000666ED"/>
    <w:pPr>
      <w:ind w:left="600"/>
    </w:pPr>
    <w:rPr>
      <w:b/>
    </w:rPr>
  </w:style>
  <w:style w:type="paragraph" w:styleId="TOC5">
    <w:name w:val="toc 5"/>
    <w:basedOn w:val="Normal"/>
    <w:next w:val="Normal"/>
    <w:autoRedefine/>
    <w:uiPriority w:val="39"/>
    <w:semiHidden/>
    <w:unhideWhenUsed/>
    <w:rsid w:val="000666ED"/>
    <w:pPr>
      <w:ind w:left="800"/>
    </w:pPr>
  </w:style>
  <w:style w:type="paragraph" w:styleId="FootnoteText">
    <w:name w:val="footnote text"/>
    <w:basedOn w:val="Normal"/>
    <w:link w:val="FootnoteTextChar"/>
    <w:uiPriority w:val="99"/>
    <w:semiHidden/>
    <w:unhideWhenUsed/>
    <w:rsid w:val="00D340A4"/>
    <w:pPr>
      <w:spacing w:after="0" w:line="240" w:lineRule="auto"/>
    </w:pPr>
    <w:rPr>
      <w:rFonts w:eastAsiaTheme="minorHAnsi"/>
      <w:szCs w:val="20"/>
    </w:rPr>
  </w:style>
  <w:style w:type="character" w:customStyle="1" w:styleId="FootnoteTextChar">
    <w:name w:val="Footnote Text Char"/>
    <w:basedOn w:val="DefaultParagraphFont"/>
    <w:link w:val="FootnoteText"/>
    <w:uiPriority w:val="99"/>
    <w:semiHidden/>
    <w:rsid w:val="00D340A4"/>
    <w:rPr>
      <w:rFonts w:eastAsiaTheme="minorHAnsi"/>
    </w:rPr>
  </w:style>
  <w:style w:type="character" w:styleId="FootnoteReference">
    <w:name w:val="footnote reference"/>
    <w:basedOn w:val="DefaultParagraphFont"/>
    <w:uiPriority w:val="99"/>
    <w:semiHidden/>
    <w:unhideWhenUsed/>
    <w:rsid w:val="00D340A4"/>
    <w:rPr>
      <w:vertAlign w:val="superscript"/>
    </w:rPr>
  </w:style>
  <w:style w:type="character" w:styleId="Mention">
    <w:name w:val="Mention"/>
    <w:basedOn w:val="DefaultParagraphFont"/>
    <w:uiPriority w:val="99"/>
    <w:unhideWhenUsed/>
    <w:rsid w:val="007E4377"/>
    <w:rPr>
      <w:color w:val="2B579A"/>
      <w:shd w:val="clear" w:color="auto" w:fill="E1DFDD"/>
    </w:rPr>
  </w:style>
  <w:style w:type="paragraph" w:customStyle="1" w:styleId="xmsonormal">
    <w:name w:val="x_msonormal"/>
    <w:basedOn w:val="Normal"/>
    <w:rsid w:val="00A15972"/>
    <w:pPr>
      <w:spacing w:after="0" w:line="240" w:lineRule="auto"/>
    </w:pPr>
    <w:rPr>
      <w:rFonts w:ascii="Calibri" w:eastAsiaTheme="minorHAnsi" w:hAnsi="Calibri" w:cs="Calibri"/>
      <w:sz w:val="24"/>
      <w:lang w:eastAsia="en-AU"/>
    </w:rPr>
  </w:style>
  <w:style w:type="character" w:customStyle="1" w:styleId="xmsofootnotereference">
    <w:name w:val="x_msofootnotereference"/>
    <w:basedOn w:val="DefaultParagraphFont"/>
    <w:rsid w:val="00A15972"/>
    <w:rPr>
      <w:vertAlign w:val="superscript"/>
    </w:rPr>
  </w:style>
  <w:style w:type="paragraph" w:styleId="Revision">
    <w:name w:val="Revision"/>
    <w:hidden/>
    <w:uiPriority w:val="99"/>
    <w:semiHidden/>
    <w:rsid w:val="00394850"/>
    <w:pPr>
      <w:spacing w:after="0" w:line="240" w:lineRule="auto"/>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636158">
      <w:bodyDiv w:val="1"/>
      <w:marLeft w:val="0"/>
      <w:marRight w:val="0"/>
      <w:marTop w:val="0"/>
      <w:marBottom w:val="0"/>
      <w:divBdr>
        <w:top w:val="none" w:sz="0" w:space="0" w:color="auto"/>
        <w:left w:val="none" w:sz="0" w:space="0" w:color="auto"/>
        <w:bottom w:val="none" w:sz="0" w:space="0" w:color="auto"/>
        <w:right w:val="none" w:sz="0" w:space="0" w:color="auto"/>
      </w:divBdr>
    </w:div>
    <w:div w:id="299772832">
      <w:bodyDiv w:val="1"/>
      <w:marLeft w:val="0"/>
      <w:marRight w:val="0"/>
      <w:marTop w:val="0"/>
      <w:marBottom w:val="0"/>
      <w:divBdr>
        <w:top w:val="none" w:sz="0" w:space="0" w:color="auto"/>
        <w:left w:val="none" w:sz="0" w:space="0" w:color="auto"/>
        <w:bottom w:val="none" w:sz="0" w:space="0" w:color="auto"/>
        <w:right w:val="none" w:sz="0" w:space="0" w:color="auto"/>
      </w:divBdr>
    </w:div>
    <w:div w:id="823663371">
      <w:bodyDiv w:val="1"/>
      <w:marLeft w:val="0"/>
      <w:marRight w:val="0"/>
      <w:marTop w:val="0"/>
      <w:marBottom w:val="0"/>
      <w:divBdr>
        <w:top w:val="none" w:sz="0" w:space="0" w:color="auto"/>
        <w:left w:val="none" w:sz="0" w:space="0" w:color="auto"/>
        <w:bottom w:val="none" w:sz="0" w:space="0" w:color="auto"/>
        <w:right w:val="none" w:sz="0" w:space="0" w:color="auto"/>
      </w:divBdr>
    </w:div>
    <w:div w:id="1115560675">
      <w:bodyDiv w:val="1"/>
      <w:marLeft w:val="0"/>
      <w:marRight w:val="0"/>
      <w:marTop w:val="0"/>
      <w:marBottom w:val="0"/>
      <w:divBdr>
        <w:top w:val="none" w:sz="0" w:space="0" w:color="auto"/>
        <w:left w:val="none" w:sz="0" w:space="0" w:color="auto"/>
        <w:bottom w:val="none" w:sz="0" w:space="0" w:color="auto"/>
        <w:right w:val="none" w:sz="0" w:space="0" w:color="auto"/>
      </w:divBdr>
    </w:div>
    <w:div w:id="1238058969">
      <w:bodyDiv w:val="1"/>
      <w:marLeft w:val="0"/>
      <w:marRight w:val="0"/>
      <w:marTop w:val="0"/>
      <w:marBottom w:val="0"/>
      <w:divBdr>
        <w:top w:val="none" w:sz="0" w:space="0" w:color="auto"/>
        <w:left w:val="none" w:sz="0" w:space="0" w:color="auto"/>
        <w:bottom w:val="none" w:sz="0" w:space="0" w:color="auto"/>
        <w:right w:val="none" w:sz="0" w:space="0" w:color="auto"/>
      </w:divBdr>
    </w:div>
    <w:div w:id="1296374247">
      <w:bodyDiv w:val="1"/>
      <w:marLeft w:val="0"/>
      <w:marRight w:val="0"/>
      <w:marTop w:val="0"/>
      <w:marBottom w:val="0"/>
      <w:divBdr>
        <w:top w:val="none" w:sz="0" w:space="0" w:color="auto"/>
        <w:left w:val="none" w:sz="0" w:space="0" w:color="auto"/>
        <w:bottom w:val="none" w:sz="0" w:space="0" w:color="auto"/>
        <w:right w:val="none" w:sz="0" w:space="0" w:color="auto"/>
      </w:divBdr>
    </w:div>
    <w:div w:id="1399937175">
      <w:bodyDiv w:val="1"/>
      <w:marLeft w:val="0"/>
      <w:marRight w:val="0"/>
      <w:marTop w:val="0"/>
      <w:marBottom w:val="0"/>
      <w:divBdr>
        <w:top w:val="none" w:sz="0" w:space="0" w:color="auto"/>
        <w:left w:val="none" w:sz="0" w:space="0" w:color="auto"/>
        <w:bottom w:val="none" w:sz="0" w:space="0" w:color="auto"/>
        <w:right w:val="none" w:sz="0" w:space="0" w:color="auto"/>
      </w:divBdr>
    </w:div>
    <w:div w:id="1530216034">
      <w:bodyDiv w:val="1"/>
      <w:marLeft w:val="0"/>
      <w:marRight w:val="0"/>
      <w:marTop w:val="0"/>
      <w:marBottom w:val="0"/>
      <w:divBdr>
        <w:top w:val="none" w:sz="0" w:space="0" w:color="auto"/>
        <w:left w:val="none" w:sz="0" w:space="0" w:color="auto"/>
        <w:bottom w:val="none" w:sz="0" w:space="0" w:color="auto"/>
        <w:right w:val="none" w:sz="0" w:space="0" w:color="auto"/>
      </w:divBdr>
    </w:div>
    <w:div w:id="1653212058">
      <w:bodyDiv w:val="1"/>
      <w:marLeft w:val="0"/>
      <w:marRight w:val="0"/>
      <w:marTop w:val="0"/>
      <w:marBottom w:val="0"/>
      <w:divBdr>
        <w:top w:val="none" w:sz="0" w:space="0" w:color="auto"/>
        <w:left w:val="none" w:sz="0" w:space="0" w:color="auto"/>
        <w:bottom w:val="none" w:sz="0" w:space="0" w:color="auto"/>
        <w:right w:val="none" w:sz="0" w:space="0" w:color="auto"/>
      </w:divBdr>
    </w:div>
    <w:div w:id="1749646851">
      <w:bodyDiv w:val="1"/>
      <w:marLeft w:val="0"/>
      <w:marRight w:val="0"/>
      <w:marTop w:val="0"/>
      <w:marBottom w:val="0"/>
      <w:divBdr>
        <w:top w:val="none" w:sz="0" w:space="0" w:color="auto"/>
        <w:left w:val="none" w:sz="0" w:space="0" w:color="auto"/>
        <w:bottom w:val="none" w:sz="0" w:space="0" w:color="auto"/>
        <w:right w:val="none" w:sz="0" w:space="0" w:color="auto"/>
      </w:divBdr>
    </w:div>
    <w:div w:id="1871912640">
      <w:bodyDiv w:val="1"/>
      <w:marLeft w:val="0"/>
      <w:marRight w:val="0"/>
      <w:marTop w:val="0"/>
      <w:marBottom w:val="0"/>
      <w:divBdr>
        <w:top w:val="none" w:sz="0" w:space="0" w:color="auto"/>
        <w:left w:val="none" w:sz="0" w:space="0" w:color="auto"/>
        <w:bottom w:val="none" w:sz="0" w:space="0" w:color="auto"/>
        <w:right w:val="none" w:sz="0" w:space="0" w:color="auto"/>
      </w:divBdr>
    </w:div>
    <w:div w:id="1921330554">
      <w:bodyDiv w:val="1"/>
      <w:marLeft w:val="0"/>
      <w:marRight w:val="0"/>
      <w:marTop w:val="0"/>
      <w:marBottom w:val="0"/>
      <w:divBdr>
        <w:top w:val="none" w:sz="0" w:space="0" w:color="auto"/>
        <w:left w:val="none" w:sz="0" w:space="0" w:color="auto"/>
        <w:bottom w:val="none" w:sz="0" w:space="0" w:color="auto"/>
        <w:right w:val="none" w:sz="0" w:space="0" w:color="auto"/>
      </w:divBdr>
    </w:div>
    <w:div w:id="198327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ysubmissions@rba.gov.a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2" Type="http://schemas.openxmlformats.org/officeDocument/2006/relationships/hyperlink" Target="http://www.eftposaustralia.com.au" TargetMode="External"/><Relationship Id="rId1" Type="http://schemas.openxmlformats.org/officeDocument/2006/relationships/hyperlink" Target="mailto:info@eftposaustralia.com.au"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bbc.com/news/business-54606252" TargetMode="External"/><Relationship Id="rId2" Type="http://schemas.openxmlformats.org/officeDocument/2006/relationships/hyperlink" Target="https://www.finextra.com/newsarticle/36784/uk-retailers-attack-visa-and-mastercard-over-card-fees" TargetMode="External"/><Relationship Id="rId1" Type="http://schemas.openxmlformats.org/officeDocument/2006/relationships/hyperlink" Target="https://www.commbank.com.au/articles/newsroom/2021/05/digital-wallets-contactless-soar.html" TargetMode="External"/><Relationship Id="rId6" Type="http://schemas.openxmlformats.org/officeDocument/2006/relationships/hyperlink" Target="https://www.bbc.com/news/business-54606252" TargetMode="External"/><Relationship Id="rId5" Type="http://schemas.openxmlformats.org/officeDocument/2006/relationships/hyperlink" Target="https://www.finextra.com/newsarticle/36784/uk-retailers-attack-visa-and-mastercard-over-card-fees" TargetMode="External"/><Relationship Id="rId4" Type="http://schemas.openxmlformats.org/officeDocument/2006/relationships/hyperlink" Target="https://www.visa.com.au/about-visa/interchange.html.html"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eftpos Palette">
      <a:dk1>
        <a:srgbClr val="58595B"/>
      </a:dk1>
      <a:lt1>
        <a:srgbClr val="FFFFFF"/>
      </a:lt1>
      <a:dk2>
        <a:srgbClr val="8C3C6E"/>
      </a:dk2>
      <a:lt2>
        <a:srgbClr val="EEECE1"/>
      </a:lt2>
      <a:accent1>
        <a:srgbClr val="8D1B3D"/>
      </a:accent1>
      <a:accent2>
        <a:srgbClr val="B4D2D2"/>
      </a:accent2>
      <a:accent3>
        <a:srgbClr val="23505F"/>
      </a:accent3>
      <a:accent4>
        <a:srgbClr val="DCD2AF"/>
      </a:accent4>
      <a:accent5>
        <a:srgbClr val="FF6419"/>
      </a:accent5>
      <a:accent6>
        <a:srgbClr val="F0AF00"/>
      </a:accent6>
      <a:hlink>
        <a:srgbClr val="0000FF"/>
      </a:hlink>
      <a:folHlink>
        <a:srgbClr val="5F2850"/>
      </a:folHlink>
    </a:clrScheme>
    <a:fontScheme name="EFTPOS">
      <a:majorFont>
        <a:latin typeface="Sharp Grotesk SmBold 23"/>
        <a:ea typeface=""/>
        <a:cs typeface=""/>
      </a:majorFont>
      <a:minorFont>
        <a:latin typeface="Manrop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F859A2F88D2F489C03EA4CA18426B6" ma:contentTypeVersion="6" ma:contentTypeDescription="Create a new document." ma:contentTypeScope="" ma:versionID="aa5f11e1fefffe5af79301781f67d94b">
  <xsd:schema xmlns:xsd="http://www.w3.org/2001/XMLSchema" xmlns:xs="http://www.w3.org/2001/XMLSchema" xmlns:p="http://schemas.microsoft.com/office/2006/metadata/properties" xmlns:ns2="96b705b9-a93e-4a00-8ff0-1a2c9f9cf1dd" xmlns:ns3="4de50b70-2ea5-4985-9443-4bdbedc6ea05" targetNamespace="http://schemas.microsoft.com/office/2006/metadata/properties" ma:root="true" ma:fieldsID="3e6cf92dc6d67bc6b193a539081c013c" ns2:_="" ns3:_="">
    <xsd:import namespace="96b705b9-a93e-4a00-8ff0-1a2c9f9cf1dd"/>
    <xsd:import namespace="4de50b70-2ea5-4985-9443-4bdbedc6ea0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b705b9-a93e-4a00-8ff0-1a2c9f9cf1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e50b70-2ea5-4985-9443-4bdbedc6ea0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33C7D5F-05A5-4D4D-93F3-239E0E6989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b705b9-a93e-4a00-8ff0-1a2c9f9cf1dd"/>
    <ds:schemaRef ds:uri="4de50b70-2ea5-4985-9443-4bdbedc6ea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3D790BB-3C2B-453A-A67F-705B506A86D8}">
  <ds:schemaRefs>
    <ds:schemaRef ds:uri="http://schemas.microsoft.com/sharepoint/v3/contenttype/forms"/>
  </ds:schemaRefs>
</ds:datastoreItem>
</file>

<file path=customXml/itemProps3.xml><?xml version="1.0" encoding="utf-8"?>
<ds:datastoreItem xmlns:ds="http://schemas.openxmlformats.org/officeDocument/2006/customXml" ds:itemID="{B8037EFA-9BDC-4461-9B3F-0E41A3E6A113}">
  <ds:schemaRefs>
    <ds:schemaRef ds:uri="http://schemas.openxmlformats.org/officeDocument/2006/bibliography"/>
  </ds:schemaRefs>
</ds:datastoreItem>
</file>

<file path=customXml/itemProps4.xml><?xml version="1.0" encoding="utf-8"?>
<ds:datastoreItem xmlns:ds="http://schemas.openxmlformats.org/officeDocument/2006/customXml" ds:itemID="{348DBD37-A569-4E19-8C7F-E4EB6E5E56B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15</Pages>
  <Words>6945</Words>
  <Characters>36328</Characters>
  <Application>Microsoft Office Word</Application>
  <DocSecurity>0</DocSecurity>
  <Lines>595</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43057</CharactersWithSpaces>
  <SharedDoc>false</SharedDoc>
  <HLinks>
    <vt:vector size="126" baseType="variant">
      <vt:variant>
        <vt:i4>6684690</vt:i4>
      </vt:variant>
      <vt:variant>
        <vt:i4>0</vt:i4>
      </vt:variant>
      <vt:variant>
        <vt:i4>0</vt:i4>
      </vt:variant>
      <vt:variant>
        <vt:i4>5</vt:i4>
      </vt:variant>
      <vt:variant>
        <vt:lpwstr>mailto:pysubmissions@rba.gov.au</vt:lpwstr>
      </vt:variant>
      <vt:variant>
        <vt:lpwstr/>
      </vt:variant>
      <vt:variant>
        <vt:i4>6946935</vt:i4>
      </vt:variant>
      <vt:variant>
        <vt:i4>51</vt:i4>
      </vt:variant>
      <vt:variant>
        <vt:i4>0</vt:i4>
      </vt:variant>
      <vt:variant>
        <vt:i4>5</vt:i4>
      </vt:variant>
      <vt:variant>
        <vt:lpwstr>https://kelo.com/2021/04/29/french-watchdog-warns-of-big-techs-sway-over-payment-services/</vt:lpwstr>
      </vt:variant>
      <vt:variant>
        <vt:lpwstr/>
      </vt:variant>
      <vt:variant>
        <vt:i4>3473517</vt:i4>
      </vt:variant>
      <vt:variant>
        <vt:i4>48</vt:i4>
      </vt:variant>
      <vt:variant>
        <vt:i4>0</vt:i4>
      </vt:variant>
      <vt:variant>
        <vt:i4>5</vt:i4>
      </vt:variant>
      <vt:variant>
        <vt:lpwstr>https://9to5mac.com/2020/12/04/apple-pay-antirust-probe-dutch/</vt:lpwstr>
      </vt:variant>
      <vt:variant>
        <vt:lpwstr/>
      </vt:variant>
      <vt:variant>
        <vt:i4>2097257</vt:i4>
      </vt:variant>
      <vt:variant>
        <vt:i4>45</vt:i4>
      </vt:variant>
      <vt:variant>
        <vt:i4>0</vt:i4>
      </vt:variant>
      <vt:variant>
        <vt:i4>5</vt:i4>
      </vt:variant>
      <vt:variant>
        <vt:lpwstr>https://www.forbes.com/sites/danieldoderlein/2020/05/03/your-phone-is-not-yours-except-in-germany-thanks-to-a-new-law/?sh=1dd07ec747d0</vt:lpwstr>
      </vt:variant>
      <vt:variant>
        <vt:lpwstr/>
      </vt:variant>
      <vt:variant>
        <vt:i4>3014707</vt:i4>
      </vt:variant>
      <vt:variant>
        <vt:i4>42</vt:i4>
      </vt:variant>
      <vt:variant>
        <vt:i4>0</vt:i4>
      </vt:variant>
      <vt:variant>
        <vt:i4>5</vt:i4>
      </vt:variant>
      <vt:variant>
        <vt:lpwstr>https://www.finextra.com/newsarticle/36593/eu-could-force-apple-to-open-up-iphone-nfc-functionality</vt:lpwstr>
      </vt:variant>
      <vt:variant>
        <vt:lpwstr/>
      </vt:variant>
      <vt:variant>
        <vt:i4>1638475</vt:i4>
      </vt:variant>
      <vt:variant>
        <vt:i4>39</vt:i4>
      </vt:variant>
      <vt:variant>
        <vt:i4>0</vt:i4>
      </vt:variant>
      <vt:variant>
        <vt:i4>5</vt:i4>
      </vt:variant>
      <vt:variant>
        <vt:lpwstr>https://www.accc.gov.au/publications/serial-publications/digital-platform-services-inquiry-2020-2025/digital-platform-services-inquiry-march-2021-interim-report</vt:lpwstr>
      </vt:variant>
      <vt:variant>
        <vt:lpwstr/>
      </vt:variant>
      <vt:variant>
        <vt:i4>7798899</vt:i4>
      </vt:variant>
      <vt:variant>
        <vt:i4>36</vt:i4>
      </vt:variant>
      <vt:variant>
        <vt:i4>0</vt:i4>
      </vt:variant>
      <vt:variant>
        <vt:i4>5</vt:i4>
      </vt:variant>
      <vt:variant>
        <vt:lpwstr>https://www.bbc.com/news/business-54606252</vt:lpwstr>
      </vt:variant>
      <vt:variant>
        <vt:lpwstr/>
      </vt:variant>
      <vt:variant>
        <vt:i4>6029341</vt:i4>
      </vt:variant>
      <vt:variant>
        <vt:i4>33</vt:i4>
      </vt:variant>
      <vt:variant>
        <vt:i4>0</vt:i4>
      </vt:variant>
      <vt:variant>
        <vt:i4>5</vt:i4>
      </vt:variant>
      <vt:variant>
        <vt:lpwstr>https://www.finextra.com/newsarticle/36784/uk-retailers-attack-visa-and-mastercard-over-card-fees</vt:lpwstr>
      </vt:variant>
      <vt:variant>
        <vt:lpwstr/>
      </vt:variant>
      <vt:variant>
        <vt:i4>7209017</vt:i4>
      </vt:variant>
      <vt:variant>
        <vt:i4>30</vt:i4>
      </vt:variant>
      <vt:variant>
        <vt:i4>0</vt:i4>
      </vt:variant>
      <vt:variant>
        <vt:i4>5</vt:i4>
      </vt:variant>
      <vt:variant>
        <vt:lpwstr>https://www.westpac.com.au/personal-banking/bank-accounts/transaction/digital-card/</vt:lpwstr>
      </vt:variant>
      <vt:variant>
        <vt:lpwstr/>
      </vt:variant>
      <vt:variant>
        <vt:i4>6619174</vt:i4>
      </vt:variant>
      <vt:variant>
        <vt:i4>27</vt:i4>
      </vt:variant>
      <vt:variant>
        <vt:i4>0</vt:i4>
      </vt:variant>
      <vt:variant>
        <vt:i4>5</vt:i4>
      </vt:variant>
      <vt:variant>
        <vt:lpwstr>https://www.nfcw.com/2021/03/01/370922/mobile-wallet-transaction-volumes-overtake-cash-payments-in-stores/</vt:lpwstr>
      </vt:variant>
      <vt:variant>
        <vt:lpwstr/>
      </vt:variant>
      <vt:variant>
        <vt:i4>79</vt:i4>
      </vt:variant>
      <vt:variant>
        <vt:i4>24</vt:i4>
      </vt:variant>
      <vt:variant>
        <vt:i4>0</vt:i4>
      </vt:variant>
      <vt:variant>
        <vt:i4>5</vt:i4>
      </vt:variant>
      <vt:variant>
        <vt:lpwstr>https://ceoworld.biz/2021/06/07/report-digital-wallets-are-becoming-a-huge-trend/</vt:lpwstr>
      </vt:variant>
      <vt:variant>
        <vt:lpwstr/>
      </vt:variant>
      <vt:variant>
        <vt:i4>3342368</vt:i4>
      </vt:variant>
      <vt:variant>
        <vt:i4>21</vt:i4>
      </vt:variant>
      <vt:variant>
        <vt:i4>0</vt:i4>
      </vt:variant>
      <vt:variant>
        <vt:i4>5</vt:i4>
      </vt:variant>
      <vt:variant>
        <vt:lpwstr>https://smallbiztrends.com/2021/06/pos-transactions-via-mobile-wallet.html</vt:lpwstr>
      </vt:variant>
      <vt:variant>
        <vt:lpwstr/>
      </vt:variant>
      <vt:variant>
        <vt:i4>8060986</vt:i4>
      </vt:variant>
      <vt:variant>
        <vt:i4>18</vt:i4>
      </vt:variant>
      <vt:variant>
        <vt:i4>0</vt:i4>
      </vt:variant>
      <vt:variant>
        <vt:i4>5</vt:i4>
      </vt:variant>
      <vt:variant>
        <vt:lpwstr>https://www.commbank.com.au/articles/newsroom/2021/05/digital-wallets-contactless-soar.html</vt:lpwstr>
      </vt:variant>
      <vt:variant>
        <vt:lpwstr/>
      </vt:variant>
      <vt:variant>
        <vt:i4>6422562</vt:i4>
      </vt:variant>
      <vt:variant>
        <vt:i4>15</vt:i4>
      </vt:variant>
      <vt:variant>
        <vt:i4>0</vt:i4>
      </vt:variant>
      <vt:variant>
        <vt:i4>5</vt:i4>
      </vt:variant>
      <vt:variant>
        <vt:lpwstr>https://www.afr.com/technology/digital-wallet-usage-soars-in-covid-anz-20210307-p578i3</vt:lpwstr>
      </vt:variant>
      <vt:variant>
        <vt:lpwstr/>
      </vt:variant>
      <vt:variant>
        <vt:i4>852050</vt:i4>
      </vt:variant>
      <vt:variant>
        <vt:i4>12</vt:i4>
      </vt:variant>
      <vt:variant>
        <vt:i4>0</vt:i4>
      </vt:variant>
      <vt:variant>
        <vt:i4>5</vt:i4>
      </vt:variant>
      <vt:variant>
        <vt:lpwstr>https://www.visa.com.au/about-visa/interchange.html.html</vt:lpwstr>
      </vt:variant>
      <vt:variant>
        <vt:lpwstr/>
      </vt:variant>
      <vt:variant>
        <vt:i4>7798899</vt:i4>
      </vt:variant>
      <vt:variant>
        <vt:i4>9</vt:i4>
      </vt:variant>
      <vt:variant>
        <vt:i4>0</vt:i4>
      </vt:variant>
      <vt:variant>
        <vt:i4>5</vt:i4>
      </vt:variant>
      <vt:variant>
        <vt:lpwstr>https://www.bbc.com/news/business-54606252</vt:lpwstr>
      </vt:variant>
      <vt:variant>
        <vt:lpwstr/>
      </vt:variant>
      <vt:variant>
        <vt:i4>6029341</vt:i4>
      </vt:variant>
      <vt:variant>
        <vt:i4>6</vt:i4>
      </vt:variant>
      <vt:variant>
        <vt:i4>0</vt:i4>
      </vt:variant>
      <vt:variant>
        <vt:i4>5</vt:i4>
      </vt:variant>
      <vt:variant>
        <vt:lpwstr>https://www.finextra.com/newsarticle/36784/uk-retailers-attack-visa-and-mastercard-over-card-fees</vt:lpwstr>
      </vt:variant>
      <vt:variant>
        <vt:lpwstr/>
      </vt:variant>
      <vt:variant>
        <vt:i4>8060986</vt:i4>
      </vt:variant>
      <vt:variant>
        <vt:i4>3</vt:i4>
      </vt:variant>
      <vt:variant>
        <vt:i4>0</vt:i4>
      </vt:variant>
      <vt:variant>
        <vt:i4>5</vt:i4>
      </vt:variant>
      <vt:variant>
        <vt:lpwstr>https://www.commbank.com.au/articles/newsroom/2021/05/digital-wallets-contactless-soar.html</vt:lpwstr>
      </vt:variant>
      <vt:variant>
        <vt:lpwstr/>
      </vt:variant>
      <vt:variant>
        <vt:i4>8323132</vt:i4>
      </vt:variant>
      <vt:variant>
        <vt:i4>0</vt:i4>
      </vt:variant>
      <vt:variant>
        <vt:i4>0</vt:i4>
      </vt:variant>
      <vt:variant>
        <vt:i4>5</vt:i4>
      </vt:variant>
      <vt:variant>
        <vt:lpwstr>http://aicd.companydirectors.com.au/advocacy/governance-leadership-centre/governance-driving-performance/does-corporate-performance-now-include-a-social-licence-to-operate</vt:lpwstr>
      </vt:variant>
      <vt:variant>
        <vt:lpwstr/>
      </vt:variant>
      <vt:variant>
        <vt:i4>7864358</vt:i4>
      </vt:variant>
      <vt:variant>
        <vt:i4>3</vt:i4>
      </vt:variant>
      <vt:variant>
        <vt:i4>0</vt:i4>
      </vt:variant>
      <vt:variant>
        <vt:i4>5</vt:i4>
      </vt:variant>
      <vt:variant>
        <vt:lpwstr>http://www.eftposaustralia.com.au/</vt:lpwstr>
      </vt:variant>
      <vt:variant>
        <vt:lpwstr/>
      </vt:variant>
      <vt:variant>
        <vt:i4>5963831</vt:i4>
      </vt:variant>
      <vt:variant>
        <vt:i4>0</vt:i4>
      </vt:variant>
      <vt:variant>
        <vt:i4>0</vt:i4>
      </vt:variant>
      <vt:variant>
        <vt:i4>5</vt:i4>
      </vt:variant>
      <vt:variant>
        <vt:lpwstr>mailto:info@eftposaustralia.com.au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Elinor McDonald</dc:creator>
  <cp:keywords/>
  <dc:description/>
  <cp:lastModifiedBy>Vicki Strotz</cp:lastModifiedBy>
  <cp:revision>7</cp:revision>
  <dcterms:created xsi:type="dcterms:W3CDTF">2021-07-09T05:47:00Z</dcterms:created>
  <dcterms:modified xsi:type="dcterms:W3CDTF">2021-07-09T06:34:00Z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0x0101005AF859A2F88D2F489C03EA4CA18426B6</vt:lpwstr>
  </property>
  <property fmtid="{D5CDD505-2E9C-101B-9397-08002B2CF9AE}" pid="3" name="_dlc_DocIdItemGuid">
    <vt:lpwstr>57c63547-5e77-4633-8712-1f4b94e43963</vt:lpwstr>
  </property>
  <property fmtid="{D5CDD505-2E9C-101B-9397-08002B2CF9AE}" pid="4" name="ClassificationContentMarkingFooterShapeIds">
    <vt:lpwstr>1,2,5</vt:lpwstr>
  </property>
  <property fmtid="{D5CDD505-2E9C-101B-9397-08002B2CF9AE}" pid="5" name="ClassificationContentMarkingFooterFontProps">
    <vt:lpwstr>#000000,10,Calibri</vt:lpwstr>
  </property>
  <property fmtid="{D5CDD505-2E9C-101B-9397-08002B2CF9AE}" pid="6" name="MSIP_Label_89cee491-6b67-4216-bad7-1a338af547e3_Enabled">
    <vt:lpwstr>true</vt:lpwstr>
  </property>
  <property fmtid="{D5CDD505-2E9C-101B-9397-08002B2CF9AE}" pid="7" name="MSIP_Label_89cee491-6b67-4216-bad7-1a338af547e3_SetDate">
    <vt:lpwstr>2021-07-07T08:11:41Z</vt:lpwstr>
  </property>
  <property fmtid="{D5CDD505-2E9C-101B-9397-08002B2CF9AE}" pid="8" name="MSIP_Label_89cee491-6b67-4216-bad7-1a338af547e3_Method">
    <vt:lpwstr>Privileged</vt:lpwstr>
  </property>
  <property fmtid="{D5CDD505-2E9C-101B-9397-08002B2CF9AE}" pid="9" name="MSIP_Label_89cee491-6b67-4216-bad7-1a338af547e3_Name">
    <vt:lpwstr>Official Use</vt:lpwstr>
  </property>
  <property fmtid="{D5CDD505-2E9C-101B-9397-08002B2CF9AE}" pid="10" name="MSIP_Label_89cee491-6b67-4216-bad7-1a338af547e3_SiteId">
    <vt:lpwstr>93e110d6-b959-4e7f-8d63-4f2cd114ddd3</vt:lpwstr>
  </property>
  <property fmtid="{D5CDD505-2E9C-101B-9397-08002B2CF9AE}" pid="11" name="MSIP_Label_89cee491-6b67-4216-bad7-1a338af547e3_ActionId">
    <vt:lpwstr>3d57833f-b5bf-4004-bf88-80a10a942894</vt:lpwstr>
  </property>
  <property fmtid="{D5CDD505-2E9C-101B-9397-08002B2CF9AE}" pid="12" name="MSIP_Label_89cee491-6b67-4216-bad7-1a338af547e3_ContentBits">
    <vt:lpwstr>2</vt:lpwstr>
  </property>
  <property fmtid="{D5CDD505-2E9C-101B-9397-08002B2CF9AE}" pid="13" name="ClassificationContentMarkingFooterText">
    <vt:lpwstr>Confidential</vt:lpwstr>
  </property>
  <property fmtid="{D5CDD505-2E9C-101B-9397-08002B2CF9AE}" pid="14" name="MSIP_Label_e8516ce2-befb-4de8-aea4-85ca7421ec22_Enabled">
    <vt:lpwstr>true</vt:lpwstr>
  </property>
  <property fmtid="{D5CDD505-2E9C-101B-9397-08002B2CF9AE}" pid="15" name="MSIP_Label_e8516ce2-befb-4de8-aea4-85ca7421ec22_SetDate">
    <vt:lpwstr>2021-07-07T08:49:11Z</vt:lpwstr>
  </property>
  <property fmtid="{D5CDD505-2E9C-101B-9397-08002B2CF9AE}" pid="16" name="MSIP_Label_e8516ce2-befb-4de8-aea4-85ca7421ec22_Method">
    <vt:lpwstr>Privileged</vt:lpwstr>
  </property>
  <property fmtid="{D5CDD505-2E9C-101B-9397-08002B2CF9AE}" pid="17" name="MSIP_Label_e8516ce2-befb-4de8-aea4-85ca7421ec22_Name">
    <vt:lpwstr>Confidential</vt:lpwstr>
  </property>
  <property fmtid="{D5CDD505-2E9C-101B-9397-08002B2CF9AE}" pid="18" name="MSIP_Label_e8516ce2-befb-4de8-aea4-85ca7421ec22_SiteId">
    <vt:lpwstr>93e110d6-b959-4e7f-8d63-4f2cd114ddd3</vt:lpwstr>
  </property>
  <property fmtid="{D5CDD505-2E9C-101B-9397-08002B2CF9AE}" pid="19" name="MSIP_Label_e8516ce2-befb-4de8-aea4-85ca7421ec22_ActionId">
    <vt:lpwstr>1ebe353e-af08-48ed-80f0-6be3723502ec</vt:lpwstr>
  </property>
  <property fmtid="{D5CDD505-2E9C-101B-9397-08002B2CF9AE}" pid="20" name="MSIP_Label_e8516ce2-befb-4de8-aea4-85ca7421ec22_ContentBits">
    <vt:lpwstr>2</vt:lpwstr>
  </property>
</Properties>
</file>