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EB78F5" w14:textId="77777777" w:rsidR="00D21659" w:rsidRDefault="00D21659" w:rsidP="00D060A0">
      <w:pPr>
        <w:pStyle w:val="Heading1"/>
        <w:jc w:val="left"/>
        <w:rPr>
          <w:color w:val="auto"/>
          <w:sz w:val="32"/>
        </w:rPr>
      </w:pPr>
      <w:bookmarkStart w:id="0" w:name="_GoBack"/>
      <w:bookmarkEnd w:id="0"/>
      <w:r>
        <w:rPr>
          <w:noProof/>
          <w:lang w:eastAsia="en-AU"/>
        </w:rPr>
        <w:drawing>
          <wp:anchor distT="0" distB="0" distL="114300" distR="114300" simplePos="0" relativeHeight="251659264" behindDoc="0" locked="0" layoutInCell="1" allowOverlap="1" wp14:anchorId="1DA0349E" wp14:editId="260F51FD">
            <wp:simplePos x="0" y="0"/>
            <wp:positionH relativeFrom="page">
              <wp:posOffset>3484</wp:posOffset>
            </wp:positionH>
            <wp:positionV relativeFrom="paragraph">
              <wp:posOffset>-931545</wp:posOffset>
            </wp:positionV>
            <wp:extent cx="7543800" cy="18300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ATA letterhead top for word.jpg"/>
                    <pic:cNvPicPr/>
                  </pic:nvPicPr>
                  <pic:blipFill>
                    <a:blip r:embed="rId9">
                      <a:extLst>
                        <a:ext uri="{28A0092B-C50C-407E-A947-70E740481C1C}">
                          <a14:useLocalDpi xmlns:a14="http://schemas.microsoft.com/office/drawing/2010/main" val="0"/>
                        </a:ext>
                      </a:extLst>
                    </a:blip>
                    <a:stretch>
                      <a:fillRect/>
                    </a:stretch>
                  </pic:blipFill>
                  <pic:spPr>
                    <a:xfrm>
                      <a:off x="0" y="0"/>
                      <a:ext cx="7543800" cy="1830070"/>
                    </a:xfrm>
                    <a:prstGeom prst="rect">
                      <a:avLst/>
                    </a:prstGeom>
                  </pic:spPr>
                </pic:pic>
              </a:graphicData>
            </a:graphic>
            <wp14:sizeRelH relativeFrom="page">
              <wp14:pctWidth>0</wp14:pctWidth>
            </wp14:sizeRelH>
            <wp14:sizeRelV relativeFrom="page">
              <wp14:pctHeight>0</wp14:pctHeight>
            </wp14:sizeRelV>
          </wp:anchor>
        </w:drawing>
      </w:r>
    </w:p>
    <w:p w14:paraId="138C3BE1" w14:textId="77777777" w:rsidR="00D21659" w:rsidRDefault="00D21659" w:rsidP="00D060A0">
      <w:pPr>
        <w:pStyle w:val="Heading1"/>
        <w:jc w:val="left"/>
        <w:rPr>
          <w:color w:val="auto"/>
          <w:sz w:val="32"/>
        </w:rPr>
      </w:pPr>
    </w:p>
    <w:p w14:paraId="05E1D75F" w14:textId="77777777" w:rsidR="00D21659" w:rsidRDefault="00D21659" w:rsidP="00D060A0">
      <w:pPr>
        <w:pStyle w:val="Heading1"/>
        <w:jc w:val="left"/>
        <w:rPr>
          <w:color w:val="auto"/>
          <w:sz w:val="32"/>
        </w:rPr>
      </w:pPr>
    </w:p>
    <w:p w14:paraId="44100691" w14:textId="77777777" w:rsidR="00D21659" w:rsidRDefault="00D21659" w:rsidP="00D060A0">
      <w:pPr>
        <w:pStyle w:val="Heading1"/>
        <w:jc w:val="left"/>
        <w:rPr>
          <w:color w:val="auto"/>
          <w:sz w:val="32"/>
        </w:rPr>
      </w:pPr>
    </w:p>
    <w:p w14:paraId="35D8C537" w14:textId="77777777" w:rsidR="00D21659" w:rsidRDefault="00D21659" w:rsidP="00D060A0">
      <w:pPr>
        <w:pStyle w:val="Heading1"/>
        <w:jc w:val="left"/>
        <w:rPr>
          <w:color w:val="auto"/>
          <w:sz w:val="32"/>
        </w:rPr>
      </w:pPr>
    </w:p>
    <w:p w14:paraId="58128EF8" w14:textId="77777777" w:rsidR="00D21659" w:rsidRDefault="00D21659" w:rsidP="00D060A0">
      <w:pPr>
        <w:pStyle w:val="Heading1"/>
        <w:jc w:val="left"/>
        <w:rPr>
          <w:color w:val="auto"/>
          <w:sz w:val="32"/>
        </w:rPr>
      </w:pPr>
    </w:p>
    <w:p w14:paraId="5B039E94" w14:textId="77777777" w:rsidR="00145628" w:rsidRPr="00724C67" w:rsidRDefault="00145628" w:rsidP="00D21659">
      <w:pPr>
        <w:pStyle w:val="Heading1"/>
        <w:jc w:val="center"/>
        <w:rPr>
          <w:color w:val="auto"/>
          <w:sz w:val="32"/>
        </w:rPr>
      </w:pPr>
      <w:r w:rsidRPr="00724C67">
        <w:rPr>
          <w:color w:val="auto"/>
          <w:sz w:val="32"/>
        </w:rPr>
        <w:t>Submission to the Reserve B</w:t>
      </w:r>
      <w:r w:rsidR="00F24D4A" w:rsidRPr="00724C67">
        <w:rPr>
          <w:color w:val="auto"/>
          <w:sz w:val="32"/>
        </w:rPr>
        <w:t xml:space="preserve">ank of Australia’s </w:t>
      </w:r>
      <w:r w:rsidR="007E0AB1">
        <w:rPr>
          <w:color w:val="auto"/>
          <w:sz w:val="32"/>
        </w:rPr>
        <w:t>c</w:t>
      </w:r>
      <w:r w:rsidR="00F24D4A" w:rsidRPr="00724C67">
        <w:rPr>
          <w:color w:val="auto"/>
          <w:sz w:val="32"/>
        </w:rPr>
        <w:t xml:space="preserve">onsultation </w:t>
      </w:r>
      <w:r w:rsidR="007E0AB1">
        <w:rPr>
          <w:color w:val="auto"/>
          <w:sz w:val="32"/>
        </w:rPr>
        <w:t xml:space="preserve">on Draft </w:t>
      </w:r>
      <w:r w:rsidRPr="00724C67">
        <w:rPr>
          <w:color w:val="auto"/>
          <w:sz w:val="32"/>
        </w:rPr>
        <w:t>Standards for Credit Card Payments</w:t>
      </w:r>
    </w:p>
    <w:p w14:paraId="34E76F7B" w14:textId="77777777" w:rsidR="00D060A0" w:rsidRPr="00724C67" w:rsidRDefault="00D060A0" w:rsidP="00D060A0">
      <w:pPr>
        <w:pStyle w:val="Heading1"/>
        <w:jc w:val="left"/>
        <w:rPr>
          <w:color w:val="auto"/>
          <w:sz w:val="32"/>
        </w:rPr>
      </w:pPr>
    </w:p>
    <w:p w14:paraId="2DAC81C0" w14:textId="77777777" w:rsidR="00145628" w:rsidRPr="00724C67" w:rsidRDefault="00F24D4A" w:rsidP="00D21659">
      <w:pPr>
        <w:pStyle w:val="Heading1"/>
        <w:jc w:val="center"/>
        <w:rPr>
          <w:color w:val="auto"/>
          <w:sz w:val="32"/>
        </w:rPr>
      </w:pPr>
      <w:r w:rsidRPr="00724C67">
        <w:rPr>
          <w:color w:val="auto"/>
          <w:sz w:val="32"/>
        </w:rPr>
        <w:t>Tim Andrews and Aaron Lane</w:t>
      </w:r>
      <w:r w:rsidR="00D060A0" w:rsidRPr="00724C67">
        <w:rPr>
          <w:color w:val="auto"/>
          <w:sz w:val="32"/>
        </w:rPr>
        <w:t xml:space="preserve">, </w:t>
      </w:r>
      <w:r w:rsidR="00145628" w:rsidRPr="00724C67">
        <w:rPr>
          <w:color w:val="auto"/>
          <w:sz w:val="32"/>
        </w:rPr>
        <w:t>Australian Taxpayers’ Alliance</w:t>
      </w:r>
    </w:p>
    <w:p w14:paraId="4DFA61D7" w14:textId="77777777" w:rsidR="00D060A0" w:rsidRPr="00724C67" w:rsidRDefault="00D060A0" w:rsidP="00D060A0">
      <w:pPr>
        <w:pStyle w:val="Heading1"/>
        <w:jc w:val="left"/>
        <w:rPr>
          <w:color w:val="auto"/>
          <w:sz w:val="32"/>
        </w:rPr>
      </w:pPr>
    </w:p>
    <w:p w14:paraId="19884CB3" w14:textId="35F4CA29" w:rsidR="00145628" w:rsidRPr="00724C67" w:rsidRDefault="0000425D" w:rsidP="00D21659">
      <w:pPr>
        <w:pStyle w:val="Heading1"/>
        <w:jc w:val="center"/>
        <w:rPr>
          <w:color w:val="auto"/>
          <w:sz w:val="32"/>
        </w:rPr>
      </w:pPr>
      <w:r>
        <w:rPr>
          <w:color w:val="auto"/>
          <w:sz w:val="32"/>
        </w:rPr>
        <w:t xml:space="preserve">3 </w:t>
      </w:r>
      <w:r w:rsidR="00F24D4A" w:rsidRPr="00724C67">
        <w:rPr>
          <w:color w:val="auto"/>
          <w:sz w:val="32"/>
        </w:rPr>
        <w:t>February 2016</w:t>
      </w:r>
    </w:p>
    <w:p w14:paraId="1CF32F78" w14:textId="77777777" w:rsidR="00145628" w:rsidRPr="00D060A0" w:rsidRDefault="00145628" w:rsidP="00D060A0">
      <w:pPr>
        <w:jc w:val="left"/>
        <w:rPr>
          <w:sz w:val="28"/>
          <w:szCs w:val="28"/>
        </w:rPr>
      </w:pPr>
    </w:p>
    <w:p w14:paraId="3870CA2A" w14:textId="77777777" w:rsidR="00145628" w:rsidRDefault="00145628" w:rsidP="00D060A0">
      <w:pPr>
        <w:jc w:val="left"/>
        <w:rPr>
          <w:sz w:val="32"/>
          <w:szCs w:val="32"/>
        </w:rPr>
      </w:pPr>
    </w:p>
    <w:p w14:paraId="5A08703E" w14:textId="77777777" w:rsidR="00145628" w:rsidRDefault="00145628" w:rsidP="00D060A0">
      <w:pPr>
        <w:jc w:val="left"/>
        <w:rPr>
          <w:sz w:val="32"/>
          <w:szCs w:val="32"/>
        </w:rPr>
      </w:pPr>
    </w:p>
    <w:p w14:paraId="10C6E334" w14:textId="77777777" w:rsidR="00145628" w:rsidRDefault="00145628" w:rsidP="00D060A0">
      <w:pPr>
        <w:jc w:val="left"/>
        <w:rPr>
          <w:sz w:val="32"/>
          <w:szCs w:val="32"/>
        </w:rPr>
      </w:pPr>
    </w:p>
    <w:p w14:paraId="3906EBDA" w14:textId="77777777" w:rsidR="00145628" w:rsidRPr="00020565" w:rsidRDefault="00145628" w:rsidP="00D060A0">
      <w:pPr>
        <w:jc w:val="left"/>
        <w:rPr>
          <w:sz w:val="32"/>
          <w:szCs w:val="32"/>
        </w:rPr>
      </w:pPr>
    </w:p>
    <w:p w14:paraId="5992D93E" w14:textId="77777777" w:rsidR="00B836C7" w:rsidRDefault="00B836C7" w:rsidP="00D060A0">
      <w:pPr>
        <w:jc w:val="left"/>
      </w:pPr>
    </w:p>
    <w:p w14:paraId="71A51190" w14:textId="77777777" w:rsidR="00145628" w:rsidRDefault="00145628" w:rsidP="00D060A0">
      <w:pPr>
        <w:jc w:val="left"/>
      </w:pPr>
    </w:p>
    <w:p w14:paraId="649FACAF" w14:textId="77777777" w:rsidR="00145628" w:rsidRDefault="00145628" w:rsidP="00D060A0">
      <w:pPr>
        <w:jc w:val="left"/>
      </w:pPr>
    </w:p>
    <w:p w14:paraId="5CB09AA7" w14:textId="77777777" w:rsidR="00145628" w:rsidRDefault="00145628" w:rsidP="00D060A0">
      <w:pPr>
        <w:jc w:val="left"/>
      </w:pPr>
    </w:p>
    <w:p w14:paraId="7E29D3C7" w14:textId="77777777" w:rsidR="00145628" w:rsidRDefault="00145628" w:rsidP="00D060A0">
      <w:pPr>
        <w:jc w:val="left"/>
      </w:pPr>
    </w:p>
    <w:p w14:paraId="25AE74B4" w14:textId="77777777" w:rsidR="00145628" w:rsidRDefault="00145628" w:rsidP="00D060A0">
      <w:pPr>
        <w:jc w:val="left"/>
      </w:pPr>
    </w:p>
    <w:p w14:paraId="30BFD729" w14:textId="77777777" w:rsidR="00145628" w:rsidRPr="007F31C4" w:rsidRDefault="00774B4C" w:rsidP="00561AF2">
      <w:pPr>
        <w:pStyle w:val="Heading1"/>
        <w:spacing w:before="100" w:after="100"/>
        <w:rPr>
          <w:color w:val="auto"/>
        </w:rPr>
      </w:pPr>
      <w:r w:rsidRPr="007F31C4">
        <w:rPr>
          <w:color w:val="auto"/>
        </w:rPr>
        <w:lastRenderedPageBreak/>
        <w:t xml:space="preserve">Introduction </w:t>
      </w:r>
      <w:r w:rsidR="00AF330D" w:rsidRPr="007F31C4">
        <w:rPr>
          <w:color w:val="auto"/>
        </w:rPr>
        <w:t xml:space="preserve">and outline of position </w:t>
      </w:r>
    </w:p>
    <w:p w14:paraId="4AAE1B75" w14:textId="77777777" w:rsidR="00EE2416" w:rsidRPr="00561AF2" w:rsidRDefault="004B3152" w:rsidP="00561AF2">
      <w:pPr>
        <w:jc w:val="left"/>
        <w:rPr>
          <w:rFonts w:asciiTheme="majorHAnsi" w:hAnsiTheme="majorHAnsi"/>
        </w:rPr>
      </w:pPr>
      <w:r w:rsidRPr="00561AF2">
        <w:rPr>
          <w:rFonts w:asciiTheme="majorHAnsi" w:hAnsiTheme="majorHAnsi"/>
        </w:rPr>
        <w:t>The Reserve Bank of Australia (</w:t>
      </w:r>
      <w:r w:rsidRPr="00561AF2">
        <w:rPr>
          <w:rFonts w:asciiTheme="majorHAnsi" w:hAnsiTheme="majorHAnsi"/>
          <w:b/>
        </w:rPr>
        <w:t>RBA</w:t>
      </w:r>
      <w:r w:rsidRPr="00561AF2">
        <w:rPr>
          <w:rFonts w:asciiTheme="majorHAnsi" w:hAnsiTheme="majorHAnsi"/>
        </w:rPr>
        <w:t xml:space="preserve">) </w:t>
      </w:r>
      <w:r w:rsidR="00EE2416" w:rsidRPr="00561AF2">
        <w:rPr>
          <w:rFonts w:asciiTheme="majorHAnsi" w:hAnsiTheme="majorHAnsi"/>
        </w:rPr>
        <w:t xml:space="preserve">has powers under the </w:t>
      </w:r>
      <w:r w:rsidR="00EE2416" w:rsidRPr="00561AF2">
        <w:rPr>
          <w:rFonts w:asciiTheme="majorHAnsi" w:hAnsiTheme="majorHAnsi"/>
          <w:i/>
        </w:rPr>
        <w:t xml:space="preserve">Payments Systems (Regulation) Act </w:t>
      </w:r>
      <w:r w:rsidR="00EE2416" w:rsidRPr="00561AF2">
        <w:rPr>
          <w:rFonts w:asciiTheme="majorHAnsi" w:hAnsiTheme="majorHAnsi"/>
        </w:rPr>
        <w:t>1998 (</w:t>
      </w:r>
      <w:r w:rsidR="00EE2416" w:rsidRPr="00561AF2">
        <w:rPr>
          <w:rFonts w:asciiTheme="majorHAnsi" w:hAnsiTheme="majorHAnsi"/>
          <w:b/>
        </w:rPr>
        <w:t>Act</w:t>
      </w:r>
      <w:r w:rsidR="00EE2416" w:rsidRPr="00561AF2">
        <w:rPr>
          <w:rFonts w:asciiTheme="majorHAnsi" w:hAnsiTheme="majorHAnsi"/>
        </w:rPr>
        <w:t>) to dete</w:t>
      </w:r>
      <w:r w:rsidR="00CB341B" w:rsidRPr="00561AF2">
        <w:rPr>
          <w:rFonts w:asciiTheme="majorHAnsi" w:hAnsiTheme="majorHAnsi"/>
        </w:rPr>
        <w:t>rmine standards, and vary those</w:t>
      </w:r>
      <w:r w:rsidR="00EE2416" w:rsidRPr="00561AF2">
        <w:rPr>
          <w:rFonts w:asciiTheme="majorHAnsi" w:hAnsiTheme="majorHAnsi"/>
        </w:rPr>
        <w:t xml:space="preserve"> standards, to be complied with by participants i</w:t>
      </w:r>
      <w:r w:rsidR="00CB341B" w:rsidRPr="00561AF2">
        <w:rPr>
          <w:rFonts w:asciiTheme="majorHAnsi" w:hAnsiTheme="majorHAnsi"/>
        </w:rPr>
        <w:t xml:space="preserve">n a designated payment system. </w:t>
      </w:r>
      <w:r w:rsidR="00BF045B" w:rsidRPr="00561AF2">
        <w:rPr>
          <w:rFonts w:asciiTheme="majorHAnsi" w:hAnsiTheme="majorHAnsi"/>
        </w:rPr>
        <w:t xml:space="preserve">Interchange fee standards fit within these powers. </w:t>
      </w:r>
      <w:r w:rsidR="00EE2416" w:rsidRPr="00561AF2">
        <w:rPr>
          <w:rFonts w:asciiTheme="majorHAnsi" w:hAnsiTheme="majorHAnsi"/>
        </w:rPr>
        <w:t xml:space="preserve">It should be noted that while the RBA has the power to make determinations, nothing in the Act </w:t>
      </w:r>
      <w:r w:rsidR="00EE2416" w:rsidRPr="00561AF2">
        <w:rPr>
          <w:rFonts w:asciiTheme="majorHAnsi" w:hAnsiTheme="majorHAnsi"/>
          <w:i/>
        </w:rPr>
        <w:t xml:space="preserve">requires </w:t>
      </w:r>
      <w:r w:rsidR="00EE2416" w:rsidRPr="00561AF2">
        <w:rPr>
          <w:rFonts w:asciiTheme="majorHAnsi" w:hAnsiTheme="majorHAnsi"/>
        </w:rPr>
        <w:t xml:space="preserve">the RBA to intervene in financial markets. </w:t>
      </w:r>
    </w:p>
    <w:p w14:paraId="14602FFF" w14:textId="77777777" w:rsidR="004931D3" w:rsidRPr="00561AF2" w:rsidRDefault="00EE2416" w:rsidP="00561AF2">
      <w:pPr>
        <w:jc w:val="left"/>
        <w:rPr>
          <w:rFonts w:asciiTheme="majorHAnsi" w:hAnsiTheme="majorHAnsi"/>
        </w:rPr>
      </w:pPr>
      <w:r w:rsidRPr="00561AF2">
        <w:rPr>
          <w:rFonts w:asciiTheme="majorHAnsi" w:hAnsiTheme="majorHAnsi"/>
        </w:rPr>
        <w:t xml:space="preserve">The Act sets out the decision framework. Section 18 of the Act provides that the RBA must consider that determining the standards is in the public interest. </w:t>
      </w:r>
      <w:r w:rsidR="004931D3" w:rsidRPr="00561AF2">
        <w:rPr>
          <w:rFonts w:asciiTheme="majorHAnsi" w:hAnsiTheme="majorHAnsi"/>
        </w:rPr>
        <w:t>In determining the ‘public interest’</w:t>
      </w:r>
      <w:r w:rsidR="00CB341B" w:rsidRPr="00561AF2">
        <w:rPr>
          <w:rFonts w:asciiTheme="majorHAnsi" w:hAnsiTheme="majorHAnsi"/>
        </w:rPr>
        <w:t>,</w:t>
      </w:r>
      <w:r w:rsidR="004931D3" w:rsidRPr="00561AF2">
        <w:rPr>
          <w:rFonts w:asciiTheme="majorHAnsi" w:hAnsiTheme="majorHAnsi"/>
        </w:rPr>
        <w:t xml:space="preserve"> section 8 of the Act provides that the RBA </w:t>
      </w:r>
      <w:r w:rsidR="00CB341B" w:rsidRPr="00561AF2">
        <w:rPr>
          <w:rFonts w:asciiTheme="majorHAnsi" w:hAnsiTheme="majorHAnsi"/>
        </w:rPr>
        <w:t>must</w:t>
      </w:r>
      <w:r w:rsidR="004931D3" w:rsidRPr="00561AF2">
        <w:rPr>
          <w:rFonts w:asciiTheme="majorHAnsi" w:hAnsiTheme="majorHAnsi"/>
        </w:rPr>
        <w:t xml:space="preserve"> have to regard to the desirability of payments systems: </w:t>
      </w:r>
    </w:p>
    <w:p w14:paraId="491E10F8" w14:textId="77777777" w:rsidR="004931D3" w:rsidRPr="0008120E" w:rsidRDefault="004931D3" w:rsidP="00561AF2">
      <w:pPr>
        <w:pStyle w:val="ListParagraph"/>
        <w:numPr>
          <w:ilvl w:val="0"/>
          <w:numId w:val="8"/>
        </w:numPr>
        <w:jc w:val="left"/>
        <w:rPr>
          <w:rFonts w:asciiTheme="majorHAnsi" w:hAnsiTheme="majorHAnsi"/>
          <w:sz w:val="20"/>
          <w:szCs w:val="20"/>
        </w:rPr>
      </w:pPr>
      <w:r w:rsidRPr="0008120E">
        <w:rPr>
          <w:rFonts w:asciiTheme="majorHAnsi" w:hAnsiTheme="majorHAnsi"/>
          <w:sz w:val="20"/>
          <w:szCs w:val="20"/>
        </w:rPr>
        <w:t xml:space="preserve">being (in its opinion): </w:t>
      </w:r>
      <w:r w:rsidR="003048A4" w:rsidRPr="0008120E">
        <w:rPr>
          <w:rFonts w:asciiTheme="majorHAnsi" w:hAnsiTheme="majorHAnsi"/>
          <w:sz w:val="20"/>
          <w:szCs w:val="20"/>
        </w:rPr>
        <w:br/>
      </w:r>
      <w:r w:rsidRPr="0008120E">
        <w:rPr>
          <w:rFonts w:asciiTheme="majorHAnsi" w:hAnsiTheme="majorHAnsi"/>
          <w:sz w:val="20"/>
          <w:szCs w:val="20"/>
        </w:rPr>
        <w:br/>
        <w:t>(i)</w:t>
      </w:r>
      <w:r w:rsidRPr="0008120E">
        <w:rPr>
          <w:rFonts w:asciiTheme="majorHAnsi" w:hAnsiTheme="majorHAnsi"/>
          <w:sz w:val="20"/>
          <w:szCs w:val="20"/>
        </w:rPr>
        <w:tab/>
        <w:t>financially safe for us</w:t>
      </w:r>
      <w:r w:rsidR="0037049D" w:rsidRPr="0008120E">
        <w:rPr>
          <w:rFonts w:asciiTheme="majorHAnsi" w:hAnsiTheme="majorHAnsi"/>
          <w:sz w:val="20"/>
          <w:szCs w:val="20"/>
        </w:rPr>
        <w:t>e</w:t>
      </w:r>
      <w:r w:rsidRPr="0008120E">
        <w:rPr>
          <w:rFonts w:asciiTheme="majorHAnsi" w:hAnsiTheme="majorHAnsi"/>
          <w:sz w:val="20"/>
          <w:szCs w:val="20"/>
        </w:rPr>
        <w:t xml:space="preserve"> by participants; and </w:t>
      </w:r>
      <w:r w:rsidRPr="0008120E">
        <w:rPr>
          <w:rFonts w:asciiTheme="majorHAnsi" w:hAnsiTheme="majorHAnsi"/>
          <w:sz w:val="20"/>
          <w:szCs w:val="20"/>
        </w:rPr>
        <w:br/>
        <w:t>(ii)</w:t>
      </w:r>
      <w:r w:rsidRPr="0008120E">
        <w:rPr>
          <w:rFonts w:asciiTheme="majorHAnsi" w:hAnsiTheme="majorHAnsi"/>
          <w:sz w:val="20"/>
          <w:szCs w:val="20"/>
        </w:rPr>
        <w:tab/>
        <w:t xml:space="preserve">efficient; and </w:t>
      </w:r>
      <w:r w:rsidRPr="0008120E">
        <w:rPr>
          <w:rFonts w:asciiTheme="majorHAnsi" w:hAnsiTheme="majorHAnsi"/>
          <w:sz w:val="20"/>
          <w:szCs w:val="20"/>
        </w:rPr>
        <w:br/>
        <w:t>(iii)</w:t>
      </w:r>
      <w:r w:rsidRPr="0008120E">
        <w:rPr>
          <w:rFonts w:asciiTheme="majorHAnsi" w:hAnsiTheme="majorHAnsi"/>
          <w:sz w:val="20"/>
          <w:szCs w:val="20"/>
        </w:rPr>
        <w:tab/>
        <w:t xml:space="preserve">competitive; and </w:t>
      </w:r>
      <w:r w:rsidR="00EE2416" w:rsidRPr="0008120E">
        <w:rPr>
          <w:rFonts w:asciiTheme="majorHAnsi" w:hAnsiTheme="majorHAnsi"/>
          <w:sz w:val="20"/>
          <w:szCs w:val="20"/>
        </w:rPr>
        <w:br/>
      </w:r>
    </w:p>
    <w:p w14:paraId="217DD0F0" w14:textId="77777777" w:rsidR="004931D3" w:rsidRPr="0008120E" w:rsidRDefault="004931D3" w:rsidP="00561AF2">
      <w:pPr>
        <w:pStyle w:val="ListParagraph"/>
        <w:numPr>
          <w:ilvl w:val="0"/>
          <w:numId w:val="8"/>
        </w:numPr>
        <w:jc w:val="left"/>
        <w:rPr>
          <w:rFonts w:asciiTheme="majorHAnsi" w:hAnsiTheme="majorHAnsi"/>
          <w:sz w:val="20"/>
          <w:szCs w:val="20"/>
        </w:rPr>
      </w:pPr>
      <w:r w:rsidRPr="0008120E">
        <w:rPr>
          <w:rFonts w:asciiTheme="majorHAnsi" w:hAnsiTheme="majorHAnsi"/>
          <w:sz w:val="20"/>
          <w:szCs w:val="20"/>
        </w:rPr>
        <w:t xml:space="preserve">not (in its opinion) materially causing or contributing to increased risk to the financial system. </w:t>
      </w:r>
    </w:p>
    <w:p w14:paraId="72C54EAB" w14:textId="0044EF2B" w:rsidR="00CB341B" w:rsidRPr="00561AF2" w:rsidRDefault="00CB341B" w:rsidP="00DB458C">
      <w:pPr>
        <w:jc w:val="left"/>
        <w:rPr>
          <w:rFonts w:asciiTheme="majorHAnsi" w:hAnsiTheme="majorHAnsi"/>
        </w:rPr>
      </w:pPr>
      <w:r w:rsidRPr="00561AF2">
        <w:rPr>
          <w:rFonts w:asciiTheme="majorHAnsi" w:hAnsiTheme="majorHAnsi"/>
        </w:rPr>
        <w:t xml:space="preserve">The RBA may have regard to other matters that it considers are relevant. </w:t>
      </w:r>
      <w:r w:rsidR="00DB458C">
        <w:rPr>
          <w:rFonts w:asciiTheme="majorHAnsi" w:hAnsiTheme="majorHAnsi"/>
        </w:rPr>
        <w:t xml:space="preserve">The Australian Taxpayers’ Alliance submits that proper attention should be given to the likely effects of interchange fee regulation on consumers. </w:t>
      </w:r>
    </w:p>
    <w:p w14:paraId="1667DAE7" w14:textId="77777777" w:rsidR="00D97119" w:rsidRPr="00561AF2" w:rsidRDefault="00195132" w:rsidP="00561AF2">
      <w:pPr>
        <w:jc w:val="left"/>
        <w:rPr>
          <w:rFonts w:asciiTheme="majorHAnsi" w:hAnsiTheme="majorHAnsi"/>
        </w:rPr>
      </w:pPr>
      <w:r w:rsidRPr="00561AF2">
        <w:rPr>
          <w:rFonts w:asciiTheme="majorHAnsi" w:hAnsiTheme="majorHAnsi"/>
        </w:rPr>
        <w:t xml:space="preserve">On 3 December 2015 the </w:t>
      </w:r>
      <w:r w:rsidR="004B3152" w:rsidRPr="00561AF2">
        <w:rPr>
          <w:rFonts w:asciiTheme="majorHAnsi" w:hAnsiTheme="majorHAnsi"/>
        </w:rPr>
        <w:t>RBA</w:t>
      </w:r>
      <w:r w:rsidRPr="00561AF2">
        <w:rPr>
          <w:rFonts w:asciiTheme="majorHAnsi" w:hAnsiTheme="majorHAnsi"/>
        </w:rPr>
        <w:t xml:space="preserve"> </w:t>
      </w:r>
      <w:r w:rsidR="00CE6851" w:rsidRPr="00561AF2">
        <w:rPr>
          <w:rFonts w:asciiTheme="majorHAnsi" w:hAnsiTheme="majorHAnsi"/>
        </w:rPr>
        <w:t>released ‘</w:t>
      </w:r>
      <w:r w:rsidR="00CE6851" w:rsidRPr="00561AF2">
        <w:rPr>
          <w:rFonts w:asciiTheme="majorHAnsi" w:hAnsiTheme="majorHAnsi"/>
          <w:i/>
        </w:rPr>
        <w:t>Review of Card Payments Regulation – Consultation Paper’</w:t>
      </w:r>
      <w:r w:rsidR="0037049D" w:rsidRPr="00561AF2">
        <w:rPr>
          <w:rFonts w:asciiTheme="majorHAnsi" w:hAnsiTheme="majorHAnsi"/>
          <w:i/>
        </w:rPr>
        <w:t xml:space="preserve"> </w:t>
      </w:r>
      <w:r w:rsidR="0037049D" w:rsidRPr="00561AF2">
        <w:rPr>
          <w:rFonts w:asciiTheme="majorHAnsi" w:hAnsiTheme="majorHAnsi"/>
        </w:rPr>
        <w:t>(</w:t>
      </w:r>
      <w:r w:rsidR="0037049D" w:rsidRPr="00561AF2">
        <w:rPr>
          <w:rFonts w:asciiTheme="majorHAnsi" w:hAnsiTheme="majorHAnsi"/>
          <w:b/>
        </w:rPr>
        <w:t>Consultation Paper</w:t>
      </w:r>
      <w:r w:rsidR="0037049D" w:rsidRPr="00561AF2">
        <w:rPr>
          <w:rFonts w:asciiTheme="majorHAnsi" w:hAnsiTheme="majorHAnsi"/>
        </w:rPr>
        <w:t>)</w:t>
      </w:r>
      <w:r w:rsidR="00CE6851" w:rsidRPr="00561AF2">
        <w:rPr>
          <w:rFonts w:asciiTheme="majorHAnsi" w:hAnsiTheme="majorHAnsi"/>
          <w:i/>
        </w:rPr>
        <w:t xml:space="preserve">. </w:t>
      </w:r>
      <w:r w:rsidR="00D97119" w:rsidRPr="00561AF2">
        <w:rPr>
          <w:rFonts w:asciiTheme="majorHAnsi" w:hAnsiTheme="majorHAnsi"/>
        </w:rPr>
        <w:t>The Consultation Paper discussed reform options for a number of issues, including interchange fees, companion cards, scheme payments to issuers, and surcharging. The preference of the Board has been expressed in a number of draft standards (</w:t>
      </w:r>
      <w:r w:rsidR="00D97119" w:rsidRPr="00561AF2">
        <w:rPr>
          <w:rFonts w:asciiTheme="majorHAnsi" w:hAnsiTheme="majorHAnsi"/>
          <w:b/>
        </w:rPr>
        <w:t>Draft Standards</w:t>
      </w:r>
      <w:r w:rsidR="00D97119" w:rsidRPr="00561AF2">
        <w:rPr>
          <w:rFonts w:asciiTheme="majorHAnsi" w:hAnsiTheme="majorHAnsi"/>
        </w:rPr>
        <w:t>).</w:t>
      </w:r>
    </w:p>
    <w:p w14:paraId="29458F3C" w14:textId="77777777" w:rsidR="00CE6851" w:rsidRPr="00561AF2" w:rsidRDefault="00D97119" w:rsidP="00561AF2">
      <w:pPr>
        <w:jc w:val="left"/>
        <w:rPr>
          <w:rFonts w:asciiTheme="majorHAnsi" w:hAnsiTheme="majorHAnsi"/>
        </w:rPr>
      </w:pPr>
      <w:r w:rsidRPr="00561AF2">
        <w:rPr>
          <w:rFonts w:asciiTheme="majorHAnsi" w:hAnsiTheme="majorHAnsi"/>
        </w:rPr>
        <w:t xml:space="preserve"> I</w:t>
      </w:r>
      <w:r w:rsidR="00CE6851" w:rsidRPr="00561AF2">
        <w:rPr>
          <w:rFonts w:asciiTheme="majorHAnsi" w:hAnsiTheme="majorHAnsi"/>
        </w:rPr>
        <w:t xml:space="preserve">n relation to interchange fees, the </w:t>
      </w:r>
      <w:r w:rsidRPr="00561AF2">
        <w:rPr>
          <w:rFonts w:asciiTheme="majorHAnsi" w:hAnsiTheme="majorHAnsi"/>
        </w:rPr>
        <w:t>D</w:t>
      </w:r>
      <w:r w:rsidR="00CE6851" w:rsidRPr="00561AF2">
        <w:rPr>
          <w:rFonts w:asciiTheme="majorHAnsi" w:hAnsiTheme="majorHAnsi"/>
        </w:rPr>
        <w:t xml:space="preserve">raft </w:t>
      </w:r>
      <w:r w:rsidRPr="00561AF2">
        <w:rPr>
          <w:rFonts w:asciiTheme="majorHAnsi" w:hAnsiTheme="majorHAnsi"/>
        </w:rPr>
        <w:t>S</w:t>
      </w:r>
      <w:r w:rsidR="00CE6851" w:rsidRPr="00561AF2">
        <w:rPr>
          <w:rFonts w:asciiTheme="majorHAnsi" w:hAnsiTheme="majorHAnsi"/>
        </w:rPr>
        <w:t xml:space="preserve">tandards provide that: </w:t>
      </w:r>
    </w:p>
    <w:p w14:paraId="6C94B6ED" w14:textId="77777777" w:rsidR="00CE6851" w:rsidRPr="0008120E" w:rsidRDefault="00FE53A1" w:rsidP="00561AF2">
      <w:pPr>
        <w:pStyle w:val="ListParagraph"/>
        <w:numPr>
          <w:ilvl w:val="0"/>
          <w:numId w:val="6"/>
        </w:numPr>
        <w:jc w:val="left"/>
        <w:rPr>
          <w:rFonts w:asciiTheme="majorHAnsi" w:eastAsia="Times New Roman" w:hAnsiTheme="majorHAnsi" w:cs="Times New Roman"/>
          <w:color w:val="000000"/>
          <w:shd w:val="clear" w:color="auto" w:fill="FFFFFF"/>
        </w:rPr>
      </w:pPr>
      <w:r w:rsidRPr="0008120E">
        <w:rPr>
          <w:rFonts w:asciiTheme="majorHAnsi" w:eastAsia="Times New Roman" w:hAnsiTheme="majorHAnsi" w:cs="Times New Roman"/>
          <w:color w:val="000000"/>
          <w:shd w:val="clear" w:color="auto" w:fill="FFFFFF"/>
        </w:rPr>
        <w:t>T</w:t>
      </w:r>
      <w:r w:rsidR="00CE6851" w:rsidRPr="0008120E">
        <w:rPr>
          <w:rFonts w:asciiTheme="majorHAnsi" w:eastAsia="Times New Roman" w:hAnsiTheme="majorHAnsi" w:cs="Times New Roman"/>
          <w:color w:val="000000"/>
          <w:shd w:val="clear" w:color="auto" w:fill="FFFFFF"/>
        </w:rPr>
        <w:t>he weighted-average benchmark for credit car</w:t>
      </w:r>
      <w:r w:rsidRPr="0008120E">
        <w:rPr>
          <w:rFonts w:asciiTheme="majorHAnsi" w:eastAsia="Times New Roman" w:hAnsiTheme="majorHAnsi" w:cs="Times New Roman"/>
          <w:color w:val="000000"/>
          <w:shd w:val="clear" w:color="auto" w:fill="FFFFFF"/>
        </w:rPr>
        <w:t xml:space="preserve">ds will remain at 0.50 per cent (Draft Standard No. 1, clause 4); </w:t>
      </w:r>
    </w:p>
    <w:p w14:paraId="203AA2E7" w14:textId="77777777" w:rsidR="00FE53A1" w:rsidRPr="0008120E" w:rsidRDefault="00FE53A1" w:rsidP="00561AF2">
      <w:pPr>
        <w:pStyle w:val="ListParagraph"/>
        <w:numPr>
          <w:ilvl w:val="0"/>
          <w:numId w:val="6"/>
        </w:numPr>
        <w:jc w:val="left"/>
        <w:rPr>
          <w:rFonts w:asciiTheme="majorHAnsi" w:eastAsia="Times New Roman" w:hAnsiTheme="majorHAnsi" w:cs="Times New Roman"/>
          <w:color w:val="000000"/>
          <w:shd w:val="clear" w:color="auto" w:fill="FFFFFF"/>
        </w:rPr>
      </w:pPr>
      <w:r w:rsidRPr="0008120E">
        <w:rPr>
          <w:rFonts w:asciiTheme="majorHAnsi" w:eastAsia="Times New Roman" w:hAnsiTheme="majorHAnsi" w:cs="Times New Roman"/>
          <w:color w:val="000000"/>
          <w:shd w:val="clear" w:color="auto" w:fill="FFFFFF"/>
        </w:rPr>
        <w:t xml:space="preserve">No credit interchange fee will be able to exceed 0.8 per cent at any time (Draft Standard No. 1, clause 4); </w:t>
      </w:r>
    </w:p>
    <w:p w14:paraId="048834B0" w14:textId="77777777" w:rsidR="00FE53A1" w:rsidRPr="0008120E" w:rsidRDefault="00FE53A1" w:rsidP="00561AF2">
      <w:pPr>
        <w:pStyle w:val="ListParagraph"/>
        <w:numPr>
          <w:ilvl w:val="0"/>
          <w:numId w:val="6"/>
        </w:numPr>
        <w:jc w:val="left"/>
        <w:rPr>
          <w:rFonts w:asciiTheme="majorHAnsi" w:eastAsia="Times New Roman" w:hAnsiTheme="majorHAnsi" w:cs="Times New Roman"/>
          <w:color w:val="000000"/>
          <w:shd w:val="clear" w:color="auto" w:fill="FFFFFF"/>
        </w:rPr>
      </w:pPr>
      <w:r w:rsidRPr="0008120E">
        <w:rPr>
          <w:rFonts w:asciiTheme="majorHAnsi" w:eastAsia="Times New Roman" w:hAnsiTheme="majorHAnsi" w:cs="Times New Roman"/>
          <w:color w:val="000000"/>
          <w:shd w:val="clear" w:color="auto" w:fill="FFFFFF"/>
        </w:rPr>
        <w:t>The weighted-average benchmark for debit cards will be reduced from 12 cents to 8 cents</w:t>
      </w:r>
      <w:r w:rsidR="00AB5AB8" w:rsidRPr="0008120E">
        <w:rPr>
          <w:rFonts w:asciiTheme="majorHAnsi" w:eastAsia="Times New Roman" w:hAnsiTheme="majorHAnsi" w:cs="Times New Roman"/>
          <w:color w:val="000000"/>
          <w:shd w:val="clear" w:color="auto" w:fill="FFFFFF"/>
        </w:rPr>
        <w:t xml:space="preserve"> (Draft Standard No. 2, clause 4)</w:t>
      </w:r>
      <w:r w:rsidRPr="0008120E">
        <w:rPr>
          <w:rFonts w:asciiTheme="majorHAnsi" w:eastAsia="Times New Roman" w:hAnsiTheme="majorHAnsi" w:cs="Times New Roman"/>
          <w:color w:val="000000"/>
          <w:shd w:val="clear" w:color="auto" w:fill="FFFFFF"/>
        </w:rPr>
        <w:t xml:space="preserve">; and </w:t>
      </w:r>
    </w:p>
    <w:p w14:paraId="785A0353" w14:textId="77777777" w:rsidR="007F31C4" w:rsidRPr="0008120E" w:rsidRDefault="00FE53A1" w:rsidP="00561AF2">
      <w:pPr>
        <w:pStyle w:val="ListParagraph"/>
        <w:numPr>
          <w:ilvl w:val="0"/>
          <w:numId w:val="6"/>
        </w:numPr>
        <w:jc w:val="left"/>
        <w:rPr>
          <w:rFonts w:asciiTheme="majorHAnsi" w:hAnsiTheme="majorHAnsi"/>
        </w:rPr>
      </w:pPr>
      <w:r w:rsidRPr="0008120E">
        <w:rPr>
          <w:rFonts w:asciiTheme="majorHAnsi" w:eastAsia="Times New Roman" w:hAnsiTheme="majorHAnsi" w:cs="Times New Roman"/>
          <w:color w:val="000000"/>
          <w:shd w:val="clear" w:color="auto" w:fill="FFFFFF"/>
        </w:rPr>
        <w:t>N</w:t>
      </w:r>
      <w:r w:rsidR="00CE6851" w:rsidRPr="0008120E">
        <w:rPr>
          <w:rFonts w:asciiTheme="majorHAnsi" w:eastAsia="Times New Roman" w:hAnsiTheme="majorHAnsi" w:cs="Times New Roman"/>
          <w:color w:val="000000"/>
          <w:shd w:val="clear" w:color="auto" w:fill="FFFFFF"/>
        </w:rPr>
        <w:t>o debit interchange fee will be able to exceed 15 cents if levied as a fixed amount or 0.20 per cent if levied as a percentage amount (Draft Standard No. 2, clause 4).</w:t>
      </w:r>
    </w:p>
    <w:p w14:paraId="303E7A9E" w14:textId="77777777" w:rsidR="0037049D" w:rsidRPr="00561AF2" w:rsidRDefault="00D20A7A" w:rsidP="00561AF2">
      <w:pPr>
        <w:jc w:val="left"/>
        <w:rPr>
          <w:rFonts w:asciiTheme="majorHAnsi" w:eastAsia="Times New Roman" w:hAnsiTheme="majorHAnsi" w:cs="Times New Roman"/>
        </w:rPr>
      </w:pPr>
      <w:r w:rsidRPr="00561AF2">
        <w:rPr>
          <w:rFonts w:asciiTheme="majorHAnsi" w:hAnsiTheme="majorHAnsi"/>
        </w:rPr>
        <w:t>The release of th</w:t>
      </w:r>
      <w:r w:rsidR="0037049D" w:rsidRPr="00561AF2">
        <w:rPr>
          <w:rFonts w:asciiTheme="majorHAnsi" w:hAnsiTheme="majorHAnsi"/>
        </w:rPr>
        <w:t>e</w:t>
      </w:r>
      <w:r w:rsidRPr="00561AF2">
        <w:rPr>
          <w:rFonts w:asciiTheme="majorHAnsi" w:hAnsiTheme="majorHAnsi"/>
        </w:rPr>
        <w:t xml:space="preserve"> </w:t>
      </w:r>
      <w:r w:rsidR="0037049D" w:rsidRPr="00561AF2">
        <w:rPr>
          <w:rFonts w:asciiTheme="majorHAnsi" w:hAnsiTheme="majorHAnsi"/>
        </w:rPr>
        <w:t>C</w:t>
      </w:r>
      <w:r w:rsidRPr="00561AF2">
        <w:rPr>
          <w:rFonts w:asciiTheme="majorHAnsi" w:hAnsiTheme="majorHAnsi"/>
        </w:rPr>
        <w:t xml:space="preserve">onsultation </w:t>
      </w:r>
      <w:r w:rsidR="0037049D" w:rsidRPr="00561AF2">
        <w:rPr>
          <w:rFonts w:asciiTheme="majorHAnsi" w:hAnsiTheme="majorHAnsi"/>
        </w:rPr>
        <w:t>P</w:t>
      </w:r>
      <w:r w:rsidRPr="00561AF2">
        <w:rPr>
          <w:rFonts w:asciiTheme="majorHAnsi" w:hAnsiTheme="majorHAnsi"/>
        </w:rPr>
        <w:t xml:space="preserve">aper and </w:t>
      </w:r>
      <w:r w:rsidR="0037049D" w:rsidRPr="00561AF2">
        <w:rPr>
          <w:rFonts w:asciiTheme="majorHAnsi" w:hAnsiTheme="majorHAnsi"/>
        </w:rPr>
        <w:t>D</w:t>
      </w:r>
      <w:r w:rsidRPr="00561AF2">
        <w:rPr>
          <w:rFonts w:asciiTheme="majorHAnsi" w:hAnsiTheme="majorHAnsi"/>
        </w:rPr>
        <w:t xml:space="preserve">raft </w:t>
      </w:r>
      <w:r w:rsidR="0037049D" w:rsidRPr="00561AF2">
        <w:rPr>
          <w:rFonts w:asciiTheme="majorHAnsi" w:hAnsiTheme="majorHAnsi"/>
        </w:rPr>
        <w:t>S</w:t>
      </w:r>
      <w:r w:rsidRPr="00561AF2">
        <w:rPr>
          <w:rFonts w:asciiTheme="majorHAnsi" w:hAnsiTheme="majorHAnsi"/>
        </w:rPr>
        <w:t xml:space="preserve">tandards should be seen in a wider public policy context. The </w:t>
      </w:r>
      <w:r w:rsidRPr="00561AF2">
        <w:rPr>
          <w:rFonts w:asciiTheme="majorHAnsi" w:eastAsia="Times New Roman" w:hAnsiTheme="majorHAnsi" w:cs="Times New Roman"/>
        </w:rPr>
        <w:t>Final Report of the Financial System Inquiry was released in December 2014. The government’s response to the F</w:t>
      </w:r>
      <w:r w:rsidR="004B3152" w:rsidRPr="00561AF2">
        <w:rPr>
          <w:rFonts w:asciiTheme="majorHAnsi" w:eastAsia="Times New Roman" w:hAnsiTheme="majorHAnsi" w:cs="Times New Roman"/>
        </w:rPr>
        <w:t xml:space="preserve">SI, released in December 2015, </w:t>
      </w:r>
      <w:r w:rsidR="006A78C7" w:rsidRPr="00561AF2">
        <w:rPr>
          <w:rFonts w:asciiTheme="majorHAnsi" w:eastAsia="Times New Roman" w:hAnsiTheme="majorHAnsi" w:cs="Times New Roman"/>
        </w:rPr>
        <w:t xml:space="preserve">indicated that it </w:t>
      </w:r>
      <w:r w:rsidRPr="00561AF2">
        <w:rPr>
          <w:rFonts w:asciiTheme="majorHAnsi" w:eastAsia="Times New Roman" w:hAnsiTheme="majorHAnsi" w:cs="Times New Roman"/>
        </w:rPr>
        <w:t xml:space="preserve">did not endorse a proposal to lower interchange fees. </w:t>
      </w:r>
      <w:r w:rsidR="006A78C7" w:rsidRPr="00561AF2">
        <w:rPr>
          <w:rFonts w:asciiTheme="majorHAnsi" w:eastAsia="Times New Roman" w:hAnsiTheme="majorHAnsi" w:cs="Times New Roman"/>
        </w:rPr>
        <w:t xml:space="preserve">Further, a Senate </w:t>
      </w:r>
      <w:r w:rsidR="004B3152" w:rsidRPr="00561AF2">
        <w:rPr>
          <w:rFonts w:asciiTheme="majorHAnsi" w:eastAsia="Times New Roman" w:hAnsiTheme="majorHAnsi" w:cs="Times New Roman"/>
        </w:rPr>
        <w:t xml:space="preserve">inquiry into matters relating to credit card interest rates was referred to the Senate Economics References Committee in June 2015. Amongst other issues, the committee specifically considered interchange fees. </w:t>
      </w:r>
    </w:p>
    <w:p w14:paraId="67F2D5CA" w14:textId="77777777" w:rsidR="0040017E" w:rsidRPr="00561AF2" w:rsidRDefault="004B3152" w:rsidP="00561AF2">
      <w:pPr>
        <w:jc w:val="left"/>
        <w:rPr>
          <w:rFonts w:asciiTheme="majorHAnsi" w:hAnsiTheme="majorHAnsi"/>
        </w:rPr>
      </w:pPr>
      <w:r w:rsidRPr="00561AF2">
        <w:rPr>
          <w:rFonts w:asciiTheme="majorHAnsi" w:eastAsia="Times New Roman" w:hAnsiTheme="majorHAnsi" w:cs="Times New Roman"/>
        </w:rPr>
        <w:lastRenderedPageBreak/>
        <w:t xml:space="preserve">The Senate </w:t>
      </w:r>
      <w:r w:rsidR="00AF330D" w:rsidRPr="00561AF2">
        <w:rPr>
          <w:rFonts w:asciiTheme="majorHAnsi" w:eastAsia="Times New Roman" w:hAnsiTheme="majorHAnsi" w:cs="Times New Roman"/>
        </w:rPr>
        <w:t>c</w:t>
      </w:r>
      <w:r w:rsidRPr="00561AF2">
        <w:rPr>
          <w:rFonts w:asciiTheme="majorHAnsi" w:eastAsia="Times New Roman" w:hAnsiTheme="majorHAnsi" w:cs="Times New Roman"/>
        </w:rPr>
        <w:t xml:space="preserve">ommittee </w:t>
      </w:r>
      <w:r w:rsidR="00AF330D" w:rsidRPr="00561AF2">
        <w:rPr>
          <w:rFonts w:asciiTheme="majorHAnsi" w:eastAsia="Times New Roman" w:hAnsiTheme="majorHAnsi" w:cs="Times New Roman"/>
        </w:rPr>
        <w:t xml:space="preserve">report </w:t>
      </w:r>
      <w:r w:rsidRPr="00561AF2">
        <w:rPr>
          <w:rFonts w:asciiTheme="majorHAnsi" w:eastAsia="Times New Roman" w:hAnsiTheme="majorHAnsi" w:cs="Times New Roman"/>
        </w:rPr>
        <w:t>noted the competing perspectives in relation to interchange fee regulation and ultimately recommended that</w:t>
      </w:r>
      <w:r w:rsidR="00774B4C" w:rsidRPr="00561AF2">
        <w:rPr>
          <w:rFonts w:asciiTheme="majorHAnsi" w:eastAsia="Times New Roman" w:hAnsiTheme="majorHAnsi" w:cs="Times New Roman"/>
        </w:rPr>
        <w:t xml:space="preserve"> </w:t>
      </w:r>
      <w:r w:rsidRPr="00561AF2">
        <w:rPr>
          <w:rFonts w:asciiTheme="majorHAnsi" w:eastAsia="Times New Roman" w:hAnsiTheme="majorHAnsi" w:cs="Times New Roman"/>
        </w:rPr>
        <w:t>“the government consider a Productivity Commission inquiry into the value and competitive neutrality of payment regulations, with a particular focus on interchange fees”.</w:t>
      </w:r>
      <w:r w:rsidR="0061305F" w:rsidRPr="00561AF2">
        <w:rPr>
          <w:rFonts w:asciiTheme="majorHAnsi" w:eastAsia="Times New Roman" w:hAnsiTheme="majorHAnsi" w:cs="Times New Roman"/>
        </w:rPr>
        <w:t xml:space="preserve"> Importantly, the </w:t>
      </w:r>
      <w:r w:rsidR="0037049D" w:rsidRPr="00561AF2">
        <w:rPr>
          <w:rFonts w:asciiTheme="majorHAnsi" w:eastAsia="Times New Roman" w:hAnsiTheme="majorHAnsi" w:cs="Times New Roman"/>
        </w:rPr>
        <w:t xml:space="preserve">Senate </w:t>
      </w:r>
      <w:r w:rsidR="0061305F" w:rsidRPr="00561AF2">
        <w:rPr>
          <w:rFonts w:asciiTheme="majorHAnsi" w:eastAsia="Times New Roman" w:hAnsiTheme="majorHAnsi" w:cs="Times New Roman"/>
        </w:rPr>
        <w:t xml:space="preserve">committee did not endorse the position of lowering interchange fees. </w:t>
      </w:r>
      <w:r w:rsidRPr="00561AF2">
        <w:rPr>
          <w:rFonts w:asciiTheme="majorHAnsi" w:eastAsia="Times New Roman" w:hAnsiTheme="majorHAnsi" w:cs="Times New Roman"/>
        </w:rPr>
        <w:t xml:space="preserve">  </w:t>
      </w:r>
    </w:p>
    <w:p w14:paraId="6A0090C7" w14:textId="77777777" w:rsidR="00E67D16" w:rsidRPr="00561AF2" w:rsidRDefault="00E67D16" w:rsidP="00561AF2">
      <w:pPr>
        <w:jc w:val="left"/>
        <w:rPr>
          <w:rFonts w:asciiTheme="majorHAnsi" w:hAnsiTheme="majorHAnsi"/>
        </w:rPr>
      </w:pPr>
      <w:r w:rsidRPr="00561AF2">
        <w:rPr>
          <w:rFonts w:asciiTheme="majorHAnsi" w:hAnsiTheme="majorHAnsi"/>
        </w:rPr>
        <w:t xml:space="preserve">The Australian Taxpayers’ Alliance was involved in the Federal government’s FSI consultations and made a joint submission to the Senate inquiry in conjunction with the International Alliance for Electronic Payments. </w:t>
      </w:r>
    </w:p>
    <w:p w14:paraId="32BF1FCD" w14:textId="77777777" w:rsidR="001F5B86" w:rsidRPr="00561AF2" w:rsidRDefault="00CB341B" w:rsidP="00561AF2">
      <w:pPr>
        <w:jc w:val="left"/>
        <w:rPr>
          <w:rFonts w:asciiTheme="majorHAnsi" w:hAnsiTheme="majorHAnsi"/>
        </w:rPr>
      </w:pPr>
      <w:r w:rsidRPr="00561AF2">
        <w:rPr>
          <w:rFonts w:asciiTheme="majorHAnsi" w:hAnsiTheme="majorHAnsi"/>
        </w:rPr>
        <w:t>For the purposes of the current review, t</w:t>
      </w:r>
      <w:r w:rsidR="00774B4C" w:rsidRPr="00561AF2">
        <w:rPr>
          <w:rFonts w:asciiTheme="majorHAnsi" w:hAnsiTheme="majorHAnsi"/>
        </w:rPr>
        <w:t>he Au</w:t>
      </w:r>
      <w:r w:rsidR="003E0D90" w:rsidRPr="00561AF2">
        <w:rPr>
          <w:rFonts w:asciiTheme="majorHAnsi" w:hAnsiTheme="majorHAnsi"/>
        </w:rPr>
        <w:t xml:space="preserve">stralian Taxpayers’ Alliance </w:t>
      </w:r>
      <w:r w:rsidR="00AF330D" w:rsidRPr="00561AF2">
        <w:rPr>
          <w:rFonts w:asciiTheme="majorHAnsi" w:hAnsiTheme="majorHAnsi"/>
        </w:rPr>
        <w:t xml:space="preserve">submits that the RBA should not implement the Draft Standards, or any </w:t>
      </w:r>
      <w:r w:rsidR="007F31C4" w:rsidRPr="00561AF2">
        <w:rPr>
          <w:rFonts w:asciiTheme="majorHAnsi" w:hAnsiTheme="majorHAnsi"/>
        </w:rPr>
        <w:t xml:space="preserve">other </w:t>
      </w:r>
      <w:r w:rsidR="00AF330D" w:rsidRPr="00561AF2">
        <w:rPr>
          <w:rFonts w:asciiTheme="majorHAnsi" w:hAnsiTheme="majorHAnsi"/>
        </w:rPr>
        <w:t xml:space="preserve">standards that have the effect of increasing regulation of interchange fees. </w:t>
      </w:r>
      <w:r w:rsidR="00EE2416" w:rsidRPr="00561AF2">
        <w:rPr>
          <w:rFonts w:asciiTheme="majorHAnsi" w:hAnsiTheme="majorHAnsi"/>
        </w:rPr>
        <w:t xml:space="preserve">The </w:t>
      </w:r>
      <w:r w:rsidR="0061305F" w:rsidRPr="00561AF2">
        <w:rPr>
          <w:rFonts w:asciiTheme="majorHAnsi" w:hAnsiTheme="majorHAnsi"/>
        </w:rPr>
        <w:t xml:space="preserve">Australian Taxpayers’ Alliance </w:t>
      </w:r>
      <w:r w:rsidR="00EE2416" w:rsidRPr="00561AF2">
        <w:rPr>
          <w:rFonts w:asciiTheme="majorHAnsi" w:hAnsiTheme="majorHAnsi"/>
        </w:rPr>
        <w:t xml:space="preserve">submits that determining the </w:t>
      </w:r>
      <w:r w:rsidR="007F31C4" w:rsidRPr="00561AF2">
        <w:rPr>
          <w:rFonts w:asciiTheme="majorHAnsi" w:hAnsiTheme="majorHAnsi"/>
        </w:rPr>
        <w:t>Draft S</w:t>
      </w:r>
      <w:r w:rsidR="00EE2416" w:rsidRPr="00561AF2">
        <w:rPr>
          <w:rFonts w:asciiTheme="majorHAnsi" w:hAnsiTheme="majorHAnsi"/>
        </w:rPr>
        <w:t>tandards would not be in the public interest</w:t>
      </w:r>
      <w:r w:rsidR="007F31C4" w:rsidRPr="00561AF2">
        <w:rPr>
          <w:rFonts w:asciiTheme="majorHAnsi" w:hAnsiTheme="majorHAnsi"/>
        </w:rPr>
        <w:t xml:space="preserve"> on the grounds of efficiency and competition</w:t>
      </w:r>
      <w:r w:rsidRPr="00561AF2">
        <w:rPr>
          <w:rFonts w:asciiTheme="majorHAnsi" w:hAnsiTheme="majorHAnsi"/>
        </w:rPr>
        <w:t xml:space="preserve"> – and that the adverse effects on consumer welfare should be also taken into account. </w:t>
      </w:r>
    </w:p>
    <w:p w14:paraId="6933B876" w14:textId="77777777" w:rsidR="00AF330D" w:rsidRPr="00561AF2" w:rsidRDefault="001F5B86" w:rsidP="00561AF2">
      <w:pPr>
        <w:jc w:val="left"/>
        <w:rPr>
          <w:rFonts w:asciiTheme="majorHAnsi" w:hAnsiTheme="majorHAnsi"/>
        </w:rPr>
      </w:pPr>
      <w:r w:rsidRPr="00561AF2">
        <w:rPr>
          <w:rFonts w:asciiTheme="majorHAnsi" w:hAnsiTheme="majorHAnsi"/>
        </w:rPr>
        <w:t>In summary, t</w:t>
      </w:r>
      <w:r w:rsidR="00AF330D" w:rsidRPr="00561AF2">
        <w:rPr>
          <w:rFonts w:asciiTheme="majorHAnsi" w:hAnsiTheme="majorHAnsi"/>
        </w:rPr>
        <w:t xml:space="preserve">his submission is based on </w:t>
      </w:r>
      <w:r w:rsidR="00ED1136" w:rsidRPr="00561AF2">
        <w:rPr>
          <w:rFonts w:asciiTheme="majorHAnsi" w:hAnsiTheme="majorHAnsi"/>
        </w:rPr>
        <w:t>three</w:t>
      </w:r>
      <w:r w:rsidR="00AF330D" w:rsidRPr="00561AF2">
        <w:rPr>
          <w:rFonts w:asciiTheme="majorHAnsi" w:hAnsiTheme="majorHAnsi"/>
        </w:rPr>
        <w:t xml:space="preserve"> propositions: </w:t>
      </w:r>
    </w:p>
    <w:p w14:paraId="00388187" w14:textId="77777777" w:rsidR="00ED1136" w:rsidRPr="00561AF2" w:rsidRDefault="00AF330D" w:rsidP="00561AF2">
      <w:pPr>
        <w:pStyle w:val="ListParagraph"/>
        <w:numPr>
          <w:ilvl w:val="0"/>
          <w:numId w:val="7"/>
        </w:numPr>
        <w:jc w:val="left"/>
        <w:rPr>
          <w:rFonts w:asciiTheme="majorHAnsi" w:hAnsiTheme="majorHAnsi"/>
        </w:rPr>
      </w:pPr>
      <w:r w:rsidRPr="00561AF2">
        <w:rPr>
          <w:rFonts w:asciiTheme="majorHAnsi" w:hAnsiTheme="majorHAnsi"/>
        </w:rPr>
        <w:t xml:space="preserve">there is no economic evidence justifying </w:t>
      </w:r>
      <w:r w:rsidR="00CB341B" w:rsidRPr="00561AF2">
        <w:rPr>
          <w:rFonts w:asciiTheme="majorHAnsi" w:hAnsiTheme="majorHAnsi"/>
        </w:rPr>
        <w:t>proposals to increase</w:t>
      </w:r>
      <w:r w:rsidRPr="00561AF2">
        <w:rPr>
          <w:rFonts w:asciiTheme="majorHAnsi" w:hAnsiTheme="majorHAnsi"/>
        </w:rPr>
        <w:t xml:space="preserve"> regulation of interchange fees – indeed, the economic evidence supports the case for deregulation;  and  </w:t>
      </w:r>
    </w:p>
    <w:p w14:paraId="12CDD8C9" w14:textId="77777777" w:rsidR="0019146C" w:rsidRPr="00561AF2" w:rsidRDefault="0019146C" w:rsidP="00561AF2">
      <w:pPr>
        <w:pStyle w:val="ListParagraph"/>
        <w:numPr>
          <w:ilvl w:val="0"/>
          <w:numId w:val="7"/>
        </w:numPr>
        <w:jc w:val="left"/>
        <w:rPr>
          <w:rFonts w:asciiTheme="majorHAnsi" w:hAnsiTheme="majorHAnsi"/>
        </w:rPr>
      </w:pPr>
      <w:r w:rsidRPr="00561AF2">
        <w:rPr>
          <w:rFonts w:asciiTheme="majorHAnsi" w:hAnsiTheme="majorHAnsi"/>
        </w:rPr>
        <w:t xml:space="preserve">There is an underlying assumption in the Consultation Paper that the higher the interchange fee, the higher the efficiency costs. In this regard, there is an overemphasis on interchange fee costs to merchants, without proper recognition of the corresponding benefits – and a lack of emphasis on the benefits to consumers that are taken away through interchange fee regulation; </w:t>
      </w:r>
    </w:p>
    <w:p w14:paraId="7E024818" w14:textId="77777777" w:rsidR="007F31C4" w:rsidRPr="00561AF2" w:rsidRDefault="007F31C4" w:rsidP="00561AF2">
      <w:pPr>
        <w:pStyle w:val="ListParagraph"/>
        <w:numPr>
          <w:ilvl w:val="0"/>
          <w:numId w:val="7"/>
        </w:numPr>
        <w:jc w:val="left"/>
        <w:rPr>
          <w:rFonts w:asciiTheme="majorHAnsi" w:hAnsiTheme="majorHAnsi"/>
        </w:rPr>
      </w:pPr>
      <w:r w:rsidRPr="00561AF2">
        <w:rPr>
          <w:rFonts w:asciiTheme="majorHAnsi" w:hAnsiTheme="majorHAnsi"/>
        </w:rPr>
        <w:t>D</w:t>
      </w:r>
      <w:r w:rsidR="00AF330D" w:rsidRPr="00561AF2">
        <w:rPr>
          <w:rFonts w:asciiTheme="majorHAnsi" w:hAnsiTheme="majorHAnsi"/>
        </w:rPr>
        <w:t xml:space="preserve">raft </w:t>
      </w:r>
      <w:r w:rsidRPr="00561AF2">
        <w:rPr>
          <w:rFonts w:asciiTheme="majorHAnsi" w:hAnsiTheme="majorHAnsi"/>
        </w:rPr>
        <w:t>S</w:t>
      </w:r>
      <w:r w:rsidR="00AF330D" w:rsidRPr="00561AF2">
        <w:rPr>
          <w:rFonts w:asciiTheme="majorHAnsi" w:hAnsiTheme="majorHAnsi"/>
        </w:rPr>
        <w:t>tandards explicit</w:t>
      </w:r>
      <w:r w:rsidRPr="00561AF2">
        <w:rPr>
          <w:rFonts w:asciiTheme="majorHAnsi" w:hAnsiTheme="majorHAnsi"/>
        </w:rPr>
        <w:t>ly</w:t>
      </w:r>
      <w:r w:rsidR="00AF330D" w:rsidRPr="00561AF2">
        <w:rPr>
          <w:rFonts w:asciiTheme="majorHAnsi" w:hAnsiTheme="majorHAnsi"/>
        </w:rPr>
        <w:t xml:space="preserve"> target</w:t>
      </w:r>
      <w:r w:rsidRPr="00561AF2">
        <w:rPr>
          <w:rFonts w:asciiTheme="majorHAnsi" w:hAnsiTheme="majorHAnsi"/>
        </w:rPr>
        <w:t xml:space="preserve"> – and have the effect of banning – </w:t>
      </w:r>
      <w:r w:rsidR="00AF330D" w:rsidRPr="00561AF2">
        <w:rPr>
          <w:rFonts w:asciiTheme="majorHAnsi" w:hAnsiTheme="majorHAnsi"/>
        </w:rPr>
        <w:t>premium credit cards tied to reward and frequent flyer programs</w:t>
      </w:r>
      <w:r w:rsidR="00051A68" w:rsidRPr="00561AF2">
        <w:rPr>
          <w:rFonts w:asciiTheme="majorHAnsi" w:hAnsiTheme="majorHAnsi"/>
        </w:rPr>
        <w:t>,</w:t>
      </w:r>
      <w:r w:rsidRPr="00561AF2">
        <w:rPr>
          <w:rFonts w:asciiTheme="majorHAnsi" w:hAnsiTheme="majorHAnsi"/>
        </w:rPr>
        <w:t xml:space="preserve"> severely</w:t>
      </w:r>
      <w:r w:rsidR="00051A68" w:rsidRPr="00561AF2">
        <w:rPr>
          <w:rFonts w:asciiTheme="majorHAnsi" w:hAnsiTheme="majorHAnsi"/>
        </w:rPr>
        <w:t xml:space="preserve"> limiting competition</w:t>
      </w:r>
      <w:r w:rsidR="00CB341B" w:rsidRPr="00561AF2">
        <w:rPr>
          <w:rFonts w:asciiTheme="majorHAnsi" w:hAnsiTheme="majorHAnsi"/>
        </w:rPr>
        <w:t>.</w:t>
      </w:r>
    </w:p>
    <w:p w14:paraId="3894CE51" w14:textId="77777777" w:rsidR="00D20A7A" w:rsidRPr="00561AF2" w:rsidRDefault="00AF330D" w:rsidP="00561AF2">
      <w:pPr>
        <w:jc w:val="left"/>
        <w:rPr>
          <w:rFonts w:asciiTheme="majorHAnsi" w:hAnsiTheme="majorHAnsi"/>
        </w:rPr>
      </w:pPr>
      <w:r w:rsidRPr="00561AF2">
        <w:rPr>
          <w:rFonts w:asciiTheme="majorHAnsi" w:hAnsiTheme="majorHAnsi"/>
        </w:rPr>
        <w:t xml:space="preserve">In the alternative, the Australian Taxpayers’ Alliance submits that the RBA should not </w:t>
      </w:r>
      <w:r w:rsidR="0061305F" w:rsidRPr="00561AF2">
        <w:rPr>
          <w:rFonts w:asciiTheme="majorHAnsi" w:hAnsiTheme="majorHAnsi"/>
        </w:rPr>
        <w:t xml:space="preserve">make a decision about whether or not to implement </w:t>
      </w:r>
      <w:r w:rsidRPr="00561AF2">
        <w:rPr>
          <w:rFonts w:asciiTheme="majorHAnsi" w:hAnsiTheme="majorHAnsi"/>
        </w:rPr>
        <w:t xml:space="preserve">the </w:t>
      </w:r>
      <w:r w:rsidR="0061305F" w:rsidRPr="00561AF2">
        <w:rPr>
          <w:rFonts w:asciiTheme="majorHAnsi" w:hAnsiTheme="majorHAnsi"/>
        </w:rPr>
        <w:t>D</w:t>
      </w:r>
      <w:r w:rsidRPr="00561AF2">
        <w:rPr>
          <w:rFonts w:asciiTheme="majorHAnsi" w:hAnsiTheme="majorHAnsi"/>
        </w:rPr>
        <w:t xml:space="preserve">raft </w:t>
      </w:r>
      <w:r w:rsidR="0061305F" w:rsidRPr="00561AF2">
        <w:rPr>
          <w:rFonts w:asciiTheme="majorHAnsi" w:hAnsiTheme="majorHAnsi"/>
        </w:rPr>
        <w:t>S</w:t>
      </w:r>
      <w:r w:rsidRPr="00561AF2">
        <w:rPr>
          <w:rFonts w:asciiTheme="majorHAnsi" w:hAnsiTheme="majorHAnsi"/>
        </w:rPr>
        <w:t xml:space="preserve">tandards until the </w:t>
      </w:r>
      <w:r w:rsidR="007F31C4" w:rsidRPr="00561AF2">
        <w:rPr>
          <w:rFonts w:asciiTheme="majorHAnsi" w:hAnsiTheme="majorHAnsi"/>
        </w:rPr>
        <w:t xml:space="preserve">foreshadowed </w:t>
      </w:r>
      <w:r w:rsidRPr="00561AF2">
        <w:rPr>
          <w:rFonts w:asciiTheme="majorHAnsi" w:hAnsiTheme="majorHAnsi"/>
        </w:rPr>
        <w:t xml:space="preserve">Productivity Commission </w:t>
      </w:r>
      <w:r w:rsidR="007F31C4" w:rsidRPr="00561AF2">
        <w:rPr>
          <w:rFonts w:asciiTheme="majorHAnsi" w:hAnsiTheme="majorHAnsi"/>
        </w:rPr>
        <w:t xml:space="preserve">inquiry </w:t>
      </w:r>
      <w:r w:rsidRPr="00561AF2">
        <w:rPr>
          <w:rFonts w:asciiTheme="majorHAnsi" w:hAnsiTheme="majorHAnsi"/>
        </w:rPr>
        <w:t>ha</w:t>
      </w:r>
      <w:r w:rsidR="007F31C4" w:rsidRPr="00561AF2">
        <w:rPr>
          <w:rFonts w:asciiTheme="majorHAnsi" w:hAnsiTheme="majorHAnsi"/>
        </w:rPr>
        <w:t>s completed its review and</w:t>
      </w:r>
      <w:r w:rsidRPr="00561AF2">
        <w:rPr>
          <w:rFonts w:asciiTheme="majorHAnsi" w:hAnsiTheme="majorHAnsi"/>
        </w:rPr>
        <w:t xml:space="preserve"> made recommendations.  </w:t>
      </w:r>
    </w:p>
    <w:p w14:paraId="3FBBC062" w14:textId="77777777" w:rsidR="007F31C4" w:rsidRDefault="007F31C4" w:rsidP="00561AF2">
      <w:pPr>
        <w:jc w:val="left"/>
        <w:rPr>
          <w:rFonts w:asciiTheme="majorHAnsi" w:hAnsiTheme="majorHAnsi"/>
        </w:rPr>
      </w:pPr>
    </w:p>
    <w:p w14:paraId="20D049F8" w14:textId="77777777" w:rsidR="007F31C4" w:rsidRDefault="007F31C4" w:rsidP="00561AF2">
      <w:pPr>
        <w:jc w:val="left"/>
        <w:rPr>
          <w:rFonts w:asciiTheme="majorHAnsi" w:hAnsiTheme="majorHAnsi"/>
        </w:rPr>
      </w:pPr>
    </w:p>
    <w:p w14:paraId="71B264D1" w14:textId="77777777" w:rsidR="007F31C4" w:rsidRDefault="007F31C4" w:rsidP="00561AF2">
      <w:pPr>
        <w:jc w:val="left"/>
        <w:rPr>
          <w:rFonts w:asciiTheme="majorHAnsi" w:hAnsiTheme="majorHAnsi"/>
        </w:rPr>
      </w:pPr>
    </w:p>
    <w:p w14:paraId="63D288D4" w14:textId="77777777" w:rsidR="001A4C21" w:rsidRDefault="001A4C21" w:rsidP="00561AF2">
      <w:pPr>
        <w:jc w:val="left"/>
        <w:rPr>
          <w:b/>
          <w:sz w:val="28"/>
          <w:szCs w:val="28"/>
        </w:rPr>
      </w:pPr>
    </w:p>
    <w:p w14:paraId="1ED8243B" w14:textId="77777777" w:rsidR="001A4C21" w:rsidRDefault="001A4C21" w:rsidP="00561AF2">
      <w:pPr>
        <w:jc w:val="left"/>
        <w:rPr>
          <w:b/>
          <w:sz w:val="28"/>
          <w:szCs w:val="28"/>
        </w:rPr>
      </w:pPr>
    </w:p>
    <w:p w14:paraId="64F29E88" w14:textId="77777777" w:rsidR="001A4C21" w:rsidRDefault="001A4C21" w:rsidP="00561AF2">
      <w:pPr>
        <w:jc w:val="left"/>
        <w:rPr>
          <w:b/>
          <w:sz w:val="28"/>
          <w:szCs w:val="28"/>
        </w:rPr>
      </w:pPr>
    </w:p>
    <w:p w14:paraId="4AB8C2F6" w14:textId="77777777" w:rsidR="0037049D" w:rsidRDefault="0037049D" w:rsidP="00561AF2">
      <w:pPr>
        <w:jc w:val="left"/>
        <w:rPr>
          <w:b/>
          <w:sz w:val="28"/>
          <w:szCs w:val="28"/>
        </w:rPr>
      </w:pPr>
      <w:r>
        <w:rPr>
          <w:b/>
          <w:sz w:val="28"/>
          <w:szCs w:val="28"/>
        </w:rPr>
        <w:br w:type="page"/>
      </w:r>
    </w:p>
    <w:p w14:paraId="2D1C455D" w14:textId="77777777" w:rsidR="003D72BA" w:rsidRPr="003D72BA" w:rsidRDefault="003539DA" w:rsidP="00561AF2">
      <w:pPr>
        <w:pStyle w:val="Heading1"/>
        <w:spacing w:before="100" w:after="100"/>
        <w:rPr>
          <w:color w:val="auto"/>
        </w:rPr>
      </w:pPr>
      <w:r w:rsidRPr="003D72BA">
        <w:rPr>
          <w:color w:val="auto"/>
        </w:rPr>
        <w:lastRenderedPageBreak/>
        <w:t xml:space="preserve">Section One: Issues with interchange fee regulation </w:t>
      </w:r>
    </w:p>
    <w:p w14:paraId="309DCD23" w14:textId="77777777" w:rsidR="003D72BA" w:rsidRPr="00561AF2" w:rsidRDefault="003D72BA" w:rsidP="00561AF2">
      <w:pPr>
        <w:pStyle w:val="Heading2"/>
        <w:rPr>
          <w:color w:val="auto"/>
        </w:rPr>
      </w:pPr>
      <w:r w:rsidRPr="00561AF2">
        <w:rPr>
          <w:color w:val="auto"/>
        </w:rPr>
        <w:t xml:space="preserve">Interchange fees generally </w:t>
      </w:r>
    </w:p>
    <w:p w14:paraId="30D39514" w14:textId="77777777" w:rsidR="003D72BA" w:rsidRPr="00970E70" w:rsidRDefault="003D72BA" w:rsidP="00561AF2">
      <w:pPr>
        <w:rPr>
          <w:rFonts w:ascii="Calibri" w:hAnsi="Calibri"/>
        </w:rPr>
      </w:pPr>
      <w:r w:rsidRPr="00970E70">
        <w:rPr>
          <w:rFonts w:ascii="Calibri" w:hAnsi="Calibri"/>
        </w:rPr>
        <w:t xml:space="preserve">An interchange fee is, to put it at its simplest, a fee paid by a merchant when the customer uses a credit or debit card to purchase goods or services. </w:t>
      </w:r>
    </w:p>
    <w:p w14:paraId="400AE02E" w14:textId="77777777" w:rsidR="003D72BA" w:rsidRPr="00970E70" w:rsidRDefault="003D72BA" w:rsidP="00561AF2">
      <w:pPr>
        <w:rPr>
          <w:rFonts w:ascii="Calibri" w:hAnsi="Calibri"/>
        </w:rPr>
      </w:pPr>
      <w:r w:rsidRPr="00970E70">
        <w:rPr>
          <w:rFonts w:ascii="Calibri" w:hAnsi="Calibri"/>
        </w:rPr>
        <w:t xml:space="preserve">In more detail, a merchant does not pay the interchange fee directly to the customer’s bank. The payments system is an interdependent, interconnected cost sharing mechanism, with four main parties: the cardholder/consumer, the merchant, the cardholder’s bank (the “issuing bank”), and the merchant’s bank (The “acquiring bank”). The network (such as Visa and MasterCard) only plays a role between the issuing and acquiring bank. </w:t>
      </w:r>
    </w:p>
    <w:p w14:paraId="7C471C39" w14:textId="77777777" w:rsidR="003D72BA" w:rsidRPr="00970E70" w:rsidRDefault="003D72BA" w:rsidP="00561AF2">
      <w:pPr>
        <w:rPr>
          <w:rFonts w:ascii="Calibri" w:hAnsi="Calibri"/>
        </w:rPr>
      </w:pPr>
      <w:r w:rsidRPr="00970E70">
        <w:rPr>
          <w:rFonts w:ascii="Calibri" w:hAnsi="Calibri"/>
        </w:rPr>
        <w:t>Three main income streams support the system: interchange/merchant discount, interest and fees (annual fees, etc.) The networks set the interchange fees, but interchange fees are collected by the acquiring banks/processors that add a small fee—together with interchange, this is known as the merchant discount or merchant service charge. The interchange collected is then transmitted to the issuing bank. Interest and fees come primarily from consumers (including businesses who use cards for purchasing) and again are paid to the issuing bank. The issuing bank then pays the networks for the operation of the system, recovers its own costs and then hopefully has enough left over to make a profit.</w:t>
      </w:r>
    </w:p>
    <w:p w14:paraId="4F12BCE7" w14:textId="77777777" w:rsidR="003D72BA" w:rsidRPr="00970E70" w:rsidRDefault="003D72BA" w:rsidP="00561AF2">
      <w:pPr>
        <w:rPr>
          <w:rFonts w:ascii="Calibri" w:hAnsi="Calibri"/>
        </w:rPr>
      </w:pPr>
      <w:r w:rsidRPr="00970E70">
        <w:rPr>
          <w:rFonts w:ascii="Calibri" w:hAnsi="Calibri"/>
          <w:noProof/>
          <w:lang w:eastAsia="en-AU"/>
        </w:rPr>
        <w:drawing>
          <wp:inline distT="0" distB="0" distL="0" distR="0" wp14:anchorId="34C9206A" wp14:editId="22ED639E">
            <wp:extent cx="5274945" cy="237895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945" cy="2378954"/>
                    </a:xfrm>
                    <a:prstGeom prst="rect">
                      <a:avLst/>
                    </a:prstGeom>
                    <a:noFill/>
                    <a:ln>
                      <a:noFill/>
                    </a:ln>
                  </pic:spPr>
                </pic:pic>
              </a:graphicData>
            </a:graphic>
          </wp:inline>
        </w:drawing>
      </w:r>
    </w:p>
    <w:p w14:paraId="1CE5D00C" w14:textId="77777777" w:rsidR="003D72BA" w:rsidRPr="00970E70" w:rsidRDefault="003D72BA" w:rsidP="00561AF2">
      <w:pPr>
        <w:rPr>
          <w:rFonts w:ascii="Calibri" w:hAnsi="Calibri"/>
        </w:rPr>
      </w:pPr>
      <w:r w:rsidRPr="00970E70">
        <w:rPr>
          <w:rFonts w:ascii="Calibri" w:hAnsi="Calibri"/>
          <w:b/>
        </w:rPr>
        <w:t>Source</w:t>
      </w:r>
      <w:r w:rsidRPr="00970E70">
        <w:rPr>
          <w:rFonts w:ascii="Calibri" w:hAnsi="Calibri"/>
        </w:rPr>
        <w:t xml:space="preserve">: Europe Economics, 2014. </w:t>
      </w:r>
    </w:p>
    <w:p w14:paraId="13860484" w14:textId="60C389C3" w:rsidR="003A4C34" w:rsidRPr="003A4C34" w:rsidRDefault="003A4C34" w:rsidP="003A4C34">
      <w:pPr>
        <w:rPr>
          <w:rFonts w:ascii="Calibri" w:hAnsi="Calibri"/>
        </w:rPr>
      </w:pPr>
      <w:r>
        <w:rPr>
          <w:rFonts w:ascii="Calibri" w:hAnsi="Calibri"/>
        </w:rPr>
        <w:t xml:space="preserve">The features of a two-sided market are important for economic analysis. We attach to this submission, as an appendix, </w:t>
      </w:r>
      <w:r w:rsidRPr="003A4C34">
        <w:rPr>
          <w:rFonts w:ascii="Calibri" w:hAnsi="Calibri"/>
          <w:i/>
          <w:iCs/>
        </w:rPr>
        <w:t>Amici Curiae</w:t>
      </w:r>
      <w:r>
        <w:rPr>
          <w:rFonts w:ascii="Calibri" w:hAnsi="Calibri"/>
        </w:rPr>
        <w:t xml:space="preserve"> brief in </w:t>
      </w:r>
      <w:r>
        <w:rPr>
          <w:rFonts w:ascii="Calibri" w:hAnsi="Calibri"/>
          <w:i/>
          <w:iCs/>
        </w:rPr>
        <w:t xml:space="preserve">United States of America v </w:t>
      </w:r>
      <w:r w:rsidR="003F7314">
        <w:rPr>
          <w:rFonts w:ascii="Calibri" w:hAnsi="Calibri"/>
          <w:i/>
          <w:iCs/>
        </w:rPr>
        <w:t>American</w:t>
      </w:r>
      <w:r>
        <w:rPr>
          <w:rFonts w:ascii="Calibri" w:hAnsi="Calibri"/>
          <w:i/>
          <w:iCs/>
        </w:rPr>
        <w:t xml:space="preserve"> Express Company </w:t>
      </w:r>
      <w:r>
        <w:rPr>
          <w:rFonts w:ascii="Calibri" w:hAnsi="Calibri"/>
        </w:rPr>
        <w:t>– where t</w:t>
      </w:r>
      <w:r w:rsidRPr="003A4C34">
        <w:rPr>
          <w:rFonts w:ascii="Calibri" w:hAnsi="Calibri"/>
        </w:rPr>
        <w:t xml:space="preserve">he </w:t>
      </w:r>
      <w:r w:rsidRPr="003A4C34">
        <w:rPr>
          <w:rFonts w:ascii="Calibri" w:hAnsi="Calibri"/>
          <w:i/>
          <w:iCs/>
        </w:rPr>
        <w:t>amici</w:t>
      </w:r>
      <w:r w:rsidRPr="003A4C34">
        <w:rPr>
          <w:rFonts w:ascii="Calibri" w:hAnsi="Calibri"/>
        </w:rPr>
        <w:t xml:space="preserve"> are scholars and experts on the economic analysis of antitrust law</w:t>
      </w:r>
      <w:r>
        <w:rPr>
          <w:rFonts w:ascii="Calibri" w:hAnsi="Calibri"/>
        </w:rPr>
        <w:t xml:space="preserve">. The Board may find this brief of interest in considering competition aspects of the public interest test.  </w:t>
      </w:r>
    </w:p>
    <w:p w14:paraId="5AA36E49" w14:textId="77777777" w:rsidR="003F7314" w:rsidRDefault="003F7314">
      <w:pPr>
        <w:spacing w:before="0" w:beforeAutospacing="0" w:after="0" w:afterAutospacing="0"/>
        <w:jc w:val="left"/>
        <w:rPr>
          <w:rFonts w:asciiTheme="majorHAnsi" w:eastAsiaTheme="majorEastAsia" w:hAnsiTheme="majorHAnsi" w:cstheme="majorBidi"/>
          <w:b/>
          <w:bCs/>
          <w:sz w:val="26"/>
          <w:szCs w:val="26"/>
        </w:rPr>
      </w:pPr>
      <w:r>
        <w:br w:type="page"/>
      </w:r>
    </w:p>
    <w:p w14:paraId="376B25F1" w14:textId="28442DF2" w:rsidR="003D72BA" w:rsidRPr="00561AF2" w:rsidRDefault="003D72BA" w:rsidP="00561AF2">
      <w:pPr>
        <w:pStyle w:val="Heading2"/>
        <w:rPr>
          <w:color w:val="auto"/>
        </w:rPr>
      </w:pPr>
      <w:r w:rsidRPr="00561AF2">
        <w:rPr>
          <w:color w:val="auto"/>
        </w:rPr>
        <w:lastRenderedPageBreak/>
        <w:t>Transparency</w:t>
      </w:r>
    </w:p>
    <w:p w14:paraId="7562FFA4" w14:textId="00D169C9" w:rsidR="003D72BA" w:rsidRPr="00970E70" w:rsidRDefault="003D72BA" w:rsidP="00561AF2">
      <w:pPr>
        <w:jc w:val="left"/>
        <w:rPr>
          <w:rFonts w:ascii="Calibri" w:hAnsi="Calibri"/>
        </w:rPr>
      </w:pPr>
      <w:r w:rsidRPr="00970E70">
        <w:rPr>
          <w:rFonts w:ascii="Calibri" w:hAnsi="Calibri"/>
        </w:rPr>
        <w:t xml:space="preserve">The Consultation Paper noted, at page 4, that “the [RBA] has…held concerns about the lack of transparency available to merchants at the time of a card transaction”, and cited two examples which it argued justify the RBA’s concern:  </w:t>
      </w:r>
    </w:p>
    <w:p w14:paraId="71F62698" w14:textId="77777777" w:rsidR="003D72BA" w:rsidRPr="00970E70" w:rsidRDefault="003D72BA" w:rsidP="00561AF2">
      <w:pPr>
        <w:ind w:left="720"/>
        <w:jc w:val="left"/>
        <w:rPr>
          <w:rFonts w:ascii="Calibri" w:hAnsi="Calibri"/>
          <w:sz w:val="20"/>
        </w:rPr>
      </w:pPr>
      <w:r w:rsidRPr="00970E70">
        <w:rPr>
          <w:rFonts w:ascii="Calibri" w:hAnsi="Calibri"/>
          <w:sz w:val="20"/>
        </w:rPr>
        <w:t>The first is the inability of many merchants to distinguish between debit and credit cards in card-not-present (e.g. online) environments. The second is the uncertainty over the cost of individual cards for merchants that do not benefit from merchant-specific interchange rates, such as ‘strategic merchant’ rates.</w:t>
      </w:r>
    </w:p>
    <w:p w14:paraId="0B338457" w14:textId="77777777" w:rsidR="003D72BA" w:rsidRPr="00970E70" w:rsidRDefault="003D72BA" w:rsidP="00561AF2">
      <w:pPr>
        <w:jc w:val="left"/>
        <w:rPr>
          <w:rFonts w:ascii="Calibri" w:hAnsi="Calibri"/>
        </w:rPr>
      </w:pPr>
      <w:r w:rsidRPr="00970E70">
        <w:rPr>
          <w:rFonts w:ascii="Calibri" w:hAnsi="Calibri"/>
        </w:rPr>
        <w:t xml:space="preserve">There is no doubt that these are two examples of knowledge problems that exist within the financial marketplace. The question then becomes who is in the best place to deal with this knowledge problem? Is it the merchants and the acquiring bank through their own contractual relationship, or is it the RBA through imposing further regulation? The Draft Standards do not deal with this issue in a meaningful way. For instance, it does not follow that proposing hard caps on interchange fees solves these knowledge problems.  </w:t>
      </w:r>
    </w:p>
    <w:p w14:paraId="5268BF77" w14:textId="77777777" w:rsidR="003D72BA" w:rsidRPr="00970E70" w:rsidRDefault="003D72BA" w:rsidP="00561AF2">
      <w:pPr>
        <w:jc w:val="left"/>
        <w:rPr>
          <w:rFonts w:ascii="Calibri" w:hAnsi="Calibri"/>
        </w:rPr>
      </w:pPr>
      <w:r w:rsidRPr="00970E70">
        <w:rPr>
          <w:rFonts w:ascii="Calibri" w:hAnsi="Calibri"/>
        </w:rPr>
        <w:t xml:space="preserve">The Australian Taxpayers’ Alliance submits that the best way to deal with knowledge problems is through robust competition. This is important, because – as we seek to explain below – it is the intention of the Draft Standards to restrict competition. </w:t>
      </w:r>
    </w:p>
    <w:p w14:paraId="17862B79" w14:textId="77777777" w:rsidR="003D72BA" w:rsidRDefault="003D72BA" w:rsidP="00561AF2">
      <w:pPr>
        <w:jc w:val="left"/>
        <w:rPr>
          <w:rFonts w:ascii="Calibri" w:hAnsi="Calibri"/>
        </w:rPr>
      </w:pPr>
      <w:r w:rsidRPr="00970E70">
        <w:rPr>
          <w:rFonts w:ascii="Calibri" w:hAnsi="Calibri"/>
        </w:rPr>
        <w:t>It is important to state at the outset a few facts about interchange fees that are often ignored or obscured. Merchants around the world can — and do — directly negotiate with the networks to lower their interchange costs through a variety of incentive arrangements with networks, including deals in which the savings are rebated to the merchant. Merchants also understand the exact breakdown of the fees they will pay based on the agreement they each negotiated with their acquiring bank, including the interchange fee. Finally, it is important to note that even in countries that do not have the same sort of interchange fee caps that Australia has, interchange fees have not been going up. The weighted average of interchange fees in the USA actually decreased between 2005 and 2010 (when caps on debit card fees were enacted), even with the significant advancements in technology, convenience, and new security and fraud protection measures — all advances that add significant value for merchants and consumers.</w:t>
      </w:r>
    </w:p>
    <w:p w14:paraId="2247BC0F" w14:textId="77777777" w:rsidR="00026AE8" w:rsidRDefault="0079206A" w:rsidP="00026AE8">
      <w:pPr>
        <w:jc w:val="left"/>
        <w:rPr>
          <w:rFonts w:asciiTheme="majorHAnsi" w:hAnsiTheme="majorHAnsi"/>
        </w:rPr>
      </w:pPr>
      <w:r w:rsidRPr="00D813D5">
        <w:rPr>
          <w:rFonts w:asciiTheme="majorHAnsi" w:hAnsiTheme="majorHAnsi"/>
        </w:rPr>
        <w:t xml:space="preserve">The real transparency issue with interchange fees is the </w:t>
      </w:r>
      <w:r w:rsidR="00D813D5" w:rsidRPr="00D813D5">
        <w:rPr>
          <w:rFonts w:asciiTheme="majorHAnsi" w:hAnsiTheme="majorHAnsi"/>
        </w:rPr>
        <w:t xml:space="preserve">decision making </w:t>
      </w:r>
      <w:r w:rsidR="00460361" w:rsidRPr="00D813D5">
        <w:rPr>
          <w:rFonts w:asciiTheme="majorHAnsi" w:hAnsiTheme="majorHAnsi"/>
        </w:rPr>
        <w:t xml:space="preserve">process </w:t>
      </w:r>
      <w:r w:rsidR="00D813D5" w:rsidRPr="00D813D5">
        <w:rPr>
          <w:rFonts w:asciiTheme="majorHAnsi" w:hAnsiTheme="majorHAnsi"/>
        </w:rPr>
        <w:t>when regulators decide to implement price caps, as the RBA is proposing to do here.</w:t>
      </w:r>
      <w:r w:rsidR="0008120E">
        <w:rPr>
          <w:rFonts w:asciiTheme="majorHAnsi" w:hAnsiTheme="majorHAnsi"/>
        </w:rPr>
        <w:t xml:space="preserve"> </w:t>
      </w:r>
      <w:r w:rsidR="00460361" w:rsidRPr="00D813D5">
        <w:rPr>
          <w:rFonts w:asciiTheme="majorHAnsi" w:hAnsiTheme="majorHAnsi"/>
        </w:rPr>
        <w:t>Price caps are by their nature arbitrary</w:t>
      </w:r>
      <w:r w:rsidR="00D813D5" w:rsidRPr="00D813D5">
        <w:rPr>
          <w:rFonts w:asciiTheme="majorHAnsi" w:hAnsiTheme="majorHAnsi"/>
        </w:rPr>
        <w:t>. Because of this,</w:t>
      </w:r>
      <w:r w:rsidR="00460361" w:rsidRPr="00D813D5">
        <w:rPr>
          <w:rFonts w:asciiTheme="majorHAnsi" w:hAnsiTheme="majorHAnsi"/>
        </w:rPr>
        <w:t xml:space="preserve"> </w:t>
      </w:r>
      <w:r w:rsidR="00D813D5" w:rsidRPr="00D813D5">
        <w:rPr>
          <w:rFonts w:asciiTheme="majorHAnsi" w:hAnsiTheme="majorHAnsi"/>
        </w:rPr>
        <w:t xml:space="preserve">they are </w:t>
      </w:r>
      <w:r w:rsidR="00460361" w:rsidRPr="00D813D5">
        <w:rPr>
          <w:rFonts w:asciiTheme="majorHAnsi" w:hAnsiTheme="majorHAnsi"/>
        </w:rPr>
        <w:t xml:space="preserve">intensely difficult to </w:t>
      </w:r>
      <w:r w:rsidR="00D813D5" w:rsidRPr="00D813D5">
        <w:rPr>
          <w:rFonts w:asciiTheme="majorHAnsi" w:hAnsiTheme="majorHAnsi"/>
        </w:rPr>
        <w:t>set at</w:t>
      </w:r>
      <w:r w:rsidR="00460361" w:rsidRPr="00D813D5">
        <w:rPr>
          <w:rFonts w:asciiTheme="majorHAnsi" w:hAnsiTheme="majorHAnsi"/>
        </w:rPr>
        <w:t xml:space="preserve"> an appropriate level </w:t>
      </w:r>
      <w:r w:rsidR="00D813D5" w:rsidRPr="00D813D5">
        <w:rPr>
          <w:rFonts w:asciiTheme="majorHAnsi" w:hAnsiTheme="majorHAnsi"/>
        </w:rPr>
        <w:t xml:space="preserve">as there will be disagreements about what the appropriate </w:t>
      </w:r>
      <w:r w:rsidR="0008120E">
        <w:rPr>
          <w:rFonts w:asciiTheme="majorHAnsi" w:hAnsiTheme="majorHAnsi"/>
        </w:rPr>
        <w:t>cap</w:t>
      </w:r>
      <w:r w:rsidR="00D813D5" w:rsidRPr="00D813D5">
        <w:rPr>
          <w:rFonts w:asciiTheme="majorHAnsi" w:hAnsiTheme="majorHAnsi"/>
        </w:rPr>
        <w:t xml:space="preserve"> is (including </w:t>
      </w:r>
      <w:r w:rsidR="0008120E">
        <w:rPr>
          <w:rFonts w:asciiTheme="majorHAnsi" w:hAnsiTheme="majorHAnsi"/>
        </w:rPr>
        <w:t>whether</w:t>
      </w:r>
      <w:r w:rsidR="00D813D5" w:rsidRPr="00D813D5">
        <w:rPr>
          <w:rFonts w:asciiTheme="majorHAnsi" w:hAnsiTheme="majorHAnsi"/>
        </w:rPr>
        <w:t xml:space="preserve"> a cap </w:t>
      </w:r>
      <w:r w:rsidR="0008120E">
        <w:rPr>
          <w:rFonts w:asciiTheme="majorHAnsi" w:hAnsiTheme="majorHAnsi"/>
        </w:rPr>
        <w:t>should</w:t>
      </w:r>
      <w:r w:rsidR="00D813D5" w:rsidRPr="00D813D5">
        <w:rPr>
          <w:rFonts w:asciiTheme="majorHAnsi" w:hAnsiTheme="majorHAnsi"/>
        </w:rPr>
        <w:t xml:space="preserve"> exist at all) </w:t>
      </w:r>
      <w:r w:rsidR="00460361" w:rsidRPr="00D813D5">
        <w:rPr>
          <w:rFonts w:asciiTheme="majorHAnsi" w:hAnsiTheme="majorHAnsi"/>
        </w:rPr>
        <w:t xml:space="preserve">– </w:t>
      </w:r>
      <w:r w:rsidR="0008120E">
        <w:rPr>
          <w:rFonts w:asciiTheme="majorHAnsi" w:hAnsiTheme="majorHAnsi"/>
        </w:rPr>
        <w:t xml:space="preserve">and there are </w:t>
      </w:r>
      <w:r w:rsidR="00460361" w:rsidRPr="00D813D5">
        <w:rPr>
          <w:rFonts w:asciiTheme="majorHAnsi" w:hAnsiTheme="majorHAnsi"/>
        </w:rPr>
        <w:t>enormous con</w:t>
      </w:r>
      <w:r w:rsidR="00D813D5" w:rsidRPr="00D813D5">
        <w:rPr>
          <w:rFonts w:asciiTheme="majorHAnsi" w:hAnsiTheme="majorHAnsi"/>
        </w:rPr>
        <w:t xml:space="preserve">sequences for getting it wrong. </w:t>
      </w:r>
      <w:r w:rsidR="0008120E">
        <w:rPr>
          <w:rFonts w:asciiTheme="majorHAnsi" w:hAnsiTheme="majorHAnsi"/>
        </w:rPr>
        <w:t xml:space="preserve">A few percentage points could result in distortions of billions of dollars. </w:t>
      </w:r>
      <w:r w:rsidR="00D813D5" w:rsidRPr="00D813D5">
        <w:rPr>
          <w:rFonts w:asciiTheme="majorHAnsi" w:hAnsiTheme="majorHAnsi"/>
        </w:rPr>
        <w:t xml:space="preserve">If a price cap is to be implemented, </w:t>
      </w:r>
      <w:r w:rsidR="0008120E">
        <w:rPr>
          <w:rFonts w:asciiTheme="majorHAnsi" w:hAnsiTheme="majorHAnsi"/>
        </w:rPr>
        <w:t>then the RBA should be seeking the best possible information to put itself in the best position to making a good decision that satisfies the public interest test. This requires an open and transparent process, and requires decisions to be made on robust evidence.</w:t>
      </w:r>
      <w:r w:rsidR="00D813D5" w:rsidRPr="00D813D5">
        <w:rPr>
          <w:rFonts w:asciiTheme="majorHAnsi" w:hAnsiTheme="majorHAnsi"/>
        </w:rPr>
        <w:t xml:space="preserve"> </w:t>
      </w:r>
    </w:p>
    <w:p w14:paraId="6F08C252" w14:textId="350655DB" w:rsidR="00026AE8" w:rsidRDefault="00D813D5" w:rsidP="00026AE8">
      <w:pPr>
        <w:jc w:val="left"/>
        <w:rPr>
          <w:rFonts w:asciiTheme="majorHAnsi" w:hAnsiTheme="majorHAnsi"/>
        </w:rPr>
      </w:pPr>
      <w:r w:rsidRPr="00D813D5">
        <w:rPr>
          <w:rFonts w:asciiTheme="majorHAnsi" w:hAnsiTheme="majorHAnsi"/>
        </w:rPr>
        <w:t xml:space="preserve">The Australian Taxpayers’ Alliance is concerned about the way in which the </w:t>
      </w:r>
      <w:r>
        <w:rPr>
          <w:rFonts w:asciiTheme="majorHAnsi" w:hAnsiTheme="majorHAnsi"/>
        </w:rPr>
        <w:t>Payment Systems Board</w:t>
      </w:r>
      <w:r w:rsidRPr="00D813D5">
        <w:rPr>
          <w:rFonts w:asciiTheme="majorHAnsi" w:hAnsiTheme="majorHAnsi"/>
        </w:rPr>
        <w:t xml:space="preserve"> has </w:t>
      </w:r>
      <w:r>
        <w:rPr>
          <w:rFonts w:asciiTheme="majorHAnsi" w:hAnsiTheme="majorHAnsi"/>
        </w:rPr>
        <w:t>approached</w:t>
      </w:r>
      <w:r w:rsidRPr="00D813D5">
        <w:rPr>
          <w:rFonts w:asciiTheme="majorHAnsi" w:hAnsiTheme="majorHAnsi"/>
        </w:rPr>
        <w:t xml:space="preserve"> interchange fee regulation</w:t>
      </w:r>
      <w:r w:rsidR="0008120E">
        <w:rPr>
          <w:rFonts w:asciiTheme="majorHAnsi" w:hAnsiTheme="majorHAnsi"/>
        </w:rPr>
        <w:t xml:space="preserve"> decisions in the past</w:t>
      </w:r>
      <w:r w:rsidRPr="00D813D5">
        <w:rPr>
          <w:rFonts w:asciiTheme="majorHAnsi" w:hAnsiTheme="majorHAnsi"/>
        </w:rPr>
        <w:t xml:space="preserve">. </w:t>
      </w:r>
      <w:r w:rsidR="0008120E">
        <w:rPr>
          <w:rFonts w:asciiTheme="majorHAnsi" w:hAnsiTheme="majorHAnsi"/>
        </w:rPr>
        <w:t>We are not alone</w:t>
      </w:r>
      <w:r w:rsidRPr="00D813D5">
        <w:rPr>
          <w:rFonts w:asciiTheme="majorHAnsi" w:hAnsiTheme="majorHAnsi"/>
        </w:rPr>
        <w:t xml:space="preserve">. For example, during the recent Senate inquiry, </w:t>
      </w:r>
      <w:r w:rsidR="008B1348" w:rsidRPr="00D813D5">
        <w:rPr>
          <w:rFonts w:asciiTheme="majorHAnsi" w:hAnsiTheme="majorHAnsi"/>
        </w:rPr>
        <w:t xml:space="preserve">Chairman Senator Dastyari expressed concern over </w:t>
      </w:r>
      <w:r>
        <w:rPr>
          <w:rFonts w:asciiTheme="majorHAnsi" w:hAnsiTheme="majorHAnsi"/>
        </w:rPr>
        <w:t>“</w:t>
      </w:r>
      <w:r w:rsidRPr="00D813D5">
        <w:rPr>
          <w:rFonts w:asciiTheme="majorHAnsi" w:hAnsiTheme="majorHAnsi"/>
        </w:rPr>
        <w:t>t</w:t>
      </w:r>
      <w:r w:rsidR="008B1348" w:rsidRPr="00D813D5">
        <w:rPr>
          <w:rFonts w:asciiTheme="majorHAnsi" w:hAnsiTheme="majorHAnsi"/>
        </w:rPr>
        <w:t xml:space="preserve">he lack of transparency around how the decisions have been made about </w:t>
      </w:r>
      <w:r w:rsidRPr="00D813D5">
        <w:rPr>
          <w:rFonts w:asciiTheme="majorHAnsi" w:hAnsiTheme="majorHAnsi"/>
        </w:rPr>
        <w:t>[interchange fee]</w:t>
      </w:r>
      <w:r w:rsidR="008B1348" w:rsidRPr="00D813D5">
        <w:rPr>
          <w:rFonts w:asciiTheme="majorHAnsi" w:hAnsiTheme="majorHAnsi"/>
        </w:rPr>
        <w:t xml:space="preserve"> regulation.”</w:t>
      </w:r>
      <w:r w:rsidR="008B1348" w:rsidRPr="00D813D5">
        <w:rPr>
          <w:rStyle w:val="EndnoteReference"/>
          <w:rFonts w:asciiTheme="majorHAnsi" w:hAnsiTheme="majorHAnsi"/>
        </w:rPr>
        <w:endnoteReference w:id="1"/>
      </w:r>
      <w:r>
        <w:rPr>
          <w:rFonts w:asciiTheme="majorHAnsi" w:hAnsiTheme="majorHAnsi"/>
        </w:rPr>
        <w:t xml:space="preserve"> </w:t>
      </w:r>
    </w:p>
    <w:p w14:paraId="2A7BFBE5" w14:textId="56CFE175" w:rsidR="00026AE8" w:rsidRPr="00561AF2" w:rsidRDefault="00026AE8" w:rsidP="006F7EC8">
      <w:pPr>
        <w:jc w:val="left"/>
        <w:rPr>
          <w:rFonts w:asciiTheme="majorHAnsi" w:hAnsiTheme="majorHAnsi"/>
        </w:rPr>
      </w:pPr>
      <w:r>
        <w:rPr>
          <w:rFonts w:asciiTheme="majorHAnsi" w:hAnsiTheme="majorHAnsi"/>
        </w:rPr>
        <w:lastRenderedPageBreak/>
        <w:t xml:space="preserve">We consider that transparency cuts both ways. One way of ensuring an open and transparent decision making process is for the Productivity Commission to hold an inquiry into interchange fee regulation, as recommended by the Senate committee. In this regard, the Australian Taxpayers’ Alliance submit that </w:t>
      </w:r>
      <w:r w:rsidRPr="00561AF2">
        <w:rPr>
          <w:rFonts w:asciiTheme="majorHAnsi" w:hAnsiTheme="majorHAnsi"/>
        </w:rPr>
        <w:t xml:space="preserve">the RBA should not make a decision about whether or not to implement the Draft Standards until the foreshadowed Productivity Commission inquiry has completed its review and made recommendations.  </w:t>
      </w:r>
    </w:p>
    <w:p w14:paraId="113E825F" w14:textId="77777777" w:rsidR="003D72BA" w:rsidRPr="00561AF2" w:rsidRDefault="003D72BA" w:rsidP="00561AF2">
      <w:pPr>
        <w:pStyle w:val="Heading2"/>
        <w:rPr>
          <w:color w:val="auto"/>
        </w:rPr>
      </w:pPr>
      <w:r w:rsidRPr="00561AF2">
        <w:rPr>
          <w:color w:val="auto"/>
        </w:rPr>
        <w:t xml:space="preserve">Efficiency </w:t>
      </w:r>
    </w:p>
    <w:p w14:paraId="261C3FF1" w14:textId="77777777" w:rsidR="003D72BA" w:rsidRPr="00970E70" w:rsidRDefault="003D72BA" w:rsidP="00561AF2">
      <w:pPr>
        <w:rPr>
          <w:rFonts w:ascii="Calibri" w:hAnsi="Calibri"/>
        </w:rPr>
      </w:pPr>
      <w:r w:rsidRPr="00970E70">
        <w:rPr>
          <w:rFonts w:ascii="Calibri" w:hAnsi="Calibri"/>
        </w:rPr>
        <w:t xml:space="preserve">There is an underlying assumption in the Consultation Paper that the higher the interchange fee, the higher the efficiency costs. In this regard, there is an overemphasis on interchange fee costs to merchants, without proper recognition of the corresponding benefits that interchange fees provide to the payment system. For instance, it must be recognised that interchange fees deliver significant benefits to merchants represented by an increase in sales, a guarantee of payment, and a shifting of the problem of credit risk to financial institutions. There is also a lack of recognition of the costs of interchange fee regulation on consumers. Finally, there is an apparent assumption that the efficiency of the payment system should be measured by reference to cash. Historically, the RBA has had a nostalgic preference for cash transactions over EFTPOS and credit and debit cards. It appears there is a lack of recognition that cash has its own transaction costs – e.g. handling time, physical storage, risk of theft, etc. – and benefits of interchange fees become increasingly apparent when these are taken into account.   </w:t>
      </w:r>
    </w:p>
    <w:p w14:paraId="24CDDAB1" w14:textId="77777777" w:rsidR="003D72BA" w:rsidRPr="00970E70" w:rsidRDefault="003D72BA" w:rsidP="00561AF2">
      <w:pPr>
        <w:rPr>
          <w:rFonts w:ascii="Calibri" w:hAnsi="Calibri"/>
          <w:b/>
          <w:i/>
        </w:rPr>
      </w:pPr>
      <w:r w:rsidRPr="00970E70">
        <w:rPr>
          <w:rFonts w:ascii="Calibri" w:hAnsi="Calibri"/>
        </w:rPr>
        <w:t xml:space="preserve">The Australian Taxpayers’ Alliance submits that the above factors must be taken into account when assessing efficiency. More detail about these is provided in the discussion that follows. </w:t>
      </w:r>
    </w:p>
    <w:p w14:paraId="084B7F7D" w14:textId="6D291985" w:rsidR="003D72BA" w:rsidRPr="00561AF2" w:rsidRDefault="003D72BA" w:rsidP="00561AF2">
      <w:pPr>
        <w:pStyle w:val="Heading3"/>
        <w:rPr>
          <w:rFonts w:ascii="Calibri" w:eastAsiaTheme="minorHAnsi" w:hAnsi="Calibri" w:cstheme="minorBidi"/>
          <w:b/>
          <w:color w:val="auto"/>
          <w:sz w:val="22"/>
          <w:szCs w:val="22"/>
        </w:rPr>
      </w:pPr>
      <w:r w:rsidRPr="00561AF2">
        <w:rPr>
          <w:b/>
          <w:bCs/>
          <w:i/>
          <w:iCs/>
          <w:color w:val="auto"/>
        </w:rPr>
        <w:t xml:space="preserve">Benefits to </w:t>
      </w:r>
      <w:r w:rsidR="00561AF2" w:rsidRPr="00561AF2">
        <w:rPr>
          <w:b/>
          <w:bCs/>
          <w:i/>
          <w:iCs/>
          <w:color w:val="auto"/>
        </w:rPr>
        <w:t>merchants from interchange fees</w:t>
      </w:r>
      <w:r w:rsidRPr="00561AF2">
        <w:rPr>
          <w:rFonts w:ascii="Calibri" w:eastAsiaTheme="minorHAnsi" w:hAnsi="Calibri" w:cstheme="minorBidi"/>
          <w:b/>
          <w:color w:val="auto"/>
          <w:sz w:val="22"/>
          <w:szCs w:val="22"/>
        </w:rPr>
        <w:t xml:space="preserve"> </w:t>
      </w:r>
    </w:p>
    <w:p w14:paraId="536680F4" w14:textId="77777777" w:rsidR="003D72BA" w:rsidRPr="00970E70" w:rsidRDefault="003D72BA" w:rsidP="00561AF2">
      <w:pPr>
        <w:pStyle w:val="ListParagraph"/>
        <w:numPr>
          <w:ilvl w:val="0"/>
          <w:numId w:val="14"/>
        </w:numPr>
        <w:rPr>
          <w:rFonts w:ascii="Calibri" w:hAnsi="Calibri"/>
          <w:b/>
        </w:rPr>
      </w:pPr>
      <w:r w:rsidRPr="00970E70">
        <w:rPr>
          <w:rFonts w:ascii="Calibri" w:hAnsi="Calibri"/>
          <w:b/>
        </w:rPr>
        <w:t xml:space="preserve">Larger purchases </w:t>
      </w:r>
    </w:p>
    <w:p w14:paraId="1E6DE05E" w14:textId="4AFAFAA0" w:rsidR="003D72BA" w:rsidRPr="00561AF2" w:rsidRDefault="003D72BA" w:rsidP="0079206A">
      <w:pPr>
        <w:jc w:val="left"/>
        <w:rPr>
          <w:rFonts w:ascii="Calibri" w:eastAsia="Times New Roman" w:hAnsi="Calibri" w:cs="Times New Roman"/>
        </w:rPr>
      </w:pPr>
      <w:r w:rsidRPr="00561AF2">
        <w:rPr>
          <w:rFonts w:ascii="Calibri" w:eastAsia="Times New Roman" w:hAnsi="Calibri" w:cs="Times New Roman"/>
        </w:rPr>
        <w:t>Credit and debit cards were adopted in order to reduce the need for consumers to carry large amounts of cash around to make purchases, minimising the chances for loss or theft, and providing greater convenience for the merchant than checks.</w:t>
      </w:r>
      <w:r w:rsidR="0079206A">
        <w:rPr>
          <w:rStyle w:val="EndnoteReference"/>
          <w:rFonts w:ascii="Calibri" w:eastAsia="Times New Roman" w:hAnsi="Calibri" w:cs="Times New Roman"/>
        </w:rPr>
        <w:endnoteReference w:id="2"/>
      </w:r>
      <w:r w:rsidRPr="00561AF2">
        <w:rPr>
          <w:rFonts w:ascii="Calibri" w:eastAsia="Times New Roman" w:hAnsi="Calibri" w:cs="Times New Roman"/>
        </w:rPr>
        <w:t xml:space="preserve"> The consequence is that consumers are able to offer larger sums for purchases than they would otherwise be willing and merchants are more willing to accept them. This is borne out by research for the RBA, which suggests that credit card sales at large merchants are on average three times as big as cash-only transactions.</w:t>
      </w:r>
      <w:r w:rsidR="0079206A">
        <w:rPr>
          <w:rStyle w:val="EndnoteReference"/>
          <w:rFonts w:ascii="Calibri" w:eastAsia="Times New Roman" w:hAnsi="Calibri" w:cs="Times New Roman"/>
        </w:rPr>
        <w:endnoteReference w:id="3"/>
      </w:r>
      <w:r w:rsidRPr="00561AF2">
        <w:rPr>
          <w:rFonts w:ascii="Calibri" w:eastAsia="Times New Roman" w:hAnsi="Calibri" w:cs="Times New Roman"/>
        </w:rPr>
        <w:t xml:space="preserve"> The average cash payment in the sample was $27, compared with the average debit card payment of $66 and the average credit card payment of $83.</w:t>
      </w:r>
      <w:r w:rsidR="0079206A">
        <w:rPr>
          <w:rStyle w:val="EndnoteReference"/>
          <w:rFonts w:ascii="Calibri" w:eastAsia="Times New Roman" w:hAnsi="Calibri" w:cs="Times New Roman"/>
        </w:rPr>
        <w:endnoteReference w:id="4"/>
      </w:r>
      <w:r w:rsidRPr="00561AF2">
        <w:rPr>
          <w:rFonts w:ascii="Calibri" w:eastAsia="Times New Roman" w:hAnsi="Calibri" w:cs="Times New Roman"/>
        </w:rPr>
        <w:t xml:space="preserve"> This suggests that merchants’ sales would suffer if consumers were discouraged from using credit and debit cards because of higher interchange fees.</w:t>
      </w:r>
    </w:p>
    <w:p w14:paraId="784533D0" w14:textId="77777777" w:rsidR="003D72BA" w:rsidRPr="00970E70" w:rsidRDefault="003D72BA" w:rsidP="00561AF2">
      <w:pPr>
        <w:pStyle w:val="ListParagraph"/>
        <w:numPr>
          <w:ilvl w:val="0"/>
          <w:numId w:val="14"/>
        </w:numPr>
        <w:rPr>
          <w:rFonts w:ascii="Calibri" w:hAnsi="Calibri"/>
          <w:b/>
        </w:rPr>
      </w:pPr>
      <w:r w:rsidRPr="00970E70">
        <w:rPr>
          <w:rFonts w:ascii="Calibri" w:hAnsi="Calibri"/>
          <w:b/>
        </w:rPr>
        <w:t>Guaranteed payment</w:t>
      </w:r>
    </w:p>
    <w:p w14:paraId="11E19F36" w14:textId="2A370CE1" w:rsidR="003D72BA" w:rsidRPr="00561AF2" w:rsidRDefault="003D72BA" w:rsidP="00561AF2">
      <w:pPr>
        <w:jc w:val="left"/>
        <w:rPr>
          <w:rFonts w:ascii="Calibri" w:eastAsia="Times New Roman" w:hAnsi="Calibri" w:cs="Times New Roman"/>
        </w:rPr>
      </w:pPr>
      <w:r w:rsidRPr="00561AF2">
        <w:rPr>
          <w:rFonts w:ascii="Calibri" w:eastAsia="Times New Roman" w:hAnsi="Calibri" w:cs="Times New Roman"/>
        </w:rPr>
        <w:t>A significant benefit to merchants is that, if the charge is approved, they are paid for their goods or services by the card holder’s bank regardless of whether or not the card holder had sufficient cas</w:t>
      </w:r>
      <w:r w:rsidR="00561AF2">
        <w:rPr>
          <w:rFonts w:ascii="Calibri" w:eastAsia="Times New Roman" w:hAnsi="Calibri" w:cs="Times New Roman"/>
        </w:rPr>
        <w:t>h on</w:t>
      </w:r>
      <w:r w:rsidRPr="00561AF2">
        <w:rPr>
          <w:rFonts w:ascii="Calibri" w:eastAsia="Times New Roman" w:hAnsi="Calibri" w:cs="Times New Roman"/>
        </w:rPr>
        <w:t>-hand to pay for the goods or services in question. This guaranteed payment results itself results in higher sales. As Professor Todd Zywicki of Geor</w:t>
      </w:r>
      <w:r w:rsidR="00561AF2">
        <w:rPr>
          <w:rFonts w:ascii="Calibri" w:eastAsia="Times New Roman" w:hAnsi="Calibri" w:cs="Times New Roman"/>
        </w:rPr>
        <w:t>ge Mason University points out:</w:t>
      </w:r>
    </w:p>
    <w:p w14:paraId="17A59CC8" w14:textId="6124E709" w:rsidR="003D72BA" w:rsidRPr="00970E70" w:rsidRDefault="003D72BA" w:rsidP="00561AF2">
      <w:pPr>
        <w:ind w:left="720"/>
        <w:jc w:val="left"/>
        <w:rPr>
          <w:rFonts w:ascii="Calibri" w:eastAsia="Times New Roman" w:hAnsi="Calibri" w:cs="Times New Roman"/>
          <w:sz w:val="20"/>
          <w:szCs w:val="20"/>
        </w:rPr>
      </w:pPr>
      <w:r w:rsidRPr="00970E70">
        <w:rPr>
          <w:rFonts w:ascii="Calibri" w:eastAsia="Times New Roman" w:hAnsi="Calibri" w:cs="Times New Roman"/>
          <w:sz w:val="20"/>
          <w:szCs w:val="20"/>
        </w:rPr>
        <w:lastRenderedPageBreak/>
        <w:t xml:space="preserve">For merchants that would not otherwise have operated their own credit systems, the bank guarantee facilitates transactions that would not otherwise have occurred because of the unavailability of credit. For small merchants (and consumers, of course) this benefit could be enormous, creating more product market competition and opening up entire new lines of business to entrepreneurs otherwise foreclosed from them. For these merchants, too, however, there is also a benefit from sales made (and profits earned) that would not otherwise have been made. Credit losses represent sales that, by definition, the consumer was unable to pay for, but for which credit </w:t>
      </w:r>
      <w:r w:rsidR="0079206A">
        <w:rPr>
          <w:rFonts w:ascii="Calibri" w:eastAsia="Times New Roman" w:hAnsi="Calibri" w:cs="Times New Roman"/>
          <w:sz w:val="20"/>
          <w:szCs w:val="20"/>
        </w:rPr>
        <w:t>was extended anyway.</w:t>
      </w:r>
      <w:r w:rsidR="0079206A">
        <w:rPr>
          <w:rStyle w:val="EndnoteReference"/>
          <w:rFonts w:ascii="Calibri" w:eastAsia="Times New Roman" w:hAnsi="Calibri" w:cs="Times New Roman"/>
          <w:sz w:val="20"/>
          <w:szCs w:val="20"/>
        </w:rPr>
        <w:endnoteReference w:id="5"/>
      </w:r>
      <w:r w:rsidRPr="00970E70">
        <w:rPr>
          <w:rFonts w:ascii="Calibri" w:eastAsia="Times New Roman" w:hAnsi="Calibri" w:cs="Times New Roman"/>
          <w:sz w:val="20"/>
          <w:szCs w:val="20"/>
        </w:rPr>
        <w:t xml:space="preserve"> </w:t>
      </w:r>
    </w:p>
    <w:p w14:paraId="477C670B" w14:textId="77777777" w:rsidR="003D72BA" w:rsidRPr="00561AF2" w:rsidRDefault="003D72BA" w:rsidP="00561AF2">
      <w:pPr>
        <w:jc w:val="left"/>
        <w:rPr>
          <w:rFonts w:ascii="Calibri" w:eastAsia="Times New Roman" w:hAnsi="Calibri" w:cs="Times New Roman"/>
        </w:rPr>
      </w:pPr>
      <w:r w:rsidRPr="00561AF2">
        <w:rPr>
          <w:rFonts w:ascii="Calibri" w:eastAsia="Times New Roman" w:hAnsi="Calibri" w:cs="Times New Roman"/>
        </w:rPr>
        <w:t>This guarantee is a major reason why stores have shifted away from their own credit schemes to those offered by financial institutions. The interchange fee helps to pay for this guarantee.</w:t>
      </w:r>
    </w:p>
    <w:p w14:paraId="0A89E84B" w14:textId="77777777" w:rsidR="003D72BA" w:rsidRPr="00561AF2" w:rsidRDefault="003D72BA" w:rsidP="00561AF2">
      <w:pPr>
        <w:pStyle w:val="ListParagraph"/>
        <w:numPr>
          <w:ilvl w:val="0"/>
          <w:numId w:val="14"/>
        </w:numPr>
        <w:jc w:val="left"/>
        <w:rPr>
          <w:rFonts w:ascii="Calibri" w:eastAsia="Times New Roman" w:hAnsi="Calibri" w:cs="Times New Roman"/>
          <w:b/>
        </w:rPr>
      </w:pPr>
      <w:r w:rsidRPr="00561AF2">
        <w:rPr>
          <w:rFonts w:ascii="Calibri" w:eastAsia="Times New Roman" w:hAnsi="Calibri" w:cs="Times New Roman"/>
          <w:b/>
        </w:rPr>
        <w:t>The credit risk borne by the financial institutions is significant</w:t>
      </w:r>
    </w:p>
    <w:p w14:paraId="67A129CF" w14:textId="5F9F7611" w:rsidR="003D72BA" w:rsidRPr="00561AF2" w:rsidRDefault="003D72BA" w:rsidP="0079206A">
      <w:pPr>
        <w:jc w:val="left"/>
        <w:rPr>
          <w:rFonts w:ascii="Calibri" w:eastAsia="Times New Roman" w:hAnsi="Calibri" w:cs="Times New Roman"/>
        </w:rPr>
      </w:pPr>
      <w:r w:rsidRPr="00561AF2">
        <w:rPr>
          <w:rFonts w:ascii="Calibri" w:eastAsia="Times New Roman" w:hAnsi="Calibri" w:cs="Times New Roman"/>
        </w:rPr>
        <w:t>The average transaction of $139 studied by the RBA included 78c in write offs and credit collections, meaning that for every $100 in transactions, 56c are written off as bad debts.</w:t>
      </w:r>
      <w:r w:rsidR="0079206A">
        <w:rPr>
          <w:rStyle w:val="EndnoteReference"/>
          <w:rFonts w:ascii="Calibri" w:eastAsia="Times New Roman" w:hAnsi="Calibri" w:cs="Times New Roman"/>
        </w:rPr>
        <w:endnoteReference w:id="6"/>
      </w:r>
      <w:r w:rsidRPr="00561AF2">
        <w:rPr>
          <w:rFonts w:ascii="Calibri" w:eastAsia="Times New Roman" w:hAnsi="Calibri" w:cs="Times New Roman"/>
        </w:rPr>
        <w:t xml:space="preserve"> For MasterCard and Visa transactions, the costs are higher, at 63c per $100.</w:t>
      </w:r>
      <w:r w:rsidR="0079206A">
        <w:rPr>
          <w:rStyle w:val="EndnoteReference"/>
          <w:rFonts w:ascii="Calibri" w:eastAsia="Times New Roman" w:hAnsi="Calibri" w:cs="Times New Roman"/>
        </w:rPr>
        <w:endnoteReference w:id="7"/>
      </w:r>
      <w:r w:rsidRPr="00561AF2">
        <w:rPr>
          <w:rFonts w:ascii="Calibri" w:eastAsia="Times New Roman" w:hAnsi="Calibri" w:cs="Times New Roman"/>
        </w:rPr>
        <w:t xml:space="preserve"> The RBA’s current cap on interchange fees remains at 0.5c per transaction, which represents 50c per $100.</w:t>
      </w:r>
      <w:r w:rsidR="0079206A">
        <w:rPr>
          <w:rStyle w:val="EndnoteReference"/>
          <w:rFonts w:ascii="Calibri" w:eastAsia="Times New Roman" w:hAnsi="Calibri" w:cs="Times New Roman"/>
        </w:rPr>
        <w:endnoteReference w:id="8"/>
      </w:r>
      <w:r w:rsidRPr="00561AF2">
        <w:rPr>
          <w:rFonts w:ascii="Calibri" w:eastAsia="Times New Roman" w:hAnsi="Calibri" w:cs="Times New Roman"/>
        </w:rPr>
        <w:t xml:space="preserve"> The RBA does not allow these costs to be taken into account when calculating the costs of interchange fee regulations</w:t>
      </w:r>
      <w:r w:rsidR="0079206A">
        <w:rPr>
          <w:rStyle w:val="EndnoteReference"/>
          <w:rFonts w:ascii="Calibri" w:eastAsia="Times New Roman" w:hAnsi="Calibri" w:cs="Times New Roman"/>
        </w:rPr>
        <w:endnoteReference w:id="9"/>
      </w:r>
      <w:r w:rsidRPr="00561AF2">
        <w:rPr>
          <w:rFonts w:ascii="Calibri" w:eastAsia="Times New Roman" w:hAnsi="Calibri" w:cs="Times New Roman"/>
        </w:rPr>
        <w:t xml:space="preserve">, but the cost is evidently higher than the revenue gained from the interchange fee for every transaction. In other words, despite all the other benefits provided by interchange fees, the interchange fee itself fails to cover the cost of one single element of the transaction – the credit risk. That risk is born by the financial institutions. </w:t>
      </w:r>
    </w:p>
    <w:p w14:paraId="2CCDDC9E" w14:textId="2017E6AF" w:rsidR="003D72BA" w:rsidRPr="00561AF2" w:rsidRDefault="003D72BA" w:rsidP="0079206A">
      <w:pPr>
        <w:jc w:val="left"/>
        <w:rPr>
          <w:rFonts w:ascii="Calibri" w:eastAsia="Times New Roman" w:hAnsi="Calibri" w:cs="Times New Roman"/>
        </w:rPr>
      </w:pPr>
      <w:r w:rsidRPr="00561AF2">
        <w:rPr>
          <w:rFonts w:ascii="Calibri" w:eastAsia="Times New Roman" w:hAnsi="Calibri" w:cs="Times New Roman"/>
        </w:rPr>
        <w:t>Indeed, according to RBA research, banks have written off around 3% of all credit card balances as losses in recent years (a figure that neared 4% after the financial crisis).</w:t>
      </w:r>
      <w:r w:rsidR="0079206A">
        <w:rPr>
          <w:rStyle w:val="EndnoteReference"/>
          <w:rFonts w:ascii="Calibri" w:eastAsia="Times New Roman" w:hAnsi="Calibri" w:cs="Times New Roman"/>
        </w:rPr>
        <w:endnoteReference w:id="10"/>
      </w:r>
      <w:r w:rsidRPr="00561AF2">
        <w:rPr>
          <w:rFonts w:ascii="Calibri" w:eastAsia="Times New Roman" w:hAnsi="Calibri" w:cs="Times New Roman"/>
        </w:rPr>
        <w:t xml:space="preserve"> The approximate amount of debt outstanding and collecting interest rates on Australian credit cards has been around $33 billion for the past two years.</w:t>
      </w:r>
      <w:r w:rsidR="0079206A">
        <w:rPr>
          <w:rStyle w:val="EndnoteReference"/>
          <w:rFonts w:ascii="Calibri" w:eastAsia="Times New Roman" w:hAnsi="Calibri" w:cs="Times New Roman"/>
        </w:rPr>
        <w:endnoteReference w:id="11"/>
      </w:r>
      <w:r w:rsidRPr="00561AF2">
        <w:rPr>
          <w:rFonts w:ascii="Calibri" w:eastAsia="Times New Roman" w:hAnsi="Calibri" w:cs="Times New Roman"/>
        </w:rPr>
        <w:t xml:space="preserve"> Without the interchange fee, banks would almost certainly look to shift this risk back to the merchant. Either merchants would accept the risk and pay the cost, denting their bottom lines by more than the total they pay in interchange fees, or they would look to mitigate the risk by making less risky sales, again denting their bottom lines in lost sales while increasing policing costs.</w:t>
      </w:r>
    </w:p>
    <w:p w14:paraId="70955AE2" w14:textId="0707634B" w:rsidR="003D72BA" w:rsidRPr="00561AF2" w:rsidRDefault="003D72BA" w:rsidP="00561AF2">
      <w:pPr>
        <w:pStyle w:val="Heading2"/>
        <w:rPr>
          <w:color w:val="auto"/>
        </w:rPr>
      </w:pPr>
      <w:r w:rsidRPr="00561AF2">
        <w:rPr>
          <w:color w:val="auto"/>
        </w:rPr>
        <w:t>Costs of interchan</w:t>
      </w:r>
      <w:r w:rsidR="00561AF2">
        <w:rPr>
          <w:color w:val="auto"/>
        </w:rPr>
        <w:t>ge fee regulation for consumers</w:t>
      </w:r>
      <w:r w:rsidRPr="00561AF2">
        <w:rPr>
          <w:color w:val="auto"/>
        </w:rPr>
        <w:t xml:space="preserve"> </w:t>
      </w:r>
    </w:p>
    <w:p w14:paraId="2CCC86DD" w14:textId="77777777" w:rsidR="003D72BA" w:rsidRPr="00561AF2" w:rsidRDefault="003D72BA" w:rsidP="00561AF2">
      <w:pPr>
        <w:rPr>
          <w:rFonts w:ascii="Calibri" w:eastAsia="Times New Roman" w:hAnsi="Calibri" w:cs="Times New Roman"/>
        </w:rPr>
      </w:pPr>
      <w:r w:rsidRPr="00561AF2">
        <w:rPr>
          <w:rFonts w:ascii="Calibri" w:hAnsi="Calibri" w:cstheme="majorHAnsi"/>
        </w:rPr>
        <w:t>In the assessment of the likely implications of the Draft Standards on consumers, the Consultation Paper claims that “</w:t>
      </w:r>
      <w:r w:rsidRPr="00561AF2">
        <w:rPr>
          <w:rFonts w:ascii="Calibri" w:eastAsia="Times New Roman" w:hAnsi="Calibri" w:cs="Times New Roman"/>
        </w:rPr>
        <w:t xml:space="preserve">lower merchant service fees [through hard caps on interchange fees] would be expected to lead over time to a slightly lower overall level of prices of final goods and services to consumers” (p. 38). The RBA does not present any evidence to support this claim. Indeed, all of the available evidence from previous interchange fee regulation points to the contrary. </w:t>
      </w:r>
    </w:p>
    <w:p w14:paraId="3D5EA261" w14:textId="180BD7D4" w:rsidR="003D72BA" w:rsidRPr="00561AF2" w:rsidRDefault="003D72BA" w:rsidP="0079206A">
      <w:pPr>
        <w:rPr>
          <w:rFonts w:ascii="Calibri" w:hAnsi="Calibri" w:cstheme="majorHAnsi"/>
        </w:rPr>
      </w:pPr>
      <w:r w:rsidRPr="00561AF2">
        <w:rPr>
          <w:rFonts w:ascii="Calibri" w:hAnsi="Calibri" w:cstheme="majorHAnsi"/>
        </w:rPr>
        <w:t>Cardholders are paying more for their cards. Between 2002 and 2008, the RBA estimates that the average payment card fee rose by $40 per account, indicating that (with 12 million accounts held in 2008) cardholders are paying $480 million more to hold their cards than they did before the regulations took effect in 2003.</w:t>
      </w:r>
      <w:r w:rsidR="0079206A">
        <w:rPr>
          <w:rStyle w:val="EndnoteReference"/>
          <w:rFonts w:ascii="Calibri" w:hAnsi="Calibri" w:cstheme="majorHAnsi"/>
        </w:rPr>
        <w:endnoteReference w:id="12"/>
      </w:r>
      <w:r w:rsidRPr="00561AF2">
        <w:rPr>
          <w:rFonts w:ascii="Calibri" w:hAnsi="Calibri" w:cstheme="majorHAnsi"/>
        </w:rPr>
        <w:t xml:space="preserve"> </w:t>
      </w:r>
    </w:p>
    <w:p w14:paraId="728831C3" w14:textId="77777777" w:rsidR="003D72BA" w:rsidRPr="00561AF2" w:rsidRDefault="003D72BA" w:rsidP="00561AF2">
      <w:pPr>
        <w:rPr>
          <w:rFonts w:ascii="Calibri" w:hAnsi="Calibri" w:cstheme="majorHAnsi"/>
        </w:rPr>
      </w:pPr>
      <w:r w:rsidRPr="00561AF2">
        <w:rPr>
          <w:rFonts w:ascii="Calibri" w:hAnsi="Calibri" w:cstheme="majorHAnsi"/>
        </w:rPr>
        <w:t>In 2012, the RBA itself admitted that costs to consumers have gone up while costs to merchants have gone down:</w:t>
      </w:r>
    </w:p>
    <w:p w14:paraId="6DE9ED77" w14:textId="4A92BFB9" w:rsidR="003D72BA" w:rsidRPr="00561AF2" w:rsidRDefault="003D72BA" w:rsidP="00432AC2">
      <w:pPr>
        <w:ind w:left="720"/>
        <w:rPr>
          <w:rFonts w:ascii="Calibri" w:hAnsi="Calibri" w:cstheme="majorHAnsi"/>
          <w:sz w:val="20"/>
          <w:szCs w:val="20"/>
        </w:rPr>
      </w:pPr>
      <w:r w:rsidRPr="00561AF2">
        <w:rPr>
          <w:rFonts w:ascii="Calibri" w:hAnsi="Calibri" w:cstheme="majorHAnsi"/>
          <w:sz w:val="20"/>
          <w:szCs w:val="20"/>
        </w:rPr>
        <w:lastRenderedPageBreak/>
        <w:t>Overall, reward points and other benefits earned from spending on credit cards have become less generous while annual fees to cardholders have increased. At the same time, merchant service fees – the fees charged to a merchant by its acquirer – have declined, with the benefit likely to have been passed on to all consumers, not just those who pay by credit card.</w:t>
      </w:r>
      <w:r w:rsidR="00432AC2">
        <w:rPr>
          <w:rStyle w:val="EndnoteReference"/>
          <w:rFonts w:ascii="Calibri" w:hAnsi="Calibri" w:cstheme="majorHAnsi"/>
          <w:sz w:val="20"/>
          <w:szCs w:val="20"/>
        </w:rPr>
        <w:endnoteReference w:id="13"/>
      </w:r>
    </w:p>
    <w:p w14:paraId="4247D029" w14:textId="77777777" w:rsidR="003D72BA" w:rsidRPr="00970E70" w:rsidRDefault="003D72BA" w:rsidP="00561AF2">
      <w:pPr>
        <w:rPr>
          <w:rFonts w:ascii="Calibri" w:hAnsi="Calibri" w:cstheme="majorHAnsi"/>
        </w:rPr>
      </w:pPr>
      <w:r w:rsidRPr="00970E70">
        <w:rPr>
          <w:rFonts w:ascii="Calibri" w:hAnsi="Calibri" w:cstheme="majorHAnsi"/>
        </w:rPr>
        <w:t>The last point is only half true. Merchants have indeed benefited from a significant windfall in reduced service fees. According to CRA International’s review of the effect of the regulations in 2008, merchants were saving approximately $676 million annually as a result of reduced fees, meaning that over the 12 years of fee regulation they have saved over $8 billion (in 2008 prices) in costs.</w:t>
      </w:r>
    </w:p>
    <w:p w14:paraId="58099E51" w14:textId="7F725CB3" w:rsidR="003D72BA" w:rsidRPr="00970E70" w:rsidRDefault="003D72BA" w:rsidP="00432AC2">
      <w:pPr>
        <w:rPr>
          <w:rFonts w:ascii="Calibri" w:hAnsi="Calibri" w:cstheme="majorHAnsi"/>
        </w:rPr>
      </w:pPr>
      <w:r w:rsidRPr="00970E70">
        <w:rPr>
          <w:rFonts w:ascii="Calibri" w:hAnsi="Calibri" w:cstheme="majorHAnsi"/>
        </w:rPr>
        <w:t>However, there is little evidence that these cost savings have been passed on to consumers as price cuts or better products, as the RBA claims. Reviewing the evidence, Europe Economics notes, “As in the Spanish case, no evidence was found neither [sic] of a reduction in retail prices nor of an improvement in the quality of products.”</w:t>
      </w:r>
      <w:r w:rsidR="00432AC2">
        <w:rPr>
          <w:rStyle w:val="EndnoteReference"/>
          <w:rFonts w:ascii="Calibri" w:hAnsi="Calibri" w:cstheme="majorHAnsi"/>
        </w:rPr>
        <w:endnoteReference w:id="14"/>
      </w:r>
    </w:p>
    <w:p w14:paraId="040B7913" w14:textId="77777777" w:rsidR="003D72BA" w:rsidRPr="00970E70" w:rsidRDefault="003D72BA" w:rsidP="00561AF2">
      <w:pPr>
        <w:rPr>
          <w:rFonts w:ascii="Calibri" w:hAnsi="Calibri" w:cstheme="majorHAnsi"/>
        </w:rPr>
      </w:pPr>
      <w:r w:rsidRPr="00970E70">
        <w:rPr>
          <w:rFonts w:ascii="Calibri" w:hAnsi="Calibri" w:cstheme="majorHAnsi"/>
        </w:rPr>
        <w:t>This is consistent with evidence not just from Spain but from the USA following the imposition of debit card interchange fee caps after 2010. Analysing the effect of the regulations through an event study analysis, Evans et al. concluded:</w:t>
      </w:r>
    </w:p>
    <w:p w14:paraId="473073BE" w14:textId="734A367C" w:rsidR="003D72BA" w:rsidRPr="00561AF2" w:rsidRDefault="003D72BA" w:rsidP="00432AC2">
      <w:pPr>
        <w:ind w:left="720"/>
        <w:rPr>
          <w:rFonts w:ascii="Calibri" w:hAnsi="Calibri" w:cstheme="majorHAnsi"/>
          <w:sz w:val="20"/>
          <w:szCs w:val="20"/>
        </w:rPr>
      </w:pPr>
      <w:r w:rsidRPr="00561AF2">
        <w:rPr>
          <w:rFonts w:ascii="Calibri" w:hAnsi="Calibri" w:cstheme="majorHAnsi"/>
          <w:sz w:val="20"/>
          <w:szCs w:val="20"/>
        </w:rPr>
        <w:t>There is no reason to believe that merchants would give this windfall back to consumers or the banks could absorb the full loss in their profits. A wealth of economic studies shows that does not happen in the real world. Consumers got the short end the stick though. Merchant [sic] are not giving enough of their gains back to consumers to compensate for the higher fees and reduced services that consumers are getting from banks as a result of the interchange price caps, nor, as we have shown, are merchants expected to do so.</w:t>
      </w:r>
      <w:r w:rsidR="00432AC2">
        <w:rPr>
          <w:rStyle w:val="EndnoteReference"/>
          <w:rFonts w:ascii="Calibri" w:hAnsi="Calibri" w:cstheme="majorHAnsi"/>
          <w:sz w:val="20"/>
          <w:szCs w:val="20"/>
        </w:rPr>
        <w:endnoteReference w:id="15"/>
      </w:r>
    </w:p>
    <w:p w14:paraId="28D50F73" w14:textId="670CB943" w:rsidR="003D72BA" w:rsidRPr="00970E70" w:rsidRDefault="003D72BA" w:rsidP="00432AC2">
      <w:pPr>
        <w:rPr>
          <w:rFonts w:ascii="Calibri" w:hAnsi="Calibri" w:cstheme="majorHAnsi"/>
        </w:rPr>
      </w:pPr>
      <w:r w:rsidRPr="00970E70">
        <w:rPr>
          <w:rFonts w:ascii="Calibri" w:hAnsi="Calibri" w:cstheme="majorHAnsi"/>
        </w:rPr>
        <w:t>They found that the relatively modest American fee caps resulted in a net decrease of consumer welfare of $22 to $25 billion.</w:t>
      </w:r>
      <w:r w:rsidR="00432AC2">
        <w:rPr>
          <w:rStyle w:val="EndnoteReference"/>
          <w:rFonts w:ascii="Calibri" w:hAnsi="Calibri" w:cstheme="majorHAnsi"/>
        </w:rPr>
        <w:endnoteReference w:id="16"/>
      </w:r>
    </w:p>
    <w:p w14:paraId="10BE76F0" w14:textId="77777777" w:rsidR="003D72BA" w:rsidRPr="00970E70" w:rsidRDefault="003D72BA" w:rsidP="00561AF2">
      <w:pPr>
        <w:rPr>
          <w:rFonts w:ascii="Calibri" w:hAnsi="Calibri" w:cstheme="majorHAnsi"/>
        </w:rPr>
      </w:pPr>
      <w:r w:rsidRPr="00970E70">
        <w:rPr>
          <w:rFonts w:ascii="Calibri" w:hAnsi="Calibri" w:cstheme="majorHAnsi"/>
        </w:rPr>
        <w:t>For the Australian cardholder to break even, $480 million of the merchants’ $676 million cost reduction would have to be passed on – about 70%. Studies have shown that even in highly competitive markets, merchants rarely pass on more than 50 percent of savings. The evidence from around the world suggests much less after interchange fee caps, probably because the average saving per transaction is quite low.</w:t>
      </w:r>
    </w:p>
    <w:p w14:paraId="75E58597" w14:textId="77777777" w:rsidR="003D72BA" w:rsidRPr="00970E70" w:rsidRDefault="003D72BA" w:rsidP="00561AF2">
      <w:pPr>
        <w:rPr>
          <w:rFonts w:ascii="Calibri" w:hAnsi="Calibri" w:cstheme="majorHAnsi"/>
        </w:rPr>
      </w:pPr>
      <w:r w:rsidRPr="00970E70">
        <w:rPr>
          <w:rFonts w:ascii="Calibri" w:hAnsi="Calibri" w:cstheme="majorHAnsi"/>
        </w:rPr>
        <w:t xml:space="preserve">CRA concluded on this aspect in 2008: </w:t>
      </w:r>
    </w:p>
    <w:p w14:paraId="0142D8BC" w14:textId="75DC408E" w:rsidR="003D72BA" w:rsidRPr="00561AF2" w:rsidRDefault="003D72BA" w:rsidP="00432AC2">
      <w:pPr>
        <w:ind w:left="720"/>
        <w:rPr>
          <w:rFonts w:ascii="Calibri" w:hAnsi="Calibri" w:cstheme="majorHAnsi"/>
          <w:sz w:val="20"/>
          <w:szCs w:val="20"/>
        </w:rPr>
      </w:pPr>
      <w:r w:rsidRPr="00561AF2">
        <w:rPr>
          <w:rFonts w:ascii="Calibri" w:hAnsi="Calibri" w:cstheme="majorHAnsi"/>
          <w:sz w:val="20"/>
          <w:szCs w:val="20"/>
        </w:rPr>
        <w:t>Recognising that it is difficult to isolate price effects, the fact remains that no evidence has been presented that would allow one to conclude that the undeniable losses to cardholders have been offset by reductions in retail prices or improvement in the quality of retail service. In contrast, we know with confidence that merchants have been beneficiaries of the RBA’s intervention. We know this from the fact that merchants were in favour of the past reductions in interchange fees and now would like even further reductions. It is extremely unlikely that merchants would be taking this position if reductions in merchant service charges resulting from the RBA’s regulations were simply passed through to consumers in the form of lower prices and/or higher quality service.</w:t>
      </w:r>
      <w:r w:rsidR="00432AC2">
        <w:rPr>
          <w:rStyle w:val="EndnoteReference"/>
          <w:rFonts w:ascii="Calibri" w:hAnsi="Calibri" w:cstheme="majorHAnsi"/>
          <w:sz w:val="20"/>
          <w:szCs w:val="20"/>
        </w:rPr>
        <w:endnoteReference w:id="17"/>
      </w:r>
      <w:r w:rsidRPr="00561AF2">
        <w:rPr>
          <w:rFonts w:ascii="Calibri" w:hAnsi="Calibri" w:cstheme="majorHAnsi"/>
          <w:sz w:val="20"/>
          <w:szCs w:val="20"/>
        </w:rPr>
        <w:t xml:space="preserve"> </w:t>
      </w:r>
    </w:p>
    <w:p w14:paraId="7C8166E8" w14:textId="4ECC4376" w:rsidR="003D72BA" w:rsidRPr="00561AF2" w:rsidRDefault="003D72BA" w:rsidP="00432AC2">
      <w:pPr>
        <w:rPr>
          <w:rFonts w:ascii="Calibri" w:hAnsi="Calibri" w:cstheme="majorHAnsi"/>
        </w:rPr>
      </w:pPr>
      <w:r w:rsidRPr="00561AF2">
        <w:rPr>
          <w:rFonts w:ascii="Calibri" w:hAnsi="Calibri" w:cstheme="majorHAnsi"/>
        </w:rPr>
        <w:t xml:space="preserve">In 2015, the Australian Taxpayers’ Alliance addressed this issue before the Senate economics committee. </w:t>
      </w:r>
      <w:r w:rsidR="00432AC2">
        <w:rPr>
          <w:rFonts w:ascii="Calibri" w:hAnsi="Calibri" w:cstheme="majorHAnsi"/>
        </w:rPr>
        <w:t xml:space="preserve">Matthew Sinclair </w:t>
      </w:r>
      <w:r w:rsidR="00432AC2">
        <w:rPr>
          <w:rFonts w:ascii="Calibri" w:eastAsia="Times New Roman" w:hAnsi="Calibri" w:cs="Times New Roman"/>
        </w:rPr>
        <w:t>explained</w:t>
      </w:r>
      <w:r w:rsidRPr="00561AF2">
        <w:rPr>
          <w:rFonts w:ascii="Calibri" w:eastAsia="Times New Roman" w:hAnsi="Calibri" w:cs="Times New Roman"/>
        </w:rPr>
        <w:t xml:space="preserve"> three reasons </w:t>
      </w:r>
      <w:r w:rsidR="00432AC2">
        <w:rPr>
          <w:rFonts w:ascii="Calibri" w:eastAsia="Times New Roman" w:hAnsi="Calibri" w:cs="Times New Roman"/>
        </w:rPr>
        <w:t xml:space="preserve">that </w:t>
      </w:r>
      <w:r w:rsidRPr="00561AF2">
        <w:rPr>
          <w:rFonts w:ascii="Calibri" w:eastAsia="Times New Roman" w:hAnsi="Calibri" w:cs="Times New Roman"/>
        </w:rPr>
        <w:t>the lower merchant service fees resulting from lower interchange fees were not passed through to consumers:</w:t>
      </w:r>
    </w:p>
    <w:p w14:paraId="0B55BE7B" w14:textId="34C6BB02" w:rsidR="003D72BA" w:rsidRPr="00970E70" w:rsidRDefault="003D72BA" w:rsidP="00432AC2">
      <w:pPr>
        <w:ind w:left="720"/>
        <w:rPr>
          <w:rFonts w:ascii="Calibri" w:eastAsia="Times New Roman" w:hAnsi="Calibri" w:cs="Times New Roman"/>
          <w:sz w:val="20"/>
          <w:szCs w:val="20"/>
        </w:rPr>
      </w:pPr>
      <w:r w:rsidRPr="00970E70">
        <w:rPr>
          <w:rFonts w:ascii="Calibri" w:eastAsia="Times New Roman" w:hAnsi="Calibri" w:cs="Times New Roman"/>
          <w:sz w:val="20"/>
          <w:szCs w:val="20"/>
        </w:rPr>
        <w:lastRenderedPageBreak/>
        <w:t>Firstly, there might be resale markets which are just not very competitive. Secondly, the amounts we are talking about here might be so small that they do not shift the pricepoints. If something is priced at $9.99, a very marginal reduction in the cost might not be enough to justify shifting to another pricepoint. Finally, for a large and increasing share of transactions, cards are cheaper than cash. Given that there is a regulatory—or, often, a customary—requirement to take cash, the pricing, in order to avoid a loss for retailers, may be to the cash cost rather than the card cost. Therefore, changes in the card cost do not lead</w:t>
      </w:r>
      <w:r w:rsidR="00432AC2">
        <w:rPr>
          <w:rFonts w:ascii="Calibri" w:eastAsia="Times New Roman" w:hAnsi="Calibri" w:cs="Times New Roman"/>
          <w:sz w:val="20"/>
          <w:szCs w:val="20"/>
        </w:rPr>
        <w:t xml:space="preserve"> to reductions in prices.</w:t>
      </w:r>
      <w:r w:rsidR="00432AC2">
        <w:rPr>
          <w:rStyle w:val="EndnoteReference"/>
          <w:rFonts w:ascii="Calibri" w:eastAsia="Times New Roman" w:hAnsi="Calibri" w:cs="Times New Roman"/>
          <w:sz w:val="20"/>
          <w:szCs w:val="20"/>
        </w:rPr>
        <w:endnoteReference w:id="18"/>
      </w:r>
    </w:p>
    <w:p w14:paraId="18A8710D" w14:textId="28DF40C3" w:rsidR="00054B1B" w:rsidRPr="00054B1B" w:rsidRDefault="00054B1B" w:rsidP="00054B1B">
      <w:pPr>
        <w:rPr>
          <w:rFonts w:ascii="Calibri" w:eastAsia="Times New Roman" w:hAnsi="Calibri" w:cs="Times New Roman"/>
        </w:rPr>
      </w:pPr>
      <w:r w:rsidRPr="00054B1B">
        <w:rPr>
          <w:rFonts w:ascii="Calibri" w:hAnsi="Calibri"/>
          <w:lang w:val="en-US"/>
        </w:rPr>
        <w:t>Research from a survey of US merchants by the Federal Reserve Bank of Richmond</w:t>
      </w:r>
      <w:r>
        <w:rPr>
          <w:rStyle w:val="EndnoteReference"/>
          <w:rFonts w:ascii="Calibri" w:hAnsi="Calibri"/>
          <w:lang w:val="en-US"/>
        </w:rPr>
        <w:endnoteReference w:id="19"/>
      </w:r>
      <w:r w:rsidRPr="00054B1B">
        <w:rPr>
          <w:rFonts w:ascii="Calibri" w:hAnsi="Calibri"/>
          <w:lang w:val="en-US"/>
        </w:rPr>
        <w:t xml:space="preserve"> found that many merchants did not see any appreciable cost savings after the imposition of debit card interchange fee caps. Small merchants often saw an increase in their costs. It was only a small proportion of merchants – mostly large retailers – who saw their costs noticeably diminish.</w:t>
      </w:r>
    </w:p>
    <w:p w14:paraId="73793EC9" w14:textId="77777777" w:rsidR="003D72BA" w:rsidRPr="00561AF2" w:rsidRDefault="003D72BA" w:rsidP="00561AF2">
      <w:pPr>
        <w:rPr>
          <w:rFonts w:ascii="Calibri" w:eastAsia="Times New Roman" w:hAnsi="Calibri" w:cs="Times New Roman"/>
        </w:rPr>
      </w:pPr>
      <w:r w:rsidRPr="00561AF2">
        <w:rPr>
          <w:rFonts w:ascii="Calibri" w:eastAsia="Times New Roman" w:hAnsi="Calibri" w:cs="Times New Roman"/>
        </w:rPr>
        <w:t xml:space="preserve">Regulatory policy should be made on robust economic evidence, not on wishful thinking. Accordingly, the Australian Taxpayers’ Alliance submit that lower merchant service fees would not result in lower prices of final goods and services to consumers – and this should be taken into account when determining whether the Draft Standards are in the public interest.  </w:t>
      </w:r>
    </w:p>
    <w:p w14:paraId="0D6A9783" w14:textId="77777777" w:rsidR="003D72BA" w:rsidRPr="00561AF2" w:rsidRDefault="003D72BA" w:rsidP="00561AF2">
      <w:pPr>
        <w:pStyle w:val="Heading2"/>
        <w:rPr>
          <w:color w:val="auto"/>
        </w:rPr>
      </w:pPr>
      <w:r w:rsidRPr="00561AF2">
        <w:rPr>
          <w:color w:val="auto"/>
        </w:rPr>
        <w:t>Likely costs to future consumers</w:t>
      </w:r>
    </w:p>
    <w:p w14:paraId="4D43450C" w14:textId="79213167" w:rsidR="003D72BA" w:rsidRPr="00970E70" w:rsidRDefault="003D72BA" w:rsidP="00561AF2">
      <w:pPr>
        <w:rPr>
          <w:rFonts w:ascii="Calibri" w:hAnsi="Calibri" w:cstheme="majorHAnsi"/>
        </w:rPr>
      </w:pPr>
      <w:r w:rsidRPr="00970E70">
        <w:rPr>
          <w:rFonts w:ascii="Calibri" w:hAnsi="Calibri" w:cstheme="majorHAnsi"/>
        </w:rPr>
        <w:t>Further regulation of interchange fees will have several negative effects that can already be foreseen. It will likely continue the process of shifting costs from merchants to consumers, not just increasing interest rates and fees, but also reducing interest-free periods</w:t>
      </w:r>
      <w:r w:rsidR="00054B1B">
        <w:rPr>
          <w:rFonts w:ascii="Calibri" w:hAnsi="Calibri" w:cstheme="majorHAnsi"/>
        </w:rPr>
        <w:t xml:space="preserve"> and reward programs</w:t>
      </w:r>
      <w:r w:rsidRPr="00970E70">
        <w:rPr>
          <w:rFonts w:ascii="Calibri" w:hAnsi="Calibri" w:cstheme="majorHAnsi"/>
        </w:rPr>
        <w:t xml:space="preserve">. One option under consideration is to lower the weighted-average interchange fee – in this case it is also possible that this proposal would have a particularly heavy effect on the poorest consumers, and smaller banks will also have reduced capacity to offer low-cost cards. </w:t>
      </w:r>
    </w:p>
    <w:p w14:paraId="28BCA9A3" w14:textId="77777777" w:rsidR="003D72BA" w:rsidRPr="00970E70" w:rsidRDefault="003D72BA" w:rsidP="00561AF2">
      <w:pPr>
        <w:pStyle w:val="ListParagraph"/>
        <w:numPr>
          <w:ilvl w:val="0"/>
          <w:numId w:val="14"/>
        </w:numPr>
        <w:rPr>
          <w:rFonts w:ascii="Calibri" w:hAnsi="Calibri" w:cstheme="majorHAnsi"/>
          <w:b/>
        </w:rPr>
      </w:pPr>
      <w:r w:rsidRPr="00970E70">
        <w:rPr>
          <w:rFonts w:ascii="Calibri" w:hAnsi="Calibri" w:cstheme="majorHAnsi"/>
          <w:b/>
        </w:rPr>
        <w:t xml:space="preserve">Interest rates and fees will increase </w:t>
      </w:r>
    </w:p>
    <w:p w14:paraId="68C4A89B" w14:textId="77777777" w:rsidR="003D72BA" w:rsidRPr="00970E70" w:rsidRDefault="003D72BA" w:rsidP="00561AF2">
      <w:pPr>
        <w:rPr>
          <w:rFonts w:ascii="Calibri" w:hAnsi="Calibri" w:cstheme="majorHAnsi"/>
        </w:rPr>
      </w:pPr>
      <w:r w:rsidRPr="00970E70">
        <w:rPr>
          <w:rFonts w:ascii="Calibri" w:hAnsi="Calibri" w:cstheme="majorHAnsi"/>
        </w:rPr>
        <w:t xml:space="preserve">Community-owned banks have already warned the RBA that they will be disproportionately affected by the Bank’s proposals and will almost certainly have to raise interest rates and fees on their customers: </w:t>
      </w:r>
    </w:p>
    <w:p w14:paraId="1F10F2E6" w14:textId="78363131" w:rsidR="003D72BA" w:rsidRPr="00561AF2" w:rsidRDefault="003D72BA" w:rsidP="00432AC2">
      <w:pPr>
        <w:ind w:left="720"/>
        <w:rPr>
          <w:rFonts w:ascii="Calibri" w:hAnsi="Calibri" w:cstheme="majorHAnsi"/>
          <w:sz w:val="20"/>
          <w:szCs w:val="20"/>
        </w:rPr>
      </w:pPr>
      <w:r w:rsidRPr="00561AF2">
        <w:rPr>
          <w:rFonts w:ascii="Calibri" w:hAnsi="Calibri" w:cstheme="majorHAnsi"/>
          <w:sz w:val="20"/>
          <w:szCs w:val="20"/>
        </w:rPr>
        <w:t>Given the major banks’ dominance of the credit card market, through their roles as card issuers and acquirers, reducing interchange fees for issuers is likely to have disproportionately greater impact on smaller card issuers that do not compete in the acquiring market. In this scenario, customer-owned banking institutions would likely need to increase credit card interest rates and fees. Merchants would continue to receive benefits provided by issuers however the costs of these benefits will be borne by a small issuer’s customers.</w:t>
      </w:r>
      <w:r w:rsidR="00432AC2">
        <w:rPr>
          <w:rStyle w:val="EndnoteReference"/>
          <w:rFonts w:ascii="Calibri" w:hAnsi="Calibri" w:cstheme="majorHAnsi"/>
          <w:sz w:val="20"/>
          <w:szCs w:val="20"/>
        </w:rPr>
        <w:endnoteReference w:id="20"/>
      </w:r>
      <w:r w:rsidRPr="00561AF2">
        <w:rPr>
          <w:rFonts w:ascii="Calibri" w:hAnsi="Calibri" w:cstheme="majorHAnsi"/>
          <w:sz w:val="20"/>
          <w:szCs w:val="20"/>
        </w:rPr>
        <w:t xml:space="preserve"> </w:t>
      </w:r>
    </w:p>
    <w:p w14:paraId="68431E8B" w14:textId="77777777" w:rsidR="003D72BA" w:rsidRPr="00970E70" w:rsidRDefault="003D72BA" w:rsidP="00561AF2">
      <w:pPr>
        <w:rPr>
          <w:rFonts w:ascii="Calibri" w:hAnsi="Calibri" w:cstheme="majorHAnsi"/>
        </w:rPr>
      </w:pPr>
      <w:r w:rsidRPr="00970E70">
        <w:rPr>
          <w:rFonts w:ascii="Calibri" w:hAnsi="Calibri" w:cstheme="majorHAnsi"/>
        </w:rPr>
        <w:t xml:space="preserve">This mirrors evidence from the USA, where smaller financial institutions rely more on interchange fees than interest rates (and were therefore exempted from the interchange fee caps enacted in 2010): </w:t>
      </w:r>
    </w:p>
    <w:p w14:paraId="71F7B527" w14:textId="385A66CF" w:rsidR="003D72BA" w:rsidRPr="00561AF2" w:rsidRDefault="003D72BA" w:rsidP="00432AC2">
      <w:pPr>
        <w:ind w:left="720"/>
        <w:rPr>
          <w:rFonts w:ascii="Calibri" w:hAnsi="Calibri" w:cstheme="majorHAnsi"/>
          <w:sz w:val="20"/>
          <w:szCs w:val="20"/>
        </w:rPr>
      </w:pPr>
      <w:r w:rsidRPr="00561AF2">
        <w:rPr>
          <w:rFonts w:ascii="Calibri" w:hAnsi="Calibri" w:cstheme="majorHAnsi"/>
          <w:sz w:val="20"/>
          <w:szCs w:val="20"/>
        </w:rPr>
        <w:t>Credit unions and community banks had a higher portion of cardholders who did not carry a balance or incur penalty fees, according to representatives of financial institutions, so they had to rely more on interchange fee revenues than revenues from fee income and interest payments.</w:t>
      </w:r>
      <w:r w:rsidR="00432AC2">
        <w:rPr>
          <w:rStyle w:val="EndnoteReference"/>
          <w:rFonts w:ascii="Calibri" w:hAnsi="Calibri" w:cstheme="majorHAnsi"/>
          <w:sz w:val="20"/>
          <w:szCs w:val="20"/>
        </w:rPr>
        <w:endnoteReference w:id="21"/>
      </w:r>
      <w:r w:rsidRPr="00561AF2">
        <w:rPr>
          <w:rFonts w:ascii="Calibri" w:hAnsi="Calibri" w:cstheme="majorHAnsi"/>
          <w:sz w:val="20"/>
          <w:szCs w:val="20"/>
        </w:rPr>
        <w:t xml:space="preserve"> </w:t>
      </w:r>
    </w:p>
    <w:p w14:paraId="46ED8045" w14:textId="77777777" w:rsidR="003D72BA" w:rsidRPr="00970E70" w:rsidRDefault="003D72BA" w:rsidP="00561AF2">
      <w:pPr>
        <w:rPr>
          <w:rFonts w:ascii="Calibri" w:hAnsi="Calibri" w:cstheme="majorHAnsi"/>
        </w:rPr>
      </w:pPr>
      <w:r w:rsidRPr="00970E70">
        <w:rPr>
          <w:rFonts w:ascii="Calibri" w:hAnsi="Calibri" w:cstheme="majorHAnsi"/>
        </w:rPr>
        <w:lastRenderedPageBreak/>
        <w:t xml:space="preserve">Visa too has warned that financial institutions will need to respond as already outlined: </w:t>
      </w:r>
    </w:p>
    <w:p w14:paraId="205EAE83" w14:textId="77777777" w:rsidR="003D72BA" w:rsidRPr="00561AF2" w:rsidRDefault="003D72BA" w:rsidP="00561AF2">
      <w:pPr>
        <w:ind w:left="720"/>
        <w:jc w:val="left"/>
        <w:rPr>
          <w:rFonts w:ascii="Calibri" w:hAnsi="Calibri" w:cstheme="majorHAnsi"/>
          <w:sz w:val="20"/>
          <w:szCs w:val="20"/>
        </w:rPr>
      </w:pPr>
      <w:r w:rsidRPr="00561AF2">
        <w:rPr>
          <w:rFonts w:ascii="Calibri" w:hAnsi="Calibri" w:cstheme="majorHAnsi"/>
          <w:sz w:val="20"/>
          <w:szCs w:val="20"/>
        </w:rPr>
        <w:t>Cap reductions will not only impact the respective position of merchants in the payments system, issuers too will need to respond. Issuing banks normally adjust their business models to ensure cost recovery through changes to product fees and charges and if interchange revenue is radically reduced by regulation they may need to respond in some of the following ways:</w:t>
      </w:r>
    </w:p>
    <w:p w14:paraId="23B8082B" w14:textId="6B6B481E" w:rsidR="003D72BA" w:rsidRPr="00561AF2" w:rsidRDefault="003D72BA" w:rsidP="00432AC2">
      <w:pPr>
        <w:ind w:left="720"/>
        <w:jc w:val="left"/>
        <w:rPr>
          <w:rFonts w:ascii="Calibri" w:hAnsi="Calibri" w:cstheme="majorHAnsi"/>
          <w:sz w:val="20"/>
          <w:szCs w:val="20"/>
        </w:rPr>
      </w:pPr>
      <w:r w:rsidRPr="00561AF2">
        <w:rPr>
          <w:rFonts w:ascii="Calibri" w:hAnsi="Calibri" w:cstheme="majorHAnsi"/>
          <w:sz w:val="20"/>
          <w:szCs w:val="20"/>
        </w:rPr>
        <w:t>increas</w:t>
      </w:r>
      <w:r w:rsidR="00561AF2">
        <w:rPr>
          <w:rFonts w:ascii="Calibri" w:hAnsi="Calibri" w:cstheme="majorHAnsi"/>
          <w:sz w:val="20"/>
          <w:szCs w:val="20"/>
        </w:rPr>
        <w:t>ing Credit card interest rates;</w:t>
      </w:r>
      <w:r w:rsidR="00561AF2">
        <w:rPr>
          <w:rFonts w:ascii="Calibri" w:hAnsi="Calibri" w:cstheme="majorHAnsi"/>
          <w:sz w:val="20"/>
          <w:szCs w:val="20"/>
        </w:rPr>
        <w:br/>
      </w:r>
      <w:r w:rsidRPr="00561AF2">
        <w:rPr>
          <w:rFonts w:ascii="Calibri" w:hAnsi="Calibri" w:cstheme="majorHAnsi"/>
          <w:sz w:val="20"/>
          <w:szCs w:val="20"/>
        </w:rPr>
        <w:t xml:space="preserve">increasing annual fees; and/or </w:t>
      </w:r>
      <w:r w:rsidR="00561AF2">
        <w:rPr>
          <w:rFonts w:ascii="Calibri" w:hAnsi="Calibri" w:cstheme="majorHAnsi"/>
          <w:sz w:val="20"/>
          <w:szCs w:val="20"/>
        </w:rPr>
        <w:br/>
      </w:r>
      <w:r w:rsidRPr="00561AF2">
        <w:rPr>
          <w:rFonts w:ascii="Calibri" w:hAnsi="Calibri" w:cstheme="majorHAnsi"/>
          <w:sz w:val="20"/>
          <w:szCs w:val="20"/>
        </w:rPr>
        <w:t xml:space="preserve">introducing a transaction fee; and </w:t>
      </w:r>
      <w:r w:rsidR="00561AF2">
        <w:rPr>
          <w:rFonts w:ascii="Calibri" w:hAnsi="Calibri" w:cstheme="majorHAnsi"/>
          <w:sz w:val="20"/>
          <w:szCs w:val="20"/>
        </w:rPr>
        <w:br/>
      </w:r>
      <w:r w:rsidRPr="00561AF2">
        <w:rPr>
          <w:rFonts w:ascii="Calibri" w:hAnsi="Calibri" w:cstheme="majorHAnsi"/>
          <w:sz w:val="20"/>
          <w:szCs w:val="20"/>
        </w:rPr>
        <w:t>diluting the loyalty program offerings and benefits.</w:t>
      </w:r>
      <w:r w:rsidR="00432AC2">
        <w:rPr>
          <w:rStyle w:val="EndnoteReference"/>
          <w:rFonts w:ascii="Calibri" w:hAnsi="Calibri" w:cstheme="majorHAnsi"/>
          <w:sz w:val="20"/>
          <w:szCs w:val="20"/>
        </w:rPr>
        <w:endnoteReference w:id="22"/>
      </w:r>
      <w:r w:rsidRPr="00561AF2">
        <w:rPr>
          <w:rFonts w:ascii="Calibri" w:hAnsi="Calibri" w:cstheme="majorHAnsi"/>
          <w:sz w:val="20"/>
          <w:szCs w:val="20"/>
        </w:rPr>
        <w:t xml:space="preserve"> </w:t>
      </w:r>
    </w:p>
    <w:p w14:paraId="661E28AB" w14:textId="5D0B046C" w:rsidR="003D72BA" w:rsidRDefault="003D72BA" w:rsidP="005123D4">
      <w:pPr>
        <w:rPr>
          <w:rFonts w:ascii="Calibri" w:hAnsi="Calibri" w:cstheme="majorHAnsi"/>
        </w:rPr>
      </w:pPr>
      <w:r w:rsidRPr="00970E70">
        <w:rPr>
          <w:rFonts w:ascii="Calibri" w:hAnsi="Calibri" w:cstheme="majorHAnsi"/>
        </w:rPr>
        <w:t xml:space="preserve">All the evidence from all over the world suggests that further caps on interchange fees will increase fees and costs to consumers. </w:t>
      </w:r>
      <w:r w:rsidR="005123D4">
        <w:rPr>
          <w:rFonts w:ascii="Calibri" w:hAnsi="Calibri" w:cstheme="majorHAnsi"/>
        </w:rPr>
        <w:t>In summary: in Spain there has been an increase in annual fees for standard four-party payment cards following interchange fee caps; in the United States, retailers have saved $8 billion per annum while consumers are paying higher costs for goods and services, higher banking fees and lower rewards; and in Europe there is a range of early signs of increased fees following the EU implementing a fixed cap on interchange fees in 2015.</w:t>
      </w:r>
      <w:r w:rsidR="005123D4">
        <w:rPr>
          <w:rStyle w:val="EndnoteReference"/>
          <w:rFonts w:ascii="Calibri" w:hAnsi="Calibri" w:cstheme="majorHAnsi"/>
        </w:rPr>
        <w:endnoteReference w:id="23"/>
      </w:r>
      <w:r w:rsidR="005123D4">
        <w:rPr>
          <w:rFonts w:ascii="Calibri" w:hAnsi="Calibri" w:cstheme="majorHAnsi"/>
        </w:rPr>
        <w:t xml:space="preserve"> </w:t>
      </w:r>
    </w:p>
    <w:p w14:paraId="2E0B1A2A" w14:textId="77777777" w:rsidR="003D72BA" w:rsidRPr="00970E70" w:rsidRDefault="003D72BA" w:rsidP="00561AF2">
      <w:pPr>
        <w:rPr>
          <w:rFonts w:ascii="Calibri" w:hAnsi="Calibri" w:cstheme="majorHAnsi"/>
        </w:rPr>
      </w:pPr>
      <w:r w:rsidRPr="00970E70">
        <w:rPr>
          <w:rFonts w:ascii="Calibri" w:hAnsi="Calibri" w:cstheme="majorHAnsi"/>
        </w:rPr>
        <w:t xml:space="preserve">Some financial institutions offer longer interest-free periods than others. Again, community-owned banks are more likely to have to reduce the length of these periods if their interchange fee revenue is reduced. </w:t>
      </w:r>
    </w:p>
    <w:p w14:paraId="7AF78243" w14:textId="0B2D295C" w:rsidR="003D72BA" w:rsidRPr="00970E70" w:rsidRDefault="003D72BA" w:rsidP="005123D4">
      <w:pPr>
        <w:rPr>
          <w:rFonts w:ascii="Calibri" w:hAnsi="Calibri" w:cstheme="majorHAnsi"/>
        </w:rPr>
      </w:pPr>
      <w:r w:rsidRPr="00970E70">
        <w:rPr>
          <w:rFonts w:ascii="Calibri" w:hAnsi="Calibri" w:cstheme="majorHAnsi"/>
        </w:rPr>
        <w:t xml:space="preserve">We consider the effects on reward and frequent flyer programs further, </w:t>
      </w:r>
      <w:r w:rsidR="005123D4">
        <w:rPr>
          <w:rFonts w:ascii="Calibri" w:hAnsi="Calibri" w:cstheme="majorHAnsi"/>
        </w:rPr>
        <w:t>under the section on competition and innovation</w:t>
      </w:r>
      <w:r w:rsidRPr="00970E70">
        <w:rPr>
          <w:rFonts w:ascii="Calibri" w:hAnsi="Calibri" w:cstheme="majorHAnsi"/>
        </w:rPr>
        <w:t xml:space="preserve">. </w:t>
      </w:r>
    </w:p>
    <w:p w14:paraId="044D4FB6" w14:textId="0A594F83" w:rsidR="003D72BA" w:rsidRPr="00970E70" w:rsidRDefault="003D72BA" w:rsidP="005123D4">
      <w:pPr>
        <w:pStyle w:val="ListParagraph"/>
        <w:numPr>
          <w:ilvl w:val="0"/>
          <w:numId w:val="14"/>
        </w:numPr>
        <w:rPr>
          <w:rFonts w:ascii="Calibri" w:hAnsi="Calibri" w:cstheme="majorHAnsi"/>
          <w:b/>
        </w:rPr>
      </w:pPr>
      <w:r w:rsidRPr="00970E70">
        <w:rPr>
          <w:rFonts w:ascii="Calibri" w:hAnsi="Calibri" w:cstheme="majorHAnsi"/>
          <w:b/>
        </w:rPr>
        <w:t xml:space="preserve">These </w:t>
      </w:r>
      <w:r w:rsidR="005123D4">
        <w:rPr>
          <w:rFonts w:ascii="Calibri" w:hAnsi="Calibri" w:cstheme="majorHAnsi"/>
          <w:b/>
        </w:rPr>
        <w:t>c</w:t>
      </w:r>
      <w:r w:rsidRPr="00970E70">
        <w:rPr>
          <w:rFonts w:ascii="Calibri" w:hAnsi="Calibri" w:cstheme="majorHAnsi"/>
          <w:b/>
        </w:rPr>
        <w:t xml:space="preserve">ost </w:t>
      </w:r>
      <w:r w:rsidR="005123D4">
        <w:rPr>
          <w:rFonts w:ascii="Calibri" w:hAnsi="Calibri" w:cstheme="majorHAnsi"/>
          <w:b/>
        </w:rPr>
        <w:t>i</w:t>
      </w:r>
      <w:r w:rsidRPr="00970E70">
        <w:rPr>
          <w:rFonts w:ascii="Calibri" w:hAnsi="Calibri" w:cstheme="majorHAnsi"/>
          <w:b/>
        </w:rPr>
        <w:t xml:space="preserve">ncreases </w:t>
      </w:r>
      <w:r w:rsidR="005123D4">
        <w:rPr>
          <w:rFonts w:ascii="Calibri" w:hAnsi="Calibri" w:cstheme="majorHAnsi"/>
          <w:b/>
        </w:rPr>
        <w:t>w</w:t>
      </w:r>
      <w:r w:rsidRPr="00970E70">
        <w:rPr>
          <w:rFonts w:ascii="Calibri" w:hAnsi="Calibri" w:cstheme="majorHAnsi"/>
          <w:b/>
        </w:rPr>
        <w:t xml:space="preserve">ill </w:t>
      </w:r>
      <w:r w:rsidR="005123D4">
        <w:rPr>
          <w:rFonts w:ascii="Calibri" w:hAnsi="Calibri" w:cstheme="majorHAnsi"/>
          <w:b/>
        </w:rPr>
        <w:t>h</w:t>
      </w:r>
      <w:r w:rsidRPr="00970E70">
        <w:rPr>
          <w:rFonts w:ascii="Calibri" w:hAnsi="Calibri" w:cstheme="majorHAnsi"/>
          <w:b/>
        </w:rPr>
        <w:t xml:space="preserve">arm the </w:t>
      </w:r>
      <w:r w:rsidR="005123D4">
        <w:rPr>
          <w:rFonts w:ascii="Calibri" w:hAnsi="Calibri" w:cstheme="majorHAnsi"/>
          <w:b/>
        </w:rPr>
        <w:t>p</w:t>
      </w:r>
      <w:r w:rsidRPr="00970E70">
        <w:rPr>
          <w:rFonts w:ascii="Calibri" w:hAnsi="Calibri" w:cstheme="majorHAnsi"/>
          <w:b/>
        </w:rPr>
        <w:t xml:space="preserve">oorer </w:t>
      </w:r>
      <w:r w:rsidR="005123D4">
        <w:rPr>
          <w:rFonts w:ascii="Calibri" w:hAnsi="Calibri" w:cstheme="majorHAnsi"/>
          <w:b/>
        </w:rPr>
        <w:t>b</w:t>
      </w:r>
      <w:r w:rsidRPr="00970E70">
        <w:rPr>
          <w:rFonts w:ascii="Calibri" w:hAnsi="Calibri" w:cstheme="majorHAnsi"/>
          <w:b/>
        </w:rPr>
        <w:t xml:space="preserve">ank </w:t>
      </w:r>
      <w:r w:rsidR="005123D4">
        <w:rPr>
          <w:rFonts w:ascii="Calibri" w:hAnsi="Calibri" w:cstheme="majorHAnsi"/>
          <w:b/>
        </w:rPr>
        <w:t>c</w:t>
      </w:r>
      <w:r w:rsidRPr="00970E70">
        <w:rPr>
          <w:rFonts w:ascii="Calibri" w:hAnsi="Calibri" w:cstheme="majorHAnsi"/>
          <w:b/>
        </w:rPr>
        <w:t xml:space="preserve">ustomers </w:t>
      </w:r>
    </w:p>
    <w:p w14:paraId="1CA5C393" w14:textId="2D9403A1" w:rsidR="00432AC2" w:rsidRDefault="003D72BA" w:rsidP="00432AC2">
      <w:pPr>
        <w:rPr>
          <w:rFonts w:ascii="Calibri" w:hAnsi="Calibri" w:cstheme="majorHAnsi"/>
        </w:rPr>
      </w:pPr>
      <w:r w:rsidRPr="00970E70">
        <w:rPr>
          <w:rFonts w:ascii="Calibri" w:hAnsi="Calibri" w:cstheme="majorHAnsi"/>
        </w:rPr>
        <w:t>One further point for this inquiry and the RBA to consider is the effect of the price increases discussed above on the poorest in society. This welfare cost is particularly badly felt among marginal groups like the “underbanked” and “unbanked” (those who cannot afford the full services of a bank account and rely on products like prepaid debit cards or payday loans). Research from America has shown that interchange fe</w:t>
      </w:r>
      <w:r w:rsidR="009E2921">
        <w:rPr>
          <w:rFonts w:ascii="Calibri" w:hAnsi="Calibri" w:cstheme="majorHAnsi"/>
        </w:rPr>
        <w:t xml:space="preserve">e caps on banks contributed to </w:t>
      </w:r>
      <w:r w:rsidR="009E2921" w:rsidRPr="009E2921">
        <w:rPr>
          <w:rFonts w:ascii="Calibri" w:hAnsi="Calibri" w:cstheme="majorHAnsi"/>
          <w:i/>
          <w:iCs/>
        </w:rPr>
        <w:t>one</w:t>
      </w:r>
      <w:r w:rsidRPr="00970E70">
        <w:rPr>
          <w:rFonts w:ascii="Calibri" w:hAnsi="Calibri" w:cstheme="majorHAnsi"/>
        </w:rPr>
        <w:t xml:space="preserve"> </w:t>
      </w:r>
      <w:r w:rsidRPr="00970E70">
        <w:rPr>
          <w:rFonts w:ascii="Calibri" w:hAnsi="Calibri" w:cstheme="majorHAnsi"/>
          <w:i/>
          <w:iCs/>
        </w:rPr>
        <w:t xml:space="preserve">million </w:t>
      </w:r>
      <w:r w:rsidRPr="00970E70">
        <w:rPr>
          <w:rFonts w:ascii="Calibri" w:hAnsi="Calibri" w:cstheme="majorHAnsi"/>
        </w:rPr>
        <w:t>poorer Americans being forced out of the banking system altogether.</w:t>
      </w:r>
      <w:r w:rsidR="00432AC2">
        <w:rPr>
          <w:rStyle w:val="EndnoteReference"/>
          <w:rFonts w:ascii="Calibri" w:hAnsi="Calibri" w:cstheme="majorHAnsi"/>
        </w:rPr>
        <w:endnoteReference w:id="24"/>
      </w:r>
      <w:r w:rsidRPr="00970E70">
        <w:rPr>
          <w:rFonts w:ascii="Calibri" w:hAnsi="Calibri" w:cstheme="majorHAnsi"/>
        </w:rPr>
        <w:t xml:space="preserve"> </w:t>
      </w:r>
    </w:p>
    <w:p w14:paraId="24F7A6E6" w14:textId="00792563" w:rsidR="003D72BA" w:rsidRPr="009E2921" w:rsidRDefault="009E2921" w:rsidP="009E2921">
      <w:pPr>
        <w:rPr>
          <w:rFonts w:ascii="Calibri" w:hAnsi="Calibri" w:cstheme="majorHAnsi"/>
        </w:rPr>
      </w:pPr>
      <w:r w:rsidRPr="009E2921">
        <w:rPr>
          <w:rFonts w:ascii="Calibri" w:hAnsi="Calibri"/>
          <w:lang w:val="en-US"/>
        </w:rPr>
        <w:t>Laws requiring no-frills bank accounts notwithstanding, the worst economic effects are always felt at the margins.</w:t>
      </w:r>
      <w:r w:rsidRPr="009E2921">
        <w:rPr>
          <w:rFonts w:ascii="Calibri" w:hAnsi="Calibri" w:cstheme="majorHAnsi"/>
        </w:rPr>
        <w:t xml:space="preserve"> </w:t>
      </w:r>
      <w:r w:rsidR="003D72BA" w:rsidRPr="009E2921">
        <w:rPr>
          <w:rFonts w:ascii="Calibri" w:hAnsi="Calibri" w:cstheme="majorHAnsi"/>
        </w:rPr>
        <w:t>Further increases in costs to consumers may indeed force some people down the chain</w:t>
      </w:r>
      <w:r w:rsidRPr="009E2921">
        <w:rPr>
          <w:rFonts w:ascii="Calibri" w:hAnsi="Calibri" w:cstheme="majorHAnsi"/>
        </w:rPr>
        <w:t>:</w:t>
      </w:r>
      <w:r w:rsidR="003D72BA" w:rsidRPr="009E2921">
        <w:rPr>
          <w:rFonts w:ascii="Calibri" w:hAnsi="Calibri" w:cstheme="majorHAnsi"/>
        </w:rPr>
        <w:t xml:space="preserve"> </w:t>
      </w:r>
    </w:p>
    <w:p w14:paraId="4BCA9EB8" w14:textId="77777777" w:rsidR="003D72BA" w:rsidRPr="009E2921" w:rsidRDefault="003D72BA" w:rsidP="00561AF2">
      <w:pPr>
        <w:rPr>
          <w:rFonts w:ascii="Calibri" w:hAnsi="Calibri" w:cstheme="majorHAnsi"/>
        </w:rPr>
      </w:pPr>
      <w:r w:rsidRPr="009E2921">
        <w:rPr>
          <w:rFonts w:ascii="Calibri" w:hAnsi="Calibri" w:cstheme="majorHAnsi"/>
        </w:rPr>
        <w:t xml:space="preserve">Credit </w:t>
      </w:r>
      <w:r w:rsidRPr="009E2921">
        <w:rPr>
          <w:rFonts w:ascii="Calibri" w:hAnsi="Calibri" w:cstheme="majorHAnsi"/>
        </w:rPr>
        <w:sym w:font="Wingdings" w:char="F0E0"/>
      </w:r>
      <w:r w:rsidRPr="009E2921">
        <w:rPr>
          <w:rFonts w:ascii="Calibri" w:hAnsi="Calibri" w:cstheme="majorHAnsi"/>
        </w:rPr>
        <w:t xml:space="preserve"> Debit </w:t>
      </w:r>
      <w:r w:rsidRPr="009E2921">
        <w:rPr>
          <w:rFonts w:ascii="Calibri" w:hAnsi="Calibri" w:cstheme="majorHAnsi"/>
        </w:rPr>
        <w:sym w:font="Wingdings" w:char="F0E0"/>
      </w:r>
      <w:r w:rsidRPr="009E2921">
        <w:rPr>
          <w:rFonts w:ascii="Calibri" w:hAnsi="Calibri" w:cstheme="majorHAnsi"/>
        </w:rPr>
        <w:t xml:space="preserve"> EFTPOS </w:t>
      </w:r>
    </w:p>
    <w:p w14:paraId="3737D887" w14:textId="429BFB91" w:rsidR="003D72BA" w:rsidRPr="009E2921" w:rsidRDefault="003D72BA" w:rsidP="00561AF2">
      <w:pPr>
        <w:rPr>
          <w:rFonts w:ascii="Calibri" w:hAnsi="Calibri" w:cstheme="majorHAnsi"/>
        </w:rPr>
      </w:pPr>
      <w:r w:rsidRPr="009E2921">
        <w:rPr>
          <w:rFonts w:ascii="Calibri" w:hAnsi="Calibri" w:cstheme="majorHAnsi"/>
        </w:rPr>
        <w:t>But it might well have the effect of adding another link to the chain</w:t>
      </w:r>
      <w:r w:rsidR="009E2921" w:rsidRPr="009E2921">
        <w:rPr>
          <w:rFonts w:ascii="Calibri" w:hAnsi="Calibri" w:cstheme="majorHAnsi"/>
        </w:rPr>
        <w:t>:</w:t>
      </w:r>
      <w:r w:rsidRPr="009E2921">
        <w:rPr>
          <w:rFonts w:ascii="Calibri" w:hAnsi="Calibri" w:cstheme="majorHAnsi"/>
        </w:rPr>
        <w:t xml:space="preserve"> </w:t>
      </w:r>
    </w:p>
    <w:p w14:paraId="747A8B28" w14:textId="77777777" w:rsidR="003D72BA" w:rsidRPr="009E2921" w:rsidRDefault="003D72BA" w:rsidP="00561AF2">
      <w:pPr>
        <w:rPr>
          <w:rFonts w:ascii="Calibri" w:hAnsi="Calibri" w:cstheme="majorHAnsi"/>
        </w:rPr>
      </w:pPr>
      <w:r w:rsidRPr="009E2921">
        <w:rPr>
          <w:rFonts w:ascii="Calibri" w:hAnsi="Calibri" w:cstheme="majorHAnsi"/>
        </w:rPr>
        <w:t xml:space="preserve">Credit </w:t>
      </w:r>
      <w:r w:rsidRPr="009E2921">
        <w:rPr>
          <w:rFonts w:ascii="Calibri" w:hAnsi="Calibri" w:cstheme="majorHAnsi"/>
        </w:rPr>
        <w:sym w:font="Wingdings" w:char="F0E0"/>
      </w:r>
      <w:r w:rsidRPr="009E2921">
        <w:rPr>
          <w:rFonts w:ascii="Calibri" w:hAnsi="Calibri" w:cstheme="majorHAnsi"/>
        </w:rPr>
        <w:t xml:space="preserve"> Debit </w:t>
      </w:r>
      <w:r w:rsidRPr="009E2921">
        <w:rPr>
          <w:rFonts w:ascii="Calibri" w:hAnsi="Calibri" w:cstheme="majorHAnsi"/>
        </w:rPr>
        <w:sym w:font="Wingdings" w:char="F0E0"/>
      </w:r>
      <w:r w:rsidRPr="009E2921">
        <w:rPr>
          <w:rFonts w:ascii="Calibri" w:hAnsi="Calibri" w:cstheme="majorHAnsi"/>
        </w:rPr>
        <w:t xml:space="preserve"> EFTPOS </w:t>
      </w:r>
      <w:r w:rsidRPr="009E2921">
        <w:rPr>
          <w:rFonts w:ascii="Calibri" w:hAnsi="Calibri" w:cstheme="majorHAnsi"/>
        </w:rPr>
        <w:sym w:font="Wingdings" w:char="F0E0"/>
      </w:r>
      <w:r w:rsidRPr="009E2921">
        <w:rPr>
          <w:rFonts w:ascii="Calibri" w:hAnsi="Calibri" w:cstheme="majorHAnsi"/>
        </w:rPr>
        <w:t xml:space="preserve">Unbanked </w:t>
      </w:r>
    </w:p>
    <w:p w14:paraId="1C396EC0" w14:textId="77777777" w:rsidR="003D72BA" w:rsidRPr="00970E70" w:rsidRDefault="003D72BA" w:rsidP="00561AF2">
      <w:pPr>
        <w:rPr>
          <w:rFonts w:ascii="Calibri" w:hAnsi="Calibri" w:cstheme="majorHAnsi"/>
        </w:rPr>
      </w:pPr>
      <w:r w:rsidRPr="00970E70">
        <w:rPr>
          <w:rFonts w:ascii="Calibri" w:hAnsi="Calibri" w:cstheme="majorHAnsi"/>
        </w:rPr>
        <w:t>If this is the case, and evidence from America suggests it might well be, then the effect of interchange fee regulation will not just be to increase credit card rates and fees on the wealthy, but to force thousands of people at the margins of society into greater poverty.</w:t>
      </w:r>
    </w:p>
    <w:p w14:paraId="625A80E8" w14:textId="77777777" w:rsidR="003D72BA" w:rsidRPr="00970E70" w:rsidRDefault="003D72BA" w:rsidP="00561AF2">
      <w:pPr>
        <w:pStyle w:val="ListParagraph"/>
        <w:numPr>
          <w:ilvl w:val="0"/>
          <w:numId w:val="14"/>
        </w:numPr>
        <w:rPr>
          <w:rFonts w:ascii="Calibri" w:hAnsi="Calibri" w:cstheme="majorHAnsi"/>
          <w:b/>
        </w:rPr>
      </w:pPr>
      <w:r w:rsidRPr="00970E70">
        <w:rPr>
          <w:rFonts w:ascii="Calibri" w:hAnsi="Calibri" w:cstheme="majorHAnsi"/>
          <w:b/>
        </w:rPr>
        <w:t xml:space="preserve">Effect on smaller banks and low-cost cards </w:t>
      </w:r>
    </w:p>
    <w:p w14:paraId="45103739" w14:textId="77777777" w:rsidR="003D72BA" w:rsidRPr="00970E70" w:rsidRDefault="003D72BA" w:rsidP="00561AF2">
      <w:pPr>
        <w:rPr>
          <w:rFonts w:ascii="Calibri" w:hAnsi="Calibri" w:cstheme="majorHAnsi"/>
        </w:rPr>
      </w:pPr>
      <w:r w:rsidRPr="00970E70">
        <w:rPr>
          <w:rFonts w:ascii="Calibri" w:hAnsi="Calibri" w:cstheme="majorHAnsi"/>
        </w:rPr>
        <w:lastRenderedPageBreak/>
        <w:t xml:space="preserve">Lowering interchange fees will mean some, predominantly smaller, banks will have a reduced capacity to provide low-cost cards because of the need to cover the previously-eligible costs of transaction processing and authorisation. The Community Owned Banking association warned the RBA: </w:t>
      </w:r>
    </w:p>
    <w:p w14:paraId="57FEA796" w14:textId="1BE42C75" w:rsidR="003D72BA" w:rsidRPr="00561AF2" w:rsidRDefault="003D72BA" w:rsidP="00432AC2">
      <w:pPr>
        <w:ind w:left="720"/>
        <w:rPr>
          <w:rFonts w:ascii="Calibri" w:hAnsi="Calibri" w:cstheme="majorHAnsi"/>
          <w:sz w:val="20"/>
          <w:szCs w:val="20"/>
        </w:rPr>
      </w:pPr>
      <w:r w:rsidRPr="00561AF2">
        <w:rPr>
          <w:rFonts w:ascii="Calibri" w:hAnsi="Calibri" w:cstheme="majorHAnsi"/>
          <w:sz w:val="20"/>
          <w:szCs w:val="20"/>
        </w:rPr>
        <w:t>To continue to offer market-leading, low-cost credit cards, it is vital that COBA members be able to rely on the current level of interchange fees to cover the eligible costs of issuance. Transaction processing and authorisation, fraud and fraud prevention and the provision of an interest-free period are significant costs that, if not recovered through interchange fees, would reduce the capacity of customer-owned banking institutions to offer affordable, low-cost credit cards.</w:t>
      </w:r>
      <w:r w:rsidR="00432AC2">
        <w:rPr>
          <w:rStyle w:val="EndnoteReference"/>
          <w:rFonts w:ascii="Calibri" w:hAnsi="Calibri" w:cstheme="majorHAnsi"/>
          <w:sz w:val="20"/>
          <w:szCs w:val="20"/>
        </w:rPr>
        <w:endnoteReference w:id="25"/>
      </w:r>
      <w:r w:rsidRPr="00561AF2">
        <w:rPr>
          <w:rFonts w:ascii="Calibri" w:hAnsi="Calibri" w:cstheme="majorHAnsi"/>
          <w:sz w:val="20"/>
          <w:szCs w:val="20"/>
        </w:rPr>
        <w:t xml:space="preserve"> </w:t>
      </w:r>
    </w:p>
    <w:p w14:paraId="5F6FFE21" w14:textId="77777777" w:rsidR="003D72BA" w:rsidRPr="00970E70" w:rsidRDefault="003D72BA" w:rsidP="00561AF2">
      <w:pPr>
        <w:rPr>
          <w:rFonts w:ascii="Calibri" w:hAnsi="Calibri" w:cstheme="majorHAnsi"/>
        </w:rPr>
      </w:pPr>
      <w:r w:rsidRPr="00970E70">
        <w:rPr>
          <w:rFonts w:ascii="Calibri" w:hAnsi="Calibri" w:cstheme="majorHAnsi"/>
        </w:rPr>
        <w:t xml:space="preserve">The above discussion goes the Australian Taxpayers’ Alliance submission that reducing the weighted-average interchange fee would be the worst course of action for the Board to take.  By contrast, the best course of action to maximise consumer welfare would be to remove interchange fee regulation altogether.  </w:t>
      </w:r>
    </w:p>
    <w:p w14:paraId="6675339E" w14:textId="77777777" w:rsidR="003D72BA" w:rsidRPr="00561AF2" w:rsidRDefault="003D72BA" w:rsidP="00561AF2">
      <w:pPr>
        <w:pStyle w:val="Heading2"/>
        <w:rPr>
          <w:color w:val="auto"/>
        </w:rPr>
      </w:pPr>
      <w:r w:rsidRPr="00561AF2">
        <w:rPr>
          <w:color w:val="auto"/>
        </w:rPr>
        <w:t xml:space="preserve">Competition and innovation </w:t>
      </w:r>
    </w:p>
    <w:p w14:paraId="6D219D03" w14:textId="50324C99" w:rsidR="003D72BA" w:rsidRPr="00561AF2" w:rsidRDefault="003D72BA" w:rsidP="008B1348">
      <w:pPr>
        <w:jc w:val="left"/>
        <w:rPr>
          <w:rFonts w:ascii="Calibri" w:hAnsi="Calibri"/>
        </w:rPr>
      </w:pPr>
      <w:r w:rsidRPr="00970E70">
        <w:rPr>
          <w:rFonts w:ascii="Calibri" w:hAnsi="Calibri"/>
        </w:rPr>
        <w:t xml:space="preserve">Competition is a driver of innovation in the financial services sector, yet interchange fee </w:t>
      </w:r>
      <w:r w:rsidRPr="00561AF2">
        <w:rPr>
          <w:rFonts w:ascii="Calibri" w:hAnsi="Calibri"/>
        </w:rPr>
        <w:t xml:space="preserve">regulation limits an important aspect of competition in the market. The Consultation Paper takes a clear position against premium credit cards. The Draft Standards clearly target premium credit cards tied to reward and frequent flyer programs. For example, the Consultation Paper states that: </w:t>
      </w:r>
    </w:p>
    <w:p w14:paraId="3D918030" w14:textId="77777777" w:rsidR="003D72BA" w:rsidRPr="00561AF2" w:rsidRDefault="003D72BA" w:rsidP="00561AF2">
      <w:pPr>
        <w:ind w:left="720"/>
        <w:jc w:val="left"/>
        <w:rPr>
          <w:rFonts w:ascii="Calibri" w:eastAsia="Times New Roman" w:hAnsi="Calibri" w:cs="Times New Roman"/>
          <w:sz w:val="20"/>
          <w:szCs w:val="20"/>
        </w:rPr>
      </w:pPr>
      <w:r w:rsidRPr="00561AF2">
        <w:rPr>
          <w:rFonts w:ascii="Calibri" w:eastAsia="Times New Roman" w:hAnsi="Calibri" w:cs="Times New Roman"/>
          <w:sz w:val="20"/>
          <w:szCs w:val="20"/>
        </w:rPr>
        <w:t xml:space="preserve">The reduction in interchange fees, especially the cap on the highest credit card rates, is likely to result in some reduction in the generosity of rewards programs on premium cards. It is likely, however, that there would be only limited changes to other elements of the credit card package (e.g. interest rates, interest-free periods). (p. 38) </w:t>
      </w:r>
    </w:p>
    <w:p w14:paraId="169B9CC0" w14:textId="77777777" w:rsidR="008B1348" w:rsidRPr="00561AF2" w:rsidRDefault="008B1348" w:rsidP="008B1348">
      <w:pPr>
        <w:jc w:val="left"/>
        <w:rPr>
          <w:rFonts w:ascii="Calibri" w:hAnsi="Calibri"/>
        </w:rPr>
      </w:pPr>
      <w:r w:rsidRPr="00561AF2">
        <w:rPr>
          <w:rFonts w:ascii="Calibri" w:hAnsi="Calibri"/>
        </w:rPr>
        <w:t xml:space="preserve">It seems that the Board’s view is that premium cards, with relatively higher interchange fee arrangements, are unnecessary – this substitutes a subjective value judgment for basic market function. Premium cards exist because the parties in the system—consumers, merchants and </w:t>
      </w:r>
      <w:r>
        <w:rPr>
          <w:rFonts w:ascii="Calibri" w:hAnsi="Calibri"/>
        </w:rPr>
        <w:t>banks –</w:t>
      </w:r>
      <w:r w:rsidRPr="00561AF2">
        <w:rPr>
          <w:rFonts w:ascii="Calibri" w:hAnsi="Calibri"/>
        </w:rPr>
        <w:t xml:space="preserve"> find value in them.  They would not exist if they did not increase net spend for merchants and provide value for consumers—this is true as well for merchant rewards programs that are not linked to credit. </w:t>
      </w:r>
    </w:p>
    <w:p w14:paraId="11EF9445" w14:textId="3E53AF1C" w:rsidR="003D72BA" w:rsidRDefault="003D72BA" w:rsidP="008B1348">
      <w:pPr>
        <w:jc w:val="left"/>
        <w:rPr>
          <w:rStyle w:val="apple-converted-space"/>
          <w:rFonts w:ascii="Calibri" w:hAnsi="Calibri" w:cs="Segoe UI"/>
        </w:rPr>
      </w:pPr>
      <w:r w:rsidRPr="00561AF2">
        <w:rPr>
          <w:rStyle w:val="normaltextrun"/>
          <w:rFonts w:ascii="Calibri" w:hAnsi="Calibri" w:cs="Segoe UI"/>
        </w:rPr>
        <w:t>In Australia there are over 100 financial products linking credit cards to frequent flyer programs and credit cards. For instance, every major bank in Australia has</w:t>
      </w:r>
      <w:r w:rsidRPr="00561AF2">
        <w:rPr>
          <w:rStyle w:val="apple-converted-space"/>
          <w:rFonts w:ascii="Calibri" w:hAnsi="Calibri" w:cs="Segoe UI"/>
        </w:rPr>
        <w:t> </w:t>
      </w:r>
      <w:r w:rsidRPr="00561AF2">
        <w:rPr>
          <w:rStyle w:val="normaltextrun"/>
          <w:rFonts w:ascii="Calibri" w:hAnsi="Calibri" w:cs="Segoe UI"/>
        </w:rPr>
        <w:t>a co-branded Qantas credit card. Virgin’s Velocity is not far behind, with co-branded arranged with NAB and American Express, and arrangements with other banks’ rewards schemes.</w:t>
      </w:r>
      <w:r w:rsidRPr="00561AF2">
        <w:rPr>
          <w:rStyle w:val="apple-converted-space"/>
          <w:rFonts w:ascii="Calibri" w:hAnsi="Calibri" w:cs="Segoe UI"/>
        </w:rPr>
        <w:t> </w:t>
      </w:r>
      <w:r w:rsidRPr="00561AF2">
        <w:rPr>
          <w:rStyle w:val="normaltextrun"/>
          <w:rFonts w:ascii="Calibri" w:hAnsi="Calibri" w:cs="Segoe UI"/>
        </w:rPr>
        <w:t>Th</w:t>
      </w:r>
      <w:r w:rsidR="006A36A5">
        <w:rPr>
          <w:rStyle w:val="normaltextrun"/>
          <w:rFonts w:ascii="Calibri" w:hAnsi="Calibri" w:cs="Segoe UI"/>
        </w:rPr>
        <w:t>ese</w:t>
      </w:r>
      <w:r w:rsidR="00F5307B">
        <w:rPr>
          <w:rStyle w:val="normaltextrun"/>
          <w:rFonts w:ascii="Calibri" w:hAnsi="Calibri" w:cs="Segoe UI"/>
        </w:rPr>
        <w:t xml:space="preserve"> arrangements</w:t>
      </w:r>
      <w:r w:rsidRPr="00561AF2">
        <w:rPr>
          <w:rStyle w:val="normaltextrun"/>
          <w:rFonts w:ascii="Calibri" w:hAnsi="Calibri" w:cs="Segoe UI"/>
        </w:rPr>
        <w:t xml:space="preserve"> </w:t>
      </w:r>
      <w:r w:rsidR="006A36A5">
        <w:rPr>
          <w:rStyle w:val="normaltextrun"/>
          <w:rFonts w:ascii="Calibri" w:hAnsi="Calibri" w:cs="Segoe UI"/>
        </w:rPr>
        <w:t>are a point of competitive difference, promoting</w:t>
      </w:r>
      <w:r w:rsidRPr="00561AF2">
        <w:rPr>
          <w:rStyle w:val="normaltextrun"/>
          <w:rFonts w:ascii="Calibri" w:hAnsi="Calibri" w:cs="Segoe UI"/>
        </w:rPr>
        <w:t xml:space="preserve"> competition and innovation in the financial sector.</w:t>
      </w:r>
      <w:r w:rsidRPr="00561AF2">
        <w:rPr>
          <w:rStyle w:val="apple-converted-space"/>
          <w:rFonts w:ascii="Calibri" w:hAnsi="Calibri" w:cs="Segoe UI"/>
        </w:rPr>
        <w:t> </w:t>
      </w:r>
      <w:r w:rsidR="008B1348">
        <w:rPr>
          <w:rStyle w:val="apple-converted-space"/>
          <w:rFonts w:ascii="Calibri" w:hAnsi="Calibri" w:cs="Segoe UI"/>
        </w:rPr>
        <w:t>C</w:t>
      </w:r>
      <w:r w:rsidR="00F5307B">
        <w:rPr>
          <w:rStyle w:val="apple-converted-space"/>
          <w:rFonts w:ascii="Calibri" w:hAnsi="Calibri" w:cs="Segoe UI"/>
        </w:rPr>
        <w:t>onsumers value these programs, as evidence</w:t>
      </w:r>
      <w:r w:rsidR="008B1348">
        <w:rPr>
          <w:rStyle w:val="apple-converted-space"/>
          <w:rFonts w:ascii="Calibri" w:hAnsi="Calibri" w:cs="Segoe UI"/>
        </w:rPr>
        <w:t>d</w:t>
      </w:r>
      <w:r w:rsidR="00F5307B">
        <w:rPr>
          <w:rStyle w:val="apple-converted-space"/>
          <w:rFonts w:ascii="Calibri" w:hAnsi="Calibri" w:cs="Segoe UI"/>
        </w:rPr>
        <w:t xml:space="preserve"> from the recent decision by Woolworths Ltd to </w:t>
      </w:r>
      <w:r w:rsidR="008B1348">
        <w:rPr>
          <w:rStyle w:val="apple-converted-space"/>
          <w:rFonts w:ascii="Calibri" w:hAnsi="Calibri" w:cs="Segoe UI"/>
        </w:rPr>
        <w:t>reverse its</w:t>
      </w:r>
      <w:r w:rsidR="00F5307B">
        <w:rPr>
          <w:rStyle w:val="apple-converted-space"/>
          <w:rFonts w:ascii="Calibri" w:hAnsi="Calibri" w:cs="Segoe UI"/>
        </w:rPr>
        <w:t xml:space="preserve"> decision to scrap its partnership with Qantas Frequent Flyer </w:t>
      </w:r>
      <w:r w:rsidR="008B1348">
        <w:rPr>
          <w:rStyle w:val="apple-converted-space"/>
          <w:rFonts w:ascii="Calibri" w:hAnsi="Calibri" w:cs="Segoe UI"/>
        </w:rPr>
        <w:t>following</w:t>
      </w:r>
      <w:r w:rsidR="00F5307B">
        <w:rPr>
          <w:rStyle w:val="apple-converted-space"/>
          <w:rFonts w:ascii="Calibri" w:hAnsi="Calibri" w:cs="Segoe UI"/>
        </w:rPr>
        <w:t xml:space="preserve"> an intense consumer backlash.</w:t>
      </w:r>
      <w:r w:rsidR="00F5307B">
        <w:rPr>
          <w:rStyle w:val="EndnoteReference"/>
          <w:rFonts w:ascii="Calibri" w:hAnsi="Calibri" w:cs="Segoe UI"/>
        </w:rPr>
        <w:endnoteReference w:id="26"/>
      </w:r>
      <w:r w:rsidR="00F5307B">
        <w:rPr>
          <w:rStyle w:val="apple-converted-space"/>
          <w:rFonts w:ascii="Calibri" w:hAnsi="Calibri" w:cs="Segoe UI"/>
        </w:rPr>
        <w:t xml:space="preserve"> </w:t>
      </w:r>
    </w:p>
    <w:p w14:paraId="2F17E4F2" w14:textId="77777777" w:rsidR="003D72BA" w:rsidRPr="00561AF2" w:rsidRDefault="003D72BA" w:rsidP="00561AF2">
      <w:pPr>
        <w:jc w:val="left"/>
        <w:rPr>
          <w:rStyle w:val="normaltextrun"/>
          <w:rFonts w:ascii="Calibri" w:hAnsi="Calibri" w:cs="Segoe UI"/>
        </w:rPr>
      </w:pPr>
      <w:r w:rsidRPr="00561AF2">
        <w:rPr>
          <w:rStyle w:val="normaltextrun"/>
          <w:rFonts w:ascii="Calibri" w:hAnsi="Calibri" w:cs="Segoe UI"/>
        </w:rPr>
        <w:t>Increased regulation of interchange fees – whether it is lowering the weighted-average, or putting in place a binding cap - will have the effect of banning these premium credit cards. It is feared that this will stifle competition, and harm consumers – a point which the Board appears to concede, at page 24 of the Consultation Paper, as it notes that banning premium cards “</w:t>
      </w:r>
      <w:r w:rsidRPr="00561AF2">
        <w:rPr>
          <w:rFonts w:ascii="Calibri" w:eastAsia="Calibri" w:hAnsi="Calibri" w:cs="Times New Roman"/>
        </w:rPr>
        <w:t xml:space="preserve">would also increase the importance of addressing the issue of competitive neutrality </w:t>
      </w:r>
      <w:r w:rsidRPr="00561AF2">
        <w:rPr>
          <w:rFonts w:ascii="Calibri" w:eastAsia="Calibri" w:hAnsi="Calibri" w:cs="Times New Roman"/>
        </w:rPr>
        <w:lastRenderedPageBreak/>
        <w:t xml:space="preserve">and companion cards”. Of course, competitive neutrality would not need to be addressed if interchange fees were removed altogether. </w:t>
      </w:r>
    </w:p>
    <w:p w14:paraId="42B6F580" w14:textId="77777777" w:rsidR="003D72BA" w:rsidRPr="00970E70" w:rsidRDefault="003D72BA" w:rsidP="00561AF2">
      <w:pPr>
        <w:jc w:val="left"/>
        <w:rPr>
          <w:rStyle w:val="normaltextrun"/>
          <w:rFonts w:ascii="Calibri" w:hAnsi="Calibri" w:cs="Segoe UI"/>
        </w:rPr>
      </w:pPr>
      <w:r w:rsidRPr="00970E70">
        <w:rPr>
          <w:rStyle w:val="normaltextrun"/>
          <w:rFonts w:ascii="Calibri" w:hAnsi="Calibri" w:cs="Segoe UI"/>
        </w:rPr>
        <w:t xml:space="preserve">Further, the targeting of premium cards goes well beyond the RBA’s brief. The RBA should not have the power to micro-manage which cards consumers have access to. Such interference in a highly competitive market is simply unjustifiable in a liberal market-based economy.  </w:t>
      </w:r>
    </w:p>
    <w:p w14:paraId="7E4EF561" w14:textId="66CEEACE" w:rsidR="00561AF2" w:rsidRDefault="003D72BA" w:rsidP="00561AF2">
      <w:pPr>
        <w:jc w:val="left"/>
        <w:rPr>
          <w:rStyle w:val="normaltextrun"/>
          <w:rFonts w:ascii="Calibri" w:hAnsi="Calibri" w:cs="Segoe UI"/>
        </w:rPr>
      </w:pPr>
      <w:r w:rsidRPr="00970E70">
        <w:rPr>
          <w:rStyle w:val="normaltextrun"/>
          <w:rFonts w:ascii="Calibri" w:hAnsi="Calibri" w:cs="Segoe UI"/>
        </w:rPr>
        <w:t xml:space="preserve">Lastly, interchange fees </w:t>
      </w:r>
      <w:r w:rsidR="00F42E35">
        <w:rPr>
          <w:rStyle w:val="normaltextrun"/>
          <w:rFonts w:ascii="Calibri" w:hAnsi="Calibri" w:cs="Segoe UI"/>
        </w:rPr>
        <w:t>contribute heavily</w:t>
      </w:r>
      <w:r w:rsidR="00561AF2">
        <w:rPr>
          <w:rStyle w:val="normaltextrun"/>
          <w:rFonts w:ascii="Calibri" w:hAnsi="Calibri" w:cs="Segoe UI"/>
        </w:rPr>
        <w:t xml:space="preserve"> </w:t>
      </w:r>
      <w:r w:rsidRPr="00970E70">
        <w:rPr>
          <w:rStyle w:val="normaltextrun"/>
          <w:rFonts w:ascii="Calibri" w:hAnsi="Calibri" w:cs="Segoe UI"/>
        </w:rPr>
        <w:t xml:space="preserve">to </w:t>
      </w:r>
      <w:r w:rsidR="00F42E35">
        <w:rPr>
          <w:rStyle w:val="normaltextrun"/>
          <w:rFonts w:ascii="Calibri" w:hAnsi="Calibri" w:cs="Segoe UI"/>
        </w:rPr>
        <w:t xml:space="preserve">the </w:t>
      </w:r>
      <w:r w:rsidRPr="00970E70">
        <w:rPr>
          <w:rStyle w:val="normaltextrun"/>
          <w:rFonts w:ascii="Calibri" w:hAnsi="Calibri" w:cs="Segoe UI"/>
        </w:rPr>
        <w:t>fund</w:t>
      </w:r>
      <w:r w:rsidR="00F42E35">
        <w:rPr>
          <w:rStyle w:val="normaltextrun"/>
          <w:rFonts w:ascii="Calibri" w:hAnsi="Calibri" w:cs="Segoe UI"/>
        </w:rPr>
        <w:t>ing of</w:t>
      </w:r>
      <w:r w:rsidRPr="00970E70">
        <w:rPr>
          <w:rStyle w:val="normaltextrun"/>
          <w:rFonts w:ascii="Calibri" w:hAnsi="Calibri" w:cs="Segoe UI"/>
        </w:rPr>
        <w:t xml:space="preserve"> innovation, which is the gateway for future competition in the payment systems market. </w:t>
      </w:r>
      <w:r w:rsidR="00561AF2">
        <w:rPr>
          <w:rFonts w:ascii="Calibri" w:hAnsi="Calibri"/>
        </w:rPr>
        <w:t>L</w:t>
      </w:r>
      <w:r w:rsidR="00561AF2" w:rsidRPr="00970E70">
        <w:rPr>
          <w:rFonts w:ascii="Calibri" w:hAnsi="Calibri"/>
        </w:rPr>
        <w:t>ower interchange fees reduce incentives to innovate – slowing future competitive pressures.</w:t>
      </w:r>
    </w:p>
    <w:p w14:paraId="7FF50451" w14:textId="61E79B27" w:rsidR="003D72BA" w:rsidRPr="00970E70" w:rsidRDefault="003D72BA" w:rsidP="00432AC2">
      <w:pPr>
        <w:jc w:val="left"/>
        <w:rPr>
          <w:rStyle w:val="normaltextrun"/>
          <w:rFonts w:ascii="Calibri" w:hAnsi="Calibri"/>
          <w:b/>
        </w:rPr>
      </w:pPr>
      <w:r w:rsidRPr="00970E70">
        <w:rPr>
          <w:rStyle w:val="normaltextrun"/>
          <w:rFonts w:ascii="Calibri" w:hAnsi="Calibri" w:cs="Segoe UI"/>
        </w:rPr>
        <w:t xml:space="preserve">We know that </w:t>
      </w:r>
      <w:r w:rsidRPr="00970E70">
        <w:rPr>
          <w:rFonts w:ascii="Calibri" w:hAnsi="Calibri"/>
        </w:rPr>
        <w:t>the payments market is a fast-moving one with continuous innovation. Not only do security procedures have to be continually updated and reformed but also new forms of more convenient payment are being introduced all the time. For example, the contactless payment system known as “Tap n Go” has been a huge success in Australia, with over 28 million payments per month using Visa PayWave as of February 2014.</w:t>
      </w:r>
      <w:r w:rsidR="00432AC2">
        <w:rPr>
          <w:rStyle w:val="EndnoteReference"/>
          <w:rFonts w:ascii="Calibri" w:hAnsi="Calibri"/>
        </w:rPr>
        <w:endnoteReference w:id="27"/>
      </w:r>
      <w:r w:rsidRPr="00970E70">
        <w:rPr>
          <w:rFonts w:ascii="Calibri" w:hAnsi="Calibri"/>
        </w:rPr>
        <w:t xml:space="preserve"> Lower revenue from interchange fees reduces incentives for financial institutions to develop innovative and convenient products that encourage more use of cards and will instead focus on products that deliver more interest rate or fee income.</w:t>
      </w:r>
    </w:p>
    <w:p w14:paraId="75B388F0" w14:textId="77777777" w:rsidR="003D72BA" w:rsidRPr="00970E70" w:rsidRDefault="003D72BA" w:rsidP="00561AF2">
      <w:pPr>
        <w:jc w:val="left"/>
        <w:rPr>
          <w:rFonts w:ascii="Calibri" w:hAnsi="Calibri"/>
        </w:rPr>
      </w:pPr>
      <w:r w:rsidRPr="00970E70">
        <w:rPr>
          <w:rFonts w:ascii="Calibri" w:hAnsi="Calibri"/>
        </w:rPr>
        <w:t xml:space="preserve">The Act makes clear that competition is a factor that must be taken into account by the Board in making a decision about the Draft Standards. The Australian Taxpayers’ Alliance submit that any actions to introduce hard caps on interchange fees would be against the public interest on competition grounds.  </w:t>
      </w:r>
    </w:p>
    <w:p w14:paraId="03996696" w14:textId="77777777" w:rsidR="003539DA" w:rsidRDefault="003539DA" w:rsidP="00561AF2">
      <w:pPr>
        <w:pStyle w:val="Heading1"/>
        <w:spacing w:before="100" w:after="100"/>
      </w:pPr>
      <w:r>
        <w:br w:type="page"/>
      </w:r>
    </w:p>
    <w:p w14:paraId="2F0144A9" w14:textId="77777777" w:rsidR="007F31C4" w:rsidRPr="00561AF2" w:rsidRDefault="003539DA" w:rsidP="00561AF2">
      <w:pPr>
        <w:pStyle w:val="Heading1"/>
        <w:spacing w:before="100" w:after="100"/>
        <w:rPr>
          <w:color w:val="auto"/>
        </w:rPr>
      </w:pPr>
      <w:r w:rsidRPr="00561AF2">
        <w:rPr>
          <w:color w:val="auto"/>
        </w:rPr>
        <w:lastRenderedPageBreak/>
        <w:t xml:space="preserve">Section two: </w:t>
      </w:r>
      <w:r w:rsidR="00AE7A62" w:rsidRPr="00561AF2">
        <w:rPr>
          <w:color w:val="auto"/>
        </w:rPr>
        <w:t xml:space="preserve">Summary </w:t>
      </w:r>
      <w:r w:rsidR="007F31C4" w:rsidRPr="00561AF2">
        <w:rPr>
          <w:color w:val="auto"/>
        </w:rPr>
        <w:t xml:space="preserve">Response to Reform Options </w:t>
      </w:r>
    </w:p>
    <w:p w14:paraId="5EB3DBC3" w14:textId="77777777" w:rsidR="00D97119" w:rsidRDefault="00D97119" w:rsidP="00561AF2">
      <w:pPr>
        <w:keepNext/>
        <w:keepLines/>
        <w:jc w:val="left"/>
        <w:outlineLvl w:val="1"/>
        <w:rPr>
          <w:rFonts w:asciiTheme="majorHAnsi" w:hAnsiTheme="majorHAnsi"/>
        </w:rPr>
      </w:pPr>
      <w:r>
        <w:rPr>
          <w:rFonts w:asciiTheme="majorHAnsi" w:hAnsiTheme="majorHAnsi"/>
        </w:rPr>
        <w:t xml:space="preserve">This section of the submission </w:t>
      </w:r>
      <w:r w:rsidR="00CB341B">
        <w:rPr>
          <w:rFonts w:asciiTheme="majorHAnsi" w:hAnsiTheme="majorHAnsi"/>
        </w:rPr>
        <w:t xml:space="preserve">makes recommendations in response to specific </w:t>
      </w:r>
      <w:r>
        <w:rPr>
          <w:rFonts w:asciiTheme="majorHAnsi" w:hAnsiTheme="majorHAnsi"/>
        </w:rPr>
        <w:t>reform proposals outlined in the Consultation Paper</w:t>
      </w:r>
      <w:r w:rsidR="00CB341B">
        <w:rPr>
          <w:rFonts w:asciiTheme="majorHAnsi" w:hAnsiTheme="majorHAnsi"/>
        </w:rPr>
        <w:t>. This submission is</w:t>
      </w:r>
      <w:r>
        <w:rPr>
          <w:rFonts w:asciiTheme="majorHAnsi" w:hAnsiTheme="majorHAnsi"/>
        </w:rPr>
        <w:t xml:space="preserve"> confined to interchange fees, companion cards, scheme payments to issuers, and surcharging. For each issue, we indicate whether the proposed approach is appropriate, and whether it meets the public interest test enshrined in the Act. </w:t>
      </w:r>
    </w:p>
    <w:p w14:paraId="3502B5E9" w14:textId="77777777" w:rsidR="007F31C4" w:rsidRPr="00561AF2" w:rsidRDefault="007F31C4" w:rsidP="00561AF2">
      <w:pPr>
        <w:pStyle w:val="Heading2"/>
        <w:spacing w:before="100" w:after="100"/>
        <w:rPr>
          <w:color w:val="auto"/>
        </w:rPr>
      </w:pPr>
      <w:r w:rsidRPr="00561AF2">
        <w:rPr>
          <w:color w:val="auto"/>
        </w:rPr>
        <w:t>Interchange benchmarks and ceilings</w:t>
      </w:r>
    </w:p>
    <w:p w14:paraId="44097EF7" w14:textId="77777777" w:rsidR="00003728" w:rsidRPr="005D4B96" w:rsidRDefault="00003728" w:rsidP="00561AF2">
      <w:pPr>
        <w:jc w:val="left"/>
        <w:rPr>
          <w:rFonts w:ascii="Calibri" w:eastAsia="Calibri" w:hAnsi="Calibri" w:cs="Times New Roman"/>
        </w:rPr>
      </w:pPr>
      <w:r w:rsidRPr="005D4B96">
        <w:rPr>
          <w:rFonts w:ascii="Calibri" w:eastAsia="Calibri" w:hAnsi="Calibri" w:cs="Times New Roman"/>
          <w:b/>
        </w:rPr>
        <w:t xml:space="preserve">Option 1: </w:t>
      </w:r>
      <w:r w:rsidRPr="005D4B96">
        <w:rPr>
          <w:rFonts w:ascii="Calibri" w:eastAsia="Calibri" w:hAnsi="Calibri" w:cs="Times New Roman"/>
        </w:rPr>
        <w:t>No change to the current standards</w:t>
      </w:r>
    </w:p>
    <w:p w14:paraId="3B58A2F8" w14:textId="77777777" w:rsidR="00003728" w:rsidRPr="005D4B96" w:rsidRDefault="00003728" w:rsidP="00561AF2">
      <w:pPr>
        <w:jc w:val="left"/>
        <w:rPr>
          <w:rFonts w:ascii="Calibri" w:eastAsia="Calibri" w:hAnsi="Calibri" w:cs="Times New Roman"/>
        </w:rPr>
      </w:pPr>
      <w:r w:rsidRPr="005D4B96">
        <w:rPr>
          <w:rFonts w:ascii="Calibri" w:eastAsia="Calibri" w:hAnsi="Calibri" w:cs="Times New Roman"/>
          <w:b/>
        </w:rPr>
        <w:t>Option 2</w:t>
      </w:r>
      <w:r w:rsidRPr="005D4B96">
        <w:rPr>
          <w:rFonts w:ascii="Calibri" w:eastAsia="Calibri" w:hAnsi="Calibri" w:cs="Times New Roman"/>
        </w:rPr>
        <w:t>: Retain a weighted-average framework for the benchmarks, supplemented by a ceiling on individual interchange rates</w:t>
      </w:r>
    </w:p>
    <w:p w14:paraId="5270EABF" w14:textId="77777777" w:rsidR="00003728" w:rsidRPr="005D4B96" w:rsidRDefault="00003728" w:rsidP="00561AF2">
      <w:pPr>
        <w:jc w:val="left"/>
        <w:rPr>
          <w:rFonts w:ascii="Calibri" w:eastAsia="Calibri" w:hAnsi="Calibri" w:cs="Times New Roman"/>
        </w:rPr>
      </w:pPr>
      <w:r w:rsidRPr="005D4B96">
        <w:rPr>
          <w:rFonts w:ascii="Calibri" w:eastAsia="Calibri" w:hAnsi="Calibri" w:cs="Times New Roman"/>
          <w:b/>
        </w:rPr>
        <w:t>Option 3</w:t>
      </w:r>
      <w:r w:rsidRPr="005D4B96">
        <w:rPr>
          <w:rFonts w:ascii="Calibri" w:eastAsia="Calibri" w:hAnsi="Calibri" w:cs="Times New Roman"/>
        </w:rPr>
        <w:t>: Reduce the weighted-average interchange fee benchmarks</w:t>
      </w:r>
    </w:p>
    <w:p w14:paraId="50EA7561" w14:textId="77777777" w:rsidR="00003728" w:rsidRPr="005D4B96" w:rsidRDefault="00003728" w:rsidP="00561AF2">
      <w:pPr>
        <w:jc w:val="left"/>
        <w:rPr>
          <w:rFonts w:ascii="Calibri" w:eastAsia="Calibri" w:hAnsi="Calibri" w:cs="Times New Roman"/>
          <w:b/>
        </w:rPr>
      </w:pPr>
      <w:r w:rsidRPr="005D4B96">
        <w:rPr>
          <w:rFonts w:ascii="Calibri" w:eastAsia="Calibri" w:hAnsi="Calibri" w:cs="Times New Roman"/>
          <w:b/>
        </w:rPr>
        <w:t xml:space="preserve">Option 4: Remove interchange regulation but introduce measures to increase transparency of interchange fees to merchants and strengthen the ability of merchants to respond to high interchange cards. </w:t>
      </w:r>
    </w:p>
    <w:p w14:paraId="4DA5FBD4" w14:textId="77777777" w:rsidR="00451750" w:rsidRDefault="00451750" w:rsidP="00561AF2">
      <w:pPr>
        <w:jc w:val="left"/>
        <w:rPr>
          <w:rFonts w:ascii="Calibri" w:eastAsia="Calibri" w:hAnsi="Calibri" w:cs="Times New Roman"/>
        </w:rPr>
      </w:pPr>
      <w:r>
        <w:rPr>
          <w:rFonts w:ascii="Calibri" w:eastAsia="Calibri" w:hAnsi="Calibri" w:cs="Times New Roman"/>
        </w:rPr>
        <w:t>The Australian Taxpayers’ Alliance recommends that the Board pursue Option 4 – and completely deregulate interchange fees. However we question whether it is the Board’s role to introduce transparency measures as part of a deregulatory approach</w:t>
      </w:r>
      <w:r w:rsidR="00127408">
        <w:rPr>
          <w:rFonts w:ascii="Calibri" w:eastAsia="Calibri" w:hAnsi="Calibri" w:cs="Times New Roman"/>
        </w:rPr>
        <w:t xml:space="preserve">; the best transparency measure is a competitive market. </w:t>
      </w:r>
      <w:r>
        <w:rPr>
          <w:rFonts w:ascii="Calibri" w:eastAsia="Calibri" w:hAnsi="Calibri" w:cs="Times New Roman"/>
        </w:rPr>
        <w:t xml:space="preserve">Option 4 is the only course of action which promotes efficiency and competition, while Options 1, 2 and 3 increasingly hamper efficiency and competition. </w:t>
      </w:r>
    </w:p>
    <w:p w14:paraId="73BADBF0" w14:textId="77777777" w:rsidR="00C559FE" w:rsidRDefault="00AE7A62" w:rsidP="00561AF2">
      <w:pPr>
        <w:jc w:val="left"/>
        <w:rPr>
          <w:rFonts w:ascii="Calibri" w:eastAsia="Calibri" w:hAnsi="Calibri" w:cs="Times New Roman"/>
        </w:rPr>
      </w:pPr>
      <w:r>
        <w:rPr>
          <w:rFonts w:ascii="Calibri" w:eastAsia="Calibri" w:hAnsi="Calibri" w:cs="Times New Roman"/>
        </w:rPr>
        <w:t xml:space="preserve">The Board has expressed a preliminary preference for Option 2, which is reflected in the Draft Standards. The Consultation Paper, at page 23, states that </w:t>
      </w:r>
      <w:r w:rsidRPr="007F31C4">
        <w:rPr>
          <w:rFonts w:ascii="Calibri" w:eastAsia="Calibri" w:hAnsi="Calibri" w:cs="Times New Roman"/>
        </w:rPr>
        <w:t xml:space="preserve">that “[The Board] </w:t>
      </w:r>
      <w:r w:rsidR="007F31C4" w:rsidRPr="007F31C4">
        <w:rPr>
          <w:rFonts w:ascii="Calibri" w:eastAsia="Calibri" w:hAnsi="Calibri" w:cs="Times New Roman"/>
        </w:rPr>
        <w:t>has decided at this time to not consider the implementation of hard caps in place of a weighted average</w:t>
      </w:r>
      <w:r w:rsidRPr="007F31C4">
        <w:rPr>
          <w:rFonts w:ascii="Calibri" w:eastAsia="Calibri" w:hAnsi="Calibri" w:cs="Times New Roman"/>
        </w:rPr>
        <w:t>”</w:t>
      </w:r>
      <w:r>
        <w:rPr>
          <w:rFonts w:ascii="Calibri" w:eastAsia="Calibri" w:hAnsi="Calibri" w:cs="Times New Roman"/>
        </w:rPr>
        <w:t xml:space="preserve">. Nevertheless, the Board have opted for a hybrid position of a weighted average combined with hard caps. </w:t>
      </w:r>
    </w:p>
    <w:p w14:paraId="629483EA" w14:textId="77777777" w:rsidR="005B62BA" w:rsidRDefault="00D30237" w:rsidP="00561AF2">
      <w:pPr>
        <w:jc w:val="left"/>
        <w:rPr>
          <w:rFonts w:ascii="Calibri" w:eastAsia="Calibri" w:hAnsi="Calibri" w:cs="Times New Roman"/>
        </w:rPr>
      </w:pPr>
      <w:r>
        <w:rPr>
          <w:rFonts w:ascii="Calibri" w:eastAsia="Calibri" w:hAnsi="Calibri" w:cs="Times New Roman"/>
        </w:rPr>
        <w:t xml:space="preserve">The Australian Taxpayers’ Alliance submits that Option 2 is an inappropriate approach, on both competition and efficiency grounds. </w:t>
      </w:r>
      <w:r w:rsidR="00C559FE">
        <w:rPr>
          <w:rFonts w:ascii="Calibri" w:eastAsia="Calibri" w:hAnsi="Calibri" w:cs="Times New Roman"/>
        </w:rPr>
        <w:t>The hard caps proposed in the Draft Standards will be binding on the market. The effect of this will be to</w:t>
      </w:r>
      <w:r w:rsidR="005D4B96">
        <w:rPr>
          <w:rFonts w:ascii="Calibri" w:eastAsia="Calibri" w:hAnsi="Calibri" w:cs="Times New Roman"/>
        </w:rPr>
        <w:t xml:space="preserve"> ban premium credit cards – typically those linked to rewards and frequent flyer programs. </w:t>
      </w:r>
      <w:r>
        <w:rPr>
          <w:rFonts w:ascii="Calibri" w:eastAsia="Calibri" w:hAnsi="Calibri" w:cs="Times New Roman"/>
        </w:rPr>
        <w:t xml:space="preserve">This will severely limit competition in the credit card market by reducing hundreds of products. It is also likely that interest rates and fees &amp; charges will increase for consumers. </w:t>
      </w:r>
      <w:r w:rsidR="005B62BA">
        <w:rPr>
          <w:rFonts w:ascii="Calibri" w:eastAsia="Calibri" w:hAnsi="Calibri" w:cs="Times New Roman"/>
        </w:rPr>
        <w:t xml:space="preserve">All of the available data suggests that more stringent interchange fee regulation will result in cost shifting from merchants to consumers, reflecting an inefficient allocation of costs and benefits of the payment system. </w:t>
      </w:r>
    </w:p>
    <w:p w14:paraId="7695A06A" w14:textId="37F3E5F8" w:rsidR="005B62BA" w:rsidRDefault="00AE7A62" w:rsidP="006F7EC8">
      <w:pPr>
        <w:jc w:val="left"/>
        <w:rPr>
          <w:rFonts w:ascii="Calibri" w:eastAsia="Calibri" w:hAnsi="Calibri" w:cs="Times New Roman"/>
        </w:rPr>
      </w:pPr>
      <w:r>
        <w:rPr>
          <w:rFonts w:ascii="Calibri" w:eastAsia="Calibri" w:hAnsi="Calibri" w:cs="Times New Roman"/>
        </w:rPr>
        <w:t xml:space="preserve">The Australian Taxpayers’ Alliance </w:t>
      </w:r>
      <w:r w:rsidR="00ED1136">
        <w:rPr>
          <w:rFonts w:ascii="Calibri" w:eastAsia="Calibri" w:hAnsi="Calibri" w:cs="Times New Roman"/>
        </w:rPr>
        <w:t>is pleased</w:t>
      </w:r>
      <w:r>
        <w:rPr>
          <w:rFonts w:ascii="Calibri" w:eastAsia="Calibri" w:hAnsi="Calibri" w:cs="Times New Roman"/>
        </w:rPr>
        <w:t xml:space="preserve"> that the Board has indicated it will no longer be proceeding with Option 3, which would have </w:t>
      </w:r>
      <w:r w:rsidR="00451750">
        <w:rPr>
          <w:rFonts w:ascii="Calibri" w:eastAsia="Calibri" w:hAnsi="Calibri" w:cs="Times New Roman"/>
        </w:rPr>
        <w:t xml:space="preserve">deleterious </w:t>
      </w:r>
      <w:r>
        <w:rPr>
          <w:rFonts w:ascii="Calibri" w:eastAsia="Calibri" w:hAnsi="Calibri" w:cs="Times New Roman"/>
        </w:rPr>
        <w:t xml:space="preserve">effects on efficiency and competition. </w:t>
      </w:r>
      <w:r w:rsidR="005B62BA">
        <w:rPr>
          <w:rFonts w:ascii="Calibri" w:eastAsia="Calibri" w:hAnsi="Calibri" w:cs="Times New Roman"/>
        </w:rPr>
        <w:t xml:space="preserve">It would also put at risk the financial safety of the payments system – as </w:t>
      </w:r>
      <w:r w:rsidR="00451750">
        <w:rPr>
          <w:rFonts w:ascii="Calibri" w:eastAsia="Calibri" w:hAnsi="Calibri" w:cs="Times New Roman"/>
        </w:rPr>
        <w:t xml:space="preserve">interchange fees </w:t>
      </w:r>
      <w:r w:rsidR="006F7EC8">
        <w:rPr>
          <w:rFonts w:ascii="Calibri" w:eastAsia="Calibri" w:hAnsi="Calibri" w:cs="Times New Roman"/>
        </w:rPr>
        <w:t xml:space="preserve">contribute to </w:t>
      </w:r>
      <w:r w:rsidR="00451750">
        <w:rPr>
          <w:rFonts w:ascii="Calibri" w:eastAsia="Calibri" w:hAnsi="Calibri" w:cs="Times New Roman"/>
        </w:rPr>
        <w:t>fund</w:t>
      </w:r>
      <w:r w:rsidR="006F7EC8">
        <w:rPr>
          <w:rFonts w:ascii="Calibri" w:eastAsia="Calibri" w:hAnsi="Calibri" w:cs="Times New Roman"/>
        </w:rPr>
        <w:t>ing</w:t>
      </w:r>
      <w:r w:rsidR="00451750">
        <w:rPr>
          <w:rFonts w:ascii="Calibri" w:eastAsia="Calibri" w:hAnsi="Calibri" w:cs="Times New Roman"/>
        </w:rPr>
        <w:t xml:space="preserve"> </w:t>
      </w:r>
      <w:r w:rsidR="006F7EC8">
        <w:rPr>
          <w:rFonts w:ascii="Calibri" w:eastAsia="Calibri" w:hAnsi="Calibri" w:cs="Times New Roman"/>
        </w:rPr>
        <w:t xml:space="preserve">card </w:t>
      </w:r>
      <w:r w:rsidR="00451750">
        <w:rPr>
          <w:rFonts w:ascii="Calibri" w:eastAsia="Calibri" w:hAnsi="Calibri" w:cs="Times New Roman"/>
        </w:rPr>
        <w:t xml:space="preserve">benefits such as </w:t>
      </w:r>
      <w:r w:rsidR="005B62BA">
        <w:rPr>
          <w:rFonts w:ascii="Calibri" w:eastAsia="Calibri" w:hAnsi="Calibri" w:cs="Times New Roman"/>
        </w:rPr>
        <w:t xml:space="preserve">fraud protection and </w:t>
      </w:r>
      <w:r w:rsidR="00451750">
        <w:rPr>
          <w:rFonts w:ascii="Calibri" w:eastAsia="Calibri" w:hAnsi="Calibri" w:cs="Times New Roman"/>
        </w:rPr>
        <w:t>payment guarantees</w:t>
      </w:r>
      <w:r w:rsidR="005B62BA">
        <w:rPr>
          <w:rFonts w:ascii="Calibri" w:eastAsia="Calibri" w:hAnsi="Calibri" w:cs="Times New Roman"/>
        </w:rPr>
        <w:t>.</w:t>
      </w:r>
    </w:p>
    <w:p w14:paraId="6537FEBD" w14:textId="77777777" w:rsidR="007F31C4" w:rsidRPr="00561AF2" w:rsidRDefault="007F31C4" w:rsidP="00561AF2">
      <w:pPr>
        <w:pStyle w:val="Heading2"/>
        <w:spacing w:before="100" w:after="100"/>
        <w:rPr>
          <w:rFonts w:eastAsia="Times New Roman"/>
          <w:color w:val="auto"/>
        </w:rPr>
      </w:pPr>
      <w:r w:rsidRPr="00561AF2">
        <w:rPr>
          <w:rFonts w:eastAsia="Times New Roman"/>
          <w:color w:val="auto"/>
        </w:rPr>
        <w:lastRenderedPageBreak/>
        <w:t xml:space="preserve">Companion Cards: </w:t>
      </w:r>
    </w:p>
    <w:p w14:paraId="303478CB" w14:textId="77777777" w:rsidR="00127408" w:rsidRDefault="00127408" w:rsidP="00561AF2">
      <w:pPr>
        <w:jc w:val="left"/>
        <w:rPr>
          <w:rFonts w:ascii="Calibri" w:eastAsia="Calibri" w:hAnsi="Calibri" w:cs="Times New Roman"/>
        </w:rPr>
      </w:pPr>
      <w:r w:rsidRPr="00127408">
        <w:rPr>
          <w:rFonts w:ascii="Calibri" w:eastAsia="Calibri" w:hAnsi="Calibri" w:cs="Times New Roman"/>
          <w:b/>
        </w:rPr>
        <w:t>Option 1</w:t>
      </w:r>
      <w:r w:rsidRPr="00127408">
        <w:rPr>
          <w:rFonts w:ascii="Calibri" w:eastAsia="Calibri" w:hAnsi="Calibri" w:cs="Times New Roman"/>
        </w:rPr>
        <w:t>: Retain the current arrangements</w:t>
      </w:r>
    </w:p>
    <w:p w14:paraId="680ADF4E" w14:textId="77777777" w:rsidR="00127408" w:rsidRPr="00127408" w:rsidRDefault="00127408" w:rsidP="00561AF2">
      <w:pPr>
        <w:jc w:val="left"/>
        <w:rPr>
          <w:rFonts w:ascii="Calibri" w:eastAsia="Calibri" w:hAnsi="Calibri" w:cs="Times New Roman"/>
          <w:b/>
        </w:rPr>
      </w:pPr>
      <w:r w:rsidRPr="00127408">
        <w:rPr>
          <w:rFonts w:ascii="Calibri" w:eastAsia="Calibri" w:hAnsi="Calibri" w:cs="Times New Roman"/>
          <w:b/>
        </w:rPr>
        <w:t>Option 2: Remove regulation of interchange fees for four-party schemes</w:t>
      </w:r>
    </w:p>
    <w:p w14:paraId="0425B232" w14:textId="77777777" w:rsidR="00127408" w:rsidRDefault="00127408" w:rsidP="00561AF2">
      <w:pPr>
        <w:jc w:val="left"/>
        <w:rPr>
          <w:rFonts w:ascii="Calibri" w:eastAsia="Calibri" w:hAnsi="Calibri" w:cs="Times New Roman"/>
        </w:rPr>
      </w:pPr>
      <w:r w:rsidRPr="00127408">
        <w:rPr>
          <w:rFonts w:ascii="Calibri" w:eastAsia="Calibri" w:hAnsi="Calibri" w:cs="Times New Roman"/>
          <w:b/>
        </w:rPr>
        <w:t>Option 3</w:t>
      </w:r>
      <w:r w:rsidRPr="00127408">
        <w:rPr>
          <w:rFonts w:ascii="Calibri" w:eastAsia="Calibri" w:hAnsi="Calibri" w:cs="Times New Roman"/>
        </w:rPr>
        <w:t>: Regulate issuer fees and other payments to issuers</w:t>
      </w:r>
    </w:p>
    <w:p w14:paraId="3531C922" w14:textId="77777777" w:rsidR="00252CAA" w:rsidRDefault="00127408" w:rsidP="00561AF2">
      <w:pPr>
        <w:jc w:val="left"/>
        <w:rPr>
          <w:rFonts w:ascii="Calibri" w:eastAsia="Calibri" w:hAnsi="Calibri" w:cs="Times New Roman"/>
        </w:rPr>
      </w:pPr>
      <w:r>
        <w:rPr>
          <w:rFonts w:ascii="Calibri" w:eastAsia="Calibri" w:hAnsi="Calibri" w:cs="Times New Roman"/>
        </w:rPr>
        <w:t xml:space="preserve">The Australian Taxpayers’ Alliance recommends that the Board pursue Option 2. </w:t>
      </w:r>
      <w:r w:rsidR="003539DA">
        <w:rPr>
          <w:rFonts w:ascii="Calibri" w:eastAsia="Calibri" w:hAnsi="Calibri" w:cs="Times New Roman"/>
        </w:rPr>
        <w:t>Under this approach, t</w:t>
      </w:r>
      <w:r w:rsidR="003539DA" w:rsidRPr="007F31C4">
        <w:rPr>
          <w:rFonts w:ascii="Calibri" w:eastAsia="Calibri" w:hAnsi="Calibri" w:cs="Times New Roman"/>
        </w:rPr>
        <w:t xml:space="preserve">he four-party </w:t>
      </w:r>
      <w:r w:rsidR="003539DA">
        <w:rPr>
          <w:rFonts w:ascii="Calibri" w:eastAsia="Calibri" w:hAnsi="Calibri" w:cs="Times New Roman"/>
        </w:rPr>
        <w:t xml:space="preserve">card </w:t>
      </w:r>
      <w:r w:rsidR="003539DA" w:rsidRPr="007F31C4">
        <w:rPr>
          <w:rFonts w:ascii="Calibri" w:eastAsia="Calibri" w:hAnsi="Calibri" w:cs="Times New Roman"/>
        </w:rPr>
        <w:t xml:space="preserve">schemes </w:t>
      </w:r>
      <w:r w:rsidR="003539DA">
        <w:rPr>
          <w:rFonts w:ascii="Calibri" w:eastAsia="Calibri" w:hAnsi="Calibri" w:cs="Times New Roman"/>
        </w:rPr>
        <w:t xml:space="preserve">currently subject to interchange fee regulation </w:t>
      </w:r>
      <w:r w:rsidR="003539DA" w:rsidRPr="007F31C4">
        <w:rPr>
          <w:rFonts w:ascii="Calibri" w:eastAsia="Calibri" w:hAnsi="Calibri" w:cs="Times New Roman"/>
        </w:rPr>
        <w:t>would be free to set interchange fees at levels to directly compete with American Express’ companion cards</w:t>
      </w:r>
      <w:r w:rsidR="003539DA">
        <w:rPr>
          <w:rFonts w:ascii="Calibri" w:eastAsia="Calibri" w:hAnsi="Calibri" w:cs="Times New Roman"/>
        </w:rPr>
        <w:t xml:space="preserve">. This </w:t>
      </w:r>
      <w:r>
        <w:rPr>
          <w:rFonts w:ascii="Calibri" w:eastAsia="Calibri" w:hAnsi="Calibri" w:cs="Times New Roman"/>
        </w:rPr>
        <w:t xml:space="preserve">is consistent with our position on interchange benchmarks and ceilings. </w:t>
      </w:r>
      <w:r w:rsidR="00252CAA">
        <w:rPr>
          <w:rFonts w:ascii="Calibri" w:eastAsia="Calibri" w:hAnsi="Calibri" w:cs="Times New Roman"/>
        </w:rPr>
        <w:t xml:space="preserve"> </w:t>
      </w:r>
    </w:p>
    <w:p w14:paraId="168DE9A6" w14:textId="77777777" w:rsidR="00127408" w:rsidRDefault="003539DA" w:rsidP="00561AF2">
      <w:pPr>
        <w:jc w:val="left"/>
        <w:rPr>
          <w:rFonts w:ascii="Calibri" w:eastAsia="Calibri" w:hAnsi="Calibri" w:cs="Times New Roman"/>
        </w:rPr>
      </w:pPr>
      <w:r>
        <w:rPr>
          <w:rFonts w:ascii="Calibri" w:eastAsia="Calibri" w:hAnsi="Calibri" w:cs="Times New Roman"/>
        </w:rPr>
        <w:t>The issue here is competitive neutrali</w:t>
      </w:r>
      <w:r w:rsidR="00252CAA">
        <w:rPr>
          <w:rFonts w:ascii="Calibri" w:eastAsia="Calibri" w:hAnsi="Calibri" w:cs="Times New Roman"/>
        </w:rPr>
        <w:t xml:space="preserve">ty. It is an unintended consequence of interchange regulation that </w:t>
      </w:r>
      <w:r w:rsidR="00252CAA" w:rsidRPr="007F31C4">
        <w:rPr>
          <w:rFonts w:ascii="Calibri" w:eastAsia="Calibri" w:hAnsi="Calibri" w:cs="Times New Roman"/>
        </w:rPr>
        <w:t xml:space="preserve">four-party </w:t>
      </w:r>
      <w:r w:rsidR="00252CAA">
        <w:rPr>
          <w:rFonts w:ascii="Calibri" w:eastAsia="Calibri" w:hAnsi="Calibri" w:cs="Times New Roman"/>
        </w:rPr>
        <w:t xml:space="preserve">card </w:t>
      </w:r>
      <w:r w:rsidR="00252CAA" w:rsidRPr="007F31C4">
        <w:rPr>
          <w:rFonts w:ascii="Calibri" w:eastAsia="Calibri" w:hAnsi="Calibri" w:cs="Times New Roman"/>
        </w:rPr>
        <w:t>schemes</w:t>
      </w:r>
      <w:r w:rsidR="00252CAA">
        <w:rPr>
          <w:rFonts w:ascii="Calibri" w:eastAsia="Calibri" w:hAnsi="Calibri" w:cs="Times New Roman"/>
        </w:rPr>
        <w:t xml:space="preserve"> do not compete on an equal footing with three-party card schemes. Because i</w:t>
      </w:r>
      <w:r>
        <w:rPr>
          <w:rFonts w:ascii="Calibri" w:eastAsia="Calibri" w:hAnsi="Calibri" w:cs="Times New Roman"/>
        </w:rPr>
        <w:t xml:space="preserve">t is a problem caused by regulation, the only way to </w:t>
      </w:r>
      <w:r w:rsidR="00252CAA">
        <w:rPr>
          <w:rFonts w:ascii="Calibri" w:eastAsia="Calibri" w:hAnsi="Calibri" w:cs="Times New Roman"/>
        </w:rPr>
        <w:t>permanently</w:t>
      </w:r>
      <w:r>
        <w:rPr>
          <w:rFonts w:ascii="Calibri" w:eastAsia="Calibri" w:hAnsi="Calibri" w:cs="Times New Roman"/>
        </w:rPr>
        <w:t xml:space="preserve"> fix the problem is to remove the regulation. In other words, the only way to ensure that all card schemes are subject to the same rules is by </w:t>
      </w:r>
      <w:r w:rsidR="00CB341B">
        <w:rPr>
          <w:rFonts w:ascii="Calibri" w:eastAsia="Calibri" w:hAnsi="Calibri" w:cs="Times New Roman"/>
        </w:rPr>
        <w:t xml:space="preserve">removing </w:t>
      </w:r>
      <w:r>
        <w:rPr>
          <w:rFonts w:ascii="Calibri" w:eastAsia="Calibri" w:hAnsi="Calibri" w:cs="Times New Roman"/>
        </w:rPr>
        <w:t>interchange fees</w:t>
      </w:r>
      <w:r w:rsidR="00CB341B">
        <w:rPr>
          <w:rFonts w:ascii="Calibri" w:eastAsia="Calibri" w:hAnsi="Calibri" w:cs="Times New Roman"/>
        </w:rPr>
        <w:t xml:space="preserve"> altogether</w:t>
      </w:r>
      <w:r>
        <w:rPr>
          <w:rFonts w:ascii="Calibri" w:eastAsia="Calibri" w:hAnsi="Calibri" w:cs="Times New Roman"/>
        </w:rPr>
        <w:t xml:space="preserve">. </w:t>
      </w:r>
    </w:p>
    <w:p w14:paraId="4C9E2DF1" w14:textId="4A1CCE12" w:rsidR="003539DA" w:rsidRDefault="00127408" w:rsidP="00720509">
      <w:pPr>
        <w:jc w:val="left"/>
        <w:rPr>
          <w:rFonts w:ascii="Calibri" w:eastAsia="Calibri" w:hAnsi="Calibri" w:cs="Times New Roman"/>
        </w:rPr>
      </w:pPr>
      <w:r>
        <w:rPr>
          <w:rFonts w:ascii="Calibri" w:eastAsia="Calibri" w:hAnsi="Calibri" w:cs="Times New Roman"/>
        </w:rPr>
        <w:t>We strongly disagree with the Board’s assessment</w:t>
      </w:r>
      <w:r w:rsidR="008E1239">
        <w:rPr>
          <w:rFonts w:ascii="Calibri" w:eastAsia="Calibri" w:hAnsi="Calibri" w:cs="Times New Roman"/>
        </w:rPr>
        <w:t>, at page 14 of the Consultation Paper,</w:t>
      </w:r>
      <w:r>
        <w:rPr>
          <w:rFonts w:ascii="Calibri" w:eastAsia="Calibri" w:hAnsi="Calibri" w:cs="Times New Roman"/>
        </w:rPr>
        <w:t xml:space="preserve"> that </w:t>
      </w:r>
      <w:r w:rsidRPr="007F31C4">
        <w:rPr>
          <w:rFonts w:ascii="Calibri" w:eastAsia="Calibri" w:hAnsi="Calibri" w:cs="Times New Roman"/>
        </w:rPr>
        <w:t>“under Option 2 (removal of interchange regulation for four-party schemes), unconstrained interchange fees</w:t>
      </w:r>
      <w:r>
        <w:rPr>
          <w:rFonts w:ascii="Calibri" w:eastAsia="Calibri" w:hAnsi="Calibri" w:cs="Times New Roman"/>
        </w:rPr>
        <w:t>…</w:t>
      </w:r>
      <w:r w:rsidRPr="007F31C4">
        <w:rPr>
          <w:rFonts w:ascii="Calibri" w:eastAsia="Calibri" w:hAnsi="Calibri" w:cs="Times New Roman"/>
        </w:rPr>
        <w:t xml:space="preserve"> would be likely to result in rising payment costs, distorted price signals to cardholders and an inefficient allocation of resources in the payments system.” </w:t>
      </w:r>
      <w:r w:rsidR="008E1239">
        <w:rPr>
          <w:rFonts w:ascii="Calibri" w:eastAsia="Calibri" w:hAnsi="Calibri" w:cs="Times New Roman"/>
        </w:rPr>
        <w:t>We consider that regulatory policy should be made on robust evidence.</w:t>
      </w:r>
      <w:r w:rsidR="00720509">
        <w:rPr>
          <w:rFonts w:ascii="Calibri" w:eastAsia="Calibri" w:hAnsi="Calibri" w:cs="Times New Roman"/>
        </w:rPr>
        <w:t xml:space="preserve"> </w:t>
      </w:r>
      <w:r>
        <w:rPr>
          <w:rFonts w:ascii="Calibri" w:eastAsia="Calibri" w:hAnsi="Calibri" w:cs="Times New Roman"/>
        </w:rPr>
        <w:t xml:space="preserve">The Board has not provided any economic evidence </w:t>
      </w:r>
      <w:r w:rsidR="00252CAA">
        <w:rPr>
          <w:rFonts w:ascii="Calibri" w:eastAsia="Calibri" w:hAnsi="Calibri" w:cs="Times New Roman"/>
        </w:rPr>
        <w:t>in</w:t>
      </w:r>
      <w:r>
        <w:rPr>
          <w:rFonts w:ascii="Calibri" w:eastAsia="Calibri" w:hAnsi="Calibri" w:cs="Times New Roman"/>
        </w:rPr>
        <w:t xml:space="preserve"> support </w:t>
      </w:r>
      <w:r w:rsidR="00252CAA">
        <w:rPr>
          <w:rFonts w:ascii="Calibri" w:eastAsia="Calibri" w:hAnsi="Calibri" w:cs="Times New Roman"/>
        </w:rPr>
        <w:t xml:space="preserve">of </w:t>
      </w:r>
      <w:r>
        <w:rPr>
          <w:rFonts w:ascii="Calibri" w:eastAsia="Calibri" w:hAnsi="Calibri" w:cs="Times New Roman"/>
        </w:rPr>
        <w:t>these claims. Indeed, the economic evidence points to inefficient distortions caused</w:t>
      </w:r>
      <w:r w:rsidR="00720509">
        <w:rPr>
          <w:rFonts w:ascii="Calibri" w:eastAsia="Calibri" w:hAnsi="Calibri" w:cs="Times New Roman"/>
        </w:rPr>
        <w:t xml:space="preserve"> by interchange fee regulation, compared to reducing interchange fees over time in competitive markets. </w:t>
      </w:r>
    </w:p>
    <w:p w14:paraId="43AEF5DA" w14:textId="77777777" w:rsidR="003539DA" w:rsidRDefault="003539DA" w:rsidP="00561AF2">
      <w:pPr>
        <w:jc w:val="left"/>
        <w:rPr>
          <w:rFonts w:ascii="Calibri" w:eastAsia="Calibri" w:hAnsi="Calibri" w:cs="Times New Roman"/>
        </w:rPr>
      </w:pPr>
      <w:r>
        <w:rPr>
          <w:rFonts w:ascii="Calibri" w:eastAsia="Calibri" w:hAnsi="Calibri" w:cs="Times New Roman"/>
        </w:rPr>
        <w:t xml:space="preserve">The Board’s current preference for Option 3 </w:t>
      </w:r>
      <w:r w:rsidR="00252CAA">
        <w:rPr>
          <w:rFonts w:ascii="Calibri" w:eastAsia="Calibri" w:hAnsi="Calibri" w:cs="Times New Roman"/>
        </w:rPr>
        <w:t xml:space="preserve">would be inappropriate on efficiency and competition grounds, for the same reasons discussed under interchange benchmarks and ceilings, above. Option 3 would also add a further layer of complexity to interchange fee regulation, and comes with the risk of unintended consequences. </w:t>
      </w:r>
    </w:p>
    <w:p w14:paraId="57DC8A32" w14:textId="77777777" w:rsidR="007F31C4" w:rsidRPr="00432AC2" w:rsidRDefault="007F31C4" w:rsidP="00561AF2">
      <w:pPr>
        <w:keepNext/>
        <w:keepLines/>
        <w:jc w:val="left"/>
        <w:outlineLvl w:val="1"/>
        <w:rPr>
          <w:rFonts w:ascii="Cambria" w:eastAsia="Times New Roman" w:hAnsi="Cambria" w:cs="Times New Roman"/>
          <w:b/>
          <w:bCs/>
          <w:sz w:val="26"/>
          <w:szCs w:val="26"/>
        </w:rPr>
      </w:pPr>
      <w:r w:rsidRPr="00432AC2">
        <w:rPr>
          <w:rFonts w:ascii="Cambria" w:eastAsia="Times New Roman" w:hAnsi="Cambria" w:cs="Times New Roman"/>
          <w:b/>
          <w:bCs/>
          <w:sz w:val="26"/>
          <w:szCs w:val="26"/>
        </w:rPr>
        <w:t>Scheme payments to issuers</w:t>
      </w:r>
    </w:p>
    <w:p w14:paraId="3ECF98E4" w14:textId="77777777" w:rsidR="00252CAA" w:rsidRPr="00252CAA" w:rsidRDefault="00252CAA" w:rsidP="00561AF2">
      <w:pPr>
        <w:jc w:val="left"/>
        <w:rPr>
          <w:rFonts w:ascii="Calibri" w:eastAsia="Calibri" w:hAnsi="Calibri" w:cs="Times New Roman"/>
          <w:b/>
        </w:rPr>
      </w:pPr>
      <w:r w:rsidRPr="00252CAA">
        <w:rPr>
          <w:rFonts w:ascii="Calibri" w:eastAsia="Calibri" w:hAnsi="Calibri" w:cs="Times New Roman"/>
          <w:b/>
        </w:rPr>
        <w:t>Option 1: No regulation of scheme payments to issuers</w:t>
      </w:r>
    </w:p>
    <w:p w14:paraId="730072AB" w14:textId="77777777" w:rsidR="00252CAA" w:rsidRDefault="00252CAA" w:rsidP="00561AF2">
      <w:pPr>
        <w:jc w:val="left"/>
        <w:rPr>
          <w:rFonts w:ascii="Calibri" w:eastAsia="Calibri" w:hAnsi="Calibri" w:cs="Times New Roman"/>
        </w:rPr>
      </w:pPr>
      <w:r w:rsidRPr="00252CAA">
        <w:rPr>
          <w:rFonts w:ascii="Calibri" w:eastAsia="Calibri" w:hAnsi="Calibri" w:cs="Times New Roman"/>
        </w:rPr>
        <w:t>Option 2: Limits on payments by schemes to issuers</w:t>
      </w:r>
    </w:p>
    <w:p w14:paraId="5FF4F474" w14:textId="77777777" w:rsidR="00F8335E" w:rsidRDefault="00252CAA" w:rsidP="00561AF2">
      <w:pPr>
        <w:jc w:val="left"/>
        <w:rPr>
          <w:rFonts w:ascii="Calibri" w:eastAsia="Calibri" w:hAnsi="Calibri" w:cs="Times New Roman"/>
        </w:rPr>
      </w:pPr>
      <w:r>
        <w:rPr>
          <w:rFonts w:ascii="Calibri" w:eastAsia="Calibri" w:hAnsi="Calibri" w:cs="Times New Roman"/>
        </w:rPr>
        <w:t xml:space="preserve">The Australian Taxpayers’ Alliance recommends that the Board pursue Option 1. This approach would seek to retain the status quo. </w:t>
      </w:r>
      <w:r w:rsidR="00F8335E">
        <w:rPr>
          <w:rFonts w:ascii="Calibri" w:eastAsia="Calibri" w:hAnsi="Calibri" w:cs="Times New Roman"/>
        </w:rPr>
        <w:t xml:space="preserve">Our recommendation is based on our position, outlined above, that interchange regulation should be removed. So-called ‘anti-avoidance’ provisions would therefore no be required.  </w:t>
      </w:r>
    </w:p>
    <w:p w14:paraId="2CF47708" w14:textId="77777777" w:rsidR="00F8335E" w:rsidRPr="007F31C4" w:rsidRDefault="00F8335E" w:rsidP="00561AF2">
      <w:pPr>
        <w:jc w:val="left"/>
        <w:rPr>
          <w:rFonts w:ascii="Calibri" w:eastAsia="Calibri" w:hAnsi="Calibri" w:cs="Times New Roman"/>
        </w:rPr>
      </w:pPr>
      <w:r>
        <w:rPr>
          <w:rFonts w:ascii="Calibri" w:eastAsia="Calibri" w:hAnsi="Calibri" w:cs="Times New Roman"/>
        </w:rPr>
        <w:t>Even if the Board is not minded to remove interchange fee regulation, the Australian Taxpayers’ Alliance view of this issue would not change. Simply put, limits on payments by schemes to card issuers</w:t>
      </w:r>
      <w:r w:rsidRPr="007F31C4">
        <w:rPr>
          <w:rFonts w:ascii="Calibri" w:eastAsia="Calibri" w:hAnsi="Calibri" w:cs="Times New Roman"/>
        </w:rPr>
        <w:t xml:space="preserve"> would have a negative impact on competition</w:t>
      </w:r>
      <w:r>
        <w:rPr>
          <w:rFonts w:ascii="Calibri" w:eastAsia="Calibri" w:hAnsi="Calibri" w:cs="Times New Roman"/>
        </w:rPr>
        <w:t xml:space="preserve"> </w:t>
      </w:r>
      <w:r w:rsidR="00F62847">
        <w:rPr>
          <w:rFonts w:ascii="Calibri" w:eastAsia="Calibri" w:hAnsi="Calibri" w:cs="Times New Roman"/>
        </w:rPr>
        <w:t xml:space="preserve">in various product segments. This option is likely to add significant compliance costs on consumers and taxpayers. </w:t>
      </w:r>
      <w:r>
        <w:rPr>
          <w:rFonts w:ascii="Calibri" w:eastAsia="Calibri" w:hAnsi="Calibri" w:cs="Times New Roman"/>
        </w:rPr>
        <w:t xml:space="preserve"> </w:t>
      </w:r>
    </w:p>
    <w:p w14:paraId="39872C52" w14:textId="77777777" w:rsidR="007F31C4" w:rsidRPr="00561AF2" w:rsidRDefault="007F31C4" w:rsidP="00561AF2">
      <w:pPr>
        <w:keepNext/>
        <w:keepLines/>
        <w:jc w:val="left"/>
        <w:outlineLvl w:val="1"/>
        <w:rPr>
          <w:rFonts w:ascii="Cambria" w:eastAsia="Times New Roman" w:hAnsi="Cambria" w:cs="Times New Roman"/>
          <w:b/>
          <w:bCs/>
          <w:sz w:val="26"/>
          <w:szCs w:val="26"/>
        </w:rPr>
      </w:pPr>
      <w:r w:rsidRPr="00561AF2">
        <w:rPr>
          <w:rFonts w:ascii="Cambria" w:eastAsia="Times New Roman" w:hAnsi="Cambria" w:cs="Times New Roman"/>
          <w:b/>
          <w:bCs/>
          <w:sz w:val="26"/>
          <w:szCs w:val="26"/>
        </w:rPr>
        <w:lastRenderedPageBreak/>
        <w:t xml:space="preserve">Surcharging </w:t>
      </w:r>
    </w:p>
    <w:p w14:paraId="11BC2B65" w14:textId="77777777" w:rsidR="00F8335E" w:rsidRDefault="00F8335E" w:rsidP="00561AF2">
      <w:pPr>
        <w:jc w:val="left"/>
        <w:rPr>
          <w:rFonts w:ascii="Calibri" w:eastAsia="Calibri" w:hAnsi="Calibri" w:cs="Times New Roman"/>
        </w:rPr>
      </w:pPr>
      <w:r w:rsidRPr="00F8335E">
        <w:rPr>
          <w:rFonts w:ascii="Calibri" w:eastAsia="Calibri" w:hAnsi="Calibri" w:cs="Times New Roman"/>
        </w:rPr>
        <w:t>Option 1: No change to the existing definition of reasonable cost of card acceptance</w:t>
      </w:r>
    </w:p>
    <w:p w14:paraId="7AD980DA" w14:textId="77777777" w:rsidR="00F8335E" w:rsidRPr="00F8335E" w:rsidRDefault="00F8335E" w:rsidP="00561AF2">
      <w:pPr>
        <w:jc w:val="left"/>
        <w:rPr>
          <w:rFonts w:ascii="Calibri" w:eastAsia="Calibri" w:hAnsi="Calibri" w:cs="Times New Roman"/>
          <w:b/>
        </w:rPr>
      </w:pPr>
      <w:r w:rsidRPr="00F8335E">
        <w:rPr>
          <w:rFonts w:ascii="Calibri" w:eastAsia="Calibri" w:hAnsi="Calibri" w:cs="Times New Roman"/>
          <w:b/>
        </w:rPr>
        <w:t>Option 2: Remove regulation</w:t>
      </w:r>
    </w:p>
    <w:p w14:paraId="0531301F" w14:textId="77777777" w:rsidR="00F8335E" w:rsidRDefault="00F8335E" w:rsidP="00561AF2">
      <w:pPr>
        <w:jc w:val="left"/>
        <w:rPr>
          <w:rFonts w:ascii="Calibri" w:eastAsia="Calibri" w:hAnsi="Calibri" w:cs="Times New Roman"/>
        </w:rPr>
      </w:pPr>
      <w:r w:rsidRPr="00F8335E">
        <w:rPr>
          <w:rFonts w:ascii="Calibri" w:eastAsia="Calibri" w:hAnsi="Calibri" w:cs="Times New Roman"/>
        </w:rPr>
        <w:t>Option 3: Modifications to the cost of acceptance framework</w:t>
      </w:r>
    </w:p>
    <w:p w14:paraId="4B0FD1BA" w14:textId="77777777" w:rsidR="00F8335E" w:rsidRDefault="00F8335E" w:rsidP="00561AF2">
      <w:pPr>
        <w:jc w:val="left"/>
        <w:rPr>
          <w:rFonts w:ascii="Calibri" w:eastAsia="Calibri" w:hAnsi="Calibri" w:cs="Times New Roman"/>
        </w:rPr>
      </w:pPr>
      <w:r>
        <w:rPr>
          <w:rFonts w:ascii="Calibri" w:eastAsia="Calibri" w:hAnsi="Calibri" w:cs="Times New Roman"/>
        </w:rPr>
        <w:t>The Australian Taxpayers’ Alliance submits that the RBA got it wrong in 2003 – and this action was the cause of excessive surcharging by merchants. Such a position would not be inconsistent with the Government’s FSI response (as asserted by the Board on page 29 of the Consultation Paper)</w:t>
      </w:r>
      <w:r w:rsidR="00F62847">
        <w:rPr>
          <w:rFonts w:ascii="Calibri" w:eastAsia="Calibri" w:hAnsi="Calibri" w:cs="Times New Roman"/>
        </w:rPr>
        <w:t xml:space="preserve">. On the contrary, it would </w:t>
      </w:r>
      <w:r>
        <w:rPr>
          <w:rFonts w:ascii="Calibri" w:eastAsia="Calibri" w:hAnsi="Calibri" w:cs="Times New Roman"/>
        </w:rPr>
        <w:t>remove the need for legislative action by the Parliament</w:t>
      </w:r>
      <w:r w:rsidR="00F62847">
        <w:rPr>
          <w:rFonts w:ascii="Calibri" w:eastAsia="Calibri" w:hAnsi="Calibri" w:cs="Times New Roman"/>
        </w:rPr>
        <w:t xml:space="preserve"> in favour of a free-market solution</w:t>
      </w:r>
      <w:r>
        <w:rPr>
          <w:rFonts w:ascii="Calibri" w:eastAsia="Calibri" w:hAnsi="Calibri" w:cs="Times New Roman"/>
        </w:rPr>
        <w:t xml:space="preserve">. The proposed legislation was to mop up previous regulatory failure.  </w:t>
      </w:r>
    </w:p>
    <w:p w14:paraId="38EDBCD0" w14:textId="77777777" w:rsidR="00145628" w:rsidRPr="00ED1136" w:rsidRDefault="007F31C4" w:rsidP="00561AF2">
      <w:pPr>
        <w:pStyle w:val="Heading1"/>
        <w:spacing w:before="100" w:after="100"/>
      </w:pPr>
      <w:r>
        <w:br w:type="page"/>
      </w:r>
    </w:p>
    <w:p w14:paraId="13715527" w14:textId="77777777" w:rsidR="00145628" w:rsidRDefault="00145628" w:rsidP="00561AF2">
      <w:pPr>
        <w:jc w:val="left"/>
        <w:rPr>
          <w:rFonts w:ascii="Tahoma" w:eastAsia="Times New Roman" w:hAnsi="Tahoma" w:cs="Times New Roman"/>
          <w:color w:val="000000"/>
          <w:sz w:val="23"/>
          <w:szCs w:val="23"/>
          <w:shd w:val="clear" w:color="auto" w:fill="FFFFFF"/>
        </w:rPr>
      </w:pPr>
    </w:p>
    <w:p w14:paraId="0B803048" w14:textId="77777777" w:rsidR="003B75AD" w:rsidRPr="00ED1136" w:rsidRDefault="003B75AD" w:rsidP="00561AF2">
      <w:pPr>
        <w:pStyle w:val="Heading1"/>
        <w:spacing w:before="100" w:after="100"/>
        <w:rPr>
          <w:color w:val="auto"/>
        </w:rPr>
      </w:pPr>
      <w:r w:rsidRPr="00ED1136">
        <w:rPr>
          <w:color w:val="auto"/>
        </w:rPr>
        <w:t xml:space="preserve">About the Australian Taxpayers’ Alliance </w:t>
      </w:r>
    </w:p>
    <w:p w14:paraId="4FC8F4D3" w14:textId="77777777" w:rsidR="000D4E6A" w:rsidRPr="00D060A0" w:rsidRDefault="000D4E6A" w:rsidP="00561AF2">
      <w:pPr>
        <w:jc w:val="left"/>
        <w:rPr>
          <w:rFonts w:asciiTheme="majorHAnsi" w:eastAsia="Times New Roman" w:hAnsiTheme="majorHAnsi" w:cs="Times New Roman"/>
        </w:rPr>
      </w:pPr>
      <w:r w:rsidRPr="00D060A0">
        <w:rPr>
          <w:rFonts w:asciiTheme="majorHAnsi" w:eastAsia="Times New Roman" w:hAnsiTheme="majorHAnsi" w:cs="Times New Roman"/>
          <w:shd w:val="clear" w:color="auto" w:fill="FFFFFF"/>
        </w:rPr>
        <w:t>The Australian Taxpayers’ Alliance is a unique grassroots advocacy &amp; activist organisation comprised of over 25,000 members dedicated to standing up for hardworking Australian taxpayers. We oppose the high taxes, wasteful spending, and crippling red tape that are hurting Aussie families and businesses, and provide a voice for everyone who opposes the big-government agenda.</w:t>
      </w:r>
    </w:p>
    <w:p w14:paraId="6B65251B" w14:textId="77777777" w:rsidR="003B75AD" w:rsidRPr="00BE1349" w:rsidRDefault="003B75AD" w:rsidP="00561AF2">
      <w:pPr>
        <w:pStyle w:val="Heading1"/>
        <w:spacing w:before="100" w:after="100"/>
        <w:jc w:val="left"/>
        <w:rPr>
          <w:color w:val="auto"/>
        </w:rPr>
      </w:pPr>
      <w:r w:rsidRPr="00BE1349">
        <w:rPr>
          <w:color w:val="auto"/>
        </w:rPr>
        <w:t xml:space="preserve">About the authors </w:t>
      </w:r>
    </w:p>
    <w:p w14:paraId="224D7093" w14:textId="77777777" w:rsidR="00DF7459" w:rsidRDefault="00881119" w:rsidP="00561AF2">
      <w:pPr>
        <w:jc w:val="left"/>
        <w:rPr>
          <w:rFonts w:asciiTheme="majorHAnsi" w:eastAsia="Times New Roman" w:hAnsiTheme="majorHAnsi" w:cs="Times New Roman"/>
        </w:rPr>
      </w:pPr>
      <w:r w:rsidRPr="00D060A0">
        <w:rPr>
          <w:rFonts w:asciiTheme="majorHAnsi" w:eastAsia="Times New Roman" w:hAnsiTheme="majorHAnsi" w:cs="Times New Roman"/>
          <w:b/>
        </w:rPr>
        <w:t>Tim Andrews</w:t>
      </w:r>
      <w:r w:rsidRPr="00D060A0">
        <w:rPr>
          <w:rFonts w:asciiTheme="majorHAnsi" w:eastAsia="Times New Roman" w:hAnsiTheme="majorHAnsi" w:cs="Times New Roman"/>
        </w:rPr>
        <w:t xml:space="preserve"> is the Executive Director of the Australian Taxpayers' Alliance. He holds a Bachelor of Economics (Social Science), Bachelor of Laws (Honours) and a Master of Public Policy from the University of Sydney</w:t>
      </w:r>
      <w:r w:rsidR="0040017E">
        <w:rPr>
          <w:rFonts w:asciiTheme="majorHAnsi" w:eastAsia="Times New Roman" w:hAnsiTheme="majorHAnsi" w:cs="Times New Roman"/>
        </w:rPr>
        <w:t xml:space="preserve">. </w:t>
      </w:r>
      <w:r w:rsidR="000D4E6A" w:rsidRPr="00D060A0">
        <w:rPr>
          <w:rFonts w:asciiTheme="majorHAnsi" w:eastAsia="Times New Roman" w:hAnsiTheme="majorHAnsi" w:cs="Times New Roman"/>
        </w:rPr>
        <w:t xml:space="preserve">Email: tandrews@taxpayers.org.au </w:t>
      </w:r>
    </w:p>
    <w:p w14:paraId="0FE4834F" w14:textId="2B12BF2C" w:rsidR="003B75AD" w:rsidRPr="00D060A0" w:rsidRDefault="00881119" w:rsidP="00561AF2">
      <w:pPr>
        <w:jc w:val="left"/>
        <w:rPr>
          <w:rFonts w:asciiTheme="majorHAnsi" w:hAnsiTheme="majorHAnsi"/>
        </w:rPr>
      </w:pPr>
      <w:r w:rsidRPr="00D060A0">
        <w:rPr>
          <w:rFonts w:asciiTheme="majorHAnsi" w:hAnsiTheme="majorHAnsi"/>
          <w:b/>
        </w:rPr>
        <w:t>Aaron Lane</w:t>
      </w:r>
      <w:r w:rsidRPr="00D060A0">
        <w:rPr>
          <w:rFonts w:asciiTheme="majorHAnsi" w:hAnsiTheme="majorHAnsi"/>
        </w:rPr>
        <w:t xml:space="preserve"> is the National Campaign Director of </w:t>
      </w:r>
      <w:r w:rsidR="007E0AB1">
        <w:rPr>
          <w:rFonts w:asciiTheme="majorHAnsi" w:hAnsiTheme="majorHAnsi"/>
        </w:rPr>
        <w:t>‘</w:t>
      </w:r>
      <w:r w:rsidRPr="00D060A0">
        <w:rPr>
          <w:rFonts w:asciiTheme="majorHAnsi" w:hAnsiTheme="majorHAnsi"/>
        </w:rPr>
        <w:t xml:space="preserve">Don’t Let Them Pass the </w:t>
      </w:r>
      <w:r w:rsidR="00DF7459">
        <w:rPr>
          <w:rFonts w:asciiTheme="majorHAnsi" w:hAnsiTheme="majorHAnsi"/>
        </w:rPr>
        <w:t>Buck</w:t>
      </w:r>
      <w:r w:rsidR="007E0AB1">
        <w:rPr>
          <w:rFonts w:asciiTheme="majorHAnsi" w:hAnsiTheme="majorHAnsi"/>
        </w:rPr>
        <w:t>’</w:t>
      </w:r>
      <w:r w:rsidR="00DF7459">
        <w:rPr>
          <w:rFonts w:asciiTheme="majorHAnsi" w:hAnsiTheme="majorHAnsi"/>
        </w:rPr>
        <w:t xml:space="preserve">, an </w:t>
      </w:r>
      <w:r w:rsidRPr="00D060A0">
        <w:rPr>
          <w:rFonts w:asciiTheme="majorHAnsi" w:hAnsiTheme="majorHAnsi"/>
        </w:rPr>
        <w:t xml:space="preserve">initiative of the Australian Taxpayers’ Alliance. He holds </w:t>
      </w:r>
      <w:r w:rsidR="00D060A0">
        <w:rPr>
          <w:rFonts w:asciiTheme="majorHAnsi" w:hAnsiTheme="majorHAnsi"/>
        </w:rPr>
        <w:t>a Bachelor of Commerce, a Bachelor of Laws (Honours), a Graduate Diploma of Legal Practice, and a Master of Arts. He</w:t>
      </w:r>
      <w:r w:rsidRPr="00D060A0">
        <w:rPr>
          <w:rFonts w:asciiTheme="majorHAnsi" w:hAnsiTheme="majorHAnsi"/>
        </w:rPr>
        <w:t xml:space="preserve"> is currently a PhD candidate </w:t>
      </w:r>
      <w:r w:rsidR="00561AF2">
        <w:rPr>
          <w:rFonts w:asciiTheme="majorHAnsi" w:hAnsiTheme="majorHAnsi"/>
        </w:rPr>
        <w:t xml:space="preserve">in law and economics </w:t>
      </w:r>
      <w:r w:rsidRPr="00D060A0">
        <w:rPr>
          <w:rFonts w:asciiTheme="majorHAnsi" w:hAnsiTheme="majorHAnsi"/>
        </w:rPr>
        <w:t xml:space="preserve">at RMIT University. </w:t>
      </w:r>
      <w:r w:rsidR="000D4E6A" w:rsidRPr="00D060A0">
        <w:rPr>
          <w:rFonts w:asciiTheme="majorHAnsi" w:hAnsiTheme="majorHAnsi"/>
        </w:rPr>
        <w:t xml:space="preserve">Email: alane@taxpayers.org.au </w:t>
      </w:r>
    </w:p>
    <w:p w14:paraId="4C8E2140" w14:textId="77777777" w:rsidR="003B75AD" w:rsidRPr="00D060A0" w:rsidRDefault="003B75AD" w:rsidP="00561AF2">
      <w:pPr>
        <w:rPr>
          <w:rFonts w:asciiTheme="majorHAnsi" w:hAnsiTheme="majorHAnsi"/>
        </w:rPr>
      </w:pPr>
    </w:p>
    <w:p w14:paraId="039E6CE5" w14:textId="77777777" w:rsidR="003B75AD" w:rsidRDefault="003B75AD" w:rsidP="00561AF2">
      <w:pPr>
        <w:jc w:val="left"/>
      </w:pPr>
    </w:p>
    <w:p w14:paraId="6FC43C18" w14:textId="77777777" w:rsidR="003B75AD" w:rsidRDefault="003B75AD" w:rsidP="00561AF2">
      <w:pPr>
        <w:jc w:val="left"/>
      </w:pPr>
    </w:p>
    <w:p w14:paraId="564259AE" w14:textId="77777777" w:rsidR="003B75AD" w:rsidRDefault="003B75AD" w:rsidP="00561AF2">
      <w:pPr>
        <w:jc w:val="left"/>
      </w:pPr>
    </w:p>
    <w:p w14:paraId="4A7756E1" w14:textId="77777777" w:rsidR="003B75AD" w:rsidRDefault="003B75AD" w:rsidP="00D060A0">
      <w:pPr>
        <w:jc w:val="left"/>
      </w:pPr>
    </w:p>
    <w:p w14:paraId="5F4CDA71" w14:textId="77777777" w:rsidR="003B75AD" w:rsidRDefault="003B75AD" w:rsidP="00D060A0">
      <w:pPr>
        <w:jc w:val="left"/>
      </w:pPr>
    </w:p>
    <w:p w14:paraId="2264FFB0" w14:textId="77777777" w:rsidR="003B75AD" w:rsidRDefault="003B75AD" w:rsidP="00D060A0">
      <w:pPr>
        <w:jc w:val="left"/>
      </w:pPr>
    </w:p>
    <w:p w14:paraId="17B1C63A" w14:textId="77777777" w:rsidR="003B75AD" w:rsidRDefault="003B75AD" w:rsidP="00D060A0">
      <w:pPr>
        <w:jc w:val="left"/>
      </w:pPr>
    </w:p>
    <w:p w14:paraId="1A0E56E5" w14:textId="77777777" w:rsidR="003B75AD" w:rsidRDefault="003B75AD" w:rsidP="00D060A0">
      <w:pPr>
        <w:jc w:val="left"/>
      </w:pPr>
    </w:p>
    <w:p w14:paraId="33284F08" w14:textId="77777777" w:rsidR="003B75AD" w:rsidRDefault="003B75AD" w:rsidP="00D060A0">
      <w:pPr>
        <w:jc w:val="left"/>
      </w:pPr>
    </w:p>
    <w:p w14:paraId="2C6CB675" w14:textId="77777777" w:rsidR="003B75AD" w:rsidRDefault="003B75AD" w:rsidP="00D060A0">
      <w:pPr>
        <w:jc w:val="left"/>
      </w:pPr>
    </w:p>
    <w:p w14:paraId="61A06418" w14:textId="77777777" w:rsidR="000D4E6A" w:rsidRDefault="000D4E6A" w:rsidP="00D060A0">
      <w:pPr>
        <w:jc w:val="left"/>
      </w:pPr>
    </w:p>
    <w:p w14:paraId="612CD265" w14:textId="77777777" w:rsidR="007C4C3D" w:rsidRDefault="007C4C3D" w:rsidP="00D060A0">
      <w:pPr>
        <w:jc w:val="left"/>
      </w:pPr>
    </w:p>
    <w:p w14:paraId="0F905931" w14:textId="77777777" w:rsidR="007C4C3D" w:rsidRDefault="007C4C3D" w:rsidP="00D060A0">
      <w:pPr>
        <w:jc w:val="left"/>
      </w:pPr>
    </w:p>
    <w:p w14:paraId="5C9742C3" w14:textId="77777777" w:rsidR="006A36A5" w:rsidRDefault="006A36A5" w:rsidP="00D060A0">
      <w:pPr>
        <w:pStyle w:val="Heading1"/>
        <w:rPr>
          <w:color w:val="auto"/>
          <w:highlight w:val="yellow"/>
        </w:rPr>
      </w:pPr>
    </w:p>
    <w:p w14:paraId="2FBA60E1" w14:textId="77777777" w:rsidR="003B75AD" w:rsidRPr="006A36A5" w:rsidRDefault="003B75AD" w:rsidP="00D060A0">
      <w:pPr>
        <w:pStyle w:val="Heading1"/>
        <w:rPr>
          <w:color w:val="auto"/>
        </w:rPr>
      </w:pPr>
      <w:r w:rsidRPr="006A36A5">
        <w:rPr>
          <w:color w:val="auto"/>
        </w:rPr>
        <w:t xml:space="preserve">References </w:t>
      </w:r>
    </w:p>
    <w:sectPr w:rsidR="003B75AD" w:rsidRPr="006A36A5" w:rsidSect="00D21659">
      <w:headerReference w:type="even" r:id="rId11"/>
      <w:headerReference w:type="default" r:id="rId12"/>
      <w:footerReference w:type="even" r:id="rId13"/>
      <w:footerReference w:type="default" r:id="rId14"/>
      <w:headerReference w:type="first" r:id="rId15"/>
      <w:footerReference w:type="first" r:id="rId16"/>
      <w:pgSz w:w="11901" w:h="16840"/>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3B153C" w14:textId="77777777" w:rsidR="00B94598" w:rsidRDefault="00B94598" w:rsidP="00027D04">
      <w:pPr>
        <w:spacing w:before="0" w:after="0"/>
      </w:pPr>
      <w:r>
        <w:separator/>
      </w:r>
    </w:p>
  </w:endnote>
  <w:endnote w:type="continuationSeparator" w:id="0">
    <w:p w14:paraId="7CB01E46" w14:textId="77777777" w:rsidR="00B94598" w:rsidRDefault="00B94598" w:rsidP="00027D04">
      <w:pPr>
        <w:spacing w:before="0" w:after="0"/>
      </w:pPr>
      <w:r>
        <w:continuationSeparator/>
      </w:r>
    </w:p>
  </w:endnote>
  <w:endnote w:id="1">
    <w:p w14:paraId="497A1837" w14:textId="6A93412C" w:rsidR="008B1348" w:rsidRPr="00460361" w:rsidRDefault="008B1348" w:rsidP="00460361">
      <w:pPr>
        <w:pStyle w:val="EndnoteText"/>
        <w:rPr>
          <w:rFonts w:asciiTheme="majorHAnsi" w:hAnsiTheme="majorHAnsi"/>
          <w:sz w:val="22"/>
          <w:szCs w:val="22"/>
        </w:rPr>
      </w:pPr>
      <w:r w:rsidRPr="00460361">
        <w:rPr>
          <w:rStyle w:val="EndnoteReference"/>
          <w:rFonts w:asciiTheme="majorHAnsi" w:hAnsiTheme="majorHAnsi"/>
          <w:sz w:val="22"/>
          <w:szCs w:val="22"/>
        </w:rPr>
        <w:endnoteRef/>
      </w:r>
      <w:r w:rsidRPr="00460361">
        <w:rPr>
          <w:rFonts w:asciiTheme="majorHAnsi" w:hAnsiTheme="majorHAnsi"/>
          <w:sz w:val="22"/>
          <w:szCs w:val="22"/>
        </w:rPr>
        <w:t xml:space="preserve"> </w:t>
      </w:r>
      <w:r w:rsidR="00460361" w:rsidRPr="00460361">
        <w:rPr>
          <w:rFonts w:asciiTheme="majorHAnsi" w:hAnsiTheme="majorHAnsi"/>
          <w:sz w:val="22"/>
          <w:szCs w:val="22"/>
        </w:rPr>
        <w:t xml:space="preserve">Australian Senate, </w:t>
      </w:r>
      <w:r w:rsidR="00460361" w:rsidRPr="00460361">
        <w:rPr>
          <w:rFonts w:asciiTheme="majorHAnsi" w:eastAsia="Times New Roman" w:hAnsiTheme="majorHAnsi" w:cs="Times New Roman"/>
          <w:sz w:val="22"/>
          <w:szCs w:val="22"/>
        </w:rPr>
        <w:t>Proof Committee Hansard, 16 October 2015, pp. 37-38.</w:t>
      </w:r>
    </w:p>
  </w:endnote>
  <w:endnote w:id="2">
    <w:p w14:paraId="3719FC0B" w14:textId="30154C44"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Thomas Durkin, Gregory Elliehausen, Michael Staten, Todd Zywicki, “Consumer Credit and the American Economy,” Oxford University Press 2014,  p.287</w:t>
      </w:r>
      <w:r w:rsidR="006A36A5">
        <w:rPr>
          <w:rFonts w:asciiTheme="majorHAnsi" w:hAnsiTheme="majorHAnsi"/>
          <w:sz w:val="22"/>
          <w:szCs w:val="22"/>
        </w:rPr>
        <w:t>.</w:t>
      </w:r>
      <w:r w:rsidRPr="006A36A5">
        <w:rPr>
          <w:rFonts w:asciiTheme="majorHAnsi" w:hAnsiTheme="majorHAnsi"/>
          <w:sz w:val="22"/>
          <w:szCs w:val="22"/>
        </w:rPr>
        <w:t xml:space="preserve">  </w:t>
      </w:r>
    </w:p>
  </w:endnote>
  <w:endnote w:id="3">
    <w:p w14:paraId="48243081" w14:textId="28E3E1A7"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Chris Stewart, Iris Chan, Crystal Ossolinski, David Halperin and Paul Ryan, “The Evolution of Payment Costs in Australia, RBA Research Discussion Paper, 2014-14, Table B2, p.60.  </w:t>
      </w:r>
    </w:p>
  </w:endnote>
  <w:endnote w:id="4">
    <w:p w14:paraId="196DB900" w14:textId="7694DE12"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Authors’ calculations from Stewart et al.  </w:t>
      </w:r>
    </w:p>
  </w:endnote>
  <w:endnote w:id="5">
    <w:p w14:paraId="5FC021B4" w14:textId="47F28945"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Zywicki, Todd J.: “The Economics of Payment Card Interchange Fees and the Limits of Regulation”; International Center for Law &amp; Economics, June 2010. pp 11.  </w:t>
      </w:r>
    </w:p>
  </w:endnote>
  <w:endnote w:id="6">
    <w:p w14:paraId="2C6C6A55" w14:textId="3C1B9742"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Stewart et al., op.cit., Table A3, p.51</w:t>
      </w:r>
      <w:r w:rsidR="006A36A5">
        <w:rPr>
          <w:rFonts w:asciiTheme="majorHAnsi" w:hAnsiTheme="majorHAnsi"/>
          <w:sz w:val="22"/>
          <w:szCs w:val="22"/>
        </w:rPr>
        <w:t>.</w:t>
      </w:r>
      <w:r w:rsidRPr="006A36A5">
        <w:rPr>
          <w:rFonts w:asciiTheme="majorHAnsi" w:hAnsiTheme="majorHAnsi"/>
          <w:sz w:val="22"/>
          <w:szCs w:val="22"/>
        </w:rPr>
        <w:t xml:space="preserve">  </w:t>
      </w:r>
    </w:p>
  </w:endnote>
  <w:endnote w:id="7">
    <w:p w14:paraId="528DF9C2" w14:textId="09868E8E"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Authors’ calculations</w:t>
      </w:r>
      <w:r w:rsidR="006A36A5">
        <w:rPr>
          <w:rFonts w:asciiTheme="majorHAnsi" w:hAnsiTheme="majorHAnsi"/>
          <w:sz w:val="22"/>
          <w:szCs w:val="22"/>
        </w:rPr>
        <w:t>.</w:t>
      </w:r>
      <w:r w:rsidRPr="006A36A5">
        <w:rPr>
          <w:rFonts w:asciiTheme="majorHAnsi" w:hAnsiTheme="majorHAnsi"/>
          <w:sz w:val="22"/>
          <w:szCs w:val="22"/>
        </w:rPr>
        <w:t xml:space="preserve">  </w:t>
      </w:r>
    </w:p>
  </w:endnote>
  <w:endnote w:id="8">
    <w:p w14:paraId="2DBB7632" w14:textId="0AAFC56C"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Reserve Bank of Australia, “Payment Systems Board Annual Report 2014,” September 12 2014, p.27.  </w:t>
      </w:r>
    </w:p>
  </w:endnote>
  <w:endnote w:id="9">
    <w:p w14:paraId="03815075" w14:textId="0A178D52"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Reserve Bank of Australia, Media Release, April 2006. http://www.rba.gov.au/media-releases/2006/pdf/mr-06-02-creditcard-std.pdf</w:t>
      </w:r>
      <w:r w:rsidR="006A36A5">
        <w:rPr>
          <w:rFonts w:asciiTheme="majorHAnsi" w:hAnsiTheme="majorHAnsi"/>
          <w:sz w:val="22"/>
          <w:szCs w:val="22"/>
        </w:rPr>
        <w:t>.</w:t>
      </w:r>
      <w:r w:rsidRPr="006A36A5">
        <w:rPr>
          <w:rFonts w:asciiTheme="majorHAnsi" w:hAnsiTheme="majorHAnsi"/>
          <w:sz w:val="22"/>
          <w:szCs w:val="22"/>
        </w:rPr>
        <w:t xml:space="preserve">  </w:t>
      </w:r>
    </w:p>
  </w:endnote>
  <w:endnote w:id="10">
    <w:p w14:paraId="0D47136A" w14:textId="4B26324F"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Rodgers, David: “Credit Losses at Australian Banks: 1980-2013”; Reserve Bank of Australia Research Discussion Paper, May 2015. pp 21.  </w:t>
      </w:r>
    </w:p>
  </w:endnote>
  <w:endnote w:id="11">
    <w:p w14:paraId="4FF997D2" w14:textId="44952AF3"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Reserve Bank of Australia Credit and Charge Card Statistics – C1. Accessed August 4 2015 http://www.rba.gov.au/statistics/tables/#payments-system</w:t>
      </w:r>
      <w:r w:rsidR="006A36A5">
        <w:rPr>
          <w:rFonts w:asciiTheme="majorHAnsi" w:hAnsiTheme="majorHAnsi"/>
          <w:sz w:val="22"/>
          <w:szCs w:val="22"/>
        </w:rPr>
        <w:t>.</w:t>
      </w:r>
      <w:r w:rsidRPr="006A36A5">
        <w:rPr>
          <w:rFonts w:asciiTheme="majorHAnsi" w:hAnsiTheme="majorHAnsi"/>
          <w:sz w:val="22"/>
          <w:szCs w:val="22"/>
        </w:rPr>
        <w:t xml:space="preserve">  </w:t>
      </w:r>
    </w:p>
  </w:endnote>
  <w:endnote w:id="12">
    <w:p w14:paraId="1963AAF2" w14:textId="045EBD11" w:rsidR="0079206A" w:rsidRPr="006A36A5" w:rsidRDefault="0079206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Robert Stillman, William Bishop, Kyla Malcolm, Nicole Hildebrandt: “Regulatory intervention in the payment card industry by the Reserve Bank of Australia”; CRA International, April 2008. p.13.  </w:t>
      </w:r>
    </w:p>
  </w:endnote>
  <w:endnote w:id="13">
    <w:p w14:paraId="7AD1FC7D" w14:textId="01455C3C" w:rsidR="00432AC2" w:rsidRPr="006A36A5" w:rsidRDefault="00432AC2">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Iris Chan, Sophia Chong and Stephen Mitchell: “The Personal Credit Card Market in Australia: Pricing over the Past Decade”; Reserve Bank of Australia Bulletin, March 2012. pp 55.  </w:t>
      </w:r>
    </w:p>
  </w:endnote>
  <w:endnote w:id="14">
    <w:p w14:paraId="615B333D" w14:textId="45AD9D98" w:rsidR="00432AC2" w:rsidRPr="006A36A5" w:rsidRDefault="00432AC2" w:rsidP="006A36A5">
      <w:pPr>
        <w:pStyle w:val="Defaul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“The Economic Impact of Interchange Fee Regulation”; Europe Econo</w:t>
      </w:r>
      <w:r w:rsidR="006A36A5">
        <w:rPr>
          <w:rFonts w:asciiTheme="majorHAnsi" w:hAnsiTheme="majorHAnsi"/>
          <w:sz w:val="22"/>
          <w:szCs w:val="22"/>
        </w:rPr>
        <w:t xml:space="preserve">mics, September 2014. pp 21-32. </w:t>
      </w:r>
      <w:r w:rsidRPr="006A36A5">
        <w:rPr>
          <w:rFonts w:asciiTheme="majorHAnsi" w:hAnsiTheme="majorHAnsi"/>
          <w:sz w:val="22"/>
          <w:szCs w:val="22"/>
        </w:rPr>
        <w:t>http://www.europeeconomics.com/publications/economic_impact_of_if_regulation_-_france.pdf</w:t>
      </w:r>
      <w:r w:rsidR="006A36A5">
        <w:rPr>
          <w:rFonts w:asciiTheme="majorHAnsi" w:hAnsiTheme="majorHAnsi"/>
          <w:sz w:val="22"/>
          <w:szCs w:val="22"/>
        </w:rPr>
        <w:t>.</w:t>
      </w:r>
    </w:p>
  </w:endnote>
  <w:endnote w:id="15">
    <w:p w14:paraId="01193234" w14:textId="59BE3B32" w:rsidR="00432AC2" w:rsidRPr="006A36A5" w:rsidRDefault="00432AC2">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David S. Evans, Howard Chang, Steven Joyce, “The Impact of the U.S. Debit Card Interchange Fee Regulation on Consumer Welfare: An Event Study Analysis,” Coase-Sandor Institute for Law and Economics, University of Chicago, September 2013, p.49  </w:t>
      </w:r>
    </w:p>
  </w:endnote>
  <w:endnote w:id="16">
    <w:p w14:paraId="6E2C246A" w14:textId="4856A7EA" w:rsidR="00432AC2" w:rsidRPr="0008120E" w:rsidRDefault="00432AC2">
      <w:pPr>
        <w:pStyle w:val="EndnoteText"/>
        <w:rPr>
          <w:rFonts w:asciiTheme="majorHAnsi" w:hAnsiTheme="majorHAnsi"/>
          <w:sz w:val="22"/>
          <w:szCs w:val="22"/>
          <w:lang w:val="da-DK"/>
        </w:rPr>
      </w:pPr>
      <w:r w:rsidRPr="006A36A5">
        <w:rPr>
          <w:rStyle w:val="EndnoteReference"/>
          <w:rFonts w:asciiTheme="majorHAnsi" w:hAnsiTheme="majorHAnsi"/>
          <w:sz w:val="22"/>
          <w:szCs w:val="22"/>
        </w:rPr>
        <w:endnoteRef/>
      </w:r>
      <w:r w:rsidRPr="0008120E">
        <w:rPr>
          <w:rFonts w:asciiTheme="majorHAnsi" w:hAnsiTheme="majorHAnsi"/>
          <w:sz w:val="22"/>
          <w:szCs w:val="22"/>
          <w:lang w:val="da-DK"/>
        </w:rPr>
        <w:t xml:space="preserve"> Ibid.</w:t>
      </w:r>
    </w:p>
  </w:endnote>
  <w:endnote w:id="17">
    <w:p w14:paraId="1DA574E9" w14:textId="3545C046" w:rsidR="00432AC2" w:rsidRPr="006A36A5" w:rsidRDefault="00432AC2">
      <w:pPr>
        <w:pStyle w:val="EndnoteText"/>
        <w:rPr>
          <w:rFonts w:asciiTheme="majorHAnsi" w:hAnsiTheme="majorHAnsi"/>
          <w:sz w:val="22"/>
          <w:szCs w:val="22"/>
          <w:lang w:val="da-DK"/>
        </w:rPr>
      </w:pPr>
      <w:r w:rsidRPr="006A36A5">
        <w:rPr>
          <w:rStyle w:val="EndnoteReference"/>
          <w:rFonts w:asciiTheme="majorHAnsi" w:hAnsiTheme="majorHAnsi"/>
          <w:sz w:val="22"/>
          <w:szCs w:val="22"/>
        </w:rPr>
        <w:endnoteRef/>
      </w:r>
      <w:r w:rsidRPr="006A36A5">
        <w:rPr>
          <w:rFonts w:asciiTheme="majorHAnsi" w:hAnsiTheme="majorHAnsi"/>
          <w:sz w:val="22"/>
          <w:szCs w:val="22"/>
          <w:lang w:val="da-DK"/>
        </w:rPr>
        <w:t xml:space="preserve"> Stillman et al., op. cit., p.33</w:t>
      </w:r>
      <w:r w:rsidR="006A36A5">
        <w:rPr>
          <w:rFonts w:asciiTheme="majorHAnsi" w:hAnsiTheme="majorHAnsi"/>
          <w:sz w:val="22"/>
          <w:szCs w:val="22"/>
          <w:lang w:val="da-DK"/>
        </w:rPr>
        <w:t>.</w:t>
      </w:r>
      <w:r w:rsidRPr="006A36A5">
        <w:rPr>
          <w:rFonts w:asciiTheme="majorHAnsi" w:hAnsiTheme="majorHAnsi"/>
          <w:sz w:val="22"/>
          <w:szCs w:val="22"/>
          <w:lang w:val="da-DK"/>
        </w:rPr>
        <w:t xml:space="preserve">  </w:t>
      </w:r>
    </w:p>
  </w:endnote>
  <w:endnote w:id="18">
    <w:p w14:paraId="470114D1" w14:textId="70055245" w:rsidR="00432AC2" w:rsidRPr="006A36A5" w:rsidRDefault="00432AC2">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Australian Senate, </w:t>
      </w:r>
      <w:r w:rsidRPr="006A36A5">
        <w:rPr>
          <w:rFonts w:asciiTheme="majorHAnsi" w:eastAsia="Times New Roman" w:hAnsiTheme="majorHAnsi" w:cs="Times New Roman"/>
          <w:sz w:val="22"/>
          <w:szCs w:val="22"/>
        </w:rPr>
        <w:t>Proof Committee Hansard, 16 October 2015, pp. 36-37.</w:t>
      </w:r>
    </w:p>
  </w:endnote>
  <w:endnote w:id="19">
    <w:p w14:paraId="17C44917" w14:textId="070DC000" w:rsidR="00054B1B" w:rsidRPr="006A36A5" w:rsidRDefault="00054B1B" w:rsidP="00054B1B">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Wang, Z., Schwartz, S., and Mitchell, N., The Impact of the Durbin Amendment on Merchants: A Survey Study, Economic Quarterly, vol. 100, no. 3, 2014, pp. 183-208. </w:t>
      </w:r>
    </w:p>
  </w:endnote>
  <w:endnote w:id="20">
    <w:p w14:paraId="520A168B" w14:textId="4FEE0210" w:rsidR="00432AC2" w:rsidRDefault="00432AC2" w:rsidP="006A36A5">
      <w:pPr>
        <w:pStyle w:val="Defaul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Customer Owned Banking Association, submission to RBA, 30th April 2015, p.4 http://www.rba.gov.au/payments-system/reforms/submissions/review-of-card-payments-regulation/coba.pdf</w:t>
      </w:r>
      <w:r w:rsidR="006A36A5">
        <w:rPr>
          <w:rFonts w:asciiTheme="majorHAnsi" w:hAnsiTheme="majorHAnsi"/>
          <w:sz w:val="22"/>
          <w:szCs w:val="22"/>
        </w:rPr>
        <w:t>.</w:t>
      </w:r>
      <w:r w:rsidRPr="006A36A5">
        <w:rPr>
          <w:rFonts w:asciiTheme="majorHAnsi" w:hAnsiTheme="majorHAnsi"/>
          <w:sz w:val="22"/>
          <w:szCs w:val="22"/>
        </w:rPr>
        <w:t xml:space="preserve">  </w:t>
      </w:r>
    </w:p>
    <w:p w14:paraId="556F98CC" w14:textId="77777777" w:rsidR="006A36A5" w:rsidRPr="006A36A5" w:rsidRDefault="006A36A5" w:rsidP="006A36A5">
      <w:pPr>
        <w:pStyle w:val="Default"/>
        <w:rPr>
          <w:rFonts w:asciiTheme="majorHAnsi" w:hAnsiTheme="majorHAnsi"/>
          <w:sz w:val="22"/>
          <w:szCs w:val="22"/>
        </w:rPr>
      </w:pPr>
    </w:p>
  </w:endnote>
  <w:endnote w:id="21">
    <w:p w14:paraId="7F26F234" w14:textId="3083B9B8" w:rsidR="00432AC2" w:rsidRPr="006A36A5" w:rsidRDefault="00432AC2" w:rsidP="006A36A5">
      <w:pPr>
        <w:pStyle w:val="Defaul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US Government Accountability Office, “CREDIT CARDS: Rising Interchange Fees Have Increased Costs for Merchants, but Options for Reducing Fees Pose Challenges,” GAO-10-45, September 2009, p.22.  </w:t>
      </w:r>
    </w:p>
  </w:endnote>
  <w:endnote w:id="22">
    <w:p w14:paraId="0DBAA3A8" w14:textId="78D20856" w:rsidR="00432AC2" w:rsidRPr="006A36A5" w:rsidRDefault="00432AC2">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Visa, Inc., submission to RBA, April 24th 2015, pp. 20-21 http://www.rba.gov.au/payments-system/reforms/submissions/review-of-card-payments-regulation/visa.pdf</w:t>
      </w:r>
      <w:r w:rsidR="006A36A5">
        <w:rPr>
          <w:rFonts w:asciiTheme="majorHAnsi" w:hAnsiTheme="majorHAnsi"/>
          <w:sz w:val="22"/>
          <w:szCs w:val="22"/>
        </w:rPr>
        <w:t>.</w:t>
      </w:r>
      <w:r w:rsidRPr="006A36A5">
        <w:rPr>
          <w:rFonts w:asciiTheme="majorHAnsi" w:hAnsiTheme="majorHAnsi"/>
          <w:sz w:val="22"/>
          <w:szCs w:val="22"/>
        </w:rPr>
        <w:t xml:space="preserve">  </w:t>
      </w:r>
    </w:p>
  </w:endnote>
  <w:endnote w:id="23">
    <w:p w14:paraId="0AB593A1" w14:textId="22A8A688" w:rsidR="005123D4" w:rsidRPr="006A36A5" w:rsidRDefault="005123D4" w:rsidP="0014458A">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Murray,</w:t>
      </w:r>
      <w:r w:rsidR="0014458A">
        <w:rPr>
          <w:rFonts w:asciiTheme="majorHAnsi" w:hAnsiTheme="majorHAnsi"/>
          <w:sz w:val="22"/>
          <w:szCs w:val="22"/>
        </w:rPr>
        <w:t xml:space="preserve"> I.</w:t>
      </w:r>
      <w:r w:rsidRPr="006A36A5">
        <w:rPr>
          <w:rFonts w:asciiTheme="majorHAnsi" w:hAnsiTheme="majorHAnsi"/>
          <w:sz w:val="22"/>
          <w:szCs w:val="22"/>
        </w:rPr>
        <w:t xml:space="preserve"> </w:t>
      </w:r>
      <w:r w:rsidRPr="006A36A5">
        <w:rPr>
          <w:rFonts w:asciiTheme="majorHAnsi" w:hAnsiTheme="majorHAnsi"/>
          <w:i/>
          <w:iCs/>
          <w:sz w:val="22"/>
          <w:szCs w:val="22"/>
        </w:rPr>
        <w:t xml:space="preserve">Interchange Fee Warnings Coming True in EU, </w:t>
      </w:r>
      <w:r w:rsidRPr="006A36A5">
        <w:rPr>
          <w:rFonts w:asciiTheme="majorHAnsi" w:hAnsiTheme="majorHAnsi"/>
          <w:sz w:val="22"/>
          <w:szCs w:val="22"/>
        </w:rPr>
        <w:t xml:space="preserve">Competitive Enterprise Institute: https://cei.org/blog/interchange-fee-warnings-coming-true-eu; Iranzo, J., Fernandez, P., Matias, G., Delgado, M., </w:t>
      </w:r>
      <w:r w:rsidRPr="006A36A5">
        <w:rPr>
          <w:rFonts w:asciiTheme="majorHAnsi" w:hAnsiTheme="majorHAnsi"/>
          <w:i/>
          <w:iCs/>
          <w:sz w:val="22"/>
          <w:szCs w:val="22"/>
        </w:rPr>
        <w:t xml:space="preserve">The effects of the mandatory decrease of interchange fees in Spain, </w:t>
      </w:r>
      <w:r w:rsidRPr="006A36A5">
        <w:rPr>
          <w:rFonts w:asciiTheme="majorHAnsi" w:hAnsiTheme="majorHAnsi"/>
          <w:sz w:val="22"/>
          <w:szCs w:val="22"/>
        </w:rPr>
        <w:t xml:space="preserve">June 2012; Turner, MA., </w:t>
      </w:r>
      <w:r w:rsidRPr="006A36A5">
        <w:rPr>
          <w:rFonts w:asciiTheme="majorHAnsi" w:hAnsiTheme="majorHAnsi"/>
          <w:i/>
          <w:iCs/>
          <w:sz w:val="22"/>
          <w:szCs w:val="22"/>
        </w:rPr>
        <w:t xml:space="preserve">Reconsidering interchange fee reform: some lessons from Spain, Australia, and the United States, </w:t>
      </w:r>
      <w:r w:rsidRPr="006A36A5">
        <w:rPr>
          <w:rFonts w:asciiTheme="majorHAnsi" w:hAnsiTheme="majorHAnsi"/>
          <w:sz w:val="22"/>
          <w:szCs w:val="22"/>
        </w:rPr>
        <w:t xml:space="preserve">February 2014.   </w:t>
      </w:r>
    </w:p>
  </w:endnote>
  <w:endnote w:id="24">
    <w:p w14:paraId="4914963B" w14:textId="2C96B3FE" w:rsidR="00432AC2" w:rsidRPr="006A36A5" w:rsidRDefault="00432AC2">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Zywicki, Todd J. and Manne, Geoffrey A. and Morris, Julian, Price Controls on Payment Card Interchange Fees: The U.S. Experience (June 4, 2014). George Mason Law &amp; Economics Research Paper No. 14-18. Available at SSRN: http://ssrn.com/abstract=2446080</w:t>
      </w:r>
      <w:r w:rsidR="006A36A5">
        <w:rPr>
          <w:rFonts w:asciiTheme="majorHAnsi" w:hAnsiTheme="majorHAnsi"/>
          <w:sz w:val="22"/>
          <w:szCs w:val="22"/>
        </w:rPr>
        <w:t>.</w:t>
      </w:r>
      <w:r w:rsidRPr="006A36A5">
        <w:rPr>
          <w:rFonts w:asciiTheme="majorHAnsi" w:hAnsiTheme="majorHAnsi"/>
          <w:sz w:val="22"/>
          <w:szCs w:val="22"/>
        </w:rPr>
        <w:t xml:space="preserve">  </w:t>
      </w:r>
    </w:p>
  </w:endnote>
  <w:endnote w:id="25">
    <w:p w14:paraId="1B8A4CF6" w14:textId="2C83EEB7" w:rsidR="00432AC2" w:rsidRPr="008B1348" w:rsidRDefault="00432AC2">
      <w:pPr>
        <w:pStyle w:val="EndnoteText"/>
        <w:rPr>
          <w:rFonts w:asciiTheme="majorHAnsi" w:hAnsiTheme="majorHAnsi"/>
          <w:sz w:val="22"/>
          <w:szCs w:val="22"/>
        </w:rPr>
      </w:pPr>
      <w:r w:rsidRPr="008B1348">
        <w:rPr>
          <w:rStyle w:val="EndnoteReference"/>
          <w:rFonts w:asciiTheme="majorHAnsi" w:hAnsiTheme="majorHAnsi"/>
          <w:sz w:val="22"/>
          <w:szCs w:val="22"/>
        </w:rPr>
        <w:endnoteRef/>
      </w:r>
      <w:r w:rsidRPr="008B1348">
        <w:rPr>
          <w:rFonts w:asciiTheme="majorHAnsi" w:hAnsiTheme="majorHAnsi"/>
          <w:sz w:val="22"/>
          <w:szCs w:val="22"/>
        </w:rPr>
        <w:t xml:space="preserve"> COBA submission, op. cit., p.3</w:t>
      </w:r>
      <w:r w:rsidR="006A36A5" w:rsidRPr="008B1348">
        <w:rPr>
          <w:rFonts w:asciiTheme="majorHAnsi" w:hAnsiTheme="majorHAnsi"/>
          <w:sz w:val="22"/>
          <w:szCs w:val="22"/>
        </w:rPr>
        <w:t>.</w:t>
      </w:r>
      <w:r w:rsidRPr="008B1348">
        <w:rPr>
          <w:rFonts w:asciiTheme="majorHAnsi" w:hAnsiTheme="majorHAnsi"/>
          <w:sz w:val="22"/>
          <w:szCs w:val="22"/>
        </w:rPr>
        <w:t xml:space="preserve">  </w:t>
      </w:r>
    </w:p>
  </w:endnote>
  <w:endnote w:id="26">
    <w:p w14:paraId="043AEC17" w14:textId="59EE85DA" w:rsidR="00F5307B" w:rsidRDefault="00F5307B">
      <w:pPr>
        <w:pStyle w:val="EndnoteText"/>
      </w:pPr>
      <w:r w:rsidRPr="008B1348">
        <w:rPr>
          <w:rStyle w:val="EndnoteReference"/>
          <w:rFonts w:asciiTheme="majorHAnsi" w:hAnsiTheme="majorHAnsi"/>
          <w:sz w:val="22"/>
          <w:szCs w:val="22"/>
        </w:rPr>
        <w:endnoteRef/>
      </w:r>
      <w:r w:rsidRPr="008B1348">
        <w:rPr>
          <w:rFonts w:asciiTheme="majorHAnsi" w:hAnsiTheme="majorHAnsi"/>
          <w:sz w:val="22"/>
          <w:szCs w:val="22"/>
        </w:rPr>
        <w:t xml:space="preserve"> </w:t>
      </w:r>
      <w:r w:rsidR="008B1348" w:rsidRPr="008B1348">
        <w:rPr>
          <w:rFonts w:asciiTheme="majorHAnsi" w:hAnsiTheme="majorHAnsi"/>
          <w:sz w:val="22"/>
          <w:szCs w:val="22"/>
        </w:rPr>
        <w:t>“Woolworths brings back Qantas frequent flyer points for shoppers”, Australian Business Traveler, 15 December 2015: http://www.ausbt.com.au/woolworths-brings-back-qantas-frequent-flyer-points-for-shoppers.</w:t>
      </w:r>
    </w:p>
  </w:endnote>
  <w:endnote w:id="27">
    <w:p w14:paraId="0D381C36" w14:textId="767C92AD" w:rsidR="00432AC2" w:rsidRPr="006A36A5" w:rsidRDefault="00432AC2" w:rsidP="006A36A5">
      <w:pPr>
        <w:pStyle w:val="EndnoteText"/>
        <w:rPr>
          <w:rFonts w:asciiTheme="majorHAnsi" w:hAnsiTheme="majorHAnsi"/>
          <w:sz w:val="22"/>
          <w:szCs w:val="22"/>
        </w:rPr>
      </w:pPr>
      <w:r w:rsidRPr="006A36A5">
        <w:rPr>
          <w:rStyle w:val="EndnoteReference"/>
          <w:rFonts w:asciiTheme="majorHAnsi" w:hAnsiTheme="majorHAnsi"/>
          <w:sz w:val="22"/>
          <w:szCs w:val="22"/>
        </w:rPr>
        <w:endnoteRef/>
      </w:r>
      <w:r w:rsidRPr="006A36A5">
        <w:rPr>
          <w:rFonts w:asciiTheme="majorHAnsi" w:hAnsiTheme="majorHAnsi"/>
          <w:sz w:val="22"/>
          <w:szCs w:val="22"/>
        </w:rPr>
        <w:t xml:space="preserve"> “Australia hooked on tap and go payments: Visa </w:t>
      </w:r>
      <w:r w:rsidR="006A36A5" w:rsidRPr="006A36A5">
        <w:rPr>
          <w:rFonts w:asciiTheme="majorHAnsi" w:hAnsiTheme="majorHAnsi"/>
          <w:sz w:val="22"/>
          <w:szCs w:val="22"/>
        </w:rPr>
        <w:t>P</w:t>
      </w:r>
      <w:r w:rsidRPr="006A36A5">
        <w:rPr>
          <w:rFonts w:asciiTheme="majorHAnsi" w:hAnsiTheme="majorHAnsi"/>
          <w:sz w:val="22"/>
          <w:szCs w:val="22"/>
        </w:rPr>
        <w:t>ayWave,” News.com.au, February 9 2014. http://www.news.com.au/finance/money/australia-hooked-on-tap-and-go-payments-visa-paywave/story-e6frfmci-1226821426268</w:t>
      </w:r>
      <w:r w:rsidR="006A36A5" w:rsidRPr="006A36A5">
        <w:rPr>
          <w:rFonts w:asciiTheme="majorHAnsi" w:hAnsiTheme="majorHAnsi"/>
          <w:sz w:val="22"/>
          <w:szCs w:val="22"/>
        </w:rPr>
        <w:t>.</w:t>
      </w:r>
      <w:r w:rsidRPr="006A36A5">
        <w:rPr>
          <w:rFonts w:asciiTheme="majorHAnsi" w:hAnsiTheme="majorHAnsi"/>
          <w:sz w:val="22"/>
          <w:szCs w:val="22"/>
        </w:rPr>
        <w:t xml:space="preserve"> </w:t>
      </w:r>
    </w:p>
    <w:p w14:paraId="40D3CC94" w14:textId="77777777" w:rsidR="006A36A5" w:rsidRPr="006A36A5" w:rsidRDefault="006A36A5" w:rsidP="006A36A5">
      <w:pPr>
        <w:jc w:val="left"/>
        <w:rPr>
          <w:rFonts w:asciiTheme="majorHAnsi" w:hAnsiTheme="majorHAnsi"/>
        </w:rPr>
      </w:pPr>
      <w:r w:rsidRPr="006A36A5">
        <w:rPr>
          <w:rFonts w:asciiTheme="majorHAnsi" w:hAnsiTheme="majorHAnsi"/>
        </w:rPr>
        <w:t xml:space="preserve">Reserve Bank of Australia, </w:t>
      </w:r>
      <w:r w:rsidRPr="006A36A5">
        <w:rPr>
          <w:rFonts w:asciiTheme="majorHAnsi" w:hAnsiTheme="majorHAnsi"/>
          <w:i/>
        </w:rPr>
        <w:t xml:space="preserve">Review of Card Payments Regulation, </w:t>
      </w:r>
      <w:r w:rsidRPr="006A36A5">
        <w:rPr>
          <w:rFonts w:asciiTheme="majorHAnsi" w:hAnsiTheme="majorHAnsi"/>
        </w:rPr>
        <w:t xml:space="preserve">Consultation Paper, December 2015. </w:t>
      </w:r>
    </w:p>
    <w:p w14:paraId="344280EC" w14:textId="7658A570" w:rsidR="003A4C34" w:rsidRDefault="006A36A5" w:rsidP="003A4C34">
      <w:pPr>
        <w:jc w:val="left"/>
        <w:rPr>
          <w:rFonts w:asciiTheme="majorHAnsi" w:hAnsiTheme="majorHAnsi"/>
        </w:rPr>
      </w:pPr>
      <w:r w:rsidRPr="006A36A5">
        <w:rPr>
          <w:rFonts w:asciiTheme="majorHAnsi" w:hAnsiTheme="majorHAnsi"/>
        </w:rPr>
        <w:t xml:space="preserve">Senate Economics References Committee, </w:t>
      </w:r>
      <w:r w:rsidRPr="006A36A5">
        <w:rPr>
          <w:rFonts w:asciiTheme="majorHAnsi" w:hAnsiTheme="majorHAnsi"/>
          <w:i/>
        </w:rPr>
        <w:t xml:space="preserve">Interest rates and informed choice in the Australian credit card market, </w:t>
      </w:r>
      <w:r w:rsidRPr="006A36A5">
        <w:rPr>
          <w:rFonts w:asciiTheme="majorHAnsi" w:hAnsiTheme="majorHAnsi"/>
        </w:rPr>
        <w:t xml:space="preserve">December 2015. </w:t>
      </w:r>
    </w:p>
    <w:p w14:paraId="2E79E02C" w14:textId="04116195" w:rsidR="003A4C34" w:rsidRPr="003A4C34" w:rsidRDefault="003A4C34" w:rsidP="003A4C34">
      <w:pPr>
        <w:pStyle w:val="Heading1"/>
        <w:rPr>
          <w:color w:val="auto"/>
        </w:rPr>
      </w:pPr>
      <w:r w:rsidRPr="003A4C34">
        <w:rPr>
          <w:color w:val="auto"/>
        </w:rPr>
        <w:t xml:space="preserve">Appendix </w:t>
      </w:r>
      <w:r>
        <w:rPr>
          <w:color w:val="auto"/>
        </w:rPr>
        <w:t xml:space="preserve">– </w:t>
      </w:r>
      <w:r w:rsidRPr="003A4C34">
        <w:rPr>
          <w:i/>
          <w:iCs/>
          <w:color w:val="auto"/>
        </w:rPr>
        <w:t>Amici Curiae</w:t>
      </w:r>
      <w:r>
        <w:rPr>
          <w:color w:val="auto"/>
        </w:rPr>
        <w:t xml:space="preserve"> brief in </w:t>
      </w:r>
      <w:r>
        <w:rPr>
          <w:i/>
          <w:iCs/>
          <w:color w:val="auto"/>
        </w:rPr>
        <w:t xml:space="preserve">United States of Amercia v American Express Company, </w:t>
      </w:r>
      <w:r>
        <w:rPr>
          <w:color w:val="auto"/>
        </w:rPr>
        <w:t xml:space="preserve">in the United States Court of Appeals for the Second Circuit. </w:t>
      </w:r>
    </w:p>
    <w:p w14:paraId="05084C03" w14:textId="77777777" w:rsidR="003A4C34" w:rsidRPr="003A4C34" w:rsidRDefault="003A4C34" w:rsidP="003A4C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470848" w14:textId="77777777" w:rsidR="00467A0E" w:rsidRDefault="00467A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D01AC" w14:textId="77777777" w:rsidR="00467A0E" w:rsidRDefault="00467A0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A320E" w14:textId="77777777" w:rsidR="00467A0E" w:rsidRDefault="00467A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FAEB10" w14:textId="77777777" w:rsidR="00B94598" w:rsidRDefault="00B94598" w:rsidP="00027D04">
      <w:pPr>
        <w:spacing w:before="0" w:after="0"/>
      </w:pPr>
      <w:r>
        <w:separator/>
      </w:r>
    </w:p>
  </w:footnote>
  <w:footnote w:type="continuationSeparator" w:id="0">
    <w:p w14:paraId="0620E321" w14:textId="77777777" w:rsidR="00B94598" w:rsidRDefault="00B94598" w:rsidP="00027D04">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DC000" w14:textId="77777777" w:rsidR="00467A0E" w:rsidRDefault="00467A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0A826" w14:textId="77777777" w:rsidR="00467A0E" w:rsidRDefault="00467A0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E73A75" w14:textId="77777777" w:rsidR="00467A0E" w:rsidRDefault="00467A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A6A4F"/>
    <w:multiLevelType w:val="hybridMultilevel"/>
    <w:tmpl w:val="AF1C3A52"/>
    <w:lvl w:ilvl="0" w:tplc="331646E8">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3016CC0"/>
    <w:multiLevelType w:val="multilevel"/>
    <w:tmpl w:val="85C67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C14017"/>
    <w:multiLevelType w:val="hybridMultilevel"/>
    <w:tmpl w:val="EF02E70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2D97405D"/>
    <w:multiLevelType w:val="hybridMultilevel"/>
    <w:tmpl w:val="F580EC8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384F786B"/>
    <w:multiLevelType w:val="hybridMultilevel"/>
    <w:tmpl w:val="16BA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F67B85"/>
    <w:multiLevelType w:val="hybridMultilevel"/>
    <w:tmpl w:val="3538F0EC"/>
    <w:lvl w:ilvl="0" w:tplc="ED86C558">
      <w:numFmt w:val="bullet"/>
      <w:lvlText w:val="-"/>
      <w:lvlJc w:val="left"/>
      <w:pPr>
        <w:ind w:left="720" w:hanging="360"/>
      </w:pPr>
      <w:rPr>
        <w:rFonts w:ascii="Cambria" w:eastAsiaTheme="minorHAnsi" w:hAnsi="Cambria"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A310ABF"/>
    <w:multiLevelType w:val="hybridMultilevel"/>
    <w:tmpl w:val="7520B3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4AF44005"/>
    <w:multiLevelType w:val="hybridMultilevel"/>
    <w:tmpl w:val="5F9655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B1E0541"/>
    <w:multiLevelType w:val="multilevel"/>
    <w:tmpl w:val="77045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9216EE"/>
    <w:multiLevelType w:val="hybridMultilevel"/>
    <w:tmpl w:val="FDA2D656"/>
    <w:lvl w:ilvl="0" w:tplc="6560B018">
      <w:numFmt w:val="bullet"/>
      <w:lvlText w:val="-"/>
      <w:lvlJc w:val="left"/>
      <w:pPr>
        <w:ind w:left="720" w:hanging="360"/>
      </w:pPr>
      <w:rPr>
        <w:rFonts w:ascii="Cambria" w:eastAsiaTheme="minorHAnsi" w:hAnsi="Cambria"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5E1E7C86"/>
    <w:multiLevelType w:val="hybridMultilevel"/>
    <w:tmpl w:val="63983E9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758626F"/>
    <w:multiLevelType w:val="hybridMultilevel"/>
    <w:tmpl w:val="00D2D45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76706F5F"/>
    <w:multiLevelType w:val="multilevel"/>
    <w:tmpl w:val="D40C9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A7C304A"/>
    <w:multiLevelType w:val="hybridMultilevel"/>
    <w:tmpl w:val="18D88F50"/>
    <w:lvl w:ilvl="0" w:tplc="D6DC3484">
      <w:start w:val="1"/>
      <w:numFmt w:val="lowerLetter"/>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12"/>
  </w:num>
  <w:num w:numId="2">
    <w:abstractNumId w:val="8"/>
  </w:num>
  <w:num w:numId="3">
    <w:abstractNumId w:val="1"/>
  </w:num>
  <w:num w:numId="4">
    <w:abstractNumId w:val="7"/>
  </w:num>
  <w:num w:numId="5">
    <w:abstractNumId w:val="2"/>
  </w:num>
  <w:num w:numId="6">
    <w:abstractNumId w:val="11"/>
  </w:num>
  <w:num w:numId="7">
    <w:abstractNumId w:val="3"/>
  </w:num>
  <w:num w:numId="8">
    <w:abstractNumId w:val="13"/>
  </w:num>
  <w:num w:numId="9">
    <w:abstractNumId w:val="10"/>
  </w:num>
  <w:num w:numId="10">
    <w:abstractNumId w:val="6"/>
  </w:num>
  <w:num w:numId="11">
    <w:abstractNumId w:val="5"/>
  </w:num>
  <w:num w:numId="12">
    <w:abstractNumId w:val="9"/>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628"/>
    <w:rsid w:val="00003728"/>
    <w:rsid w:val="0000425D"/>
    <w:rsid w:val="00023BD4"/>
    <w:rsid w:val="00026AE8"/>
    <w:rsid w:val="00027D04"/>
    <w:rsid w:val="00051A68"/>
    <w:rsid w:val="00054B1B"/>
    <w:rsid w:val="0008120E"/>
    <w:rsid w:val="00091828"/>
    <w:rsid w:val="000D4E6A"/>
    <w:rsid w:val="00127408"/>
    <w:rsid w:val="0014458A"/>
    <w:rsid w:val="00145628"/>
    <w:rsid w:val="0019146C"/>
    <w:rsid w:val="00195132"/>
    <w:rsid w:val="001A4C21"/>
    <w:rsid w:val="001B7D95"/>
    <w:rsid w:val="001E05DA"/>
    <w:rsid w:val="001F5B86"/>
    <w:rsid w:val="00252CAA"/>
    <w:rsid w:val="002E1B2A"/>
    <w:rsid w:val="003048A4"/>
    <w:rsid w:val="003539DA"/>
    <w:rsid w:val="0037049D"/>
    <w:rsid w:val="003A37F3"/>
    <w:rsid w:val="003A4C34"/>
    <w:rsid w:val="003B75AD"/>
    <w:rsid w:val="003D72BA"/>
    <w:rsid w:val="003E0D90"/>
    <w:rsid w:val="003F0459"/>
    <w:rsid w:val="003F7314"/>
    <w:rsid w:val="0040017E"/>
    <w:rsid w:val="00432AC2"/>
    <w:rsid w:val="00451750"/>
    <w:rsid w:val="00460361"/>
    <w:rsid w:val="00464694"/>
    <w:rsid w:val="00467A0E"/>
    <w:rsid w:val="004931D3"/>
    <w:rsid w:val="004B3152"/>
    <w:rsid w:val="005123D4"/>
    <w:rsid w:val="00561AF2"/>
    <w:rsid w:val="005B62BA"/>
    <w:rsid w:val="005D4B96"/>
    <w:rsid w:val="0061305F"/>
    <w:rsid w:val="00671259"/>
    <w:rsid w:val="006A36A5"/>
    <w:rsid w:val="006A78C7"/>
    <w:rsid w:val="006F7EC8"/>
    <w:rsid w:val="00717F69"/>
    <w:rsid w:val="00720509"/>
    <w:rsid w:val="00724C67"/>
    <w:rsid w:val="00757CDE"/>
    <w:rsid w:val="007718D6"/>
    <w:rsid w:val="00774B4C"/>
    <w:rsid w:val="0079206A"/>
    <w:rsid w:val="007C4C3D"/>
    <w:rsid w:val="007E0AB1"/>
    <w:rsid w:val="007F1FE9"/>
    <w:rsid w:val="007F31C4"/>
    <w:rsid w:val="00825D5A"/>
    <w:rsid w:val="0083538E"/>
    <w:rsid w:val="0085640F"/>
    <w:rsid w:val="00881119"/>
    <w:rsid w:val="008B11FD"/>
    <w:rsid w:val="008B1348"/>
    <w:rsid w:val="008E0595"/>
    <w:rsid w:val="008E1239"/>
    <w:rsid w:val="009E2921"/>
    <w:rsid w:val="00AB5AB8"/>
    <w:rsid w:val="00AE7A62"/>
    <w:rsid w:val="00AF330D"/>
    <w:rsid w:val="00B3078D"/>
    <w:rsid w:val="00B330CB"/>
    <w:rsid w:val="00B836C7"/>
    <w:rsid w:val="00B94598"/>
    <w:rsid w:val="00BE0B41"/>
    <w:rsid w:val="00BE1349"/>
    <w:rsid w:val="00BF045B"/>
    <w:rsid w:val="00C349E9"/>
    <w:rsid w:val="00C559FE"/>
    <w:rsid w:val="00CB341B"/>
    <w:rsid w:val="00CE6851"/>
    <w:rsid w:val="00D00CDA"/>
    <w:rsid w:val="00D060A0"/>
    <w:rsid w:val="00D20A7A"/>
    <w:rsid w:val="00D21659"/>
    <w:rsid w:val="00D30237"/>
    <w:rsid w:val="00D813D5"/>
    <w:rsid w:val="00D93E79"/>
    <w:rsid w:val="00D9576B"/>
    <w:rsid w:val="00D97119"/>
    <w:rsid w:val="00DB458C"/>
    <w:rsid w:val="00DF1F10"/>
    <w:rsid w:val="00DF7459"/>
    <w:rsid w:val="00E65827"/>
    <w:rsid w:val="00E67D16"/>
    <w:rsid w:val="00ED1136"/>
    <w:rsid w:val="00EE2416"/>
    <w:rsid w:val="00EF462D"/>
    <w:rsid w:val="00F24D4A"/>
    <w:rsid w:val="00F42E35"/>
    <w:rsid w:val="00F50914"/>
    <w:rsid w:val="00F5307B"/>
    <w:rsid w:val="00F6126E"/>
    <w:rsid w:val="00F62847"/>
    <w:rsid w:val="00F8335E"/>
    <w:rsid w:val="00F83BD8"/>
    <w:rsid w:val="00FE53A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2C071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628"/>
    <w:pPr>
      <w:spacing w:before="100" w:beforeAutospacing="1" w:after="100" w:afterAutospacing="1"/>
      <w:jc w:val="both"/>
    </w:pPr>
    <w:rPr>
      <w:rFonts w:eastAsiaTheme="minorHAnsi"/>
      <w:sz w:val="22"/>
      <w:szCs w:val="22"/>
      <w:lang w:val="en-AU"/>
    </w:rPr>
  </w:style>
  <w:style w:type="paragraph" w:styleId="Heading1">
    <w:name w:val="heading 1"/>
    <w:basedOn w:val="Normal"/>
    <w:next w:val="Normal"/>
    <w:link w:val="Heading1Char"/>
    <w:uiPriority w:val="9"/>
    <w:qFormat/>
    <w:rsid w:val="00D060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1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61AF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45628"/>
  </w:style>
  <w:style w:type="character" w:customStyle="1" w:styleId="Heading1Char">
    <w:name w:val="Heading 1 Char"/>
    <w:basedOn w:val="DefaultParagraphFont"/>
    <w:link w:val="Heading1"/>
    <w:uiPriority w:val="9"/>
    <w:rsid w:val="00D060A0"/>
    <w:rPr>
      <w:rFonts w:asciiTheme="majorHAnsi" w:eastAsiaTheme="majorEastAsia" w:hAnsiTheme="majorHAnsi" w:cstheme="majorBidi"/>
      <w:b/>
      <w:bCs/>
      <w:color w:val="365F91" w:themeColor="accent1" w:themeShade="BF"/>
      <w:sz w:val="28"/>
      <w:szCs w:val="28"/>
      <w:lang w:val="en-AU"/>
    </w:rPr>
  </w:style>
  <w:style w:type="paragraph" w:styleId="ListParagraph">
    <w:name w:val="List Paragraph"/>
    <w:basedOn w:val="Normal"/>
    <w:uiPriority w:val="34"/>
    <w:qFormat/>
    <w:rsid w:val="00AB5AB8"/>
    <w:pPr>
      <w:ind w:left="720"/>
      <w:contextualSpacing/>
    </w:pPr>
  </w:style>
  <w:style w:type="character" w:styleId="CommentReference">
    <w:name w:val="annotation reference"/>
    <w:basedOn w:val="DefaultParagraphFont"/>
    <w:uiPriority w:val="99"/>
    <w:semiHidden/>
    <w:unhideWhenUsed/>
    <w:rsid w:val="001F5B86"/>
    <w:rPr>
      <w:sz w:val="16"/>
      <w:szCs w:val="16"/>
    </w:rPr>
  </w:style>
  <w:style w:type="paragraph" w:styleId="CommentText">
    <w:name w:val="annotation text"/>
    <w:basedOn w:val="Normal"/>
    <w:link w:val="CommentTextChar"/>
    <w:uiPriority w:val="99"/>
    <w:semiHidden/>
    <w:unhideWhenUsed/>
    <w:rsid w:val="001F5B86"/>
    <w:rPr>
      <w:sz w:val="20"/>
      <w:szCs w:val="20"/>
    </w:rPr>
  </w:style>
  <w:style w:type="character" w:customStyle="1" w:styleId="CommentTextChar">
    <w:name w:val="Comment Text Char"/>
    <w:basedOn w:val="DefaultParagraphFont"/>
    <w:link w:val="CommentText"/>
    <w:uiPriority w:val="99"/>
    <w:semiHidden/>
    <w:rsid w:val="001F5B86"/>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1F5B86"/>
    <w:rPr>
      <w:b/>
      <w:bCs/>
    </w:rPr>
  </w:style>
  <w:style w:type="character" w:customStyle="1" w:styleId="CommentSubjectChar">
    <w:name w:val="Comment Subject Char"/>
    <w:basedOn w:val="CommentTextChar"/>
    <w:link w:val="CommentSubject"/>
    <w:uiPriority w:val="99"/>
    <w:semiHidden/>
    <w:rsid w:val="001F5B86"/>
    <w:rPr>
      <w:rFonts w:eastAsiaTheme="minorHAnsi"/>
      <w:b/>
      <w:bCs/>
      <w:sz w:val="20"/>
      <w:szCs w:val="20"/>
      <w:lang w:val="en-AU"/>
    </w:rPr>
  </w:style>
  <w:style w:type="paragraph" w:styleId="BalloonText">
    <w:name w:val="Balloon Text"/>
    <w:basedOn w:val="Normal"/>
    <w:link w:val="BalloonTextChar"/>
    <w:uiPriority w:val="99"/>
    <w:semiHidden/>
    <w:unhideWhenUsed/>
    <w:rsid w:val="001F5B86"/>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5B86"/>
    <w:rPr>
      <w:rFonts w:ascii="Tahoma" w:eastAsiaTheme="minorHAnsi" w:hAnsi="Tahoma" w:cs="Tahoma"/>
      <w:sz w:val="16"/>
      <w:szCs w:val="16"/>
      <w:lang w:val="en-AU"/>
    </w:rPr>
  </w:style>
  <w:style w:type="paragraph" w:customStyle="1" w:styleId="Default">
    <w:name w:val="Default"/>
    <w:rsid w:val="00DF7459"/>
    <w:pPr>
      <w:autoSpaceDE w:val="0"/>
      <w:autoSpaceDN w:val="0"/>
      <w:adjustRightInd w:val="0"/>
    </w:pPr>
    <w:rPr>
      <w:rFonts w:ascii="Calibri" w:hAnsi="Calibri" w:cs="Calibri"/>
      <w:color w:val="000000"/>
      <w:lang w:val="en-AU"/>
    </w:rPr>
  </w:style>
  <w:style w:type="character" w:styleId="Hyperlink">
    <w:name w:val="Hyperlink"/>
    <w:basedOn w:val="DefaultParagraphFont"/>
    <w:uiPriority w:val="99"/>
    <w:unhideWhenUsed/>
    <w:rsid w:val="00027D04"/>
    <w:rPr>
      <w:color w:val="0000FF" w:themeColor="hyperlink"/>
      <w:u w:val="single"/>
    </w:rPr>
  </w:style>
  <w:style w:type="paragraph" w:styleId="Header">
    <w:name w:val="header"/>
    <w:basedOn w:val="Normal"/>
    <w:link w:val="HeaderChar"/>
    <w:uiPriority w:val="99"/>
    <w:unhideWhenUsed/>
    <w:rsid w:val="00027D04"/>
    <w:pPr>
      <w:tabs>
        <w:tab w:val="center" w:pos="4513"/>
        <w:tab w:val="right" w:pos="9026"/>
      </w:tabs>
      <w:spacing w:before="0" w:after="0"/>
    </w:pPr>
  </w:style>
  <w:style w:type="character" w:customStyle="1" w:styleId="HeaderChar">
    <w:name w:val="Header Char"/>
    <w:basedOn w:val="DefaultParagraphFont"/>
    <w:link w:val="Header"/>
    <w:uiPriority w:val="99"/>
    <w:rsid w:val="00027D04"/>
    <w:rPr>
      <w:rFonts w:eastAsiaTheme="minorHAnsi"/>
      <w:sz w:val="22"/>
      <w:szCs w:val="22"/>
      <w:lang w:val="en-AU"/>
    </w:rPr>
  </w:style>
  <w:style w:type="paragraph" w:styleId="Footer">
    <w:name w:val="footer"/>
    <w:basedOn w:val="Normal"/>
    <w:link w:val="FooterChar"/>
    <w:uiPriority w:val="99"/>
    <w:unhideWhenUsed/>
    <w:rsid w:val="00027D04"/>
    <w:pPr>
      <w:tabs>
        <w:tab w:val="center" w:pos="4513"/>
        <w:tab w:val="right" w:pos="9026"/>
      </w:tabs>
      <w:spacing w:before="0" w:after="0"/>
    </w:pPr>
  </w:style>
  <w:style w:type="character" w:customStyle="1" w:styleId="FooterChar">
    <w:name w:val="Footer Char"/>
    <w:basedOn w:val="DefaultParagraphFont"/>
    <w:link w:val="Footer"/>
    <w:uiPriority w:val="99"/>
    <w:rsid w:val="00027D04"/>
    <w:rPr>
      <w:rFonts w:eastAsiaTheme="minorHAnsi"/>
      <w:sz w:val="22"/>
      <w:szCs w:val="22"/>
      <w:lang w:val="en-AU"/>
    </w:rPr>
  </w:style>
  <w:style w:type="character" w:customStyle="1" w:styleId="Heading2Char">
    <w:name w:val="Heading 2 Char"/>
    <w:basedOn w:val="DefaultParagraphFont"/>
    <w:link w:val="Heading2"/>
    <w:uiPriority w:val="9"/>
    <w:rsid w:val="007F31C4"/>
    <w:rPr>
      <w:rFonts w:asciiTheme="majorHAnsi" w:eastAsiaTheme="majorEastAsia" w:hAnsiTheme="majorHAnsi" w:cstheme="majorBidi"/>
      <w:b/>
      <w:bCs/>
      <w:color w:val="4F81BD" w:themeColor="accent1"/>
      <w:sz w:val="26"/>
      <w:szCs w:val="26"/>
      <w:lang w:val="en-AU"/>
    </w:rPr>
  </w:style>
  <w:style w:type="character" w:customStyle="1" w:styleId="normaltextrun">
    <w:name w:val="normaltextrun"/>
    <w:basedOn w:val="DefaultParagraphFont"/>
    <w:rsid w:val="003D72BA"/>
  </w:style>
  <w:style w:type="character" w:customStyle="1" w:styleId="Heading3Char">
    <w:name w:val="Heading 3 Char"/>
    <w:basedOn w:val="DefaultParagraphFont"/>
    <w:link w:val="Heading3"/>
    <w:uiPriority w:val="9"/>
    <w:rsid w:val="00561AF2"/>
    <w:rPr>
      <w:rFonts w:asciiTheme="majorHAnsi" w:eastAsiaTheme="majorEastAsia" w:hAnsiTheme="majorHAnsi" w:cstheme="majorBidi"/>
      <w:color w:val="243F60" w:themeColor="accent1" w:themeShade="7F"/>
      <w:lang w:val="en-AU"/>
    </w:rPr>
  </w:style>
  <w:style w:type="paragraph" w:styleId="EndnoteText">
    <w:name w:val="endnote text"/>
    <w:basedOn w:val="Normal"/>
    <w:link w:val="EndnoteTextChar"/>
    <w:uiPriority w:val="99"/>
    <w:semiHidden/>
    <w:unhideWhenUsed/>
    <w:rsid w:val="0079206A"/>
    <w:pPr>
      <w:spacing w:before="0" w:after="0"/>
    </w:pPr>
    <w:rPr>
      <w:sz w:val="20"/>
      <w:szCs w:val="20"/>
    </w:rPr>
  </w:style>
  <w:style w:type="character" w:customStyle="1" w:styleId="EndnoteTextChar">
    <w:name w:val="Endnote Text Char"/>
    <w:basedOn w:val="DefaultParagraphFont"/>
    <w:link w:val="EndnoteText"/>
    <w:uiPriority w:val="99"/>
    <w:semiHidden/>
    <w:rsid w:val="0079206A"/>
    <w:rPr>
      <w:rFonts w:eastAsiaTheme="minorHAnsi"/>
      <w:sz w:val="20"/>
      <w:szCs w:val="20"/>
      <w:lang w:val="en-AU"/>
    </w:rPr>
  </w:style>
  <w:style w:type="character" w:styleId="EndnoteReference">
    <w:name w:val="endnote reference"/>
    <w:basedOn w:val="DefaultParagraphFont"/>
    <w:uiPriority w:val="99"/>
    <w:semiHidden/>
    <w:unhideWhenUsed/>
    <w:rsid w:val="0079206A"/>
    <w:rPr>
      <w:vertAlign w:val="superscript"/>
    </w:rPr>
  </w:style>
  <w:style w:type="paragraph" w:styleId="FootnoteText">
    <w:name w:val="footnote text"/>
    <w:basedOn w:val="Normal"/>
    <w:link w:val="FootnoteTextChar"/>
    <w:uiPriority w:val="99"/>
    <w:semiHidden/>
    <w:unhideWhenUsed/>
    <w:rsid w:val="00F5307B"/>
    <w:pPr>
      <w:spacing w:before="0" w:after="0"/>
    </w:pPr>
    <w:rPr>
      <w:sz w:val="20"/>
      <w:szCs w:val="20"/>
    </w:rPr>
  </w:style>
  <w:style w:type="character" w:customStyle="1" w:styleId="FootnoteTextChar">
    <w:name w:val="Footnote Text Char"/>
    <w:basedOn w:val="DefaultParagraphFont"/>
    <w:link w:val="FootnoteText"/>
    <w:uiPriority w:val="99"/>
    <w:semiHidden/>
    <w:rsid w:val="00F5307B"/>
    <w:rPr>
      <w:rFonts w:eastAsiaTheme="minorHAnsi"/>
      <w:sz w:val="20"/>
      <w:szCs w:val="20"/>
      <w:lang w:val="en-AU"/>
    </w:rPr>
  </w:style>
  <w:style w:type="character" w:styleId="FootnoteReference">
    <w:name w:val="footnote reference"/>
    <w:basedOn w:val="DefaultParagraphFont"/>
    <w:uiPriority w:val="99"/>
    <w:semiHidden/>
    <w:unhideWhenUsed/>
    <w:rsid w:val="00F5307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628"/>
    <w:pPr>
      <w:spacing w:before="100" w:beforeAutospacing="1" w:after="100" w:afterAutospacing="1"/>
      <w:jc w:val="both"/>
    </w:pPr>
    <w:rPr>
      <w:rFonts w:eastAsiaTheme="minorHAnsi"/>
      <w:sz w:val="22"/>
      <w:szCs w:val="22"/>
      <w:lang w:val="en-AU"/>
    </w:rPr>
  </w:style>
  <w:style w:type="paragraph" w:styleId="Heading1">
    <w:name w:val="heading 1"/>
    <w:basedOn w:val="Normal"/>
    <w:next w:val="Normal"/>
    <w:link w:val="Heading1Char"/>
    <w:uiPriority w:val="9"/>
    <w:qFormat/>
    <w:rsid w:val="00D060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1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61AF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45628"/>
  </w:style>
  <w:style w:type="character" w:customStyle="1" w:styleId="Heading1Char">
    <w:name w:val="Heading 1 Char"/>
    <w:basedOn w:val="DefaultParagraphFont"/>
    <w:link w:val="Heading1"/>
    <w:uiPriority w:val="9"/>
    <w:rsid w:val="00D060A0"/>
    <w:rPr>
      <w:rFonts w:asciiTheme="majorHAnsi" w:eastAsiaTheme="majorEastAsia" w:hAnsiTheme="majorHAnsi" w:cstheme="majorBidi"/>
      <w:b/>
      <w:bCs/>
      <w:color w:val="365F91" w:themeColor="accent1" w:themeShade="BF"/>
      <w:sz w:val="28"/>
      <w:szCs w:val="28"/>
      <w:lang w:val="en-AU"/>
    </w:rPr>
  </w:style>
  <w:style w:type="paragraph" w:styleId="ListParagraph">
    <w:name w:val="List Paragraph"/>
    <w:basedOn w:val="Normal"/>
    <w:uiPriority w:val="34"/>
    <w:qFormat/>
    <w:rsid w:val="00AB5AB8"/>
    <w:pPr>
      <w:ind w:left="720"/>
      <w:contextualSpacing/>
    </w:pPr>
  </w:style>
  <w:style w:type="character" w:styleId="CommentReference">
    <w:name w:val="annotation reference"/>
    <w:basedOn w:val="DefaultParagraphFont"/>
    <w:uiPriority w:val="99"/>
    <w:semiHidden/>
    <w:unhideWhenUsed/>
    <w:rsid w:val="001F5B86"/>
    <w:rPr>
      <w:sz w:val="16"/>
      <w:szCs w:val="16"/>
    </w:rPr>
  </w:style>
  <w:style w:type="paragraph" w:styleId="CommentText">
    <w:name w:val="annotation text"/>
    <w:basedOn w:val="Normal"/>
    <w:link w:val="CommentTextChar"/>
    <w:uiPriority w:val="99"/>
    <w:semiHidden/>
    <w:unhideWhenUsed/>
    <w:rsid w:val="001F5B86"/>
    <w:rPr>
      <w:sz w:val="20"/>
      <w:szCs w:val="20"/>
    </w:rPr>
  </w:style>
  <w:style w:type="character" w:customStyle="1" w:styleId="CommentTextChar">
    <w:name w:val="Comment Text Char"/>
    <w:basedOn w:val="DefaultParagraphFont"/>
    <w:link w:val="CommentText"/>
    <w:uiPriority w:val="99"/>
    <w:semiHidden/>
    <w:rsid w:val="001F5B86"/>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1F5B86"/>
    <w:rPr>
      <w:b/>
      <w:bCs/>
    </w:rPr>
  </w:style>
  <w:style w:type="character" w:customStyle="1" w:styleId="CommentSubjectChar">
    <w:name w:val="Comment Subject Char"/>
    <w:basedOn w:val="CommentTextChar"/>
    <w:link w:val="CommentSubject"/>
    <w:uiPriority w:val="99"/>
    <w:semiHidden/>
    <w:rsid w:val="001F5B86"/>
    <w:rPr>
      <w:rFonts w:eastAsiaTheme="minorHAnsi"/>
      <w:b/>
      <w:bCs/>
      <w:sz w:val="20"/>
      <w:szCs w:val="20"/>
      <w:lang w:val="en-AU"/>
    </w:rPr>
  </w:style>
  <w:style w:type="paragraph" w:styleId="BalloonText">
    <w:name w:val="Balloon Text"/>
    <w:basedOn w:val="Normal"/>
    <w:link w:val="BalloonTextChar"/>
    <w:uiPriority w:val="99"/>
    <w:semiHidden/>
    <w:unhideWhenUsed/>
    <w:rsid w:val="001F5B86"/>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5B86"/>
    <w:rPr>
      <w:rFonts w:ascii="Tahoma" w:eastAsiaTheme="minorHAnsi" w:hAnsi="Tahoma" w:cs="Tahoma"/>
      <w:sz w:val="16"/>
      <w:szCs w:val="16"/>
      <w:lang w:val="en-AU"/>
    </w:rPr>
  </w:style>
  <w:style w:type="paragraph" w:customStyle="1" w:styleId="Default">
    <w:name w:val="Default"/>
    <w:rsid w:val="00DF7459"/>
    <w:pPr>
      <w:autoSpaceDE w:val="0"/>
      <w:autoSpaceDN w:val="0"/>
      <w:adjustRightInd w:val="0"/>
    </w:pPr>
    <w:rPr>
      <w:rFonts w:ascii="Calibri" w:hAnsi="Calibri" w:cs="Calibri"/>
      <w:color w:val="000000"/>
      <w:lang w:val="en-AU"/>
    </w:rPr>
  </w:style>
  <w:style w:type="character" w:styleId="Hyperlink">
    <w:name w:val="Hyperlink"/>
    <w:basedOn w:val="DefaultParagraphFont"/>
    <w:uiPriority w:val="99"/>
    <w:unhideWhenUsed/>
    <w:rsid w:val="00027D04"/>
    <w:rPr>
      <w:color w:val="0000FF" w:themeColor="hyperlink"/>
      <w:u w:val="single"/>
    </w:rPr>
  </w:style>
  <w:style w:type="paragraph" w:styleId="Header">
    <w:name w:val="header"/>
    <w:basedOn w:val="Normal"/>
    <w:link w:val="HeaderChar"/>
    <w:uiPriority w:val="99"/>
    <w:unhideWhenUsed/>
    <w:rsid w:val="00027D04"/>
    <w:pPr>
      <w:tabs>
        <w:tab w:val="center" w:pos="4513"/>
        <w:tab w:val="right" w:pos="9026"/>
      </w:tabs>
      <w:spacing w:before="0" w:after="0"/>
    </w:pPr>
  </w:style>
  <w:style w:type="character" w:customStyle="1" w:styleId="HeaderChar">
    <w:name w:val="Header Char"/>
    <w:basedOn w:val="DefaultParagraphFont"/>
    <w:link w:val="Header"/>
    <w:uiPriority w:val="99"/>
    <w:rsid w:val="00027D04"/>
    <w:rPr>
      <w:rFonts w:eastAsiaTheme="minorHAnsi"/>
      <w:sz w:val="22"/>
      <w:szCs w:val="22"/>
      <w:lang w:val="en-AU"/>
    </w:rPr>
  </w:style>
  <w:style w:type="paragraph" w:styleId="Footer">
    <w:name w:val="footer"/>
    <w:basedOn w:val="Normal"/>
    <w:link w:val="FooterChar"/>
    <w:uiPriority w:val="99"/>
    <w:unhideWhenUsed/>
    <w:rsid w:val="00027D04"/>
    <w:pPr>
      <w:tabs>
        <w:tab w:val="center" w:pos="4513"/>
        <w:tab w:val="right" w:pos="9026"/>
      </w:tabs>
      <w:spacing w:before="0" w:after="0"/>
    </w:pPr>
  </w:style>
  <w:style w:type="character" w:customStyle="1" w:styleId="FooterChar">
    <w:name w:val="Footer Char"/>
    <w:basedOn w:val="DefaultParagraphFont"/>
    <w:link w:val="Footer"/>
    <w:uiPriority w:val="99"/>
    <w:rsid w:val="00027D04"/>
    <w:rPr>
      <w:rFonts w:eastAsiaTheme="minorHAnsi"/>
      <w:sz w:val="22"/>
      <w:szCs w:val="22"/>
      <w:lang w:val="en-AU"/>
    </w:rPr>
  </w:style>
  <w:style w:type="character" w:customStyle="1" w:styleId="Heading2Char">
    <w:name w:val="Heading 2 Char"/>
    <w:basedOn w:val="DefaultParagraphFont"/>
    <w:link w:val="Heading2"/>
    <w:uiPriority w:val="9"/>
    <w:rsid w:val="007F31C4"/>
    <w:rPr>
      <w:rFonts w:asciiTheme="majorHAnsi" w:eastAsiaTheme="majorEastAsia" w:hAnsiTheme="majorHAnsi" w:cstheme="majorBidi"/>
      <w:b/>
      <w:bCs/>
      <w:color w:val="4F81BD" w:themeColor="accent1"/>
      <w:sz w:val="26"/>
      <w:szCs w:val="26"/>
      <w:lang w:val="en-AU"/>
    </w:rPr>
  </w:style>
  <w:style w:type="character" w:customStyle="1" w:styleId="normaltextrun">
    <w:name w:val="normaltextrun"/>
    <w:basedOn w:val="DefaultParagraphFont"/>
    <w:rsid w:val="003D72BA"/>
  </w:style>
  <w:style w:type="character" w:customStyle="1" w:styleId="Heading3Char">
    <w:name w:val="Heading 3 Char"/>
    <w:basedOn w:val="DefaultParagraphFont"/>
    <w:link w:val="Heading3"/>
    <w:uiPriority w:val="9"/>
    <w:rsid w:val="00561AF2"/>
    <w:rPr>
      <w:rFonts w:asciiTheme="majorHAnsi" w:eastAsiaTheme="majorEastAsia" w:hAnsiTheme="majorHAnsi" w:cstheme="majorBidi"/>
      <w:color w:val="243F60" w:themeColor="accent1" w:themeShade="7F"/>
      <w:lang w:val="en-AU"/>
    </w:rPr>
  </w:style>
  <w:style w:type="paragraph" w:styleId="EndnoteText">
    <w:name w:val="endnote text"/>
    <w:basedOn w:val="Normal"/>
    <w:link w:val="EndnoteTextChar"/>
    <w:uiPriority w:val="99"/>
    <w:semiHidden/>
    <w:unhideWhenUsed/>
    <w:rsid w:val="0079206A"/>
    <w:pPr>
      <w:spacing w:before="0" w:after="0"/>
    </w:pPr>
    <w:rPr>
      <w:sz w:val="20"/>
      <w:szCs w:val="20"/>
    </w:rPr>
  </w:style>
  <w:style w:type="character" w:customStyle="1" w:styleId="EndnoteTextChar">
    <w:name w:val="Endnote Text Char"/>
    <w:basedOn w:val="DefaultParagraphFont"/>
    <w:link w:val="EndnoteText"/>
    <w:uiPriority w:val="99"/>
    <w:semiHidden/>
    <w:rsid w:val="0079206A"/>
    <w:rPr>
      <w:rFonts w:eastAsiaTheme="minorHAnsi"/>
      <w:sz w:val="20"/>
      <w:szCs w:val="20"/>
      <w:lang w:val="en-AU"/>
    </w:rPr>
  </w:style>
  <w:style w:type="character" w:styleId="EndnoteReference">
    <w:name w:val="endnote reference"/>
    <w:basedOn w:val="DefaultParagraphFont"/>
    <w:uiPriority w:val="99"/>
    <w:semiHidden/>
    <w:unhideWhenUsed/>
    <w:rsid w:val="0079206A"/>
    <w:rPr>
      <w:vertAlign w:val="superscript"/>
    </w:rPr>
  </w:style>
  <w:style w:type="paragraph" w:styleId="FootnoteText">
    <w:name w:val="footnote text"/>
    <w:basedOn w:val="Normal"/>
    <w:link w:val="FootnoteTextChar"/>
    <w:uiPriority w:val="99"/>
    <w:semiHidden/>
    <w:unhideWhenUsed/>
    <w:rsid w:val="00F5307B"/>
    <w:pPr>
      <w:spacing w:before="0" w:after="0"/>
    </w:pPr>
    <w:rPr>
      <w:sz w:val="20"/>
      <w:szCs w:val="20"/>
    </w:rPr>
  </w:style>
  <w:style w:type="character" w:customStyle="1" w:styleId="FootnoteTextChar">
    <w:name w:val="Footnote Text Char"/>
    <w:basedOn w:val="DefaultParagraphFont"/>
    <w:link w:val="FootnoteText"/>
    <w:uiPriority w:val="99"/>
    <w:semiHidden/>
    <w:rsid w:val="00F5307B"/>
    <w:rPr>
      <w:rFonts w:eastAsiaTheme="minorHAnsi"/>
      <w:sz w:val="20"/>
      <w:szCs w:val="20"/>
      <w:lang w:val="en-AU"/>
    </w:rPr>
  </w:style>
  <w:style w:type="character" w:styleId="FootnoteReference">
    <w:name w:val="footnote reference"/>
    <w:basedOn w:val="DefaultParagraphFont"/>
    <w:uiPriority w:val="99"/>
    <w:semiHidden/>
    <w:unhideWhenUsed/>
    <w:rsid w:val="00F530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52753">
      <w:bodyDiv w:val="1"/>
      <w:marLeft w:val="0"/>
      <w:marRight w:val="0"/>
      <w:marTop w:val="0"/>
      <w:marBottom w:val="0"/>
      <w:divBdr>
        <w:top w:val="none" w:sz="0" w:space="0" w:color="auto"/>
        <w:left w:val="none" w:sz="0" w:space="0" w:color="auto"/>
        <w:bottom w:val="none" w:sz="0" w:space="0" w:color="auto"/>
        <w:right w:val="none" w:sz="0" w:space="0" w:color="auto"/>
      </w:divBdr>
    </w:div>
    <w:div w:id="223488835">
      <w:bodyDiv w:val="1"/>
      <w:marLeft w:val="0"/>
      <w:marRight w:val="0"/>
      <w:marTop w:val="0"/>
      <w:marBottom w:val="0"/>
      <w:divBdr>
        <w:top w:val="none" w:sz="0" w:space="0" w:color="auto"/>
        <w:left w:val="none" w:sz="0" w:space="0" w:color="auto"/>
        <w:bottom w:val="none" w:sz="0" w:space="0" w:color="auto"/>
        <w:right w:val="none" w:sz="0" w:space="0" w:color="auto"/>
      </w:divBdr>
    </w:div>
    <w:div w:id="277446316">
      <w:bodyDiv w:val="1"/>
      <w:marLeft w:val="0"/>
      <w:marRight w:val="0"/>
      <w:marTop w:val="0"/>
      <w:marBottom w:val="0"/>
      <w:divBdr>
        <w:top w:val="none" w:sz="0" w:space="0" w:color="auto"/>
        <w:left w:val="none" w:sz="0" w:space="0" w:color="auto"/>
        <w:bottom w:val="none" w:sz="0" w:space="0" w:color="auto"/>
        <w:right w:val="none" w:sz="0" w:space="0" w:color="auto"/>
      </w:divBdr>
    </w:div>
    <w:div w:id="352415740">
      <w:bodyDiv w:val="1"/>
      <w:marLeft w:val="0"/>
      <w:marRight w:val="0"/>
      <w:marTop w:val="0"/>
      <w:marBottom w:val="0"/>
      <w:divBdr>
        <w:top w:val="none" w:sz="0" w:space="0" w:color="auto"/>
        <w:left w:val="none" w:sz="0" w:space="0" w:color="auto"/>
        <w:bottom w:val="none" w:sz="0" w:space="0" w:color="auto"/>
        <w:right w:val="none" w:sz="0" w:space="0" w:color="auto"/>
      </w:divBdr>
    </w:div>
    <w:div w:id="359742084">
      <w:bodyDiv w:val="1"/>
      <w:marLeft w:val="0"/>
      <w:marRight w:val="0"/>
      <w:marTop w:val="0"/>
      <w:marBottom w:val="0"/>
      <w:divBdr>
        <w:top w:val="none" w:sz="0" w:space="0" w:color="auto"/>
        <w:left w:val="none" w:sz="0" w:space="0" w:color="auto"/>
        <w:bottom w:val="none" w:sz="0" w:space="0" w:color="auto"/>
        <w:right w:val="none" w:sz="0" w:space="0" w:color="auto"/>
      </w:divBdr>
    </w:div>
    <w:div w:id="365329039">
      <w:bodyDiv w:val="1"/>
      <w:marLeft w:val="0"/>
      <w:marRight w:val="0"/>
      <w:marTop w:val="0"/>
      <w:marBottom w:val="0"/>
      <w:divBdr>
        <w:top w:val="none" w:sz="0" w:space="0" w:color="auto"/>
        <w:left w:val="none" w:sz="0" w:space="0" w:color="auto"/>
        <w:bottom w:val="none" w:sz="0" w:space="0" w:color="auto"/>
        <w:right w:val="none" w:sz="0" w:space="0" w:color="auto"/>
      </w:divBdr>
      <w:divsChild>
        <w:div w:id="1152018948">
          <w:marLeft w:val="0"/>
          <w:marRight w:val="0"/>
          <w:marTop w:val="0"/>
          <w:marBottom w:val="0"/>
          <w:divBdr>
            <w:top w:val="none" w:sz="0" w:space="0" w:color="auto"/>
            <w:left w:val="none" w:sz="0" w:space="0" w:color="auto"/>
            <w:bottom w:val="none" w:sz="0" w:space="0" w:color="auto"/>
            <w:right w:val="none" w:sz="0" w:space="0" w:color="auto"/>
          </w:divBdr>
        </w:div>
        <w:div w:id="959993869">
          <w:marLeft w:val="0"/>
          <w:marRight w:val="0"/>
          <w:marTop w:val="0"/>
          <w:marBottom w:val="0"/>
          <w:divBdr>
            <w:top w:val="none" w:sz="0" w:space="0" w:color="auto"/>
            <w:left w:val="none" w:sz="0" w:space="0" w:color="auto"/>
            <w:bottom w:val="none" w:sz="0" w:space="0" w:color="auto"/>
            <w:right w:val="none" w:sz="0" w:space="0" w:color="auto"/>
          </w:divBdr>
        </w:div>
        <w:div w:id="2046053428">
          <w:marLeft w:val="0"/>
          <w:marRight w:val="0"/>
          <w:marTop w:val="0"/>
          <w:marBottom w:val="0"/>
          <w:divBdr>
            <w:top w:val="none" w:sz="0" w:space="0" w:color="auto"/>
            <w:left w:val="none" w:sz="0" w:space="0" w:color="auto"/>
            <w:bottom w:val="none" w:sz="0" w:space="0" w:color="auto"/>
            <w:right w:val="none" w:sz="0" w:space="0" w:color="auto"/>
          </w:divBdr>
        </w:div>
      </w:divsChild>
    </w:div>
    <w:div w:id="367342689">
      <w:bodyDiv w:val="1"/>
      <w:marLeft w:val="0"/>
      <w:marRight w:val="0"/>
      <w:marTop w:val="0"/>
      <w:marBottom w:val="0"/>
      <w:divBdr>
        <w:top w:val="none" w:sz="0" w:space="0" w:color="auto"/>
        <w:left w:val="none" w:sz="0" w:space="0" w:color="auto"/>
        <w:bottom w:val="none" w:sz="0" w:space="0" w:color="auto"/>
        <w:right w:val="none" w:sz="0" w:space="0" w:color="auto"/>
      </w:divBdr>
    </w:div>
    <w:div w:id="386145541">
      <w:bodyDiv w:val="1"/>
      <w:marLeft w:val="0"/>
      <w:marRight w:val="0"/>
      <w:marTop w:val="0"/>
      <w:marBottom w:val="0"/>
      <w:divBdr>
        <w:top w:val="none" w:sz="0" w:space="0" w:color="auto"/>
        <w:left w:val="none" w:sz="0" w:space="0" w:color="auto"/>
        <w:bottom w:val="none" w:sz="0" w:space="0" w:color="auto"/>
        <w:right w:val="none" w:sz="0" w:space="0" w:color="auto"/>
      </w:divBdr>
    </w:div>
    <w:div w:id="411388569">
      <w:bodyDiv w:val="1"/>
      <w:marLeft w:val="0"/>
      <w:marRight w:val="0"/>
      <w:marTop w:val="0"/>
      <w:marBottom w:val="0"/>
      <w:divBdr>
        <w:top w:val="none" w:sz="0" w:space="0" w:color="auto"/>
        <w:left w:val="none" w:sz="0" w:space="0" w:color="auto"/>
        <w:bottom w:val="none" w:sz="0" w:space="0" w:color="auto"/>
        <w:right w:val="none" w:sz="0" w:space="0" w:color="auto"/>
      </w:divBdr>
    </w:div>
    <w:div w:id="885291871">
      <w:bodyDiv w:val="1"/>
      <w:marLeft w:val="0"/>
      <w:marRight w:val="0"/>
      <w:marTop w:val="0"/>
      <w:marBottom w:val="0"/>
      <w:divBdr>
        <w:top w:val="none" w:sz="0" w:space="0" w:color="auto"/>
        <w:left w:val="none" w:sz="0" w:space="0" w:color="auto"/>
        <w:bottom w:val="none" w:sz="0" w:space="0" w:color="auto"/>
        <w:right w:val="none" w:sz="0" w:space="0" w:color="auto"/>
      </w:divBdr>
    </w:div>
    <w:div w:id="1288849310">
      <w:bodyDiv w:val="1"/>
      <w:marLeft w:val="0"/>
      <w:marRight w:val="0"/>
      <w:marTop w:val="0"/>
      <w:marBottom w:val="0"/>
      <w:divBdr>
        <w:top w:val="none" w:sz="0" w:space="0" w:color="auto"/>
        <w:left w:val="none" w:sz="0" w:space="0" w:color="auto"/>
        <w:bottom w:val="none" w:sz="0" w:space="0" w:color="auto"/>
        <w:right w:val="none" w:sz="0" w:space="0" w:color="auto"/>
      </w:divBdr>
    </w:div>
    <w:div w:id="1345668916">
      <w:bodyDiv w:val="1"/>
      <w:marLeft w:val="0"/>
      <w:marRight w:val="0"/>
      <w:marTop w:val="0"/>
      <w:marBottom w:val="0"/>
      <w:divBdr>
        <w:top w:val="none" w:sz="0" w:space="0" w:color="auto"/>
        <w:left w:val="none" w:sz="0" w:space="0" w:color="auto"/>
        <w:bottom w:val="none" w:sz="0" w:space="0" w:color="auto"/>
        <w:right w:val="none" w:sz="0" w:space="0" w:color="auto"/>
      </w:divBdr>
    </w:div>
    <w:div w:id="1437017480">
      <w:bodyDiv w:val="1"/>
      <w:marLeft w:val="0"/>
      <w:marRight w:val="0"/>
      <w:marTop w:val="0"/>
      <w:marBottom w:val="0"/>
      <w:divBdr>
        <w:top w:val="none" w:sz="0" w:space="0" w:color="auto"/>
        <w:left w:val="none" w:sz="0" w:space="0" w:color="auto"/>
        <w:bottom w:val="none" w:sz="0" w:space="0" w:color="auto"/>
        <w:right w:val="none" w:sz="0" w:space="0" w:color="auto"/>
      </w:divBdr>
    </w:div>
    <w:div w:id="1634600560">
      <w:bodyDiv w:val="1"/>
      <w:marLeft w:val="0"/>
      <w:marRight w:val="0"/>
      <w:marTop w:val="0"/>
      <w:marBottom w:val="0"/>
      <w:divBdr>
        <w:top w:val="none" w:sz="0" w:space="0" w:color="auto"/>
        <w:left w:val="none" w:sz="0" w:space="0" w:color="auto"/>
        <w:bottom w:val="none" w:sz="0" w:space="0" w:color="auto"/>
        <w:right w:val="none" w:sz="0" w:space="0" w:color="auto"/>
      </w:divBdr>
      <w:divsChild>
        <w:div w:id="1559515665">
          <w:marLeft w:val="0"/>
          <w:marRight w:val="0"/>
          <w:marTop w:val="0"/>
          <w:marBottom w:val="0"/>
          <w:divBdr>
            <w:top w:val="none" w:sz="0" w:space="0" w:color="auto"/>
            <w:left w:val="none" w:sz="0" w:space="0" w:color="auto"/>
            <w:bottom w:val="none" w:sz="0" w:space="0" w:color="auto"/>
            <w:right w:val="none" w:sz="0" w:space="0" w:color="auto"/>
          </w:divBdr>
        </w:div>
        <w:div w:id="2002584008">
          <w:marLeft w:val="0"/>
          <w:marRight w:val="0"/>
          <w:marTop w:val="0"/>
          <w:marBottom w:val="0"/>
          <w:divBdr>
            <w:top w:val="none" w:sz="0" w:space="0" w:color="auto"/>
            <w:left w:val="none" w:sz="0" w:space="0" w:color="auto"/>
            <w:bottom w:val="none" w:sz="0" w:space="0" w:color="auto"/>
            <w:right w:val="none" w:sz="0" w:space="0" w:color="auto"/>
          </w:divBdr>
        </w:div>
        <w:div w:id="157050522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3E3C6A-57E2-427A-8117-260B6939A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19</Pages>
  <Words>5823</Words>
  <Characters>33193</Characters>
  <Application>Microsoft Office Word</Application>
  <DocSecurity>0</DocSecurity>
  <Lines>276</Lines>
  <Paragraphs>77</Paragraphs>
  <ScaleCrop>false</ScaleCrop>
  <Company/>
  <LinksUpToDate>false</LinksUpToDate>
  <CharactersWithSpaces>38939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2016-02-08T02:49:00Z</dcterms:created>
  <dcterms:modified xsi:type="dcterms:W3CDTF">2016-02-08T02:49:00Z</dcterms:modified>
</cp:coreProperties>
</file>