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CEF" w:rsidRPr="00D30AB7" w:rsidRDefault="00814CEF" w:rsidP="009E1FDF">
      <w:pPr>
        <w:spacing w:after="0" w:line="240" w:lineRule="auto"/>
        <w:jc w:val="both"/>
        <w:rPr>
          <w:rFonts w:ascii="Arial" w:eastAsia="Times New Roman" w:hAnsi="Arial" w:cs="Arial"/>
          <w:bCs/>
        </w:rPr>
      </w:pPr>
      <w:bookmarkStart w:id="0" w:name="_GoBack"/>
      <w:bookmarkEnd w:id="0"/>
    </w:p>
    <w:p w:rsidR="00814CEF" w:rsidRPr="00D30AB7" w:rsidRDefault="00814CEF" w:rsidP="009E1FDF">
      <w:pPr>
        <w:spacing w:after="0" w:line="240" w:lineRule="auto"/>
        <w:jc w:val="both"/>
        <w:rPr>
          <w:rFonts w:ascii="Arial" w:eastAsia="Times New Roman" w:hAnsi="Arial" w:cs="Arial"/>
          <w:bCs/>
        </w:rPr>
      </w:pPr>
    </w:p>
    <w:p w:rsidR="006B4EC9" w:rsidRPr="00D30AB7" w:rsidRDefault="006B4EC9" w:rsidP="009E1FDF">
      <w:pPr>
        <w:spacing w:after="0" w:line="240" w:lineRule="auto"/>
        <w:jc w:val="both"/>
        <w:rPr>
          <w:rFonts w:ascii="Arial" w:eastAsia="Times New Roman" w:hAnsi="Arial" w:cs="Arial"/>
          <w:bCs/>
        </w:rPr>
      </w:pPr>
    </w:p>
    <w:p w:rsidR="006B4EC9" w:rsidRPr="00D30AB7" w:rsidRDefault="006B4EC9" w:rsidP="009E1FDF">
      <w:pPr>
        <w:spacing w:after="0" w:line="240" w:lineRule="auto"/>
        <w:jc w:val="both"/>
        <w:rPr>
          <w:rFonts w:ascii="Arial" w:eastAsia="Times New Roman" w:hAnsi="Arial" w:cs="Arial"/>
          <w:bCs/>
        </w:rPr>
      </w:pPr>
    </w:p>
    <w:p w:rsidR="00814CEF" w:rsidRPr="00D30AB7" w:rsidRDefault="00814CEF" w:rsidP="009E1FDF">
      <w:pPr>
        <w:spacing w:after="0" w:line="240" w:lineRule="auto"/>
        <w:jc w:val="both"/>
        <w:rPr>
          <w:rFonts w:ascii="Arial" w:eastAsia="Times New Roman" w:hAnsi="Arial" w:cs="Arial"/>
          <w:bCs/>
        </w:rPr>
      </w:pPr>
    </w:p>
    <w:p w:rsidR="00814CEF" w:rsidRPr="00D30AB7" w:rsidRDefault="002F74E1" w:rsidP="009E1FDF">
      <w:pPr>
        <w:spacing w:after="0" w:line="240" w:lineRule="auto"/>
        <w:jc w:val="both"/>
        <w:rPr>
          <w:rFonts w:ascii="Arial" w:eastAsia="Times New Roman" w:hAnsi="Arial" w:cs="Arial"/>
          <w:bCs/>
        </w:rPr>
      </w:pPr>
      <w:r w:rsidRPr="00D30AB7">
        <w:rPr>
          <w:rFonts w:ascii="Arial" w:eastAsia="Times New Roman" w:hAnsi="Arial" w:cs="Arial"/>
          <w:bCs/>
        </w:rPr>
        <w:t>Head of Payments Policy Department</w:t>
      </w:r>
    </w:p>
    <w:p w:rsidR="00814CEF" w:rsidRPr="00D30AB7" w:rsidRDefault="002F74E1" w:rsidP="009E1FDF">
      <w:pPr>
        <w:spacing w:after="0" w:line="240" w:lineRule="auto"/>
        <w:jc w:val="both"/>
        <w:rPr>
          <w:rFonts w:ascii="Arial" w:eastAsia="Times New Roman" w:hAnsi="Arial" w:cs="Arial"/>
        </w:rPr>
      </w:pPr>
      <w:r w:rsidRPr="00D30AB7">
        <w:rPr>
          <w:rFonts w:ascii="Arial" w:eastAsia="Times New Roman" w:hAnsi="Arial" w:cs="Arial"/>
        </w:rPr>
        <w:t>Reserve Bank of Australia</w:t>
      </w:r>
    </w:p>
    <w:p w:rsidR="00814CEF" w:rsidRPr="00D30AB7" w:rsidRDefault="002F74E1" w:rsidP="009E1FDF">
      <w:pPr>
        <w:spacing w:after="0" w:line="240" w:lineRule="auto"/>
        <w:jc w:val="both"/>
        <w:rPr>
          <w:rFonts w:ascii="Arial" w:hAnsi="Arial" w:cs="Arial"/>
        </w:rPr>
      </w:pPr>
      <w:r w:rsidRPr="00D30AB7">
        <w:rPr>
          <w:rFonts w:ascii="Arial" w:eastAsia="Times New Roman" w:hAnsi="Arial" w:cs="Arial"/>
        </w:rPr>
        <w:t>GPO Box 3947</w:t>
      </w:r>
    </w:p>
    <w:p w:rsidR="00814CEF" w:rsidRPr="00D30AB7" w:rsidRDefault="002F74E1" w:rsidP="009E1FDF">
      <w:pPr>
        <w:spacing w:after="0" w:line="240" w:lineRule="auto"/>
        <w:jc w:val="both"/>
        <w:rPr>
          <w:rFonts w:ascii="Arial" w:hAnsi="Arial" w:cs="Arial"/>
        </w:rPr>
      </w:pPr>
      <w:r w:rsidRPr="00D30AB7">
        <w:rPr>
          <w:rFonts w:ascii="Arial" w:hAnsi="Arial" w:cs="Arial"/>
        </w:rPr>
        <w:t>SYDNEY NSE 2001</w:t>
      </w:r>
    </w:p>
    <w:p w:rsidR="00814CEF" w:rsidRPr="00D30AB7" w:rsidRDefault="00814CEF" w:rsidP="009E1FDF">
      <w:pPr>
        <w:spacing w:after="0" w:line="240" w:lineRule="auto"/>
        <w:jc w:val="both"/>
        <w:rPr>
          <w:rFonts w:ascii="Arial" w:hAnsi="Arial" w:cs="Arial"/>
        </w:rPr>
      </w:pPr>
    </w:p>
    <w:p w:rsidR="00814CEF" w:rsidRPr="00D30AB7" w:rsidRDefault="00814CEF" w:rsidP="009E1FDF">
      <w:pPr>
        <w:tabs>
          <w:tab w:val="left" w:pos="7088"/>
        </w:tabs>
        <w:spacing w:after="0" w:line="240" w:lineRule="auto"/>
        <w:jc w:val="both"/>
        <w:rPr>
          <w:rFonts w:ascii="Arial" w:hAnsi="Arial" w:cs="Arial"/>
        </w:rPr>
      </w:pPr>
      <w:r w:rsidRPr="00D30AB7">
        <w:rPr>
          <w:rFonts w:ascii="Arial" w:hAnsi="Arial" w:cs="Arial"/>
        </w:rPr>
        <w:tab/>
      </w:r>
      <w:r w:rsidR="00354A42">
        <w:rPr>
          <w:rFonts w:ascii="Arial" w:hAnsi="Arial" w:cs="Arial"/>
        </w:rPr>
        <w:t>2 February 2016</w:t>
      </w:r>
    </w:p>
    <w:p w:rsidR="00814CEF" w:rsidRPr="00D30AB7" w:rsidRDefault="00814CEF" w:rsidP="009E1FDF">
      <w:pPr>
        <w:tabs>
          <w:tab w:val="left" w:pos="7088"/>
        </w:tabs>
        <w:spacing w:after="0" w:line="240" w:lineRule="auto"/>
        <w:jc w:val="both"/>
        <w:rPr>
          <w:rFonts w:ascii="Arial" w:hAnsi="Arial" w:cs="Arial"/>
        </w:rPr>
      </w:pPr>
    </w:p>
    <w:p w:rsidR="00814CEF" w:rsidRPr="00D30AB7" w:rsidRDefault="00814CEF" w:rsidP="009E1FDF">
      <w:pPr>
        <w:tabs>
          <w:tab w:val="left" w:pos="7088"/>
        </w:tabs>
        <w:spacing w:after="0" w:line="240" w:lineRule="auto"/>
        <w:jc w:val="both"/>
        <w:rPr>
          <w:rFonts w:ascii="Arial" w:hAnsi="Arial" w:cs="Arial"/>
        </w:rPr>
      </w:pPr>
    </w:p>
    <w:p w:rsidR="00814CEF" w:rsidRPr="00D30AB7" w:rsidRDefault="00814CEF" w:rsidP="009E1FDF">
      <w:pPr>
        <w:tabs>
          <w:tab w:val="left" w:pos="7088"/>
        </w:tabs>
        <w:spacing w:after="0" w:line="240" w:lineRule="auto"/>
        <w:jc w:val="both"/>
        <w:rPr>
          <w:rFonts w:ascii="Arial" w:hAnsi="Arial" w:cs="Arial"/>
        </w:rPr>
      </w:pPr>
    </w:p>
    <w:p w:rsidR="00814CEF" w:rsidRPr="00D30AB7" w:rsidRDefault="00814CEF" w:rsidP="009E1FDF">
      <w:pPr>
        <w:tabs>
          <w:tab w:val="left" w:pos="7088"/>
        </w:tabs>
        <w:spacing w:after="0" w:line="240" w:lineRule="auto"/>
        <w:jc w:val="both"/>
        <w:rPr>
          <w:rFonts w:ascii="Arial" w:hAnsi="Arial" w:cs="Arial"/>
        </w:rPr>
      </w:pPr>
      <w:r w:rsidRPr="00D30AB7">
        <w:rPr>
          <w:rFonts w:ascii="Arial" w:hAnsi="Arial" w:cs="Arial"/>
        </w:rPr>
        <w:t xml:space="preserve">Dear </w:t>
      </w:r>
      <w:r w:rsidR="002F74E1" w:rsidRPr="00D30AB7">
        <w:rPr>
          <w:rFonts w:ascii="Arial" w:hAnsi="Arial" w:cs="Arial"/>
        </w:rPr>
        <w:t>Sir</w:t>
      </w:r>
      <w:r w:rsidRPr="00D30AB7">
        <w:rPr>
          <w:rFonts w:ascii="Arial" w:hAnsi="Arial" w:cs="Arial"/>
        </w:rPr>
        <w:t>,</w:t>
      </w:r>
    </w:p>
    <w:p w:rsidR="00814CEF" w:rsidRPr="00D30AB7" w:rsidRDefault="00814CEF" w:rsidP="009E1FDF">
      <w:pPr>
        <w:tabs>
          <w:tab w:val="left" w:pos="7088"/>
        </w:tabs>
        <w:spacing w:after="0" w:line="240" w:lineRule="auto"/>
        <w:jc w:val="both"/>
        <w:rPr>
          <w:rFonts w:ascii="Arial" w:hAnsi="Arial" w:cs="Arial"/>
        </w:rPr>
      </w:pPr>
    </w:p>
    <w:p w:rsidR="00814CEF" w:rsidRPr="00D30AB7" w:rsidRDefault="002F74E1" w:rsidP="009E1FDF">
      <w:pPr>
        <w:tabs>
          <w:tab w:val="left" w:pos="7088"/>
        </w:tabs>
        <w:spacing w:after="0" w:line="240" w:lineRule="auto"/>
        <w:jc w:val="both"/>
        <w:rPr>
          <w:rFonts w:ascii="Arial" w:hAnsi="Arial" w:cs="Arial"/>
          <w:b/>
        </w:rPr>
      </w:pPr>
      <w:r w:rsidRPr="00D30AB7">
        <w:rPr>
          <w:rFonts w:ascii="Arial" w:hAnsi="Arial" w:cs="Arial"/>
          <w:b/>
        </w:rPr>
        <w:t>Review of Card Payments Regulation</w:t>
      </w:r>
    </w:p>
    <w:p w:rsidR="00814CEF" w:rsidRPr="00D30AB7" w:rsidRDefault="00814CEF" w:rsidP="009E1FDF">
      <w:pPr>
        <w:tabs>
          <w:tab w:val="left" w:pos="7088"/>
        </w:tabs>
        <w:spacing w:after="0" w:line="240" w:lineRule="auto"/>
        <w:jc w:val="both"/>
        <w:rPr>
          <w:rFonts w:ascii="Arial" w:hAnsi="Arial" w:cs="Arial"/>
        </w:rPr>
      </w:pPr>
    </w:p>
    <w:p w:rsidR="00B117BE" w:rsidRPr="00D30AB7" w:rsidRDefault="002F74E1" w:rsidP="009E1FDF">
      <w:pPr>
        <w:spacing w:after="0" w:line="240" w:lineRule="auto"/>
        <w:jc w:val="both"/>
        <w:rPr>
          <w:rFonts w:ascii="Arial" w:hAnsi="Arial" w:cs="Arial"/>
        </w:rPr>
      </w:pPr>
      <w:r w:rsidRPr="00D30AB7">
        <w:rPr>
          <w:rFonts w:ascii="Arial" w:hAnsi="Arial" w:cs="Arial"/>
        </w:rPr>
        <w:t xml:space="preserve">Pursuant to the </w:t>
      </w:r>
      <w:r w:rsidR="009276A0" w:rsidRPr="00D30AB7">
        <w:rPr>
          <w:rFonts w:ascii="Arial" w:hAnsi="Arial" w:cs="Arial"/>
        </w:rPr>
        <w:t>Reserve Bank of Australia’s</w:t>
      </w:r>
      <w:r w:rsidRPr="00D30AB7">
        <w:rPr>
          <w:rFonts w:ascii="Arial" w:hAnsi="Arial" w:cs="Arial"/>
        </w:rPr>
        <w:t xml:space="preserve"> </w:t>
      </w:r>
      <w:r w:rsidR="00976BF8" w:rsidRPr="00D30AB7">
        <w:rPr>
          <w:rFonts w:ascii="Arial" w:hAnsi="Arial" w:cs="Arial"/>
        </w:rPr>
        <w:t xml:space="preserve">(‘the Bank’) </w:t>
      </w:r>
      <w:r w:rsidRPr="00D30AB7">
        <w:rPr>
          <w:rFonts w:ascii="Arial" w:hAnsi="Arial" w:cs="Arial"/>
        </w:rPr>
        <w:t xml:space="preserve">consultation paper issued in December 2015 in relation to </w:t>
      </w:r>
      <w:r w:rsidR="009276A0" w:rsidRPr="00D30AB7">
        <w:rPr>
          <w:rFonts w:ascii="Arial" w:hAnsi="Arial" w:cs="Arial"/>
        </w:rPr>
        <w:t xml:space="preserve">the proposed </w:t>
      </w:r>
      <w:r w:rsidRPr="00D30AB7">
        <w:rPr>
          <w:rFonts w:ascii="Arial" w:hAnsi="Arial" w:cs="Arial"/>
        </w:rPr>
        <w:t xml:space="preserve">review of existing card payments regulation, </w:t>
      </w:r>
      <w:r w:rsidR="00976BF8" w:rsidRPr="00D30AB7">
        <w:rPr>
          <w:rFonts w:ascii="Arial" w:hAnsi="Arial" w:cs="Arial"/>
        </w:rPr>
        <w:t xml:space="preserve">Bank of Queensland </w:t>
      </w:r>
      <w:r w:rsidR="006A3880">
        <w:rPr>
          <w:rFonts w:ascii="Arial" w:hAnsi="Arial" w:cs="Arial"/>
        </w:rPr>
        <w:t xml:space="preserve">Limited </w:t>
      </w:r>
      <w:r w:rsidR="00976BF8" w:rsidRPr="00D30AB7">
        <w:rPr>
          <w:rFonts w:ascii="Arial" w:hAnsi="Arial" w:cs="Arial"/>
        </w:rPr>
        <w:t>(‘</w:t>
      </w:r>
      <w:r w:rsidRPr="00D30AB7">
        <w:rPr>
          <w:rFonts w:ascii="Arial" w:hAnsi="Arial" w:cs="Arial"/>
        </w:rPr>
        <w:t>BOQ</w:t>
      </w:r>
      <w:r w:rsidR="00976BF8" w:rsidRPr="00D30AB7">
        <w:rPr>
          <w:rFonts w:ascii="Arial" w:hAnsi="Arial" w:cs="Arial"/>
        </w:rPr>
        <w:t>’)</w:t>
      </w:r>
      <w:r w:rsidRPr="00D30AB7">
        <w:rPr>
          <w:rFonts w:ascii="Arial" w:hAnsi="Arial" w:cs="Arial"/>
        </w:rPr>
        <w:t xml:space="preserve"> wishes to thank </w:t>
      </w:r>
      <w:r w:rsidR="009276A0" w:rsidRPr="00D30AB7">
        <w:rPr>
          <w:rFonts w:ascii="Arial" w:hAnsi="Arial" w:cs="Arial"/>
        </w:rPr>
        <w:t>the Bank for the opportunity to provide feedback on the issues identified and the manner in which these might be addressed.</w:t>
      </w:r>
    </w:p>
    <w:p w:rsidR="00B117BE" w:rsidRPr="00D30AB7" w:rsidRDefault="00B117BE" w:rsidP="009E1FDF">
      <w:pPr>
        <w:spacing w:after="0" w:line="240" w:lineRule="auto"/>
        <w:jc w:val="both"/>
        <w:rPr>
          <w:rFonts w:ascii="Arial" w:hAnsi="Arial" w:cs="Arial"/>
        </w:rPr>
      </w:pPr>
    </w:p>
    <w:p w:rsidR="009276A0" w:rsidRPr="00D30AB7" w:rsidRDefault="009276A0" w:rsidP="009E1FDF">
      <w:pPr>
        <w:spacing w:after="0" w:line="240" w:lineRule="auto"/>
        <w:jc w:val="both"/>
        <w:rPr>
          <w:rFonts w:ascii="Arial" w:hAnsi="Arial" w:cs="Arial"/>
        </w:rPr>
      </w:pPr>
      <w:r w:rsidRPr="00D30AB7">
        <w:rPr>
          <w:rFonts w:ascii="Arial" w:hAnsi="Arial" w:cs="Arial"/>
        </w:rPr>
        <w:t>Broadly speaking, BOQ acknowledges and supports the objectives of the reform to promote competition, transparency and efficiency in the payments system.</w:t>
      </w:r>
    </w:p>
    <w:p w:rsidR="009276A0" w:rsidRPr="00D30AB7" w:rsidRDefault="009276A0" w:rsidP="009E1FDF">
      <w:pPr>
        <w:spacing w:after="0" w:line="240" w:lineRule="auto"/>
        <w:jc w:val="both"/>
        <w:rPr>
          <w:rFonts w:ascii="Arial" w:hAnsi="Arial" w:cs="Arial"/>
        </w:rPr>
      </w:pPr>
    </w:p>
    <w:p w:rsidR="009E1FDF" w:rsidRPr="00D30AB7" w:rsidRDefault="009E1FDF" w:rsidP="009E1FDF">
      <w:pPr>
        <w:spacing w:after="0" w:line="240" w:lineRule="auto"/>
        <w:jc w:val="both"/>
        <w:rPr>
          <w:rFonts w:ascii="Arial" w:hAnsi="Arial" w:cs="Arial"/>
        </w:rPr>
      </w:pPr>
    </w:p>
    <w:p w:rsidR="00F9124C" w:rsidRPr="00D30AB7" w:rsidRDefault="00F9124C" w:rsidP="009E1FDF">
      <w:pPr>
        <w:spacing w:after="120" w:line="240" w:lineRule="auto"/>
        <w:jc w:val="both"/>
        <w:rPr>
          <w:rFonts w:ascii="Arial" w:hAnsi="Arial" w:cs="Arial"/>
          <w:b/>
        </w:rPr>
      </w:pPr>
      <w:r w:rsidRPr="00D30AB7">
        <w:rPr>
          <w:rFonts w:ascii="Arial" w:hAnsi="Arial" w:cs="Arial"/>
          <w:b/>
        </w:rPr>
        <w:t>Competitive neutrality and companion cards</w:t>
      </w:r>
    </w:p>
    <w:p w:rsidR="00FE19E2" w:rsidRPr="00D30AB7" w:rsidRDefault="00FE19E2" w:rsidP="009E1FDF">
      <w:pPr>
        <w:spacing w:after="0" w:line="240" w:lineRule="auto"/>
        <w:jc w:val="both"/>
        <w:rPr>
          <w:rFonts w:ascii="Arial" w:hAnsi="Arial" w:cs="Arial"/>
        </w:rPr>
      </w:pPr>
      <w:r w:rsidRPr="00D30AB7">
        <w:rPr>
          <w:rFonts w:ascii="Arial" w:hAnsi="Arial" w:cs="Arial"/>
        </w:rPr>
        <w:t>It is the Bank’s observation that i</w:t>
      </w:r>
      <w:r w:rsidR="00A06637" w:rsidRPr="00D30AB7">
        <w:rPr>
          <w:rFonts w:ascii="Arial" w:hAnsi="Arial" w:cs="Arial"/>
        </w:rPr>
        <w:t>ssuance of companion cards has grown faster compared to other schemes, suggesting differences in regulatory treatment are influencing the development of the market</w:t>
      </w:r>
      <w:r w:rsidRPr="00D30AB7">
        <w:rPr>
          <w:rFonts w:ascii="Arial" w:hAnsi="Arial" w:cs="Arial"/>
        </w:rPr>
        <w:t>.  It is consequently perceived that the difference in treatment is negatively influencing competitive neutrality</w:t>
      </w:r>
      <w:r w:rsidR="00A06637" w:rsidRPr="00D30AB7">
        <w:rPr>
          <w:rFonts w:ascii="Arial" w:hAnsi="Arial" w:cs="Arial"/>
        </w:rPr>
        <w:t>.</w:t>
      </w:r>
    </w:p>
    <w:p w:rsidR="00FE19E2" w:rsidRPr="00D30AB7" w:rsidRDefault="00FE19E2" w:rsidP="009E1FDF">
      <w:pPr>
        <w:spacing w:after="0" w:line="240" w:lineRule="auto"/>
        <w:jc w:val="both"/>
        <w:rPr>
          <w:rFonts w:ascii="Arial" w:hAnsi="Arial" w:cs="Arial"/>
        </w:rPr>
      </w:pPr>
    </w:p>
    <w:p w:rsidR="00FE19E2" w:rsidRPr="00D30AB7" w:rsidRDefault="00FE19E2" w:rsidP="009E1FDF">
      <w:pPr>
        <w:spacing w:after="0" w:line="240" w:lineRule="auto"/>
        <w:jc w:val="both"/>
        <w:rPr>
          <w:rFonts w:ascii="Arial" w:hAnsi="Arial" w:cs="Arial"/>
        </w:rPr>
      </w:pPr>
      <w:r w:rsidRPr="00D30AB7">
        <w:rPr>
          <w:rFonts w:ascii="Arial" w:hAnsi="Arial" w:cs="Arial"/>
        </w:rPr>
        <w:t>Response:</w:t>
      </w:r>
    </w:p>
    <w:p w:rsidR="00FE19E2" w:rsidRPr="00D30AB7" w:rsidRDefault="00FE19E2" w:rsidP="009E1FDF">
      <w:pPr>
        <w:spacing w:after="0" w:line="240" w:lineRule="auto"/>
        <w:jc w:val="both"/>
        <w:rPr>
          <w:rFonts w:ascii="Arial" w:hAnsi="Arial" w:cs="Arial"/>
        </w:rPr>
      </w:pPr>
    </w:p>
    <w:p w:rsidR="009276A0" w:rsidRPr="00D30AB7" w:rsidRDefault="00FE19E2" w:rsidP="009E1FDF">
      <w:pPr>
        <w:spacing w:after="0" w:line="240" w:lineRule="auto"/>
        <w:jc w:val="both"/>
        <w:rPr>
          <w:rFonts w:ascii="Arial" w:hAnsi="Arial" w:cs="Arial"/>
        </w:rPr>
      </w:pPr>
      <w:r w:rsidRPr="00D30AB7">
        <w:rPr>
          <w:rFonts w:ascii="Arial" w:hAnsi="Arial" w:cs="Arial"/>
        </w:rPr>
        <w:t>BOQ supports t</w:t>
      </w:r>
      <w:r w:rsidR="00A06637" w:rsidRPr="00D30AB7">
        <w:rPr>
          <w:rFonts w:ascii="Arial" w:hAnsi="Arial" w:cs="Arial"/>
        </w:rPr>
        <w:t xml:space="preserve">he Bank’s recommendation to bring companion cards in scope of the regulation </w:t>
      </w:r>
      <w:r w:rsidRPr="00D30AB7">
        <w:rPr>
          <w:rFonts w:ascii="Arial" w:hAnsi="Arial" w:cs="Arial"/>
        </w:rPr>
        <w:t xml:space="preserve">and </w:t>
      </w:r>
      <w:r w:rsidR="00976BF8" w:rsidRPr="00D30AB7">
        <w:rPr>
          <w:rFonts w:ascii="Arial" w:hAnsi="Arial" w:cs="Arial"/>
        </w:rPr>
        <w:t>agrees</w:t>
      </w:r>
      <w:r w:rsidRPr="00D30AB7">
        <w:rPr>
          <w:rFonts w:ascii="Arial" w:hAnsi="Arial" w:cs="Arial"/>
        </w:rPr>
        <w:t xml:space="preserve"> this remedial action will be effective in promoting competitive neutrality</w:t>
      </w:r>
      <w:r w:rsidR="00976BF8" w:rsidRPr="00D30AB7">
        <w:rPr>
          <w:rFonts w:ascii="Arial" w:hAnsi="Arial" w:cs="Arial"/>
        </w:rPr>
        <w:t>.</w:t>
      </w:r>
    </w:p>
    <w:p w:rsidR="009276A0" w:rsidRPr="00D30AB7" w:rsidRDefault="009276A0" w:rsidP="009E1FDF">
      <w:pPr>
        <w:spacing w:after="0" w:line="240" w:lineRule="auto"/>
        <w:jc w:val="both"/>
        <w:rPr>
          <w:rFonts w:ascii="Arial" w:hAnsi="Arial" w:cs="Arial"/>
        </w:rPr>
      </w:pPr>
    </w:p>
    <w:p w:rsidR="00A910BE" w:rsidRPr="00D30AB7" w:rsidRDefault="00A910BE" w:rsidP="009E1FDF">
      <w:pPr>
        <w:spacing w:after="0" w:line="240" w:lineRule="auto"/>
        <w:jc w:val="both"/>
        <w:rPr>
          <w:rFonts w:ascii="Arial" w:hAnsi="Arial" w:cs="Arial"/>
        </w:rPr>
      </w:pPr>
    </w:p>
    <w:p w:rsidR="00976BF8" w:rsidRPr="00D30AB7" w:rsidRDefault="00976BF8" w:rsidP="009E1FDF">
      <w:pPr>
        <w:spacing w:after="120" w:line="240" w:lineRule="auto"/>
        <w:jc w:val="both"/>
        <w:rPr>
          <w:rFonts w:ascii="Arial" w:hAnsi="Arial" w:cs="Arial"/>
          <w:b/>
        </w:rPr>
      </w:pPr>
      <w:r w:rsidRPr="00D30AB7">
        <w:rPr>
          <w:rFonts w:ascii="Arial" w:hAnsi="Arial" w:cs="Arial"/>
          <w:b/>
        </w:rPr>
        <w:t>Interchange fees for commercial cards</w:t>
      </w:r>
    </w:p>
    <w:p w:rsidR="00976BF8" w:rsidRPr="00D30AB7" w:rsidRDefault="0029020A" w:rsidP="009E1FDF">
      <w:pPr>
        <w:spacing w:after="0" w:line="240" w:lineRule="auto"/>
        <w:jc w:val="both"/>
        <w:rPr>
          <w:rFonts w:ascii="Arial" w:hAnsi="Arial" w:cs="Arial"/>
        </w:rPr>
      </w:pPr>
      <w:r w:rsidRPr="00D30AB7">
        <w:rPr>
          <w:rFonts w:ascii="Arial" w:hAnsi="Arial" w:cs="Arial"/>
        </w:rPr>
        <w:t>Commercial cards are currently within the scope of the Bank’s interchange standards including the requirement to comply with weighted-average benchmarks</w:t>
      </w:r>
      <w:r w:rsidR="00185DF9" w:rsidRPr="00D30AB7">
        <w:rPr>
          <w:rFonts w:ascii="Arial" w:hAnsi="Arial" w:cs="Arial"/>
        </w:rPr>
        <w:t>.  The Bank considered both options of maintaining the status quo and exemption in this regard; with a preference for inclusion of transactions on commercial cards in the regulatory framework for interchange payments.</w:t>
      </w:r>
    </w:p>
    <w:p w:rsidR="00185DF9" w:rsidRPr="00D30AB7" w:rsidRDefault="00185DF9" w:rsidP="009E1FDF">
      <w:pPr>
        <w:spacing w:after="0" w:line="240" w:lineRule="auto"/>
        <w:jc w:val="both"/>
        <w:rPr>
          <w:rFonts w:ascii="Arial" w:hAnsi="Arial" w:cs="Arial"/>
        </w:rPr>
      </w:pPr>
    </w:p>
    <w:p w:rsidR="00185DF9" w:rsidRPr="00D30AB7" w:rsidRDefault="00185DF9" w:rsidP="009E1FDF">
      <w:pPr>
        <w:spacing w:after="0" w:line="240" w:lineRule="auto"/>
        <w:jc w:val="both"/>
        <w:rPr>
          <w:rFonts w:ascii="Arial" w:hAnsi="Arial" w:cs="Arial"/>
        </w:rPr>
      </w:pPr>
      <w:r w:rsidRPr="00D30AB7">
        <w:rPr>
          <w:rFonts w:ascii="Arial" w:hAnsi="Arial" w:cs="Arial"/>
        </w:rPr>
        <w:t>Response:</w:t>
      </w:r>
    </w:p>
    <w:p w:rsidR="00185DF9" w:rsidRPr="00D30AB7" w:rsidRDefault="00185DF9" w:rsidP="009E1FDF">
      <w:pPr>
        <w:spacing w:after="0" w:line="240" w:lineRule="auto"/>
        <w:jc w:val="both"/>
        <w:rPr>
          <w:rFonts w:ascii="Arial" w:hAnsi="Arial" w:cs="Arial"/>
        </w:rPr>
      </w:pPr>
    </w:p>
    <w:p w:rsidR="00D30AB7" w:rsidRPr="00D30AB7" w:rsidRDefault="00185DF9" w:rsidP="009E1FDF">
      <w:pPr>
        <w:spacing w:after="0" w:line="240" w:lineRule="auto"/>
        <w:jc w:val="both"/>
        <w:rPr>
          <w:rFonts w:ascii="Arial" w:hAnsi="Arial" w:cs="Arial"/>
        </w:rPr>
      </w:pPr>
      <w:r w:rsidRPr="00D30AB7">
        <w:rPr>
          <w:rFonts w:ascii="Arial" w:hAnsi="Arial" w:cs="Arial"/>
        </w:rPr>
        <w:t>BO</w:t>
      </w:r>
      <w:r w:rsidR="0029020A" w:rsidRPr="00D30AB7">
        <w:rPr>
          <w:rFonts w:ascii="Arial" w:hAnsi="Arial" w:cs="Arial"/>
        </w:rPr>
        <w:t xml:space="preserve">Q favours </w:t>
      </w:r>
      <w:r w:rsidRPr="00D30AB7">
        <w:rPr>
          <w:rFonts w:ascii="Arial" w:hAnsi="Arial" w:cs="Arial"/>
        </w:rPr>
        <w:t>exemption of c</w:t>
      </w:r>
      <w:r w:rsidR="0029020A" w:rsidRPr="00D30AB7">
        <w:rPr>
          <w:rFonts w:ascii="Arial" w:hAnsi="Arial" w:cs="Arial"/>
        </w:rPr>
        <w:t xml:space="preserve">ommercial </w:t>
      </w:r>
      <w:r w:rsidRPr="00D30AB7">
        <w:rPr>
          <w:rFonts w:ascii="Arial" w:hAnsi="Arial" w:cs="Arial"/>
        </w:rPr>
        <w:t>c</w:t>
      </w:r>
      <w:r w:rsidR="0029020A" w:rsidRPr="00D30AB7">
        <w:rPr>
          <w:rFonts w:ascii="Arial" w:hAnsi="Arial" w:cs="Arial"/>
        </w:rPr>
        <w:t xml:space="preserve">ards </w:t>
      </w:r>
      <w:r w:rsidRPr="00D30AB7">
        <w:rPr>
          <w:rFonts w:ascii="Arial" w:hAnsi="Arial" w:cs="Arial"/>
        </w:rPr>
        <w:t>in line with the approach adopted by the European Union in their recent regulatory reform.  It is our view that c</w:t>
      </w:r>
      <w:r w:rsidR="0029020A" w:rsidRPr="00D30AB7">
        <w:rPr>
          <w:rFonts w:ascii="Arial" w:hAnsi="Arial" w:cs="Arial"/>
        </w:rPr>
        <w:t>ommercial cards are fundamentally different in nature when compared to cons</w:t>
      </w:r>
      <w:r w:rsidRPr="00D30AB7">
        <w:rPr>
          <w:rFonts w:ascii="Arial" w:hAnsi="Arial" w:cs="Arial"/>
        </w:rPr>
        <w:t>umer cards.</w:t>
      </w:r>
      <w:r w:rsidR="0029020A" w:rsidRPr="00D30AB7">
        <w:rPr>
          <w:rFonts w:ascii="Arial" w:hAnsi="Arial" w:cs="Arial"/>
        </w:rPr>
        <w:t xml:space="preserve"> </w:t>
      </w:r>
      <w:r w:rsidR="00E83E52" w:rsidRPr="00D30AB7">
        <w:rPr>
          <w:rFonts w:ascii="Arial" w:hAnsi="Arial" w:cs="Arial"/>
        </w:rPr>
        <w:t xml:space="preserve"> </w:t>
      </w:r>
      <w:r w:rsidR="0029020A" w:rsidRPr="00D30AB7">
        <w:rPr>
          <w:rFonts w:ascii="Arial" w:hAnsi="Arial" w:cs="Arial"/>
        </w:rPr>
        <w:t>Primarily, business customers use the</w:t>
      </w:r>
      <w:r w:rsidRPr="00D30AB7">
        <w:rPr>
          <w:rFonts w:ascii="Arial" w:hAnsi="Arial" w:cs="Arial"/>
        </w:rPr>
        <w:t xml:space="preserve">ir cards </w:t>
      </w:r>
      <w:r w:rsidR="0029020A" w:rsidRPr="00D30AB7">
        <w:rPr>
          <w:rFonts w:ascii="Arial" w:hAnsi="Arial" w:cs="Arial"/>
        </w:rPr>
        <w:t>to transac</w:t>
      </w:r>
      <w:r w:rsidR="009E1FDF" w:rsidRPr="00D30AB7">
        <w:rPr>
          <w:rFonts w:ascii="Arial" w:hAnsi="Arial" w:cs="Arial"/>
        </w:rPr>
        <w:t>t and pay for business expenses</w:t>
      </w:r>
      <w:r w:rsidR="0029020A" w:rsidRPr="00D30AB7">
        <w:rPr>
          <w:rFonts w:ascii="Arial" w:hAnsi="Arial" w:cs="Arial"/>
        </w:rPr>
        <w:t xml:space="preserve"> which deliver</w:t>
      </w:r>
      <w:r w:rsidR="009E1FDF" w:rsidRPr="00D30AB7">
        <w:rPr>
          <w:rFonts w:ascii="Arial" w:hAnsi="Arial" w:cs="Arial"/>
        </w:rPr>
        <w:t>s</w:t>
      </w:r>
      <w:r w:rsidR="0029020A" w:rsidRPr="00D30AB7">
        <w:rPr>
          <w:rFonts w:ascii="Arial" w:hAnsi="Arial" w:cs="Arial"/>
        </w:rPr>
        <w:t xml:space="preserve"> </w:t>
      </w:r>
      <w:r w:rsidR="0029020A" w:rsidRPr="00D30AB7">
        <w:rPr>
          <w:rFonts w:ascii="Arial" w:hAnsi="Arial" w:cs="Arial"/>
        </w:rPr>
        <w:lastRenderedPageBreak/>
        <w:t>considerable working capital</w:t>
      </w:r>
      <w:r w:rsidR="009E1FDF" w:rsidRPr="00D30AB7">
        <w:rPr>
          <w:rFonts w:ascii="Arial" w:hAnsi="Arial" w:cs="Arial"/>
        </w:rPr>
        <w:t>,</w:t>
      </w:r>
      <w:r w:rsidR="0029020A" w:rsidRPr="00D30AB7">
        <w:rPr>
          <w:rFonts w:ascii="Arial" w:hAnsi="Arial" w:cs="Arial"/>
        </w:rPr>
        <w:t xml:space="preserve"> </w:t>
      </w:r>
      <w:r w:rsidR="009E1FDF" w:rsidRPr="00D30AB7">
        <w:rPr>
          <w:rFonts w:ascii="Arial" w:hAnsi="Arial" w:cs="Arial"/>
        </w:rPr>
        <w:t xml:space="preserve">fraud protection through chargeback rights </w:t>
      </w:r>
      <w:r w:rsidRPr="00D30AB7">
        <w:rPr>
          <w:rFonts w:ascii="Arial" w:hAnsi="Arial" w:cs="Arial"/>
        </w:rPr>
        <w:t xml:space="preserve">and productivity benefits </w:t>
      </w:r>
      <w:r w:rsidR="006E1389" w:rsidRPr="00D30AB7">
        <w:rPr>
          <w:rFonts w:ascii="Arial" w:hAnsi="Arial" w:cs="Arial"/>
        </w:rPr>
        <w:t>such as timely receipt of cleared funds, limited cash handling,</w:t>
      </w:r>
      <w:r w:rsidR="009E1FDF" w:rsidRPr="00D30AB7">
        <w:rPr>
          <w:rFonts w:ascii="Arial" w:hAnsi="Arial" w:cs="Arial"/>
        </w:rPr>
        <w:t xml:space="preserve"> etc</w:t>
      </w:r>
      <w:r w:rsidR="0029020A" w:rsidRPr="00D30AB7">
        <w:rPr>
          <w:rFonts w:ascii="Arial" w:hAnsi="Arial" w:cs="Arial"/>
        </w:rPr>
        <w:t>.</w:t>
      </w:r>
    </w:p>
    <w:p w:rsidR="00D30AB7" w:rsidRPr="00D30AB7" w:rsidRDefault="00D30AB7" w:rsidP="009E1FDF">
      <w:pPr>
        <w:spacing w:after="0" w:line="240" w:lineRule="auto"/>
        <w:jc w:val="both"/>
        <w:rPr>
          <w:rFonts w:ascii="Arial" w:hAnsi="Arial" w:cs="Arial"/>
        </w:rPr>
      </w:pPr>
    </w:p>
    <w:p w:rsidR="0029020A" w:rsidRPr="00D30AB7" w:rsidRDefault="00D30AB7" w:rsidP="009E1FDF">
      <w:pPr>
        <w:spacing w:after="0" w:line="240" w:lineRule="auto"/>
        <w:jc w:val="both"/>
        <w:rPr>
          <w:rFonts w:ascii="Arial" w:hAnsi="Arial" w:cs="Arial"/>
        </w:rPr>
      </w:pPr>
      <w:r w:rsidRPr="00D30AB7">
        <w:rPr>
          <w:rFonts w:ascii="Arial" w:hAnsi="Arial" w:cs="Arial"/>
        </w:rPr>
        <w:t>From an issuer perspective</w:t>
      </w:r>
      <w:r w:rsidR="00E83E52" w:rsidRPr="00D30AB7">
        <w:rPr>
          <w:rFonts w:ascii="Arial" w:hAnsi="Arial" w:cs="Arial"/>
        </w:rPr>
        <w:t xml:space="preserve">, the value of transaction processing is higher, which increases the cost of funding </w:t>
      </w:r>
      <w:r w:rsidR="00C90E3F">
        <w:rPr>
          <w:rFonts w:ascii="Arial" w:hAnsi="Arial" w:cs="Arial"/>
        </w:rPr>
        <w:t>with</w:t>
      </w:r>
      <w:r w:rsidR="00C90E3F" w:rsidRPr="00D30AB7">
        <w:rPr>
          <w:rFonts w:ascii="Arial" w:hAnsi="Arial" w:cs="Arial"/>
        </w:rPr>
        <w:t xml:space="preserve"> </w:t>
      </w:r>
      <w:r w:rsidR="00C92DF7">
        <w:rPr>
          <w:rFonts w:ascii="Arial" w:hAnsi="Arial" w:cs="Arial"/>
        </w:rPr>
        <w:t>a</w:t>
      </w:r>
      <w:r w:rsidR="00C92DF7" w:rsidRPr="00D30AB7">
        <w:rPr>
          <w:rFonts w:ascii="Arial" w:hAnsi="Arial" w:cs="Arial"/>
        </w:rPr>
        <w:t xml:space="preserve"> </w:t>
      </w:r>
      <w:r w:rsidR="00E83E52" w:rsidRPr="00D30AB7">
        <w:rPr>
          <w:rFonts w:ascii="Arial" w:hAnsi="Arial" w:cs="Arial"/>
        </w:rPr>
        <w:t>low</w:t>
      </w:r>
      <w:r w:rsidR="00C92DF7">
        <w:rPr>
          <w:rFonts w:ascii="Arial" w:hAnsi="Arial" w:cs="Arial"/>
        </w:rPr>
        <w:t>er</w:t>
      </w:r>
      <w:r w:rsidR="00E83E52" w:rsidRPr="00D30AB7">
        <w:rPr>
          <w:rFonts w:ascii="Arial" w:hAnsi="Arial" w:cs="Arial"/>
        </w:rPr>
        <w:t xml:space="preserve"> propensity to revolve on a </w:t>
      </w:r>
      <w:r w:rsidR="00C92DF7">
        <w:rPr>
          <w:rFonts w:ascii="Arial" w:hAnsi="Arial" w:cs="Arial"/>
        </w:rPr>
        <w:t>commercial</w:t>
      </w:r>
      <w:r w:rsidR="00C92DF7" w:rsidRPr="00D30AB7">
        <w:rPr>
          <w:rFonts w:ascii="Arial" w:hAnsi="Arial" w:cs="Arial"/>
        </w:rPr>
        <w:t xml:space="preserve"> </w:t>
      </w:r>
      <w:r w:rsidR="00E83E52" w:rsidRPr="00D30AB7">
        <w:rPr>
          <w:rFonts w:ascii="Arial" w:hAnsi="Arial" w:cs="Arial"/>
        </w:rPr>
        <w:t>book.</w:t>
      </w:r>
      <w:r w:rsidR="00861339" w:rsidRPr="00D30AB7">
        <w:rPr>
          <w:rFonts w:ascii="Arial" w:hAnsi="Arial" w:cs="Arial"/>
        </w:rPr>
        <w:t xml:space="preserve">  Higher transaction values also result in higher capital requirements given the risk weighting of the asset for capital purposes</w:t>
      </w:r>
      <w:r w:rsidR="00C92DF7">
        <w:rPr>
          <w:rFonts w:ascii="Arial" w:hAnsi="Arial" w:cs="Arial"/>
        </w:rPr>
        <w:t xml:space="preserve"> and the requirement to hold capital on the average daily balance</w:t>
      </w:r>
      <w:r w:rsidR="00A910BE" w:rsidRPr="00D30AB7">
        <w:rPr>
          <w:rFonts w:ascii="Arial" w:hAnsi="Arial" w:cs="Arial"/>
        </w:rPr>
        <w:t>, with notably lower interest income.</w:t>
      </w:r>
    </w:p>
    <w:p w:rsidR="0029020A" w:rsidRPr="00D30AB7" w:rsidRDefault="0029020A" w:rsidP="009E1FDF">
      <w:pPr>
        <w:spacing w:after="0" w:line="240" w:lineRule="auto"/>
        <w:jc w:val="both"/>
        <w:rPr>
          <w:rFonts w:ascii="Arial" w:hAnsi="Arial" w:cs="Arial"/>
        </w:rPr>
      </w:pPr>
    </w:p>
    <w:p w:rsidR="0029020A" w:rsidRPr="00D30AB7" w:rsidRDefault="0029020A" w:rsidP="009E1FDF">
      <w:pPr>
        <w:spacing w:after="0" w:line="240" w:lineRule="auto"/>
        <w:jc w:val="both"/>
        <w:rPr>
          <w:rFonts w:ascii="Arial" w:hAnsi="Arial" w:cs="Arial"/>
        </w:rPr>
      </w:pPr>
      <w:r w:rsidRPr="00D30AB7">
        <w:rPr>
          <w:rFonts w:ascii="Arial" w:hAnsi="Arial" w:cs="Arial"/>
        </w:rPr>
        <w:t xml:space="preserve">A commercial card </w:t>
      </w:r>
      <w:r w:rsidR="00185DF9" w:rsidRPr="00D30AB7">
        <w:rPr>
          <w:rFonts w:ascii="Arial" w:hAnsi="Arial" w:cs="Arial"/>
        </w:rPr>
        <w:t xml:space="preserve">portfolio </w:t>
      </w:r>
      <w:r w:rsidRPr="00D30AB7">
        <w:rPr>
          <w:rFonts w:ascii="Arial" w:hAnsi="Arial" w:cs="Arial"/>
        </w:rPr>
        <w:t xml:space="preserve">is more customised </w:t>
      </w:r>
      <w:r w:rsidR="00185DF9" w:rsidRPr="00D30AB7">
        <w:rPr>
          <w:rFonts w:ascii="Arial" w:hAnsi="Arial" w:cs="Arial"/>
        </w:rPr>
        <w:t>in comparison to consumer card portfolios</w:t>
      </w:r>
      <w:r w:rsidRPr="00D30AB7">
        <w:rPr>
          <w:rFonts w:ascii="Arial" w:hAnsi="Arial" w:cs="Arial"/>
        </w:rPr>
        <w:t xml:space="preserve"> with features such as </w:t>
      </w:r>
      <w:r w:rsidR="00E83E52" w:rsidRPr="00D30AB7">
        <w:rPr>
          <w:rFonts w:ascii="Arial" w:hAnsi="Arial" w:cs="Arial"/>
        </w:rPr>
        <w:t xml:space="preserve">unauthorised transaction insurance, </w:t>
      </w:r>
      <w:r w:rsidRPr="00D30AB7">
        <w:rPr>
          <w:rFonts w:ascii="Arial" w:hAnsi="Arial" w:cs="Arial"/>
        </w:rPr>
        <w:t>restricted access cards, enhanced statements</w:t>
      </w:r>
      <w:r w:rsidR="00E83E52" w:rsidRPr="00D30AB7">
        <w:rPr>
          <w:rFonts w:ascii="Arial" w:hAnsi="Arial" w:cs="Arial"/>
        </w:rPr>
        <w:t xml:space="preserve"> and reporting</w:t>
      </w:r>
      <w:r w:rsidR="00185DF9" w:rsidRPr="00D30AB7">
        <w:rPr>
          <w:rFonts w:ascii="Arial" w:hAnsi="Arial" w:cs="Arial"/>
        </w:rPr>
        <w:t>.</w:t>
      </w:r>
      <w:r w:rsidR="00E83E52" w:rsidRPr="00D30AB7">
        <w:rPr>
          <w:rFonts w:ascii="Arial" w:hAnsi="Arial" w:cs="Arial"/>
        </w:rPr>
        <w:t xml:space="preserve"> </w:t>
      </w:r>
      <w:r w:rsidRPr="00D30AB7">
        <w:rPr>
          <w:rFonts w:ascii="Arial" w:hAnsi="Arial" w:cs="Arial"/>
        </w:rPr>
        <w:t xml:space="preserve"> Commercial cards should be excluded from the regulation in order to maintain these niched offerings.</w:t>
      </w:r>
    </w:p>
    <w:p w:rsidR="0029020A" w:rsidRPr="00D30AB7" w:rsidRDefault="0029020A" w:rsidP="009E1FDF">
      <w:pPr>
        <w:spacing w:after="0" w:line="240" w:lineRule="auto"/>
        <w:jc w:val="both"/>
        <w:rPr>
          <w:rFonts w:ascii="Arial" w:hAnsi="Arial" w:cs="Arial"/>
        </w:rPr>
      </w:pPr>
    </w:p>
    <w:p w:rsidR="0029020A" w:rsidRPr="00D30AB7" w:rsidRDefault="00B47C40" w:rsidP="009E1FDF">
      <w:pPr>
        <w:spacing w:after="0" w:line="240" w:lineRule="auto"/>
        <w:jc w:val="both"/>
        <w:rPr>
          <w:rFonts w:ascii="Arial" w:hAnsi="Arial" w:cs="Arial"/>
        </w:rPr>
      </w:pPr>
      <w:r w:rsidRPr="00D30AB7">
        <w:rPr>
          <w:rFonts w:ascii="Arial" w:hAnsi="Arial" w:cs="Arial"/>
        </w:rPr>
        <w:t xml:space="preserve">BOQ </w:t>
      </w:r>
      <w:r w:rsidR="00E83E52" w:rsidRPr="00D30AB7">
        <w:rPr>
          <w:rFonts w:ascii="Arial" w:hAnsi="Arial" w:cs="Arial"/>
        </w:rPr>
        <w:t>holds the view</w:t>
      </w:r>
      <w:r w:rsidR="00C92DF7">
        <w:rPr>
          <w:rFonts w:ascii="Arial" w:hAnsi="Arial" w:cs="Arial"/>
        </w:rPr>
        <w:t xml:space="preserve"> that</w:t>
      </w:r>
      <w:r w:rsidR="00185DF9" w:rsidRPr="00D30AB7">
        <w:rPr>
          <w:rFonts w:ascii="Arial" w:hAnsi="Arial" w:cs="Arial"/>
        </w:rPr>
        <w:t xml:space="preserve"> the </w:t>
      </w:r>
      <w:r w:rsidRPr="00D30AB7">
        <w:rPr>
          <w:rFonts w:ascii="Arial" w:hAnsi="Arial" w:cs="Arial"/>
        </w:rPr>
        <w:t xml:space="preserve">commercial card market in Australia is immature and requires further investment from both an acquiring and issuing perspective, including but not limited to investment in the mobile payments.  </w:t>
      </w:r>
      <w:r w:rsidR="0029020A" w:rsidRPr="00D30AB7">
        <w:rPr>
          <w:rFonts w:ascii="Arial" w:hAnsi="Arial" w:cs="Arial"/>
        </w:rPr>
        <w:t xml:space="preserve">Reducing interchange income on these products is likely to cause a flow on </w:t>
      </w:r>
      <w:r w:rsidR="00D30AB7" w:rsidRPr="00D30AB7">
        <w:rPr>
          <w:rFonts w:ascii="Arial" w:hAnsi="Arial" w:cs="Arial"/>
        </w:rPr>
        <w:t>affect</w:t>
      </w:r>
      <w:r w:rsidR="0029020A" w:rsidRPr="00D30AB7">
        <w:rPr>
          <w:rFonts w:ascii="Arial" w:hAnsi="Arial" w:cs="Arial"/>
        </w:rPr>
        <w:t xml:space="preserve"> to investment in these products, leading to less spend on innovation and </w:t>
      </w:r>
      <w:r w:rsidRPr="00D30AB7">
        <w:rPr>
          <w:rFonts w:ascii="Arial" w:hAnsi="Arial" w:cs="Arial"/>
        </w:rPr>
        <w:t xml:space="preserve">limiting potential payment </w:t>
      </w:r>
      <w:r w:rsidR="0029020A" w:rsidRPr="00D30AB7">
        <w:rPr>
          <w:rFonts w:ascii="Arial" w:hAnsi="Arial" w:cs="Arial"/>
        </w:rPr>
        <w:t>efficiencies.</w:t>
      </w:r>
    </w:p>
    <w:p w:rsidR="0029020A" w:rsidRPr="00D30AB7" w:rsidRDefault="0029020A" w:rsidP="009E1FDF">
      <w:pPr>
        <w:spacing w:after="0" w:line="240" w:lineRule="auto"/>
        <w:jc w:val="both"/>
        <w:rPr>
          <w:rFonts w:ascii="Arial" w:hAnsi="Arial" w:cs="Arial"/>
        </w:rPr>
      </w:pPr>
    </w:p>
    <w:p w:rsidR="00A910BE" w:rsidRPr="00D30AB7" w:rsidRDefault="00A910BE" w:rsidP="009E1FDF">
      <w:pPr>
        <w:spacing w:after="0" w:line="240" w:lineRule="auto"/>
        <w:jc w:val="both"/>
        <w:rPr>
          <w:rFonts w:ascii="Arial" w:hAnsi="Arial" w:cs="Arial"/>
        </w:rPr>
      </w:pPr>
    </w:p>
    <w:p w:rsidR="0029020A" w:rsidRPr="00D30AB7" w:rsidRDefault="00B47C40" w:rsidP="009E1FDF">
      <w:pPr>
        <w:spacing w:after="120" w:line="240" w:lineRule="auto"/>
        <w:jc w:val="both"/>
        <w:rPr>
          <w:rFonts w:ascii="Arial" w:hAnsi="Arial" w:cs="Arial"/>
        </w:rPr>
      </w:pPr>
      <w:r w:rsidRPr="00D30AB7">
        <w:rPr>
          <w:rFonts w:ascii="Arial" w:hAnsi="Arial" w:cs="Arial"/>
          <w:b/>
        </w:rPr>
        <w:t>Foreign-issued cards acquired in Australia</w:t>
      </w:r>
    </w:p>
    <w:p w:rsidR="00B47C40" w:rsidRPr="00D30AB7" w:rsidRDefault="00B47C40" w:rsidP="009E1FDF">
      <w:pPr>
        <w:spacing w:after="0" w:line="240" w:lineRule="auto"/>
        <w:jc w:val="both"/>
        <w:rPr>
          <w:rFonts w:ascii="Arial" w:hAnsi="Arial" w:cs="Arial"/>
        </w:rPr>
      </w:pPr>
      <w:r w:rsidRPr="00D30AB7">
        <w:rPr>
          <w:rFonts w:ascii="Arial" w:hAnsi="Arial" w:cs="Arial"/>
        </w:rPr>
        <w:t xml:space="preserve">The standards currently apply to transactions on Australian-issued cards acquired domestically and do not extend to transactions acquired domestically on foreign-issued cards.  The Bank suggested </w:t>
      </w:r>
      <w:r w:rsidR="00D30AB7" w:rsidRPr="00D30AB7">
        <w:rPr>
          <w:rFonts w:ascii="Arial" w:hAnsi="Arial" w:cs="Arial"/>
        </w:rPr>
        <w:t xml:space="preserve">that foreign-issued cards should be treated similarly to domestically issued cards when used in Australia, </w:t>
      </w:r>
      <w:r w:rsidRPr="00D30AB7">
        <w:rPr>
          <w:rFonts w:ascii="Arial" w:hAnsi="Arial" w:cs="Arial"/>
        </w:rPr>
        <w:t>given the potential for circumve</w:t>
      </w:r>
      <w:r w:rsidR="00D30AB7" w:rsidRPr="00D30AB7">
        <w:rPr>
          <w:rFonts w:ascii="Arial" w:hAnsi="Arial" w:cs="Arial"/>
        </w:rPr>
        <w:t>ntion of interchange regulation.</w:t>
      </w:r>
    </w:p>
    <w:p w:rsidR="00B47C40" w:rsidRPr="00D30AB7" w:rsidRDefault="00B47C40" w:rsidP="009E1FDF">
      <w:pPr>
        <w:spacing w:after="0" w:line="240" w:lineRule="auto"/>
        <w:jc w:val="both"/>
        <w:rPr>
          <w:rFonts w:ascii="Arial" w:hAnsi="Arial" w:cs="Arial"/>
        </w:rPr>
      </w:pPr>
    </w:p>
    <w:p w:rsidR="00B47C40" w:rsidRPr="00D30AB7" w:rsidRDefault="00B47C40" w:rsidP="009E1FDF">
      <w:pPr>
        <w:spacing w:after="0" w:line="240" w:lineRule="auto"/>
        <w:jc w:val="both"/>
        <w:rPr>
          <w:rFonts w:ascii="Arial" w:hAnsi="Arial" w:cs="Arial"/>
        </w:rPr>
      </w:pPr>
      <w:r w:rsidRPr="00D30AB7">
        <w:rPr>
          <w:rFonts w:ascii="Arial" w:hAnsi="Arial" w:cs="Arial"/>
        </w:rPr>
        <w:t>Response:</w:t>
      </w:r>
    </w:p>
    <w:p w:rsidR="00B47C40" w:rsidRPr="00D30AB7" w:rsidRDefault="00B47C40" w:rsidP="009E1FDF">
      <w:pPr>
        <w:spacing w:after="0" w:line="240" w:lineRule="auto"/>
        <w:jc w:val="both"/>
        <w:rPr>
          <w:rFonts w:ascii="Arial" w:hAnsi="Arial" w:cs="Arial"/>
        </w:rPr>
      </w:pPr>
    </w:p>
    <w:p w:rsidR="00E83E52" w:rsidRPr="00D30AB7" w:rsidRDefault="00E83E52" w:rsidP="009E1FDF">
      <w:pPr>
        <w:spacing w:after="0" w:line="240" w:lineRule="auto"/>
        <w:jc w:val="both"/>
        <w:rPr>
          <w:rFonts w:ascii="Arial" w:hAnsi="Arial" w:cs="Arial"/>
        </w:rPr>
      </w:pPr>
      <w:r w:rsidRPr="00D30AB7">
        <w:rPr>
          <w:rFonts w:ascii="Arial" w:hAnsi="Arial" w:cs="Arial"/>
        </w:rPr>
        <w:t xml:space="preserve">BOQ supports preserving the current </w:t>
      </w:r>
      <w:r w:rsidR="00770E14" w:rsidRPr="00D30AB7">
        <w:rPr>
          <w:rFonts w:ascii="Arial" w:hAnsi="Arial" w:cs="Arial"/>
        </w:rPr>
        <w:t>treatment of foreign transactions acquired domestically.  We believe circumvention is unlikely and have confidence in self-regulation by domestic issuers in this regard.</w:t>
      </w:r>
    </w:p>
    <w:p w:rsidR="00770E14" w:rsidRPr="00D30AB7" w:rsidRDefault="00770E14" w:rsidP="009E1FDF">
      <w:pPr>
        <w:spacing w:after="0" w:line="240" w:lineRule="auto"/>
        <w:jc w:val="both"/>
        <w:rPr>
          <w:rFonts w:ascii="Arial" w:hAnsi="Arial" w:cs="Arial"/>
        </w:rPr>
      </w:pPr>
    </w:p>
    <w:p w:rsidR="00770E14" w:rsidRPr="00D30AB7" w:rsidRDefault="00B47C40" w:rsidP="009E1FDF">
      <w:pPr>
        <w:spacing w:after="0" w:line="240" w:lineRule="auto"/>
        <w:jc w:val="both"/>
        <w:rPr>
          <w:rFonts w:ascii="Arial" w:hAnsi="Arial" w:cs="Arial"/>
        </w:rPr>
      </w:pPr>
      <w:r w:rsidRPr="00D30AB7">
        <w:rPr>
          <w:rFonts w:ascii="Arial" w:hAnsi="Arial" w:cs="Arial"/>
        </w:rPr>
        <w:t>Costs to scheme</w:t>
      </w:r>
      <w:r w:rsidR="00770E14" w:rsidRPr="00D30AB7">
        <w:rPr>
          <w:rFonts w:ascii="Arial" w:hAnsi="Arial" w:cs="Arial"/>
        </w:rPr>
        <w:t>s from any such change would not be insignificant and such costs passed on through the participants in the four party scheme are ultimately borne by the consumer.</w:t>
      </w:r>
    </w:p>
    <w:p w:rsidR="00770E14" w:rsidRPr="00D30AB7" w:rsidRDefault="00770E14" w:rsidP="009E1FDF">
      <w:pPr>
        <w:spacing w:after="0" w:line="240" w:lineRule="auto"/>
        <w:jc w:val="both"/>
        <w:rPr>
          <w:rFonts w:ascii="Arial" w:hAnsi="Arial" w:cs="Arial"/>
        </w:rPr>
      </w:pPr>
    </w:p>
    <w:p w:rsidR="0029020A" w:rsidRPr="00D30AB7" w:rsidRDefault="00770E14" w:rsidP="009E1FDF">
      <w:pPr>
        <w:spacing w:after="0" w:line="240" w:lineRule="auto"/>
        <w:jc w:val="both"/>
        <w:rPr>
          <w:rFonts w:ascii="Arial" w:hAnsi="Arial" w:cs="Arial"/>
        </w:rPr>
      </w:pPr>
      <w:r w:rsidRPr="00D30AB7">
        <w:rPr>
          <w:rFonts w:ascii="Arial" w:hAnsi="Arial" w:cs="Arial"/>
        </w:rPr>
        <w:t>BOQ wishes to express concerns that a change of this nature may result in unintended cross border reciprocity, an outcome which domestic issuers will have limited influence over.  Such reciprocity will likely negatively influence the commerciality of card programs in the long term.</w:t>
      </w:r>
    </w:p>
    <w:p w:rsidR="00B47C40" w:rsidRPr="00D30AB7" w:rsidRDefault="00B47C40" w:rsidP="009E1FDF">
      <w:pPr>
        <w:spacing w:after="0" w:line="240" w:lineRule="auto"/>
        <w:jc w:val="both"/>
        <w:rPr>
          <w:rFonts w:ascii="Arial" w:hAnsi="Arial" w:cs="Arial"/>
        </w:rPr>
      </w:pPr>
    </w:p>
    <w:p w:rsidR="00A910BE" w:rsidRPr="00D30AB7" w:rsidRDefault="00A910BE" w:rsidP="009E1FDF">
      <w:pPr>
        <w:spacing w:after="0" w:line="240" w:lineRule="auto"/>
        <w:jc w:val="both"/>
        <w:rPr>
          <w:rFonts w:ascii="Arial" w:hAnsi="Arial" w:cs="Arial"/>
        </w:rPr>
      </w:pPr>
    </w:p>
    <w:p w:rsidR="00B47C40" w:rsidRPr="00D30AB7" w:rsidRDefault="00770E14" w:rsidP="009E1FDF">
      <w:pPr>
        <w:spacing w:after="120" w:line="240" w:lineRule="auto"/>
        <w:jc w:val="both"/>
        <w:rPr>
          <w:rFonts w:ascii="Arial" w:hAnsi="Arial" w:cs="Arial"/>
          <w:b/>
        </w:rPr>
      </w:pPr>
      <w:r w:rsidRPr="00D30AB7">
        <w:rPr>
          <w:rFonts w:ascii="Arial" w:hAnsi="Arial" w:cs="Arial"/>
          <w:b/>
        </w:rPr>
        <w:t>Benchmark Compliance</w:t>
      </w:r>
    </w:p>
    <w:p w:rsidR="007E0615" w:rsidRPr="00D30AB7" w:rsidRDefault="00770E14" w:rsidP="009E1FDF">
      <w:pPr>
        <w:spacing w:after="0" w:line="240" w:lineRule="auto"/>
        <w:jc w:val="both"/>
        <w:rPr>
          <w:rFonts w:ascii="Arial" w:hAnsi="Arial" w:cs="Arial"/>
        </w:rPr>
      </w:pPr>
      <w:r w:rsidRPr="00D30AB7">
        <w:rPr>
          <w:rFonts w:ascii="Arial" w:hAnsi="Arial" w:cs="Arial"/>
        </w:rPr>
        <w:t>The current compliance mechanism has seen average interchange fees remain above the benchmarks and also drift higher over the course of the three-year compliance cycle</w:t>
      </w:r>
      <w:r w:rsidR="007E0615" w:rsidRPr="00D30AB7">
        <w:rPr>
          <w:rFonts w:ascii="Arial" w:hAnsi="Arial" w:cs="Arial"/>
        </w:rPr>
        <w:t>.  In an effort to normalise the observed ‘sawtooth’ pattern of weighted-average interchange fees, the Bank is proposing benchmark compliance reviews on a quarterly basis.</w:t>
      </w:r>
    </w:p>
    <w:p w:rsidR="007E0615" w:rsidRPr="00D30AB7" w:rsidRDefault="007E0615" w:rsidP="009E1FDF">
      <w:pPr>
        <w:spacing w:after="0" w:line="240" w:lineRule="auto"/>
        <w:jc w:val="both"/>
        <w:rPr>
          <w:rFonts w:ascii="Arial" w:hAnsi="Arial" w:cs="Arial"/>
        </w:rPr>
      </w:pPr>
    </w:p>
    <w:p w:rsidR="0029020A" w:rsidRPr="00D30AB7" w:rsidRDefault="0029020A" w:rsidP="009E1FDF">
      <w:pPr>
        <w:spacing w:after="0" w:line="240" w:lineRule="auto"/>
        <w:jc w:val="both"/>
        <w:rPr>
          <w:rFonts w:ascii="Arial" w:hAnsi="Arial" w:cs="Arial"/>
        </w:rPr>
      </w:pPr>
      <w:r w:rsidRPr="00D30AB7">
        <w:rPr>
          <w:rFonts w:ascii="Arial" w:hAnsi="Arial" w:cs="Arial"/>
        </w:rPr>
        <w:t>Response:</w:t>
      </w:r>
    </w:p>
    <w:p w:rsidR="0029020A" w:rsidRPr="00D30AB7" w:rsidRDefault="0029020A" w:rsidP="009E1FDF">
      <w:pPr>
        <w:spacing w:after="0" w:line="240" w:lineRule="auto"/>
        <w:jc w:val="both"/>
        <w:rPr>
          <w:rFonts w:ascii="Arial" w:hAnsi="Arial" w:cs="Arial"/>
        </w:rPr>
      </w:pPr>
    </w:p>
    <w:p w:rsidR="007E0615" w:rsidRPr="00D30AB7" w:rsidRDefault="007E0615" w:rsidP="009E1FDF">
      <w:pPr>
        <w:spacing w:after="0" w:line="240" w:lineRule="auto"/>
        <w:jc w:val="both"/>
        <w:rPr>
          <w:rFonts w:ascii="Arial" w:hAnsi="Arial" w:cs="Arial"/>
        </w:rPr>
      </w:pPr>
      <w:r w:rsidRPr="00D30AB7">
        <w:rPr>
          <w:rFonts w:ascii="Arial" w:hAnsi="Arial" w:cs="Arial"/>
        </w:rPr>
        <w:t>BOQ supports more frequent benchmark compliance however believe</w:t>
      </w:r>
      <w:r w:rsidR="00D30AB7">
        <w:rPr>
          <w:rFonts w:ascii="Arial" w:hAnsi="Arial" w:cs="Arial"/>
        </w:rPr>
        <w:t>s</w:t>
      </w:r>
      <w:r w:rsidRPr="00D30AB7">
        <w:rPr>
          <w:rFonts w:ascii="Arial" w:hAnsi="Arial" w:cs="Arial"/>
        </w:rPr>
        <w:t xml:space="preserve"> a quarterly review will not cater for seasonality that exists in spend patters.  Such seasonality may see significant swings from one quarter to the next.  Consequently, BOQ is in favour of an annual </w:t>
      </w:r>
      <w:r w:rsidRPr="00D30AB7">
        <w:rPr>
          <w:rFonts w:ascii="Arial" w:hAnsi="Arial" w:cs="Arial"/>
        </w:rPr>
        <w:lastRenderedPageBreak/>
        <w:t>reset cycle or a quarterly review cycle which considers the weighted-average of the preceding 12 months.</w:t>
      </w:r>
    </w:p>
    <w:p w:rsidR="007E0615" w:rsidRPr="00D30AB7" w:rsidRDefault="007E0615" w:rsidP="009E1FDF">
      <w:pPr>
        <w:spacing w:after="0" w:line="240" w:lineRule="auto"/>
        <w:jc w:val="both"/>
        <w:rPr>
          <w:rFonts w:ascii="Arial" w:hAnsi="Arial" w:cs="Arial"/>
        </w:rPr>
      </w:pPr>
    </w:p>
    <w:p w:rsidR="001F3804" w:rsidRDefault="001F3804">
      <w:pPr>
        <w:rPr>
          <w:rFonts w:ascii="Arial" w:hAnsi="Arial" w:cs="Arial"/>
        </w:rPr>
      </w:pPr>
      <w:r>
        <w:rPr>
          <w:rFonts w:ascii="Arial" w:hAnsi="Arial" w:cs="Arial"/>
        </w:rPr>
        <w:br w:type="page"/>
      </w:r>
    </w:p>
    <w:p w:rsidR="00A910BE" w:rsidRPr="00D30AB7" w:rsidRDefault="00A910BE" w:rsidP="009E1FDF">
      <w:pPr>
        <w:spacing w:after="0" w:line="240" w:lineRule="auto"/>
        <w:jc w:val="both"/>
        <w:rPr>
          <w:rFonts w:ascii="Arial" w:hAnsi="Arial" w:cs="Arial"/>
        </w:rPr>
      </w:pPr>
    </w:p>
    <w:p w:rsidR="007E0615" w:rsidRPr="00D30AB7" w:rsidRDefault="00861339" w:rsidP="009E1FDF">
      <w:pPr>
        <w:spacing w:after="120" w:line="240" w:lineRule="auto"/>
        <w:jc w:val="both"/>
        <w:rPr>
          <w:rFonts w:ascii="Arial" w:hAnsi="Arial" w:cs="Arial"/>
          <w:b/>
        </w:rPr>
      </w:pPr>
      <w:r w:rsidRPr="00D30AB7">
        <w:rPr>
          <w:rFonts w:ascii="Arial" w:hAnsi="Arial" w:cs="Arial"/>
          <w:b/>
        </w:rPr>
        <w:t>Interchange Benchmarks and Ceilings</w:t>
      </w:r>
    </w:p>
    <w:p w:rsidR="00861339" w:rsidRPr="00D30AB7" w:rsidRDefault="00861339" w:rsidP="009E1FDF">
      <w:pPr>
        <w:spacing w:after="0" w:line="240" w:lineRule="auto"/>
        <w:jc w:val="both"/>
        <w:rPr>
          <w:rFonts w:ascii="Arial" w:hAnsi="Arial" w:cs="Arial"/>
        </w:rPr>
      </w:pPr>
      <w:r w:rsidRPr="00D30AB7">
        <w:rPr>
          <w:rFonts w:ascii="Arial" w:hAnsi="Arial" w:cs="Arial"/>
        </w:rPr>
        <w:t xml:space="preserve">The interchange benchmarks set by the Board are the primary instrument for the Bank to </w:t>
      </w:r>
      <w:r w:rsidR="00A910BE" w:rsidRPr="00D30AB7">
        <w:rPr>
          <w:rFonts w:ascii="Arial" w:hAnsi="Arial" w:cs="Arial"/>
        </w:rPr>
        <w:t>achieve</w:t>
      </w:r>
      <w:r w:rsidRPr="00D30AB7">
        <w:rPr>
          <w:rFonts w:ascii="Arial" w:hAnsi="Arial" w:cs="Arial"/>
        </w:rPr>
        <w:t xml:space="preserve"> interchange fees at a desired level.  The current benchmarks of</w:t>
      </w:r>
      <w:r w:rsidR="00D30AB7">
        <w:rPr>
          <w:rFonts w:ascii="Arial" w:hAnsi="Arial" w:cs="Arial"/>
        </w:rPr>
        <w:t xml:space="preserve"> 0.50 per cent of the value of</w:t>
      </w:r>
      <w:r w:rsidRPr="00D30AB7">
        <w:rPr>
          <w:rFonts w:ascii="Arial" w:hAnsi="Arial" w:cs="Arial"/>
        </w:rPr>
        <w:t xml:space="preserve"> credit card transaction</w:t>
      </w:r>
      <w:r w:rsidR="00D30AB7">
        <w:rPr>
          <w:rFonts w:ascii="Arial" w:hAnsi="Arial" w:cs="Arial"/>
        </w:rPr>
        <w:t>s</w:t>
      </w:r>
      <w:r w:rsidRPr="00D30AB7">
        <w:rPr>
          <w:rFonts w:ascii="Arial" w:hAnsi="Arial" w:cs="Arial"/>
        </w:rPr>
        <w:t xml:space="preserve"> and 12 cents per debit card transaction have been in place since 2006.</w:t>
      </w:r>
    </w:p>
    <w:p w:rsidR="00861339" w:rsidRPr="00D30AB7" w:rsidRDefault="00861339" w:rsidP="009E1FDF">
      <w:pPr>
        <w:spacing w:after="0" w:line="240" w:lineRule="auto"/>
        <w:jc w:val="both"/>
        <w:rPr>
          <w:rFonts w:ascii="Arial" w:hAnsi="Arial" w:cs="Arial"/>
        </w:rPr>
      </w:pPr>
    </w:p>
    <w:p w:rsidR="00861339" w:rsidRPr="00D30AB7" w:rsidRDefault="00861339" w:rsidP="009E1FDF">
      <w:pPr>
        <w:spacing w:after="0" w:line="240" w:lineRule="auto"/>
        <w:jc w:val="both"/>
        <w:rPr>
          <w:rFonts w:ascii="Arial" w:hAnsi="Arial" w:cs="Arial"/>
        </w:rPr>
      </w:pPr>
      <w:r w:rsidRPr="00D30AB7">
        <w:rPr>
          <w:rFonts w:ascii="Arial" w:hAnsi="Arial" w:cs="Arial"/>
        </w:rPr>
        <w:t>Given the presiding structure of interchange, higher interchange rates tend to be borne disproportionately by smaller and medium-sized businesses, most of which do not benefit from the ‘strategic’ or preferential rates available to larger merchants.</w:t>
      </w:r>
    </w:p>
    <w:p w:rsidR="00861339" w:rsidRPr="00D30AB7" w:rsidRDefault="00861339" w:rsidP="009E1FDF">
      <w:pPr>
        <w:spacing w:after="0" w:line="240" w:lineRule="auto"/>
        <w:jc w:val="both"/>
        <w:rPr>
          <w:rFonts w:ascii="Arial" w:hAnsi="Arial" w:cs="Arial"/>
        </w:rPr>
      </w:pPr>
    </w:p>
    <w:p w:rsidR="00A910BE" w:rsidRPr="00D30AB7" w:rsidRDefault="00A910BE" w:rsidP="009E1FDF">
      <w:pPr>
        <w:spacing w:after="0" w:line="240" w:lineRule="auto"/>
        <w:jc w:val="both"/>
        <w:rPr>
          <w:rFonts w:ascii="Arial" w:hAnsi="Arial" w:cs="Arial"/>
        </w:rPr>
      </w:pPr>
      <w:r w:rsidRPr="00D30AB7">
        <w:rPr>
          <w:rFonts w:ascii="Arial" w:hAnsi="Arial" w:cs="Arial"/>
        </w:rPr>
        <w:t>The Bank has proposed maintaining the current weighted average of 0.50 per cent while introducing a ceiling of 0.80 in respect of credit cards;  a reduction in the benchmark to 8 cents in the case of debit.</w:t>
      </w:r>
    </w:p>
    <w:p w:rsidR="00A910BE" w:rsidRPr="00D30AB7" w:rsidRDefault="00A910BE" w:rsidP="009E1FDF">
      <w:pPr>
        <w:spacing w:after="0" w:line="240" w:lineRule="auto"/>
        <w:jc w:val="both"/>
        <w:rPr>
          <w:rFonts w:ascii="Arial" w:hAnsi="Arial" w:cs="Arial"/>
        </w:rPr>
      </w:pPr>
    </w:p>
    <w:p w:rsidR="00861339" w:rsidRPr="00D30AB7" w:rsidRDefault="00861339" w:rsidP="009E1FDF">
      <w:pPr>
        <w:spacing w:after="0" w:line="240" w:lineRule="auto"/>
        <w:jc w:val="both"/>
        <w:rPr>
          <w:rFonts w:ascii="Arial" w:hAnsi="Arial" w:cs="Arial"/>
        </w:rPr>
      </w:pPr>
      <w:r w:rsidRPr="00D30AB7">
        <w:rPr>
          <w:rFonts w:ascii="Arial" w:hAnsi="Arial" w:cs="Arial"/>
        </w:rPr>
        <w:t>Response:</w:t>
      </w:r>
    </w:p>
    <w:p w:rsidR="00861339" w:rsidRPr="00D30AB7" w:rsidRDefault="00861339" w:rsidP="009E1FDF">
      <w:pPr>
        <w:spacing w:after="0" w:line="240" w:lineRule="auto"/>
        <w:jc w:val="both"/>
        <w:rPr>
          <w:rFonts w:ascii="Arial" w:hAnsi="Arial" w:cs="Arial"/>
        </w:rPr>
      </w:pPr>
    </w:p>
    <w:p w:rsidR="0029020A" w:rsidRPr="00D30AB7" w:rsidRDefault="0029020A" w:rsidP="009E1FDF">
      <w:pPr>
        <w:spacing w:after="0" w:line="240" w:lineRule="auto"/>
        <w:jc w:val="both"/>
        <w:rPr>
          <w:rFonts w:ascii="Arial" w:hAnsi="Arial" w:cs="Arial"/>
        </w:rPr>
      </w:pPr>
      <w:r w:rsidRPr="00D30AB7">
        <w:rPr>
          <w:rFonts w:ascii="Arial" w:hAnsi="Arial" w:cs="Arial"/>
        </w:rPr>
        <w:t xml:space="preserve">The interchange cap of 0.80 </w:t>
      </w:r>
      <w:r w:rsidR="00861339" w:rsidRPr="00D30AB7">
        <w:rPr>
          <w:rFonts w:ascii="Arial" w:hAnsi="Arial" w:cs="Arial"/>
        </w:rPr>
        <w:t xml:space="preserve">on credit cards </w:t>
      </w:r>
      <w:r w:rsidRPr="00D30AB7">
        <w:rPr>
          <w:rFonts w:ascii="Arial" w:hAnsi="Arial" w:cs="Arial"/>
        </w:rPr>
        <w:t xml:space="preserve">will have a significant impact on the product offering for premium </w:t>
      </w:r>
      <w:r w:rsidR="00861339" w:rsidRPr="00D30AB7">
        <w:rPr>
          <w:rFonts w:ascii="Arial" w:hAnsi="Arial" w:cs="Arial"/>
        </w:rPr>
        <w:t>portfolios</w:t>
      </w:r>
      <w:r w:rsidRPr="00D30AB7">
        <w:rPr>
          <w:rFonts w:ascii="Arial" w:hAnsi="Arial" w:cs="Arial"/>
        </w:rPr>
        <w:t xml:space="preserve">. </w:t>
      </w:r>
      <w:r w:rsidR="00861339" w:rsidRPr="00D30AB7">
        <w:rPr>
          <w:rFonts w:ascii="Arial" w:hAnsi="Arial" w:cs="Arial"/>
        </w:rPr>
        <w:t xml:space="preserve"> </w:t>
      </w:r>
      <w:r w:rsidRPr="00D30AB7">
        <w:rPr>
          <w:rFonts w:ascii="Arial" w:hAnsi="Arial" w:cs="Arial"/>
        </w:rPr>
        <w:t xml:space="preserve">Once the interchange cap is finalised by the </w:t>
      </w:r>
      <w:r w:rsidR="00861339" w:rsidRPr="00D30AB7">
        <w:rPr>
          <w:rFonts w:ascii="Arial" w:hAnsi="Arial" w:cs="Arial"/>
        </w:rPr>
        <w:t>Bank</w:t>
      </w:r>
      <w:r w:rsidRPr="00D30AB7">
        <w:rPr>
          <w:rFonts w:ascii="Arial" w:hAnsi="Arial" w:cs="Arial"/>
        </w:rPr>
        <w:t xml:space="preserve"> it will take some time for the schemes to determine how best to adjust their current interchange models so as to maintain the 0.50 average while still providing value for </w:t>
      </w:r>
      <w:r w:rsidR="00861339" w:rsidRPr="00D30AB7">
        <w:rPr>
          <w:rFonts w:ascii="Arial" w:hAnsi="Arial" w:cs="Arial"/>
        </w:rPr>
        <w:t>premium cards.</w:t>
      </w:r>
    </w:p>
    <w:p w:rsidR="0029020A" w:rsidRPr="00D30AB7" w:rsidRDefault="0029020A" w:rsidP="009E1FDF">
      <w:pPr>
        <w:spacing w:after="0" w:line="240" w:lineRule="auto"/>
        <w:jc w:val="both"/>
        <w:rPr>
          <w:rFonts w:ascii="Arial" w:hAnsi="Arial" w:cs="Arial"/>
        </w:rPr>
      </w:pPr>
    </w:p>
    <w:p w:rsidR="0029020A" w:rsidRPr="00D30AB7" w:rsidRDefault="0029020A" w:rsidP="009E1FDF">
      <w:pPr>
        <w:spacing w:after="0" w:line="240" w:lineRule="auto"/>
        <w:jc w:val="both"/>
        <w:rPr>
          <w:rFonts w:ascii="Arial" w:hAnsi="Arial" w:cs="Arial"/>
        </w:rPr>
      </w:pPr>
      <w:r w:rsidRPr="00D30AB7">
        <w:rPr>
          <w:rFonts w:ascii="Arial" w:hAnsi="Arial" w:cs="Arial"/>
        </w:rPr>
        <w:t xml:space="preserve">Currently premium cards earn a high interchange and pass a significant amount of this onto clients in rewards points. </w:t>
      </w:r>
      <w:r w:rsidR="00861339" w:rsidRPr="00D30AB7">
        <w:rPr>
          <w:rFonts w:ascii="Arial" w:hAnsi="Arial" w:cs="Arial"/>
        </w:rPr>
        <w:t xml:space="preserve"> </w:t>
      </w:r>
      <w:r w:rsidRPr="00D30AB7">
        <w:rPr>
          <w:rFonts w:ascii="Arial" w:hAnsi="Arial" w:cs="Arial"/>
        </w:rPr>
        <w:t xml:space="preserve">As such the issuers will need to understand the scheme changes and review how best to update their card programs. </w:t>
      </w:r>
      <w:r w:rsidR="00861339" w:rsidRPr="00D30AB7">
        <w:rPr>
          <w:rFonts w:ascii="Arial" w:hAnsi="Arial" w:cs="Arial"/>
        </w:rPr>
        <w:t xml:space="preserve"> </w:t>
      </w:r>
      <w:r w:rsidRPr="00D30AB7">
        <w:rPr>
          <w:rFonts w:ascii="Arial" w:hAnsi="Arial" w:cs="Arial"/>
        </w:rPr>
        <w:t xml:space="preserve">This will have a potentially significant client impact and will require issuers to provide </w:t>
      </w:r>
      <w:r w:rsidR="00861339" w:rsidRPr="00D30AB7">
        <w:rPr>
          <w:rFonts w:ascii="Arial" w:hAnsi="Arial" w:cs="Arial"/>
        </w:rPr>
        <w:t>adequate notice</w:t>
      </w:r>
      <w:r w:rsidRPr="00D30AB7">
        <w:rPr>
          <w:rFonts w:ascii="Arial" w:hAnsi="Arial" w:cs="Arial"/>
        </w:rPr>
        <w:t xml:space="preserve"> to clients</w:t>
      </w:r>
      <w:r w:rsidR="00861339" w:rsidRPr="00D30AB7">
        <w:rPr>
          <w:rFonts w:ascii="Arial" w:hAnsi="Arial" w:cs="Arial"/>
        </w:rPr>
        <w:t>.</w:t>
      </w:r>
    </w:p>
    <w:p w:rsidR="0029020A" w:rsidRDefault="0029020A" w:rsidP="009E1FDF">
      <w:pPr>
        <w:spacing w:after="0" w:line="240" w:lineRule="auto"/>
        <w:jc w:val="both"/>
        <w:rPr>
          <w:rFonts w:ascii="Arial" w:hAnsi="Arial" w:cs="Arial"/>
        </w:rPr>
      </w:pPr>
    </w:p>
    <w:p w:rsidR="0068378E" w:rsidRPr="0068378E" w:rsidRDefault="0068378E" w:rsidP="0068378E">
      <w:pPr>
        <w:spacing w:after="0" w:line="240" w:lineRule="auto"/>
        <w:jc w:val="both"/>
        <w:rPr>
          <w:rFonts w:ascii="Arial" w:hAnsi="Arial" w:cs="Arial"/>
        </w:rPr>
      </w:pPr>
      <w:r w:rsidRPr="0068378E">
        <w:rPr>
          <w:rFonts w:ascii="Arial" w:hAnsi="Arial" w:cs="Arial"/>
        </w:rPr>
        <w:t xml:space="preserve">As a result of the above it is our view that any implementation of the above changes should not occur until the beginning of the 2nd Quarter 2017. </w:t>
      </w:r>
      <w:r>
        <w:rPr>
          <w:rFonts w:ascii="Arial" w:hAnsi="Arial" w:cs="Arial"/>
        </w:rPr>
        <w:t xml:space="preserve"> </w:t>
      </w:r>
      <w:r w:rsidRPr="0068378E">
        <w:rPr>
          <w:rFonts w:ascii="Arial" w:hAnsi="Arial" w:cs="Arial"/>
        </w:rPr>
        <w:t>This will allow time for schemes to update the interchange models, issuers to review and adjust their product propositions</w:t>
      </w:r>
      <w:r>
        <w:rPr>
          <w:rFonts w:ascii="Arial" w:hAnsi="Arial" w:cs="Arial"/>
        </w:rPr>
        <w:t>, re-negotiate legal agreements, make any required system changes</w:t>
      </w:r>
      <w:r w:rsidRPr="0068378E">
        <w:rPr>
          <w:rFonts w:ascii="Arial" w:hAnsi="Arial" w:cs="Arial"/>
        </w:rPr>
        <w:t xml:space="preserve"> and communicat</w:t>
      </w:r>
      <w:r>
        <w:rPr>
          <w:rFonts w:ascii="Arial" w:hAnsi="Arial" w:cs="Arial"/>
        </w:rPr>
        <w:t xml:space="preserve">e </w:t>
      </w:r>
      <w:r w:rsidRPr="0068378E">
        <w:rPr>
          <w:rFonts w:ascii="Arial" w:hAnsi="Arial" w:cs="Arial"/>
        </w:rPr>
        <w:t>changes to clients</w:t>
      </w:r>
      <w:r>
        <w:rPr>
          <w:rFonts w:ascii="Arial" w:hAnsi="Arial" w:cs="Arial"/>
        </w:rPr>
        <w:t xml:space="preserve"> appropriately</w:t>
      </w:r>
      <w:r w:rsidRPr="0068378E">
        <w:rPr>
          <w:rFonts w:ascii="Arial" w:hAnsi="Arial" w:cs="Arial"/>
        </w:rPr>
        <w:t>.</w:t>
      </w:r>
    </w:p>
    <w:p w:rsidR="0068378E" w:rsidRPr="00D30AB7" w:rsidRDefault="0068378E" w:rsidP="009E1FDF">
      <w:pPr>
        <w:spacing w:after="0" w:line="240" w:lineRule="auto"/>
        <w:jc w:val="both"/>
        <w:rPr>
          <w:rFonts w:ascii="Arial" w:hAnsi="Arial" w:cs="Arial"/>
        </w:rPr>
      </w:pPr>
    </w:p>
    <w:p w:rsidR="00A910BE" w:rsidRPr="00D30AB7" w:rsidRDefault="00A910BE" w:rsidP="009E1FDF">
      <w:pPr>
        <w:spacing w:after="0" w:line="240" w:lineRule="auto"/>
        <w:jc w:val="both"/>
        <w:rPr>
          <w:rFonts w:ascii="Arial" w:hAnsi="Arial" w:cs="Arial"/>
        </w:rPr>
      </w:pPr>
    </w:p>
    <w:p w:rsidR="0029020A" w:rsidRPr="00D30AB7" w:rsidRDefault="00A910BE" w:rsidP="009E1FDF">
      <w:pPr>
        <w:spacing w:after="120" w:line="240" w:lineRule="auto"/>
        <w:jc w:val="both"/>
        <w:rPr>
          <w:rFonts w:ascii="Arial" w:hAnsi="Arial" w:cs="Arial"/>
        </w:rPr>
      </w:pPr>
      <w:r w:rsidRPr="00D30AB7">
        <w:rPr>
          <w:rFonts w:ascii="Arial" w:hAnsi="Arial" w:cs="Arial"/>
          <w:b/>
        </w:rPr>
        <w:t>Scheme Payments/Incentives to Issuers</w:t>
      </w:r>
    </w:p>
    <w:p w:rsidR="0029020A" w:rsidRPr="00D30AB7" w:rsidRDefault="00A910BE" w:rsidP="009E1FDF">
      <w:pPr>
        <w:spacing w:after="0" w:line="240" w:lineRule="auto"/>
        <w:jc w:val="both"/>
        <w:rPr>
          <w:rFonts w:ascii="Arial" w:hAnsi="Arial" w:cs="Arial"/>
        </w:rPr>
      </w:pPr>
      <w:r w:rsidRPr="00D30AB7">
        <w:rPr>
          <w:rFonts w:ascii="Arial" w:hAnsi="Arial" w:cs="Arial"/>
        </w:rPr>
        <w:t>In addition to interchange payments from acquirers to issuers, schemes make further payments in the form of marketing and incentive payments.  These are typically negotiated bilaterally and may be material in value. The flexibility of such payments means that they can potentially be structured in ways to circumvent interchange regulation.</w:t>
      </w:r>
    </w:p>
    <w:p w:rsidR="00D23520" w:rsidRPr="00D30AB7" w:rsidRDefault="00D23520" w:rsidP="009E1FDF">
      <w:pPr>
        <w:spacing w:after="0" w:line="240" w:lineRule="auto"/>
        <w:jc w:val="both"/>
        <w:rPr>
          <w:rFonts w:ascii="Arial" w:hAnsi="Arial" w:cs="Arial"/>
        </w:rPr>
      </w:pPr>
    </w:p>
    <w:p w:rsidR="00A910BE" w:rsidRPr="00D30AB7" w:rsidRDefault="00DF2E67" w:rsidP="009E1FDF">
      <w:pPr>
        <w:spacing w:after="0" w:line="240" w:lineRule="auto"/>
        <w:jc w:val="both"/>
        <w:rPr>
          <w:rFonts w:ascii="Arial" w:hAnsi="Arial" w:cs="Arial"/>
        </w:rPr>
      </w:pPr>
      <w:r w:rsidRPr="00D30AB7">
        <w:rPr>
          <w:rFonts w:ascii="Arial" w:hAnsi="Arial" w:cs="Arial"/>
        </w:rPr>
        <w:t>Response:</w:t>
      </w:r>
    </w:p>
    <w:p w:rsidR="00DF2E67" w:rsidRPr="00D30AB7" w:rsidRDefault="00DF2E67" w:rsidP="009E1FDF">
      <w:pPr>
        <w:spacing w:after="0" w:line="240" w:lineRule="auto"/>
        <w:jc w:val="both"/>
        <w:rPr>
          <w:rFonts w:ascii="Arial" w:hAnsi="Arial" w:cs="Arial"/>
        </w:rPr>
      </w:pPr>
      <w:r w:rsidRPr="00D30AB7">
        <w:rPr>
          <w:rFonts w:ascii="Arial" w:hAnsi="Arial" w:cs="Arial"/>
        </w:rPr>
        <w:t>Payments of this nature are intended to support technology changes</w:t>
      </w:r>
      <w:r w:rsidR="00792C8A" w:rsidRPr="00D30AB7">
        <w:rPr>
          <w:rFonts w:ascii="Arial" w:hAnsi="Arial" w:cs="Arial"/>
        </w:rPr>
        <w:t>, assist in the cost of introducing new products to market</w:t>
      </w:r>
      <w:r w:rsidRPr="00D30AB7">
        <w:rPr>
          <w:rFonts w:ascii="Arial" w:hAnsi="Arial" w:cs="Arial"/>
        </w:rPr>
        <w:t xml:space="preserve"> and marketing activities.  Such payments have not been applied for purposes other than which they were intended</w:t>
      </w:r>
      <w:r w:rsidR="00792C8A" w:rsidRPr="00D30AB7">
        <w:rPr>
          <w:rFonts w:ascii="Arial" w:hAnsi="Arial" w:cs="Arial"/>
        </w:rPr>
        <w:t xml:space="preserve"> and have operated on a cost recovery basis rather than contributing to income</w:t>
      </w:r>
      <w:r w:rsidRPr="00D30AB7">
        <w:rPr>
          <w:rFonts w:ascii="Arial" w:hAnsi="Arial" w:cs="Arial"/>
        </w:rPr>
        <w:t>.  BOQ re-iterates our confidence in self-regulation by domestic issuers and consequently supports maintaining the status quo with respect to incentive payments.</w:t>
      </w:r>
    </w:p>
    <w:p w:rsidR="00DF2E67" w:rsidRPr="00D30AB7" w:rsidRDefault="00DF2E67" w:rsidP="009E1FDF">
      <w:pPr>
        <w:spacing w:after="0" w:line="240" w:lineRule="auto"/>
        <w:jc w:val="both"/>
        <w:rPr>
          <w:rFonts w:ascii="Arial" w:hAnsi="Arial" w:cs="Arial"/>
        </w:rPr>
      </w:pPr>
    </w:p>
    <w:p w:rsidR="001F3804" w:rsidRDefault="001F3804">
      <w:pPr>
        <w:rPr>
          <w:rFonts w:ascii="Arial" w:hAnsi="Arial" w:cs="Arial"/>
          <w:b/>
        </w:rPr>
      </w:pPr>
      <w:r>
        <w:rPr>
          <w:rFonts w:ascii="Arial" w:hAnsi="Arial" w:cs="Arial"/>
          <w:b/>
        </w:rPr>
        <w:br w:type="page"/>
      </w:r>
    </w:p>
    <w:p w:rsidR="00A910BE" w:rsidRPr="00D30AB7" w:rsidRDefault="00792C8A" w:rsidP="009E1FDF">
      <w:pPr>
        <w:spacing w:after="120" w:line="240" w:lineRule="auto"/>
        <w:jc w:val="both"/>
        <w:rPr>
          <w:rFonts w:ascii="Arial" w:hAnsi="Arial" w:cs="Arial"/>
          <w:b/>
        </w:rPr>
      </w:pPr>
      <w:r w:rsidRPr="00D30AB7">
        <w:rPr>
          <w:rFonts w:ascii="Arial" w:hAnsi="Arial" w:cs="Arial"/>
          <w:b/>
        </w:rPr>
        <w:lastRenderedPageBreak/>
        <w:t>Surcharging</w:t>
      </w:r>
    </w:p>
    <w:p w:rsidR="00792C8A" w:rsidRPr="00D30AB7" w:rsidRDefault="00792C8A" w:rsidP="009E1FDF">
      <w:pPr>
        <w:spacing w:after="0" w:line="240" w:lineRule="auto"/>
        <w:jc w:val="both"/>
        <w:rPr>
          <w:rFonts w:ascii="Arial" w:hAnsi="Arial" w:cs="Arial"/>
        </w:rPr>
      </w:pPr>
      <w:r w:rsidRPr="00D30AB7">
        <w:rPr>
          <w:rFonts w:ascii="Arial" w:hAnsi="Arial" w:cs="Arial"/>
        </w:rPr>
        <w:t>The Bank’s objective to enable transparent and fair price signals to consumers and merchants is equitable. T</w:t>
      </w:r>
      <w:r w:rsidR="00A62482" w:rsidRPr="00D30AB7">
        <w:rPr>
          <w:rFonts w:ascii="Arial" w:hAnsi="Arial" w:cs="Arial"/>
        </w:rPr>
        <w:t xml:space="preserve">he objective can be facilitated by providing </w:t>
      </w:r>
      <w:r w:rsidRPr="00D30AB7">
        <w:rPr>
          <w:rFonts w:ascii="Arial" w:hAnsi="Arial" w:cs="Arial"/>
        </w:rPr>
        <w:t>merchant</w:t>
      </w:r>
      <w:r w:rsidR="00A62482" w:rsidRPr="00D30AB7">
        <w:rPr>
          <w:rFonts w:ascii="Arial" w:hAnsi="Arial" w:cs="Arial"/>
        </w:rPr>
        <w:t>s with</w:t>
      </w:r>
      <w:r w:rsidRPr="00D30AB7">
        <w:rPr>
          <w:rFonts w:ascii="Arial" w:hAnsi="Arial" w:cs="Arial"/>
        </w:rPr>
        <w:t xml:space="preserve"> </w:t>
      </w:r>
      <w:r w:rsidR="00A62482" w:rsidRPr="00D30AB7">
        <w:rPr>
          <w:rFonts w:ascii="Arial" w:hAnsi="Arial" w:cs="Arial"/>
        </w:rPr>
        <w:t xml:space="preserve">the ability </w:t>
      </w:r>
      <w:r w:rsidRPr="00D30AB7">
        <w:rPr>
          <w:rFonts w:ascii="Arial" w:hAnsi="Arial" w:cs="Arial"/>
        </w:rPr>
        <w:t>to recover acquiring costs by means of surcharging and to protect consumers from excessive surcharging.</w:t>
      </w:r>
    </w:p>
    <w:p w:rsidR="00792C8A" w:rsidRPr="00D30AB7" w:rsidRDefault="00792C8A" w:rsidP="009E1FDF">
      <w:pPr>
        <w:spacing w:after="0" w:line="240" w:lineRule="auto"/>
        <w:jc w:val="both"/>
        <w:rPr>
          <w:rFonts w:ascii="Arial" w:hAnsi="Arial" w:cs="Arial"/>
        </w:rPr>
      </w:pPr>
    </w:p>
    <w:p w:rsidR="00792C8A" w:rsidRPr="00D30AB7" w:rsidRDefault="00A62482" w:rsidP="009E1FDF">
      <w:pPr>
        <w:spacing w:after="0" w:line="240" w:lineRule="auto"/>
        <w:jc w:val="both"/>
        <w:rPr>
          <w:rFonts w:ascii="Arial" w:hAnsi="Arial" w:cs="Arial"/>
        </w:rPr>
      </w:pPr>
      <w:r w:rsidRPr="00D30AB7">
        <w:rPr>
          <w:rFonts w:ascii="Arial" w:hAnsi="Arial" w:cs="Arial"/>
        </w:rPr>
        <w:t>Response:</w:t>
      </w:r>
    </w:p>
    <w:p w:rsidR="00A62482" w:rsidRPr="00D30AB7" w:rsidRDefault="00A62482" w:rsidP="009E1FDF">
      <w:pPr>
        <w:spacing w:after="0" w:line="240" w:lineRule="auto"/>
        <w:jc w:val="both"/>
        <w:rPr>
          <w:rFonts w:ascii="Arial" w:hAnsi="Arial" w:cs="Arial"/>
        </w:rPr>
      </w:pPr>
    </w:p>
    <w:p w:rsidR="006E1389" w:rsidRPr="00D30AB7" w:rsidRDefault="00A62482" w:rsidP="009E1FDF">
      <w:pPr>
        <w:spacing w:after="0" w:line="240" w:lineRule="auto"/>
        <w:jc w:val="both"/>
        <w:rPr>
          <w:rFonts w:ascii="Arial" w:hAnsi="Arial" w:cs="Arial"/>
        </w:rPr>
      </w:pPr>
      <w:r w:rsidRPr="00D30AB7">
        <w:rPr>
          <w:rFonts w:ascii="Arial" w:hAnsi="Arial" w:cs="Arial"/>
        </w:rPr>
        <w:t xml:space="preserve">BOQ supports the Bank’s proposal for modifications to the cost of acceptance framework.  BOQ would like the Bank to consider the complexity of changes to achieve disclosure to merchants and afford acquirers adequate time to implement such changes, giving due thought to other significant industry initiatives </w:t>
      </w:r>
      <w:r w:rsidR="006E1389" w:rsidRPr="00D30AB7">
        <w:rPr>
          <w:rFonts w:ascii="Arial" w:hAnsi="Arial" w:cs="Arial"/>
        </w:rPr>
        <w:t xml:space="preserve">already underway.  </w:t>
      </w:r>
    </w:p>
    <w:p w:rsidR="006E1389" w:rsidRPr="00D30AB7" w:rsidRDefault="006E1389" w:rsidP="009E1FDF">
      <w:pPr>
        <w:spacing w:after="0" w:line="240" w:lineRule="auto"/>
        <w:jc w:val="both"/>
        <w:rPr>
          <w:rFonts w:ascii="Arial" w:hAnsi="Arial" w:cs="Arial"/>
        </w:rPr>
      </w:pPr>
    </w:p>
    <w:p w:rsidR="00A62482" w:rsidRPr="00D30AB7" w:rsidRDefault="00354A42" w:rsidP="009E1FDF">
      <w:pPr>
        <w:spacing w:after="0" w:line="240" w:lineRule="auto"/>
        <w:jc w:val="both"/>
        <w:rPr>
          <w:rFonts w:ascii="Arial" w:hAnsi="Arial" w:cs="Arial"/>
        </w:rPr>
      </w:pPr>
      <w:r>
        <w:rPr>
          <w:rFonts w:ascii="Arial" w:hAnsi="Arial" w:cs="Arial"/>
        </w:rPr>
        <w:t>On the topic of t</w:t>
      </w:r>
      <w:r w:rsidR="006E1389" w:rsidRPr="00D30AB7">
        <w:rPr>
          <w:rFonts w:ascii="Arial" w:hAnsi="Arial" w:cs="Arial"/>
        </w:rPr>
        <w:t xml:space="preserve">axi industry, </w:t>
      </w:r>
      <w:r w:rsidR="00D30AB7">
        <w:rPr>
          <w:rFonts w:ascii="Arial" w:hAnsi="Arial" w:cs="Arial"/>
        </w:rPr>
        <w:t xml:space="preserve">BOQ </w:t>
      </w:r>
      <w:r w:rsidR="006E1389" w:rsidRPr="00D30AB7">
        <w:rPr>
          <w:rFonts w:ascii="Arial" w:hAnsi="Arial" w:cs="Arial"/>
        </w:rPr>
        <w:t>ha</w:t>
      </w:r>
      <w:r w:rsidR="00D30AB7">
        <w:rPr>
          <w:rFonts w:ascii="Arial" w:hAnsi="Arial" w:cs="Arial"/>
        </w:rPr>
        <w:t>s</w:t>
      </w:r>
      <w:r w:rsidR="006E1389" w:rsidRPr="00D30AB7">
        <w:rPr>
          <w:rFonts w:ascii="Arial" w:hAnsi="Arial" w:cs="Arial"/>
        </w:rPr>
        <w:t xml:space="preserve"> a preference for the Bank to define the average cost of acceptance in line with other merchants and apply regulation to all merchant categories under a single regulatory framework.</w:t>
      </w:r>
    </w:p>
    <w:p w:rsidR="00A62482" w:rsidRPr="00D30AB7" w:rsidRDefault="00A62482" w:rsidP="009E1FDF">
      <w:pPr>
        <w:spacing w:after="0" w:line="240" w:lineRule="auto"/>
        <w:jc w:val="both"/>
        <w:rPr>
          <w:rFonts w:ascii="Arial" w:hAnsi="Arial" w:cs="Arial"/>
        </w:rPr>
      </w:pPr>
    </w:p>
    <w:p w:rsidR="00A62482" w:rsidRPr="00D30AB7" w:rsidRDefault="00A62482" w:rsidP="009E1FDF">
      <w:pPr>
        <w:spacing w:after="0" w:line="240" w:lineRule="auto"/>
        <w:jc w:val="both"/>
        <w:rPr>
          <w:rFonts w:ascii="Arial" w:hAnsi="Arial" w:cs="Arial"/>
        </w:rPr>
      </w:pPr>
    </w:p>
    <w:p w:rsidR="00A910BE" w:rsidRPr="00D30AB7" w:rsidRDefault="00D651AD" w:rsidP="009E1FDF">
      <w:pPr>
        <w:spacing w:after="0" w:line="240" w:lineRule="auto"/>
        <w:jc w:val="both"/>
        <w:rPr>
          <w:rFonts w:ascii="Arial" w:hAnsi="Arial" w:cs="Arial"/>
        </w:rPr>
      </w:pPr>
      <w:r w:rsidRPr="00D30AB7">
        <w:rPr>
          <w:rFonts w:ascii="Arial" w:hAnsi="Arial" w:cs="Arial"/>
        </w:rPr>
        <w:t>BOQ wishes to thank the Bank for the opportunity to participate in this consultation.  Please don’t hesitate to contact us should you require any further information.</w:t>
      </w:r>
    </w:p>
    <w:p w:rsidR="00D651AD" w:rsidRPr="00D30AB7" w:rsidRDefault="00D651AD" w:rsidP="009E1FDF">
      <w:pPr>
        <w:spacing w:after="0" w:line="240" w:lineRule="auto"/>
        <w:jc w:val="both"/>
        <w:rPr>
          <w:rFonts w:ascii="Arial" w:hAnsi="Arial" w:cs="Arial"/>
        </w:rPr>
      </w:pPr>
    </w:p>
    <w:p w:rsidR="00D23520" w:rsidRPr="00D30AB7" w:rsidRDefault="00D23520" w:rsidP="009E1FDF">
      <w:pPr>
        <w:spacing w:after="0" w:line="240" w:lineRule="auto"/>
        <w:jc w:val="both"/>
        <w:rPr>
          <w:rFonts w:ascii="Arial" w:hAnsi="Arial" w:cs="Arial"/>
        </w:rPr>
      </w:pPr>
      <w:r w:rsidRPr="00D30AB7">
        <w:rPr>
          <w:rFonts w:ascii="Arial" w:hAnsi="Arial" w:cs="Arial"/>
        </w:rPr>
        <w:t>Yours sincerely,</w:t>
      </w:r>
    </w:p>
    <w:p w:rsidR="00D23520" w:rsidRPr="00D30AB7" w:rsidRDefault="00D23520" w:rsidP="009E1FDF">
      <w:pPr>
        <w:spacing w:after="0" w:line="240" w:lineRule="auto"/>
        <w:jc w:val="both"/>
        <w:rPr>
          <w:rFonts w:ascii="Arial" w:hAnsi="Arial" w:cs="Arial"/>
        </w:rPr>
      </w:pPr>
    </w:p>
    <w:p w:rsidR="00D23520" w:rsidRPr="00D30AB7" w:rsidRDefault="00D23520" w:rsidP="009E1FDF">
      <w:pPr>
        <w:spacing w:after="0" w:line="240" w:lineRule="auto"/>
        <w:jc w:val="both"/>
        <w:rPr>
          <w:rFonts w:ascii="Arial" w:hAnsi="Arial" w:cs="Arial"/>
        </w:rPr>
      </w:pPr>
    </w:p>
    <w:p w:rsidR="00D23520" w:rsidRPr="00D30AB7" w:rsidRDefault="00D23520" w:rsidP="009E1FDF">
      <w:pPr>
        <w:spacing w:after="0" w:line="240" w:lineRule="auto"/>
        <w:jc w:val="both"/>
        <w:rPr>
          <w:rFonts w:ascii="Arial" w:hAnsi="Arial" w:cs="Arial"/>
        </w:rPr>
      </w:pPr>
    </w:p>
    <w:p w:rsidR="00D23520" w:rsidRPr="00D30AB7" w:rsidRDefault="00D23520" w:rsidP="009E1FDF">
      <w:pPr>
        <w:spacing w:after="0" w:line="240" w:lineRule="auto"/>
        <w:jc w:val="both"/>
        <w:rPr>
          <w:rFonts w:ascii="Arial" w:hAnsi="Arial" w:cs="Arial"/>
        </w:rPr>
      </w:pPr>
    </w:p>
    <w:p w:rsidR="00D23520" w:rsidRPr="00D30AB7" w:rsidRDefault="00D23520" w:rsidP="00986B92">
      <w:pPr>
        <w:tabs>
          <w:tab w:val="left" w:pos="5670"/>
          <w:tab w:val="left" w:pos="6237"/>
        </w:tabs>
        <w:spacing w:after="0" w:line="240" w:lineRule="auto"/>
        <w:jc w:val="both"/>
        <w:rPr>
          <w:rFonts w:ascii="Arial" w:hAnsi="Arial" w:cs="Arial"/>
        </w:rPr>
      </w:pPr>
      <w:r w:rsidRPr="00D30AB7">
        <w:rPr>
          <w:rFonts w:ascii="Arial" w:hAnsi="Arial" w:cs="Arial"/>
        </w:rPr>
        <w:t>Joanne Henaghan</w:t>
      </w:r>
      <w:r w:rsidRPr="00D30AB7">
        <w:rPr>
          <w:rFonts w:ascii="Arial" w:hAnsi="Arial" w:cs="Arial"/>
        </w:rPr>
        <w:tab/>
      </w:r>
      <w:r w:rsidR="00D651AD" w:rsidRPr="00D30AB7">
        <w:rPr>
          <w:rFonts w:ascii="Arial" w:hAnsi="Arial" w:cs="Arial"/>
        </w:rPr>
        <w:t>Carla Peters</w:t>
      </w:r>
    </w:p>
    <w:p w:rsidR="00D23520" w:rsidRPr="00D30AB7" w:rsidRDefault="00D23520" w:rsidP="00986B92">
      <w:pPr>
        <w:tabs>
          <w:tab w:val="left" w:pos="5670"/>
          <w:tab w:val="left" w:pos="6237"/>
        </w:tabs>
        <w:spacing w:after="0" w:line="240" w:lineRule="auto"/>
        <w:ind w:right="-330"/>
        <w:rPr>
          <w:rFonts w:ascii="Arial" w:hAnsi="Arial" w:cs="Arial"/>
          <w:b/>
        </w:rPr>
      </w:pPr>
      <w:r w:rsidRPr="00D30AB7">
        <w:rPr>
          <w:rFonts w:ascii="Arial" w:hAnsi="Arial" w:cs="Arial"/>
          <w:b/>
        </w:rPr>
        <w:t>Head of Payments</w:t>
      </w:r>
      <w:r w:rsidR="00D651AD" w:rsidRPr="00D30AB7">
        <w:rPr>
          <w:rFonts w:ascii="Arial" w:hAnsi="Arial" w:cs="Arial"/>
          <w:b/>
        </w:rPr>
        <w:t>, Merchants, Cards</w:t>
      </w:r>
      <w:r w:rsidRPr="00D30AB7">
        <w:rPr>
          <w:rFonts w:ascii="Arial" w:hAnsi="Arial" w:cs="Arial"/>
          <w:b/>
        </w:rPr>
        <w:tab/>
      </w:r>
      <w:r w:rsidR="00D651AD" w:rsidRPr="00D30AB7">
        <w:rPr>
          <w:rFonts w:ascii="Arial" w:hAnsi="Arial" w:cs="Arial"/>
          <w:b/>
        </w:rPr>
        <w:t>Senior Manager Regulatory Affairs</w:t>
      </w:r>
    </w:p>
    <w:sectPr w:rsidR="00D23520" w:rsidRPr="00D30AB7">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710E" w:rsidRDefault="00D1710E" w:rsidP="00D1710E">
      <w:pPr>
        <w:spacing w:after="0" w:line="240" w:lineRule="auto"/>
      </w:pPr>
      <w:r>
        <w:separator/>
      </w:r>
    </w:p>
  </w:endnote>
  <w:endnote w:type="continuationSeparator" w:id="0">
    <w:p w:rsidR="00D1710E" w:rsidRDefault="00D1710E" w:rsidP="00D171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10E" w:rsidRDefault="00D1710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10E" w:rsidRDefault="00D1710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10E" w:rsidRDefault="00D171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710E" w:rsidRDefault="00D1710E" w:rsidP="00D1710E">
      <w:pPr>
        <w:spacing w:after="0" w:line="240" w:lineRule="auto"/>
      </w:pPr>
      <w:r>
        <w:separator/>
      </w:r>
    </w:p>
  </w:footnote>
  <w:footnote w:type="continuationSeparator" w:id="0">
    <w:p w:rsidR="00D1710E" w:rsidRDefault="00D1710E" w:rsidP="00D1710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10E" w:rsidRDefault="00D1710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10E" w:rsidRDefault="00D1710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1710E" w:rsidRDefault="00D1710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abstractNum w:abstractNumId="0">
    <w:nsid w:val="59EE3DF7"/>
    <w:multiLevelType w:val="hybridMultilevel"/>
    <w:tmpl w:val="FF5C2F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75EA69EA"/>
    <w:multiLevelType w:val="hybridMultilevel"/>
    <w:tmpl w:val="306271CA"/>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363E"/>
    <w:rsid w:val="00185DF9"/>
    <w:rsid w:val="001F3804"/>
    <w:rsid w:val="002469F0"/>
    <w:rsid w:val="0029020A"/>
    <w:rsid w:val="002F74E1"/>
    <w:rsid w:val="00354A42"/>
    <w:rsid w:val="003B496A"/>
    <w:rsid w:val="004E16F6"/>
    <w:rsid w:val="005F046E"/>
    <w:rsid w:val="00627AD3"/>
    <w:rsid w:val="0068378E"/>
    <w:rsid w:val="006A3880"/>
    <w:rsid w:val="006B4EC9"/>
    <w:rsid w:val="006E1389"/>
    <w:rsid w:val="00770E14"/>
    <w:rsid w:val="00792C8A"/>
    <w:rsid w:val="007E0615"/>
    <w:rsid w:val="00814CEF"/>
    <w:rsid w:val="00861339"/>
    <w:rsid w:val="0091408B"/>
    <w:rsid w:val="009276A0"/>
    <w:rsid w:val="00976BF8"/>
    <w:rsid w:val="00986B92"/>
    <w:rsid w:val="009E1FDF"/>
    <w:rsid w:val="00A06637"/>
    <w:rsid w:val="00A62482"/>
    <w:rsid w:val="00A84CB2"/>
    <w:rsid w:val="00A910BE"/>
    <w:rsid w:val="00B117BE"/>
    <w:rsid w:val="00B46612"/>
    <w:rsid w:val="00B47C40"/>
    <w:rsid w:val="00C34177"/>
    <w:rsid w:val="00C90E3F"/>
    <w:rsid w:val="00C92DF7"/>
    <w:rsid w:val="00CB635D"/>
    <w:rsid w:val="00D1710E"/>
    <w:rsid w:val="00D23520"/>
    <w:rsid w:val="00D30AB7"/>
    <w:rsid w:val="00D651AD"/>
    <w:rsid w:val="00DF2E67"/>
    <w:rsid w:val="00E21C26"/>
    <w:rsid w:val="00E758FB"/>
    <w:rsid w:val="00E83E52"/>
    <w:rsid w:val="00F5363E"/>
    <w:rsid w:val="00F9124C"/>
    <w:rsid w:val="00FE19E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17BE"/>
    <w:pPr>
      <w:ind w:left="720"/>
      <w:contextualSpacing/>
    </w:pPr>
  </w:style>
  <w:style w:type="paragraph" w:styleId="BalloonText">
    <w:name w:val="Balloon Text"/>
    <w:basedOn w:val="Normal"/>
    <w:link w:val="BalloonTextChar"/>
    <w:uiPriority w:val="99"/>
    <w:semiHidden/>
    <w:unhideWhenUsed/>
    <w:rsid w:val="006B4E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EC9"/>
    <w:rPr>
      <w:rFonts w:ascii="Segoe UI" w:hAnsi="Segoe UI" w:cs="Segoe UI"/>
      <w:sz w:val="18"/>
      <w:szCs w:val="18"/>
    </w:rPr>
  </w:style>
  <w:style w:type="paragraph" w:styleId="Header">
    <w:name w:val="header"/>
    <w:basedOn w:val="Normal"/>
    <w:link w:val="HeaderChar"/>
    <w:uiPriority w:val="99"/>
    <w:unhideWhenUsed/>
    <w:rsid w:val="00D171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710E"/>
  </w:style>
  <w:style w:type="paragraph" w:styleId="Footer">
    <w:name w:val="footer"/>
    <w:basedOn w:val="Normal"/>
    <w:link w:val="FooterChar"/>
    <w:uiPriority w:val="99"/>
    <w:unhideWhenUsed/>
    <w:rsid w:val="00D171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71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117BE"/>
    <w:pPr>
      <w:ind w:left="720"/>
      <w:contextualSpacing/>
    </w:pPr>
  </w:style>
  <w:style w:type="paragraph" w:styleId="BalloonText">
    <w:name w:val="Balloon Text"/>
    <w:basedOn w:val="Normal"/>
    <w:link w:val="BalloonTextChar"/>
    <w:uiPriority w:val="99"/>
    <w:semiHidden/>
    <w:unhideWhenUsed/>
    <w:rsid w:val="006B4E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EC9"/>
    <w:rPr>
      <w:rFonts w:ascii="Segoe UI" w:hAnsi="Segoe UI" w:cs="Segoe UI"/>
      <w:sz w:val="18"/>
      <w:szCs w:val="18"/>
    </w:rPr>
  </w:style>
  <w:style w:type="paragraph" w:styleId="Header">
    <w:name w:val="header"/>
    <w:basedOn w:val="Normal"/>
    <w:link w:val="HeaderChar"/>
    <w:uiPriority w:val="99"/>
    <w:unhideWhenUsed/>
    <w:rsid w:val="00D171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710E"/>
  </w:style>
  <w:style w:type="paragraph" w:styleId="Footer">
    <w:name w:val="footer"/>
    <w:basedOn w:val="Normal"/>
    <w:link w:val="FooterChar"/>
    <w:uiPriority w:val="99"/>
    <w:unhideWhenUsed/>
    <w:rsid w:val="00D171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71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675108">
      <w:bodyDiv w:val="1"/>
      <w:marLeft w:val="0"/>
      <w:marRight w:val="0"/>
      <w:marTop w:val="0"/>
      <w:marBottom w:val="0"/>
      <w:divBdr>
        <w:top w:val="none" w:sz="0" w:space="0" w:color="auto"/>
        <w:left w:val="none" w:sz="0" w:space="0" w:color="auto"/>
        <w:bottom w:val="none" w:sz="0" w:space="0" w:color="auto"/>
        <w:right w:val="none" w:sz="0" w:space="0" w:color="auto"/>
      </w:divBdr>
    </w:div>
    <w:div w:id="923489573">
      <w:bodyDiv w:val="1"/>
      <w:marLeft w:val="0"/>
      <w:marRight w:val="0"/>
      <w:marTop w:val="0"/>
      <w:marBottom w:val="0"/>
      <w:divBdr>
        <w:top w:val="none" w:sz="0" w:space="0" w:color="auto"/>
        <w:left w:val="none" w:sz="0" w:space="0" w:color="auto"/>
        <w:bottom w:val="none" w:sz="0" w:space="0" w:color="auto"/>
        <w:right w:val="none" w:sz="0" w:space="0" w:color="auto"/>
      </w:divBdr>
    </w:div>
    <w:div w:id="1094940085">
      <w:bodyDiv w:val="1"/>
      <w:marLeft w:val="0"/>
      <w:marRight w:val="0"/>
      <w:marTop w:val="0"/>
      <w:marBottom w:val="0"/>
      <w:divBdr>
        <w:top w:val="none" w:sz="0" w:space="0" w:color="auto"/>
        <w:left w:val="none" w:sz="0" w:space="0" w:color="auto"/>
        <w:bottom w:val="none" w:sz="0" w:space="0" w:color="auto"/>
        <w:right w:val="none" w:sz="0" w:space="0" w:color="auto"/>
      </w:divBdr>
      <w:divsChild>
        <w:div w:id="1099134862">
          <w:marLeft w:val="0"/>
          <w:marRight w:val="0"/>
          <w:marTop w:val="0"/>
          <w:marBottom w:val="0"/>
          <w:divBdr>
            <w:top w:val="none" w:sz="0" w:space="0" w:color="auto"/>
            <w:left w:val="none" w:sz="0" w:space="0" w:color="auto"/>
            <w:bottom w:val="none" w:sz="0" w:space="0" w:color="auto"/>
            <w:right w:val="none" w:sz="0" w:space="0" w:color="auto"/>
          </w:divBdr>
          <w:divsChild>
            <w:div w:id="742945398">
              <w:marLeft w:val="0"/>
              <w:marRight w:val="0"/>
              <w:marTop w:val="0"/>
              <w:marBottom w:val="0"/>
              <w:divBdr>
                <w:top w:val="none" w:sz="0" w:space="0" w:color="auto"/>
                <w:left w:val="none" w:sz="0" w:space="0" w:color="auto"/>
                <w:bottom w:val="none" w:sz="0" w:space="0" w:color="auto"/>
                <w:right w:val="none" w:sz="0" w:space="0" w:color="auto"/>
              </w:divBdr>
              <w:divsChild>
                <w:div w:id="275913567">
                  <w:marLeft w:val="0"/>
                  <w:marRight w:val="0"/>
                  <w:marTop w:val="0"/>
                  <w:marBottom w:val="0"/>
                  <w:divBdr>
                    <w:top w:val="none" w:sz="0" w:space="0" w:color="auto"/>
                    <w:left w:val="none" w:sz="0" w:space="0" w:color="auto"/>
                    <w:bottom w:val="none" w:sz="0" w:space="0" w:color="auto"/>
                    <w:right w:val="none" w:sz="0" w:space="0" w:color="auto"/>
                  </w:divBdr>
                  <w:divsChild>
                    <w:div w:id="414208053">
                      <w:marLeft w:val="0"/>
                      <w:marRight w:val="0"/>
                      <w:marTop w:val="0"/>
                      <w:marBottom w:val="0"/>
                      <w:divBdr>
                        <w:top w:val="none" w:sz="0" w:space="0" w:color="auto"/>
                        <w:left w:val="none" w:sz="0" w:space="0" w:color="auto"/>
                        <w:bottom w:val="none" w:sz="0" w:space="0" w:color="auto"/>
                        <w:right w:val="none" w:sz="0" w:space="0" w:color="auto"/>
                      </w:divBdr>
                      <w:divsChild>
                        <w:div w:id="508719376">
                          <w:marLeft w:val="0"/>
                          <w:marRight w:val="0"/>
                          <w:marTop w:val="0"/>
                          <w:marBottom w:val="0"/>
                          <w:divBdr>
                            <w:top w:val="none" w:sz="0" w:space="0" w:color="auto"/>
                            <w:left w:val="none" w:sz="0" w:space="0" w:color="auto"/>
                            <w:bottom w:val="none" w:sz="0" w:space="0" w:color="auto"/>
                            <w:right w:val="none" w:sz="0" w:space="0" w:color="auto"/>
                          </w:divBdr>
                          <w:divsChild>
                            <w:div w:id="1978759734">
                              <w:marLeft w:val="0"/>
                              <w:marRight w:val="0"/>
                              <w:marTop w:val="0"/>
                              <w:marBottom w:val="0"/>
                              <w:divBdr>
                                <w:top w:val="none" w:sz="0" w:space="0" w:color="auto"/>
                                <w:left w:val="none" w:sz="0" w:space="0" w:color="auto"/>
                                <w:bottom w:val="none" w:sz="0" w:space="0" w:color="auto"/>
                                <w:right w:val="none" w:sz="0" w:space="0" w:color="auto"/>
                              </w:divBdr>
                              <w:divsChild>
                                <w:div w:id="1420830399">
                                  <w:marLeft w:val="0"/>
                                  <w:marRight w:val="0"/>
                                  <w:marTop w:val="0"/>
                                  <w:marBottom w:val="0"/>
                                  <w:divBdr>
                                    <w:top w:val="none" w:sz="0" w:space="0" w:color="auto"/>
                                    <w:left w:val="none" w:sz="0" w:space="0" w:color="auto"/>
                                    <w:bottom w:val="none" w:sz="0" w:space="0" w:color="auto"/>
                                    <w:right w:val="none" w:sz="0" w:space="0" w:color="auto"/>
                                  </w:divBdr>
                                  <w:divsChild>
                                    <w:div w:id="1466892427">
                                      <w:marLeft w:val="0"/>
                                      <w:marRight w:val="0"/>
                                      <w:marTop w:val="0"/>
                                      <w:marBottom w:val="0"/>
                                      <w:divBdr>
                                        <w:top w:val="none" w:sz="0" w:space="0" w:color="auto"/>
                                        <w:left w:val="none" w:sz="0" w:space="0" w:color="auto"/>
                                        <w:bottom w:val="none" w:sz="0" w:space="0" w:color="auto"/>
                                        <w:right w:val="none" w:sz="0" w:space="0" w:color="auto"/>
                                      </w:divBdr>
                                      <w:divsChild>
                                        <w:div w:id="1493182996">
                                          <w:marLeft w:val="0"/>
                                          <w:marRight w:val="0"/>
                                          <w:marTop w:val="0"/>
                                          <w:marBottom w:val="0"/>
                                          <w:divBdr>
                                            <w:top w:val="none" w:sz="0" w:space="0" w:color="auto"/>
                                            <w:left w:val="none" w:sz="0" w:space="0" w:color="auto"/>
                                            <w:bottom w:val="none" w:sz="0" w:space="0" w:color="auto"/>
                                            <w:right w:val="none" w:sz="0" w:space="0" w:color="auto"/>
                                          </w:divBdr>
                                          <w:divsChild>
                                            <w:div w:id="836115694">
                                              <w:marLeft w:val="480"/>
                                              <w:marRight w:val="480"/>
                                              <w:marTop w:val="0"/>
                                              <w:marBottom w:val="0"/>
                                              <w:divBdr>
                                                <w:top w:val="none" w:sz="0" w:space="0" w:color="auto"/>
                                                <w:left w:val="none" w:sz="0" w:space="0" w:color="auto"/>
                                                <w:bottom w:val="none" w:sz="0" w:space="0" w:color="auto"/>
                                                <w:right w:val="none" w:sz="0" w:space="0" w:color="auto"/>
                                              </w:divBdr>
                                              <w:divsChild>
                                                <w:div w:id="1123426624">
                                                  <w:marLeft w:val="0"/>
                                                  <w:marRight w:val="0"/>
                                                  <w:marTop w:val="0"/>
                                                  <w:marBottom w:val="0"/>
                                                  <w:divBdr>
                                                    <w:top w:val="none" w:sz="0" w:space="0" w:color="auto"/>
                                                    <w:left w:val="none" w:sz="0" w:space="0" w:color="auto"/>
                                                    <w:bottom w:val="none" w:sz="0" w:space="0" w:color="auto"/>
                                                    <w:right w:val="none" w:sz="0" w:space="0" w:color="auto"/>
                                                  </w:divBdr>
                                                  <w:divsChild>
                                                    <w:div w:id="716586640">
                                                      <w:marLeft w:val="0"/>
                                                      <w:marRight w:val="0"/>
                                                      <w:marTop w:val="0"/>
                                                      <w:marBottom w:val="0"/>
                                                      <w:divBdr>
                                                        <w:top w:val="none" w:sz="0" w:space="0" w:color="auto"/>
                                                        <w:left w:val="none" w:sz="0" w:space="0" w:color="auto"/>
                                                        <w:bottom w:val="none" w:sz="0" w:space="0" w:color="auto"/>
                                                        <w:right w:val="none" w:sz="0" w:space="0" w:color="auto"/>
                                                      </w:divBdr>
                                                      <w:divsChild>
                                                        <w:div w:id="2020347419">
                                                          <w:marLeft w:val="0"/>
                                                          <w:marRight w:val="0"/>
                                                          <w:marTop w:val="0"/>
                                                          <w:marBottom w:val="0"/>
                                                          <w:divBdr>
                                                            <w:top w:val="none" w:sz="0" w:space="0" w:color="auto"/>
                                                            <w:left w:val="none" w:sz="0" w:space="0" w:color="auto"/>
                                                            <w:bottom w:val="none" w:sz="0" w:space="0" w:color="auto"/>
                                                            <w:right w:val="none" w:sz="0" w:space="0" w:color="auto"/>
                                                          </w:divBdr>
                                                          <w:divsChild>
                                                            <w:div w:id="2124376798">
                                                              <w:marLeft w:val="0"/>
                                                              <w:marRight w:val="0"/>
                                                              <w:marTop w:val="0"/>
                                                              <w:marBottom w:val="0"/>
                                                              <w:divBdr>
                                                                <w:top w:val="none" w:sz="0" w:space="0" w:color="auto"/>
                                                                <w:left w:val="none" w:sz="0" w:space="0" w:color="auto"/>
                                                                <w:bottom w:val="none" w:sz="0" w:space="0" w:color="auto"/>
                                                                <w:right w:val="none" w:sz="0" w:space="0" w:color="auto"/>
                                                              </w:divBdr>
                                                              <w:divsChild>
                                                                <w:div w:id="284238233">
                                                                  <w:marLeft w:val="0"/>
                                                                  <w:marRight w:val="0"/>
                                                                  <w:marTop w:val="0"/>
                                                                  <w:marBottom w:val="0"/>
                                                                  <w:divBdr>
                                                                    <w:top w:val="none" w:sz="0" w:space="0" w:color="auto"/>
                                                                    <w:left w:val="none" w:sz="0" w:space="0" w:color="auto"/>
                                                                    <w:bottom w:val="none" w:sz="0" w:space="0" w:color="auto"/>
                                                                    <w:right w:val="none" w:sz="0" w:space="0" w:color="auto"/>
                                                                  </w:divBdr>
                                                                  <w:divsChild>
                                                                    <w:div w:id="2038504460">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20230174">
      <w:bodyDiv w:val="1"/>
      <w:marLeft w:val="0"/>
      <w:marRight w:val="0"/>
      <w:marTop w:val="0"/>
      <w:marBottom w:val="0"/>
      <w:divBdr>
        <w:top w:val="none" w:sz="0" w:space="0" w:color="auto"/>
        <w:left w:val="none" w:sz="0" w:space="0" w:color="auto"/>
        <w:bottom w:val="none" w:sz="0" w:space="0" w:color="auto"/>
        <w:right w:val="none" w:sz="0" w:space="0" w:color="auto"/>
      </w:divBdr>
    </w:div>
    <w:div w:id="1639338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C1D31B4D.dotm</Template>
  <TotalTime>0</TotalTime>
  <Pages>5</Pages>
  <Words>1347</Words>
  <Characters>7683</Characters>
  <Application>Microsoft Office Word</Application>
  <DocSecurity>0</DocSecurity>
  <Lines>64</Lines>
  <Paragraphs>18</Paragraphs>
  <ScaleCrop>false</ScaleCrop>
  <Company/>
  <LinksUpToDate>false</LinksUpToDate>
  <CharactersWithSpaces>9012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2016-02-08T02:49:00Z</dcterms:created>
  <dcterms:modified xsi:type="dcterms:W3CDTF">2016-02-08T02:49:00Z</dcterms:modified>
</cp:coreProperties>
</file>