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1494A9" w14:textId="77777777" w:rsidR="00202000" w:rsidRPr="003A147F" w:rsidRDefault="00F34496" w:rsidP="007A0AF3">
      <w:pPr>
        <w:pStyle w:val="DateonCover"/>
      </w:pPr>
      <w:bookmarkStart w:id="0" w:name="_GoBack"/>
      <w:bookmarkEnd w:id="0"/>
      <w:r>
        <w:t>FEBRUARY 2016</w:t>
      </w:r>
    </w:p>
    <w:p w14:paraId="78980A42" w14:textId="77777777" w:rsidR="00202000" w:rsidRDefault="00F34496" w:rsidP="002F4FF7">
      <w:pPr>
        <w:pStyle w:val="CHOICECoverHeading"/>
      </w:pPr>
      <w:r>
        <w:t>Review of Card Payments Regulation</w:t>
      </w:r>
    </w:p>
    <w:p w14:paraId="7BCE7145" w14:textId="77777777" w:rsidR="00077795" w:rsidRDefault="00F34496" w:rsidP="00791AAC">
      <w:pPr>
        <w:pStyle w:val="CoverSubheading"/>
      </w:pPr>
      <w:r>
        <w:t>Submission to the Reserve Bank of Australia</w:t>
      </w:r>
      <w:r w:rsidR="00202000">
        <w:t xml:space="preserve"> </w:t>
      </w:r>
    </w:p>
    <w:p w14:paraId="39DC6877" w14:textId="77777777" w:rsidR="00077795" w:rsidRDefault="00077795" w:rsidP="00791AAC">
      <w:pPr>
        <w:pStyle w:val="AboutUs"/>
      </w:pPr>
      <w:r>
        <w:t>ABOUT US</w:t>
      </w:r>
    </w:p>
    <w:p w14:paraId="57A07592" w14:textId="77777777" w:rsidR="00077795" w:rsidRDefault="00077795" w:rsidP="0055285F">
      <w:pPr>
        <w:pStyle w:val="CHOICEBodyCopy"/>
      </w:pPr>
      <w:r w:rsidRPr="00E76E8D">
        <w:t>Set up by consumers for consumers, CHOICE is the consumer advocate that provides Australians with information and advice, free from commercial bias. By mobilising Australia’s largest and loudest consumer movement, CHOICE fights to hold industry and government accountable and achieve real change on the issues that matter most.</w:t>
      </w:r>
    </w:p>
    <w:p w14:paraId="41CB41CC" w14:textId="77777777" w:rsidR="00077795" w:rsidRPr="00E76E8D" w:rsidRDefault="00077795" w:rsidP="00077795">
      <w:pPr>
        <w:pStyle w:val="CHOICEBodyCopy"/>
      </w:pPr>
    </w:p>
    <w:p w14:paraId="2DA80E32" w14:textId="77777777" w:rsidR="00077795" w:rsidRPr="00077795" w:rsidRDefault="00077795" w:rsidP="00077795">
      <w:pPr>
        <w:pStyle w:val="CHOICEBodyCopy"/>
        <w:rPr>
          <w:color w:val="60BDE0"/>
          <w:u w:val="single"/>
        </w:rPr>
      </w:pPr>
      <w:r w:rsidRPr="00E76E8D">
        <w:t xml:space="preserve">To find out more about CHOICE’s campaign work visit </w:t>
      </w:r>
      <w:r w:rsidRPr="00BB53F0">
        <w:rPr>
          <w:rStyle w:val="Hyperlink"/>
        </w:rPr>
        <w:t>www.choice.com.au/campaigns</w:t>
      </w:r>
      <w:r w:rsidRPr="00E76E8D">
        <w:t xml:space="preserve"> and to support our campaigns, sign up at </w:t>
      </w:r>
      <w:r w:rsidRPr="00BB53F0">
        <w:rPr>
          <w:rStyle w:val="Hyperlink"/>
        </w:rPr>
        <w:t>www.</w:t>
      </w:r>
      <w:r>
        <w:rPr>
          <w:rStyle w:val="Hyperlink"/>
        </w:rPr>
        <w:t>choice.com.au/campaignsupporter</w:t>
      </w:r>
    </w:p>
    <w:p w14:paraId="23355AE6" w14:textId="77777777" w:rsidR="00B951AF" w:rsidRDefault="00B951AF" w:rsidP="00DB1063">
      <w:pPr>
        <w:sectPr w:rsidR="00B951AF" w:rsidSect="00791AAC">
          <w:headerReference w:type="even" r:id="rId9"/>
          <w:headerReference w:type="default" r:id="rId10"/>
          <w:footerReference w:type="even" r:id="rId11"/>
          <w:footerReference w:type="default" r:id="rId12"/>
          <w:headerReference w:type="first" r:id="rId13"/>
          <w:footerReference w:type="first" r:id="rId14"/>
          <w:endnotePr>
            <w:numFmt w:val="decimal"/>
          </w:endnotePr>
          <w:pgSz w:w="11900" w:h="16840"/>
          <w:pgMar w:top="4536" w:right="2268" w:bottom="3402" w:left="1134" w:header="0" w:footer="284" w:gutter="0"/>
          <w:cols w:space="708"/>
          <w:titlePg/>
          <w:docGrid w:linePitch="360"/>
        </w:sectPr>
      </w:pPr>
    </w:p>
    <w:p w14:paraId="50ECEF03" w14:textId="77777777" w:rsidR="00F34496" w:rsidRDefault="00F34496">
      <w:pPr>
        <w:spacing w:line="240" w:lineRule="auto"/>
        <w:rPr>
          <w:rFonts w:ascii="Brandon Grotesque Bold" w:hAnsi="Brandon Grotesque Bold"/>
          <w:bCs/>
          <w:color w:val="12A9D9"/>
          <w:sz w:val="54"/>
        </w:rPr>
      </w:pPr>
      <w:r>
        <w:lastRenderedPageBreak/>
        <w:br w:type="page"/>
      </w:r>
    </w:p>
    <w:p w14:paraId="2C9A2E8B" w14:textId="77777777" w:rsidR="00F63143" w:rsidRDefault="00F63143">
      <w:pPr>
        <w:spacing w:line="240" w:lineRule="auto"/>
        <w:rPr>
          <w:rFonts w:ascii="Brandon Grotesque Bold" w:hAnsi="Brandon Grotesque Bold"/>
          <w:bCs/>
          <w:color w:val="12A9D9"/>
          <w:sz w:val="54"/>
        </w:rPr>
      </w:pPr>
      <w:r>
        <w:lastRenderedPageBreak/>
        <w:br w:type="page"/>
      </w:r>
    </w:p>
    <w:p w14:paraId="31F845EA" w14:textId="77777777" w:rsidR="00791AAC" w:rsidRPr="0055285F" w:rsidRDefault="00791AAC" w:rsidP="0055285F">
      <w:pPr>
        <w:pStyle w:val="StyleContentsHeadingBold"/>
      </w:pPr>
      <w:r w:rsidRPr="0055285F">
        <w:lastRenderedPageBreak/>
        <w:t>CONTENTS</w:t>
      </w:r>
    </w:p>
    <w:p w14:paraId="1C9EFD6C" w14:textId="77777777" w:rsidR="00F63143" w:rsidRDefault="00BF4F5B">
      <w:pPr>
        <w:pStyle w:val="TOC1"/>
        <w:tabs>
          <w:tab w:val="right" w:leader="dot" w:pos="9338"/>
        </w:tabs>
        <w:rPr>
          <w:rFonts w:asciiTheme="minorHAnsi" w:hAnsiTheme="minorHAnsi"/>
          <w:noProof/>
          <w:color w:val="auto"/>
          <w:szCs w:val="22"/>
          <w:lang w:eastAsia="en-AU"/>
        </w:rPr>
      </w:pPr>
      <w:r>
        <w:rPr>
          <w:noProof/>
        </w:rPr>
        <w:fldChar w:fldCharType="begin"/>
      </w:r>
      <w:r>
        <w:rPr>
          <w:noProof/>
        </w:rPr>
        <w:instrText xml:space="preserve"> TOC \t "CHOICE H2,3,CHOICE H1,1,Heading 1 numbered,2" </w:instrText>
      </w:r>
      <w:r>
        <w:rPr>
          <w:noProof/>
        </w:rPr>
        <w:fldChar w:fldCharType="separate"/>
      </w:r>
      <w:r w:rsidR="00F63143">
        <w:rPr>
          <w:noProof/>
        </w:rPr>
        <w:t>INTRODUCTION</w:t>
      </w:r>
      <w:r w:rsidR="00F63143">
        <w:rPr>
          <w:noProof/>
        </w:rPr>
        <w:tab/>
      </w:r>
      <w:r w:rsidR="00F63143">
        <w:rPr>
          <w:noProof/>
        </w:rPr>
        <w:fldChar w:fldCharType="begin"/>
      </w:r>
      <w:r w:rsidR="00F63143">
        <w:rPr>
          <w:noProof/>
        </w:rPr>
        <w:instrText xml:space="preserve"> PAGEREF _Toc442186485 \h </w:instrText>
      </w:r>
      <w:r w:rsidR="00F63143">
        <w:rPr>
          <w:noProof/>
        </w:rPr>
      </w:r>
      <w:r w:rsidR="00F63143">
        <w:rPr>
          <w:noProof/>
        </w:rPr>
        <w:fldChar w:fldCharType="separate"/>
      </w:r>
      <w:r w:rsidR="00480936">
        <w:rPr>
          <w:noProof/>
        </w:rPr>
        <w:t>4</w:t>
      </w:r>
      <w:r w:rsidR="00F63143">
        <w:rPr>
          <w:noProof/>
        </w:rPr>
        <w:fldChar w:fldCharType="end"/>
      </w:r>
    </w:p>
    <w:p w14:paraId="1A6CE2CA" w14:textId="77777777" w:rsidR="00F63143" w:rsidRDefault="00F63143">
      <w:pPr>
        <w:pStyle w:val="TOC1"/>
        <w:tabs>
          <w:tab w:val="right" w:leader="dot" w:pos="9338"/>
        </w:tabs>
        <w:rPr>
          <w:rFonts w:asciiTheme="minorHAnsi" w:hAnsiTheme="minorHAnsi"/>
          <w:noProof/>
          <w:color w:val="auto"/>
          <w:szCs w:val="22"/>
          <w:lang w:eastAsia="en-AU"/>
        </w:rPr>
      </w:pPr>
      <w:r>
        <w:rPr>
          <w:noProof/>
        </w:rPr>
        <w:t>SUMMARY OF RECOMMENDATIONS</w:t>
      </w:r>
      <w:r>
        <w:rPr>
          <w:noProof/>
        </w:rPr>
        <w:tab/>
      </w:r>
      <w:r>
        <w:rPr>
          <w:noProof/>
        </w:rPr>
        <w:fldChar w:fldCharType="begin"/>
      </w:r>
      <w:r>
        <w:rPr>
          <w:noProof/>
        </w:rPr>
        <w:instrText xml:space="preserve"> PAGEREF _Toc442186486 \h </w:instrText>
      </w:r>
      <w:r>
        <w:rPr>
          <w:noProof/>
        </w:rPr>
      </w:r>
      <w:r>
        <w:rPr>
          <w:noProof/>
        </w:rPr>
        <w:fldChar w:fldCharType="separate"/>
      </w:r>
      <w:r w:rsidR="00480936">
        <w:rPr>
          <w:noProof/>
        </w:rPr>
        <w:t>5</w:t>
      </w:r>
      <w:r>
        <w:rPr>
          <w:noProof/>
        </w:rPr>
        <w:fldChar w:fldCharType="end"/>
      </w:r>
    </w:p>
    <w:p w14:paraId="5E452EF5" w14:textId="77777777" w:rsidR="00F63143" w:rsidRDefault="00F63143">
      <w:pPr>
        <w:pStyle w:val="TOC2"/>
        <w:rPr>
          <w:rFonts w:asciiTheme="minorHAnsi" w:hAnsiTheme="minorHAnsi"/>
          <w:noProof/>
          <w:color w:val="auto"/>
          <w:lang w:eastAsia="en-AU"/>
        </w:rPr>
      </w:pPr>
      <w:r w:rsidRPr="00EA6E4E">
        <w:rPr>
          <w:rFonts w:ascii="Brandon Grotesque Light" w:hAnsi="Brandon Grotesque Light"/>
          <w:noProof/>
        </w:rPr>
        <w:t>1.</w:t>
      </w:r>
      <w:r>
        <w:rPr>
          <w:rFonts w:asciiTheme="minorHAnsi" w:hAnsiTheme="minorHAnsi"/>
          <w:noProof/>
          <w:color w:val="auto"/>
          <w:lang w:eastAsia="en-AU"/>
        </w:rPr>
        <w:tab/>
      </w:r>
      <w:r>
        <w:rPr>
          <w:noProof/>
        </w:rPr>
        <w:t>Interchange fees and scheme payments</w:t>
      </w:r>
      <w:r>
        <w:rPr>
          <w:noProof/>
        </w:rPr>
        <w:tab/>
      </w:r>
      <w:r>
        <w:rPr>
          <w:noProof/>
        </w:rPr>
        <w:fldChar w:fldCharType="begin"/>
      </w:r>
      <w:r>
        <w:rPr>
          <w:noProof/>
        </w:rPr>
        <w:instrText xml:space="preserve"> PAGEREF _Toc442186487 \h </w:instrText>
      </w:r>
      <w:r>
        <w:rPr>
          <w:noProof/>
        </w:rPr>
      </w:r>
      <w:r>
        <w:rPr>
          <w:noProof/>
        </w:rPr>
        <w:fldChar w:fldCharType="separate"/>
      </w:r>
      <w:r w:rsidR="00480936">
        <w:rPr>
          <w:noProof/>
        </w:rPr>
        <w:t>6</w:t>
      </w:r>
      <w:r>
        <w:rPr>
          <w:noProof/>
        </w:rPr>
        <w:fldChar w:fldCharType="end"/>
      </w:r>
    </w:p>
    <w:p w14:paraId="1F274319" w14:textId="77777777" w:rsidR="00F63143" w:rsidRDefault="00F63143">
      <w:pPr>
        <w:pStyle w:val="TOC3"/>
        <w:rPr>
          <w:rFonts w:asciiTheme="minorHAnsi" w:hAnsiTheme="minorHAnsi"/>
          <w:noProof/>
          <w:color w:val="auto"/>
          <w:lang w:eastAsia="en-AU"/>
        </w:rPr>
      </w:pPr>
      <w:r>
        <w:rPr>
          <w:noProof/>
        </w:rPr>
        <w:t>Recommendations</w:t>
      </w:r>
      <w:r>
        <w:rPr>
          <w:noProof/>
        </w:rPr>
        <w:tab/>
      </w:r>
      <w:r>
        <w:rPr>
          <w:noProof/>
        </w:rPr>
        <w:fldChar w:fldCharType="begin"/>
      </w:r>
      <w:r>
        <w:rPr>
          <w:noProof/>
        </w:rPr>
        <w:instrText xml:space="preserve"> PAGEREF _Toc442186488 \h </w:instrText>
      </w:r>
      <w:r>
        <w:rPr>
          <w:noProof/>
        </w:rPr>
      </w:r>
      <w:r>
        <w:rPr>
          <w:noProof/>
        </w:rPr>
        <w:fldChar w:fldCharType="separate"/>
      </w:r>
      <w:r w:rsidR="00480936">
        <w:rPr>
          <w:noProof/>
        </w:rPr>
        <w:t>10</w:t>
      </w:r>
      <w:r>
        <w:rPr>
          <w:noProof/>
        </w:rPr>
        <w:fldChar w:fldCharType="end"/>
      </w:r>
    </w:p>
    <w:p w14:paraId="4045E49B" w14:textId="77777777" w:rsidR="00F63143" w:rsidRDefault="00F63143">
      <w:pPr>
        <w:pStyle w:val="TOC2"/>
        <w:rPr>
          <w:rFonts w:asciiTheme="minorHAnsi" w:hAnsiTheme="minorHAnsi"/>
          <w:noProof/>
          <w:color w:val="auto"/>
          <w:lang w:eastAsia="en-AU"/>
        </w:rPr>
      </w:pPr>
      <w:r w:rsidRPr="00EA6E4E">
        <w:rPr>
          <w:rFonts w:ascii="Brandon Grotesque Light" w:hAnsi="Brandon Grotesque Light"/>
          <w:noProof/>
        </w:rPr>
        <w:t>2.</w:t>
      </w:r>
      <w:r>
        <w:rPr>
          <w:rFonts w:asciiTheme="minorHAnsi" w:hAnsiTheme="minorHAnsi"/>
          <w:noProof/>
          <w:color w:val="auto"/>
          <w:lang w:eastAsia="en-AU"/>
        </w:rPr>
        <w:tab/>
      </w:r>
      <w:r>
        <w:rPr>
          <w:noProof/>
        </w:rPr>
        <w:t>Companion cards</w:t>
      </w:r>
      <w:r>
        <w:rPr>
          <w:noProof/>
        </w:rPr>
        <w:tab/>
      </w:r>
      <w:r>
        <w:rPr>
          <w:noProof/>
        </w:rPr>
        <w:fldChar w:fldCharType="begin"/>
      </w:r>
      <w:r>
        <w:rPr>
          <w:noProof/>
        </w:rPr>
        <w:instrText xml:space="preserve"> PAGEREF _Toc442186489 \h </w:instrText>
      </w:r>
      <w:r>
        <w:rPr>
          <w:noProof/>
        </w:rPr>
      </w:r>
      <w:r>
        <w:rPr>
          <w:noProof/>
        </w:rPr>
        <w:fldChar w:fldCharType="separate"/>
      </w:r>
      <w:r w:rsidR="00480936">
        <w:rPr>
          <w:noProof/>
        </w:rPr>
        <w:t>10</w:t>
      </w:r>
      <w:r>
        <w:rPr>
          <w:noProof/>
        </w:rPr>
        <w:fldChar w:fldCharType="end"/>
      </w:r>
    </w:p>
    <w:p w14:paraId="545FF5EF" w14:textId="77777777" w:rsidR="00F63143" w:rsidRDefault="00F63143">
      <w:pPr>
        <w:pStyle w:val="TOC3"/>
        <w:rPr>
          <w:rFonts w:asciiTheme="minorHAnsi" w:hAnsiTheme="minorHAnsi"/>
          <w:noProof/>
          <w:color w:val="auto"/>
          <w:lang w:eastAsia="en-AU"/>
        </w:rPr>
      </w:pPr>
      <w:r>
        <w:rPr>
          <w:noProof/>
        </w:rPr>
        <w:t>Recommendations</w:t>
      </w:r>
      <w:r>
        <w:rPr>
          <w:noProof/>
        </w:rPr>
        <w:tab/>
      </w:r>
      <w:r>
        <w:rPr>
          <w:noProof/>
        </w:rPr>
        <w:fldChar w:fldCharType="begin"/>
      </w:r>
      <w:r>
        <w:rPr>
          <w:noProof/>
        </w:rPr>
        <w:instrText xml:space="preserve"> PAGEREF _Toc442186490 \h </w:instrText>
      </w:r>
      <w:r>
        <w:rPr>
          <w:noProof/>
        </w:rPr>
      </w:r>
      <w:r>
        <w:rPr>
          <w:noProof/>
        </w:rPr>
        <w:fldChar w:fldCharType="separate"/>
      </w:r>
      <w:r w:rsidR="00480936">
        <w:rPr>
          <w:noProof/>
        </w:rPr>
        <w:t>11</w:t>
      </w:r>
      <w:r>
        <w:rPr>
          <w:noProof/>
        </w:rPr>
        <w:fldChar w:fldCharType="end"/>
      </w:r>
    </w:p>
    <w:p w14:paraId="006AB3AF" w14:textId="77777777" w:rsidR="00F63143" w:rsidRDefault="00F63143">
      <w:pPr>
        <w:pStyle w:val="TOC2"/>
        <w:rPr>
          <w:rFonts w:asciiTheme="minorHAnsi" w:hAnsiTheme="minorHAnsi"/>
          <w:noProof/>
          <w:color w:val="auto"/>
          <w:lang w:eastAsia="en-AU"/>
        </w:rPr>
      </w:pPr>
      <w:r w:rsidRPr="00EA6E4E">
        <w:rPr>
          <w:rFonts w:ascii="Brandon Grotesque Light" w:hAnsi="Brandon Grotesque Light"/>
          <w:noProof/>
        </w:rPr>
        <w:t>3.</w:t>
      </w:r>
      <w:r>
        <w:rPr>
          <w:rFonts w:asciiTheme="minorHAnsi" w:hAnsiTheme="minorHAnsi"/>
          <w:noProof/>
          <w:color w:val="auto"/>
          <w:lang w:eastAsia="en-AU"/>
        </w:rPr>
        <w:tab/>
      </w:r>
      <w:r>
        <w:rPr>
          <w:noProof/>
        </w:rPr>
        <w:t>Surcharging</w:t>
      </w:r>
      <w:r>
        <w:rPr>
          <w:noProof/>
        </w:rPr>
        <w:tab/>
      </w:r>
      <w:r>
        <w:rPr>
          <w:noProof/>
        </w:rPr>
        <w:fldChar w:fldCharType="begin"/>
      </w:r>
      <w:r>
        <w:rPr>
          <w:noProof/>
        </w:rPr>
        <w:instrText xml:space="preserve"> PAGEREF _Toc442186491 \h </w:instrText>
      </w:r>
      <w:r>
        <w:rPr>
          <w:noProof/>
        </w:rPr>
      </w:r>
      <w:r>
        <w:rPr>
          <w:noProof/>
        </w:rPr>
        <w:fldChar w:fldCharType="separate"/>
      </w:r>
      <w:r w:rsidR="00480936">
        <w:rPr>
          <w:noProof/>
        </w:rPr>
        <w:t>11</w:t>
      </w:r>
      <w:r>
        <w:rPr>
          <w:noProof/>
        </w:rPr>
        <w:fldChar w:fldCharType="end"/>
      </w:r>
    </w:p>
    <w:p w14:paraId="187BFC98" w14:textId="77777777" w:rsidR="00F63143" w:rsidRDefault="00F63143">
      <w:pPr>
        <w:pStyle w:val="TOC3"/>
        <w:rPr>
          <w:rFonts w:asciiTheme="minorHAnsi" w:hAnsiTheme="minorHAnsi"/>
          <w:noProof/>
          <w:color w:val="auto"/>
          <w:lang w:eastAsia="en-AU"/>
        </w:rPr>
      </w:pPr>
      <w:r>
        <w:rPr>
          <w:noProof/>
        </w:rPr>
        <w:t>Recommendations</w:t>
      </w:r>
      <w:r>
        <w:rPr>
          <w:noProof/>
        </w:rPr>
        <w:tab/>
      </w:r>
      <w:r>
        <w:rPr>
          <w:noProof/>
        </w:rPr>
        <w:fldChar w:fldCharType="begin"/>
      </w:r>
      <w:r>
        <w:rPr>
          <w:noProof/>
        </w:rPr>
        <w:instrText xml:space="preserve"> PAGEREF _Toc442186492 \h </w:instrText>
      </w:r>
      <w:r>
        <w:rPr>
          <w:noProof/>
        </w:rPr>
      </w:r>
      <w:r>
        <w:rPr>
          <w:noProof/>
        </w:rPr>
        <w:fldChar w:fldCharType="separate"/>
      </w:r>
      <w:r w:rsidR="00480936">
        <w:rPr>
          <w:noProof/>
        </w:rPr>
        <w:t>13</w:t>
      </w:r>
      <w:r>
        <w:rPr>
          <w:noProof/>
        </w:rPr>
        <w:fldChar w:fldCharType="end"/>
      </w:r>
    </w:p>
    <w:p w14:paraId="679619A7" w14:textId="77777777" w:rsidR="00284BA2" w:rsidRPr="008E64C0" w:rsidRDefault="00BF4F5B" w:rsidP="00BF4F5B">
      <w:pPr>
        <w:pStyle w:val="TOC3"/>
      </w:pPr>
      <w:r>
        <w:rPr>
          <w:noProof/>
          <w:color w:val="000000" w:themeColor="text1"/>
          <w:szCs w:val="24"/>
        </w:rPr>
        <w:fldChar w:fldCharType="end"/>
      </w:r>
    </w:p>
    <w:p w14:paraId="0462F71F" w14:textId="77777777" w:rsidR="000B3671" w:rsidRDefault="000B3671" w:rsidP="0077248B">
      <w:pPr>
        <w:rPr>
          <w:b/>
          <w:noProof/>
        </w:rPr>
      </w:pPr>
    </w:p>
    <w:p w14:paraId="63AF1B27" w14:textId="77777777" w:rsidR="00535F02" w:rsidRDefault="00535F02" w:rsidP="0077248B">
      <w:pPr>
        <w:rPr>
          <w:b/>
          <w:noProof/>
        </w:rPr>
      </w:pPr>
    </w:p>
    <w:p w14:paraId="4FB19E87" w14:textId="77777777" w:rsidR="000E2E08" w:rsidRDefault="000E2E08" w:rsidP="0077248B">
      <w:pPr>
        <w:rPr>
          <w:b/>
          <w:noProof/>
        </w:rPr>
      </w:pPr>
    </w:p>
    <w:p w14:paraId="6C1B8871" w14:textId="77777777" w:rsidR="00535F02" w:rsidRPr="00535F02" w:rsidRDefault="00535F02" w:rsidP="003E224A">
      <w:pPr>
        <w:pStyle w:val="TOC2"/>
        <w:rPr>
          <w:noProof/>
        </w:rPr>
        <w:sectPr w:rsidR="00535F02" w:rsidRPr="00535F02" w:rsidSect="00FD5B0F">
          <w:headerReference w:type="default" r:id="rId15"/>
          <w:footerReference w:type="default" r:id="rId16"/>
          <w:endnotePr>
            <w:numFmt w:val="decimal"/>
          </w:endnotePr>
          <w:type w:val="continuous"/>
          <w:pgSz w:w="11900" w:h="16840"/>
          <w:pgMar w:top="4536" w:right="1418" w:bottom="1985" w:left="1134" w:header="0" w:footer="284" w:gutter="0"/>
          <w:cols w:space="708"/>
          <w:docGrid w:linePitch="360"/>
        </w:sectPr>
      </w:pPr>
    </w:p>
    <w:p w14:paraId="774E4A5D" w14:textId="77777777" w:rsidR="00D25143" w:rsidRPr="00F06B98" w:rsidRDefault="00D25143" w:rsidP="00D25143">
      <w:pPr>
        <w:pStyle w:val="CHOICEH1"/>
      </w:pPr>
      <w:bookmarkStart w:id="1" w:name="_Toc288441631"/>
      <w:bookmarkStart w:id="2" w:name="_Toc288905809"/>
      <w:bookmarkStart w:id="3" w:name="_Toc442186485"/>
      <w:r>
        <w:lastRenderedPageBreak/>
        <w:t>INTR</w:t>
      </w:r>
      <w:r w:rsidRPr="00BF4F5B">
        <w:t>ODUCTION</w:t>
      </w:r>
      <w:bookmarkEnd w:id="1"/>
      <w:bookmarkEnd w:id="2"/>
      <w:bookmarkEnd w:id="3"/>
    </w:p>
    <w:p w14:paraId="1187C09B" w14:textId="77777777" w:rsidR="00D25143" w:rsidRDefault="00D25143" w:rsidP="00D25143">
      <w:pPr>
        <w:pStyle w:val="CHOICEBodyCopy"/>
      </w:pPr>
      <w:r>
        <w:t xml:space="preserve">CHOICE appreciates the opportunity to provide the following comments to the </w:t>
      </w:r>
      <w:r w:rsidR="00F34496">
        <w:t xml:space="preserve">Reserve Bank of Australia (RBA) in relation to the </w:t>
      </w:r>
      <w:r w:rsidR="00F34496" w:rsidRPr="008A191C">
        <w:rPr>
          <w:i/>
        </w:rPr>
        <w:t>Review of Card Payments Regulation Consultation Paper</w:t>
      </w:r>
      <w:r w:rsidR="00F34496">
        <w:t xml:space="preserve"> released in December 2015</w:t>
      </w:r>
      <w:r>
        <w:t>.</w:t>
      </w:r>
    </w:p>
    <w:p w14:paraId="1FF4C6AA" w14:textId="77777777" w:rsidR="00F34496" w:rsidRDefault="00F34496" w:rsidP="00D25143">
      <w:pPr>
        <w:pStyle w:val="CHOICEBodyCopy"/>
      </w:pPr>
    </w:p>
    <w:p w14:paraId="0C761EC2" w14:textId="77777777" w:rsidR="00F34496" w:rsidRDefault="00F34496" w:rsidP="00FD35D5">
      <w:pPr>
        <w:pStyle w:val="CHOICEBodyCopy"/>
      </w:pPr>
      <w:r>
        <w:t xml:space="preserve">CHOICE supports a number of reforms presented by the RBA in the consultation paper, many of which will encourage a fairer </w:t>
      </w:r>
      <w:r w:rsidR="00FA3AB7">
        <w:t xml:space="preserve">payments </w:t>
      </w:r>
      <w:r>
        <w:t>system</w:t>
      </w:r>
      <w:r w:rsidR="0040669E">
        <w:t>, benefiting</w:t>
      </w:r>
      <w:r>
        <w:t xml:space="preserve"> consumers.</w:t>
      </w:r>
      <w:r w:rsidR="00707499">
        <w:t xml:space="preserve"> However, given that this is a rare opportunity for reform, CHOICE encourages the RBA to reduce interchange fees further. </w:t>
      </w:r>
      <w:r w:rsidR="00FD35D5">
        <w:t>A</w:t>
      </w:r>
      <w:r>
        <w:t xml:space="preserve"> simpler, fairer system including stronger enforcement mechanisms and increased transparency will help consumers navigate the complex system of card payments.</w:t>
      </w:r>
    </w:p>
    <w:p w14:paraId="2A86B864" w14:textId="77777777" w:rsidR="00F34496" w:rsidRDefault="00F34496" w:rsidP="00D25143">
      <w:pPr>
        <w:pStyle w:val="CHOICEBodyCopy"/>
      </w:pPr>
    </w:p>
    <w:p w14:paraId="0D5CABD9" w14:textId="77777777" w:rsidR="00F63143" w:rsidRDefault="00F63143">
      <w:pPr>
        <w:spacing w:line="240" w:lineRule="auto"/>
        <w:rPr>
          <w:rFonts w:ascii="Brandon Grotesque Bold" w:hAnsi="Brandon Grotesque Bold"/>
          <w:color w:val="12A9D9"/>
          <w:sz w:val="40"/>
          <w:szCs w:val="36"/>
        </w:rPr>
      </w:pPr>
      <w:r>
        <w:br w:type="page"/>
      </w:r>
    </w:p>
    <w:p w14:paraId="37395D4E" w14:textId="77777777" w:rsidR="00F34496" w:rsidRDefault="00F34496" w:rsidP="00F34496">
      <w:pPr>
        <w:pStyle w:val="CHOICEH1"/>
      </w:pPr>
      <w:bookmarkStart w:id="4" w:name="_Toc442186486"/>
      <w:r>
        <w:lastRenderedPageBreak/>
        <w:t>SUMMARY OF RECOMMENDATIONS</w:t>
      </w:r>
      <w:bookmarkEnd w:id="4"/>
    </w:p>
    <w:tbl>
      <w:tblPr>
        <w:tblStyle w:val="TableGrid"/>
        <w:tblW w:w="0" w:type="auto"/>
        <w:tblLook w:val="04A0" w:firstRow="1" w:lastRow="0" w:firstColumn="1" w:lastColumn="0" w:noHBand="0" w:noVBand="1"/>
      </w:tblPr>
      <w:tblGrid>
        <w:gridCol w:w="2518"/>
        <w:gridCol w:w="5954"/>
      </w:tblGrid>
      <w:tr w:rsidR="00830290" w14:paraId="6877B85D" w14:textId="77777777" w:rsidTr="00830290">
        <w:tc>
          <w:tcPr>
            <w:tcW w:w="2518" w:type="dxa"/>
            <w:vMerge w:val="restart"/>
          </w:tcPr>
          <w:p w14:paraId="2EBD3907" w14:textId="77777777" w:rsidR="00830290" w:rsidRPr="00830290" w:rsidRDefault="00830290" w:rsidP="00F2656D">
            <w:pPr>
              <w:pStyle w:val="CHOICETablecopy"/>
              <w:rPr>
                <w:b/>
                <w:sz w:val="22"/>
                <w:szCs w:val="22"/>
              </w:rPr>
            </w:pPr>
            <w:r w:rsidRPr="00830290">
              <w:rPr>
                <w:b/>
                <w:sz w:val="22"/>
                <w:szCs w:val="22"/>
              </w:rPr>
              <w:t>Interchange fees and scheme payments</w:t>
            </w:r>
          </w:p>
        </w:tc>
        <w:tc>
          <w:tcPr>
            <w:tcW w:w="5954" w:type="dxa"/>
          </w:tcPr>
          <w:p w14:paraId="2C418428" w14:textId="77777777" w:rsidR="00830290" w:rsidRPr="00830290" w:rsidRDefault="00830290" w:rsidP="00830290">
            <w:pPr>
              <w:pStyle w:val="CHOICEBodyCopy"/>
            </w:pPr>
            <w:r>
              <w:t>That the RBA reduces the weighted average interchange fee benchmarks and introduce</w:t>
            </w:r>
            <w:r w:rsidR="001A4E2D">
              <w:t>s</w:t>
            </w:r>
            <w:r>
              <w:t xml:space="preserve"> a ceiling on individual interchange rates at the levels proposed in the options paper (combination of options two and three – interchange benchmarks and ceilings). </w:t>
            </w:r>
          </w:p>
        </w:tc>
      </w:tr>
      <w:tr w:rsidR="00830290" w14:paraId="6DE3CB51" w14:textId="77777777" w:rsidTr="00830290">
        <w:tc>
          <w:tcPr>
            <w:tcW w:w="2518" w:type="dxa"/>
            <w:vMerge/>
          </w:tcPr>
          <w:p w14:paraId="53E8ACB6" w14:textId="77777777" w:rsidR="00830290" w:rsidRPr="00830290" w:rsidRDefault="00830290" w:rsidP="00F2656D">
            <w:pPr>
              <w:pStyle w:val="CHOICETablecopy"/>
              <w:rPr>
                <w:b/>
                <w:sz w:val="22"/>
                <w:szCs w:val="22"/>
              </w:rPr>
            </w:pPr>
          </w:p>
        </w:tc>
        <w:tc>
          <w:tcPr>
            <w:tcW w:w="5954" w:type="dxa"/>
          </w:tcPr>
          <w:p w14:paraId="2036B5A9" w14:textId="77777777" w:rsidR="00830290" w:rsidRPr="00830290" w:rsidRDefault="00830290" w:rsidP="00830290">
            <w:pPr>
              <w:pStyle w:val="CHOICEBodyCopy"/>
            </w:pPr>
            <w:r>
              <w:t>That the RBA limits payments by card schemes to issuers (option two – scheme payments).</w:t>
            </w:r>
          </w:p>
        </w:tc>
      </w:tr>
      <w:tr w:rsidR="00830290" w14:paraId="3849C449" w14:textId="77777777" w:rsidTr="00830290">
        <w:tc>
          <w:tcPr>
            <w:tcW w:w="2518" w:type="dxa"/>
            <w:vMerge/>
          </w:tcPr>
          <w:p w14:paraId="56FBC1BC" w14:textId="77777777" w:rsidR="00830290" w:rsidRPr="00830290" w:rsidRDefault="00830290" w:rsidP="00F2656D">
            <w:pPr>
              <w:pStyle w:val="CHOICETablecopy"/>
              <w:rPr>
                <w:b/>
                <w:sz w:val="22"/>
                <w:szCs w:val="22"/>
              </w:rPr>
            </w:pPr>
          </w:p>
        </w:tc>
        <w:tc>
          <w:tcPr>
            <w:tcW w:w="5954" w:type="dxa"/>
          </w:tcPr>
          <w:p w14:paraId="134424F0" w14:textId="77777777" w:rsidR="00830290" w:rsidRPr="00830290" w:rsidRDefault="00830290" w:rsidP="00830290">
            <w:pPr>
              <w:pStyle w:val="CHOICEBodyCopy"/>
            </w:pPr>
            <w:r>
              <w:t xml:space="preserve">That commercial cards are retained in the coverage of interchange standards (option one – commercial cards). </w:t>
            </w:r>
          </w:p>
        </w:tc>
      </w:tr>
      <w:tr w:rsidR="00830290" w14:paraId="220C4422" w14:textId="77777777" w:rsidTr="00830290">
        <w:tc>
          <w:tcPr>
            <w:tcW w:w="2518" w:type="dxa"/>
            <w:vMerge/>
          </w:tcPr>
          <w:p w14:paraId="00FBE7BC" w14:textId="77777777" w:rsidR="00830290" w:rsidRPr="00830290" w:rsidRDefault="00830290" w:rsidP="00F2656D">
            <w:pPr>
              <w:pStyle w:val="CHOICETablecopy"/>
              <w:rPr>
                <w:b/>
                <w:sz w:val="22"/>
                <w:szCs w:val="22"/>
              </w:rPr>
            </w:pPr>
          </w:p>
        </w:tc>
        <w:tc>
          <w:tcPr>
            <w:tcW w:w="5954" w:type="dxa"/>
          </w:tcPr>
          <w:p w14:paraId="5AF5C826" w14:textId="77777777" w:rsidR="00830290" w:rsidRDefault="00830290" w:rsidP="00830290">
            <w:pPr>
              <w:pStyle w:val="CHOICEBodyCopy"/>
            </w:pPr>
            <w:r>
              <w:t>That the RBA clarifies the definitions in the Bank’s standards to include transactions in Australia with foreign-issued cards (optio</w:t>
            </w:r>
            <w:r w:rsidR="00F63143">
              <w:t xml:space="preserve">n two – foreign-issued cards). </w:t>
            </w:r>
          </w:p>
        </w:tc>
      </w:tr>
      <w:tr w:rsidR="00830290" w14:paraId="136C5BB5" w14:textId="77777777" w:rsidTr="00830290">
        <w:tc>
          <w:tcPr>
            <w:tcW w:w="2518" w:type="dxa"/>
            <w:vMerge/>
          </w:tcPr>
          <w:p w14:paraId="4B9E81A0" w14:textId="77777777" w:rsidR="00830290" w:rsidRPr="00830290" w:rsidRDefault="00830290" w:rsidP="00F2656D">
            <w:pPr>
              <w:pStyle w:val="CHOICETablecopy"/>
              <w:rPr>
                <w:b/>
                <w:sz w:val="22"/>
                <w:szCs w:val="22"/>
              </w:rPr>
            </w:pPr>
          </w:p>
        </w:tc>
        <w:tc>
          <w:tcPr>
            <w:tcW w:w="5954" w:type="dxa"/>
          </w:tcPr>
          <w:p w14:paraId="1ADFB696" w14:textId="77777777" w:rsidR="00830290" w:rsidRPr="00830290" w:rsidRDefault="00830290" w:rsidP="00830290">
            <w:pPr>
              <w:pStyle w:val="CHOICEBodyCopy"/>
            </w:pPr>
            <w:r>
              <w:t xml:space="preserve">That the RBA formalise regulation for prepaid cards consistent with debit standards (option three – prepaid cards). </w:t>
            </w:r>
          </w:p>
        </w:tc>
      </w:tr>
      <w:tr w:rsidR="00830290" w14:paraId="44A64206" w14:textId="77777777" w:rsidTr="00830290">
        <w:tc>
          <w:tcPr>
            <w:tcW w:w="2518" w:type="dxa"/>
            <w:vMerge/>
          </w:tcPr>
          <w:p w14:paraId="3F06DF9C" w14:textId="77777777" w:rsidR="00830290" w:rsidRPr="00830290" w:rsidRDefault="00830290" w:rsidP="00F2656D">
            <w:pPr>
              <w:pStyle w:val="CHOICETablecopy"/>
              <w:rPr>
                <w:b/>
                <w:sz w:val="22"/>
                <w:szCs w:val="22"/>
              </w:rPr>
            </w:pPr>
          </w:p>
        </w:tc>
        <w:tc>
          <w:tcPr>
            <w:tcW w:w="5954" w:type="dxa"/>
          </w:tcPr>
          <w:p w14:paraId="05BD27A3" w14:textId="77777777" w:rsidR="00830290" w:rsidRDefault="00830290" w:rsidP="00830290">
            <w:pPr>
              <w:pStyle w:val="CHOICEBodyCopy"/>
            </w:pPr>
            <w:r>
              <w:t>The RBA adopts requires quarterly compliance for interchange benchmarks (option two – benchmark compliance).</w:t>
            </w:r>
          </w:p>
        </w:tc>
      </w:tr>
      <w:tr w:rsidR="003E224A" w14:paraId="1DFD93E7" w14:textId="77777777" w:rsidTr="00830290">
        <w:tc>
          <w:tcPr>
            <w:tcW w:w="2518" w:type="dxa"/>
          </w:tcPr>
          <w:p w14:paraId="393FC7A8" w14:textId="77777777" w:rsidR="003E224A" w:rsidRPr="00830290" w:rsidRDefault="003E224A" w:rsidP="00F2656D">
            <w:pPr>
              <w:pStyle w:val="CHOICETablecopy"/>
              <w:rPr>
                <w:b/>
                <w:sz w:val="22"/>
                <w:szCs w:val="22"/>
              </w:rPr>
            </w:pPr>
            <w:r w:rsidRPr="00830290">
              <w:rPr>
                <w:b/>
                <w:sz w:val="22"/>
                <w:szCs w:val="22"/>
              </w:rPr>
              <w:t>Companion cards and pre-paid cards</w:t>
            </w:r>
          </w:p>
        </w:tc>
        <w:tc>
          <w:tcPr>
            <w:tcW w:w="5954" w:type="dxa"/>
          </w:tcPr>
          <w:p w14:paraId="5EDB4BF3" w14:textId="77777777" w:rsidR="00830290" w:rsidRPr="00F63143" w:rsidRDefault="00F63143" w:rsidP="00F63143">
            <w:pPr>
              <w:pStyle w:val="ChoiceBulletpoints"/>
              <w:numPr>
                <w:ilvl w:val="0"/>
                <w:numId w:val="0"/>
              </w:numPr>
            </w:pPr>
            <w:r>
              <w:t>The RBA regulates issuer fees and other payments to issuers for companion cards (option three - companion cards).</w:t>
            </w:r>
          </w:p>
        </w:tc>
      </w:tr>
      <w:tr w:rsidR="003E224A" w14:paraId="5710689B" w14:textId="77777777" w:rsidTr="00830290">
        <w:tc>
          <w:tcPr>
            <w:tcW w:w="2518" w:type="dxa"/>
            <w:vMerge w:val="restart"/>
          </w:tcPr>
          <w:p w14:paraId="241FCA9A" w14:textId="77777777" w:rsidR="003E224A" w:rsidRPr="00830290" w:rsidRDefault="003E224A" w:rsidP="00F2656D">
            <w:pPr>
              <w:pStyle w:val="CHOICETablecopy"/>
              <w:rPr>
                <w:b/>
                <w:sz w:val="22"/>
                <w:szCs w:val="22"/>
              </w:rPr>
            </w:pPr>
            <w:r w:rsidRPr="00830290">
              <w:rPr>
                <w:b/>
                <w:sz w:val="22"/>
                <w:szCs w:val="22"/>
              </w:rPr>
              <w:t>Surcharging</w:t>
            </w:r>
          </w:p>
        </w:tc>
        <w:tc>
          <w:tcPr>
            <w:tcW w:w="5954" w:type="dxa"/>
          </w:tcPr>
          <w:p w14:paraId="72AC4CEF" w14:textId="77777777" w:rsidR="003E224A" w:rsidRPr="00F63143" w:rsidRDefault="00F63143" w:rsidP="00F63143">
            <w:pPr>
              <w:pStyle w:val="CHOICEBodyCopy"/>
            </w:pPr>
            <w:r>
              <w:t>The RBA makes modifications to the cost of acceptance framework (option three – surcharging).</w:t>
            </w:r>
          </w:p>
        </w:tc>
      </w:tr>
      <w:tr w:rsidR="003E224A" w14:paraId="4CDB58C6" w14:textId="77777777" w:rsidTr="00830290">
        <w:tc>
          <w:tcPr>
            <w:tcW w:w="2518" w:type="dxa"/>
            <w:vMerge/>
          </w:tcPr>
          <w:p w14:paraId="2B89DED9" w14:textId="77777777" w:rsidR="003E224A" w:rsidRPr="00830290" w:rsidRDefault="003E224A" w:rsidP="00F2656D">
            <w:pPr>
              <w:pStyle w:val="CHOICETablecopy"/>
              <w:rPr>
                <w:b/>
                <w:sz w:val="22"/>
                <w:szCs w:val="22"/>
              </w:rPr>
            </w:pPr>
          </w:p>
        </w:tc>
        <w:tc>
          <w:tcPr>
            <w:tcW w:w="5954" w:type="dxa"/>
          </w:tcPr>
          <w:p w14:paraId="6336EAD2" w14:textId="77777777" w:rsidR="00F63143" w:rsidRPr="00F63143" w:rsidRDefault="00F63143" w:rsidP="00F63143">
            <w:pPr>
              <w:pStyle w:val="ChoiceBulletpoints"/>
              <w:numPr>
                <w:ilvl w:val="0"/>
                <w:numId w:val="0"/>
              </w:numPr>
              <w:ind w:left="34"/>
            </w:pPr>
            <w:r>
              <w:t>The RBA and ACCC consult consumer advocates on how consumer reporting of excessive surcharging can best assist enforcement efforts.</w:t>
            </w:r>
          </w:p>
        </w:tc>
      </w:tr>
    </w:tbl>
    <w:p w14:paraId="15E97FA5" w14:textId="77777777" w:rsidR="00D25143" w:rsidRDefault="00D25143" w:rsidP="00D25143">
      <w:pPr>
        <w:pStyle w:val="CHOICEBodyCopy"/>
      </w:pPr>
    </w:p>
    <w:p w14:paraId="39D29D01" w14:textId="77777777" w:rsidR="00FA3AB7" w:rsidRDefault="00FA3AB7">
      <w:pPr>
        <w:spacing w:line="240" w:lineRule="auto"/>
        <w:rPr>
          <w:rFonts w:ascii="Brandon Grotesque Bold" w:eastAsia="Times New Roman" w:hAnsi="Brandon Grotesque Bold" w:cs="Tahoma"/>
          <w:bCs/>
          <w:color w:val="595959" w:themeColor="text1" w:themeTint="A6"/>
          <w:sz w:val="40"/>
          <w:szCs w:val="50"/>
          <w:lang w:val="en-GB" w:eastAsia="de-DE"/>
        </w:rPr>
      </w:pPr>
      <w:r>
        <w:br w:type="page"/>
      </w:r>
    </w:p>
    <w:p w14:paraId="5FDE14D1" w14:textId="77777777" w:rsidR="000E2E08" w:rsidRPr="000133B2" w:rsidRDefault="00F34496" w:rsidP="000E2E08">
      <w:pPr>
        <w:pStyle w:val="Heading1numbered"/>
      </w:pPr>
      <w:bookmarkStart w:id="5" w:name="_Toc442186487"/>
      <w:r>
        <w:lastRenderedPageBreak/>
        <w:t>Interchange fees and scheme payments</w:t>
      </w:r>
      <w:bookmarkEnd w:id="5"/>
    </w:p>
    <w:p w14:paraId="65D16D84" w14:textId="77777777" w:rsidR="006A0B14" w:rsidRDefault="000E2E08" w:rsidP="00F34496">
      <w:pPr>
        <w:pStyle w:val="CHOICEBodyCopy"/>
      </w:pPr>
      <w:r>
        <w:t xml:space="preserve">CHOICE </w:t>
      </w:r>
      <w:r w:rsidR="00F34496">
        <w:t xml:space="preserve">welcomes </w:t>
      </w:r>
      <w:r w:rsidR="004D411E">
        <w:t xml:space="preserve">principle of </w:t>
      </w:r>
      <w:r w:rsidR="00F34496">
        <w:t xml:space="preserve">the RBA’s proposed </w:t>
      </w:r>
      <w:r w:rsidR="004D411E">
        <w:t>cap on interchange fees at 0.8%</w:t>
      </w:r>
      <w:r w:rsidR="00F71155">
        <w:t>;</w:t>
      </w:r>
      <w:r w:rsidR="004D411E">
        <w:t xml:space="preserve"> however </w:t>
      </w:r>
      <w:r w:rsidR="00563434">
        <w:t>alongside of this the average weighted interchange level should be lowered from 0.5%</w:t>
      </w:r>
      <w:r w:rsidR="004D411E">
        <w:t xml:space="preserve"> to 0.3%. CHOICE understands that opportunities for consultation and regulation of this nature are rare, and where an opportunity exists to enact major reform, that opportunity </w:t>
      </w:r>
      <w:r w:rsidR="001A4E2D">
        <w:t>should be taken</w:t>
      </w:r>
      <w:r w:rsidR="004D411E">
        <w:t>.</w:t>
      </w:r>
    </w:p>
    <w:p w14:paraId="2E6347C2" w14:textId="77777777" w:rsidR="004D411E" w:rsidRDefault="004D411E" w:rsidP="00F34496">
      <w:pPr>
        <w:pStyle w:val="CHOICEBodyCopy"/>
      </w:pPr>
    </w:p>
    <w:p w14:paraId="31C4990C" w14:textId="77777777" w:rsidR="00F71155" w:rsidRPr="00830290" w:rsidRDefault="00F71155" w:rsidP="00F34496">
      <w:pPr>
        <w:pStyle w:val="CHOICEBodyCopy"/>
        <w:rPr>
          <w:b/>
        </w:rPr>
      </w:pPr>
      <w:r>
        <w:rPr>
          <w:b/>
        </w:rPr>
        <w:t>High interchange fees are detrimental to consumers</w:t>
      </w:r>
    </w:p>
    <w:p w14:paraId="5E302458" w14:textId="77777777" w:rsidR="00F71155" w:rsidRDefault="00F71155" w:rsidP="00F34496">
      <w:pPr>
        <w:pStyle w:val="CHOICEBodyCopy"/>
      </w:pPr>
    </w:p>
    <w:p w14:paraId="77EF2CA4" w14:textId="77777777" w:rsidR="00AE5EA7" w:rsidRDefault="00FD35D5" w:rsidP="00F34496">
      <w:pPr>
        <w:pStyle w:val="CHOICEBodyCopy"/>
      </w:pPr>
      <w:r>
        <w:t>C</w:t>
      </w:r>
      <w:r w:rsidR="00F34496">
        <w:t xml:space="preserve">onsumers </w:t>
      </w:r>
      <w:r w:rsidR="00707499">
        <w:t>are</w:t>
      </w:r>
      <w:r w:rsidR="00F34496">
        <w:t xml:space="preserve"> disadvantaged by high interchange fees. </w:t>
      </w:r>
      <w:r w:rsidR="00707499">
        <w:t>High</w:t>
      </w:r>
      <w:r w:rsidR="00AE5EA7">
        <w:t xml:space="preserve"> interchange fees flow on to </w:t>
      </w:r>
      <w:r w:rsidR="001A4E2D">
        <w:t xml:space="preserve">merchants in the form of </w:t>
      </w:r>
      <w:r w:rsidR="00AE5EA7">
        <w:t>higher costs, which in turn are reflected in higher than necessary prices</w:t>
      </w:r>
      <w:r w:rsidR="00F2656D">
        <w:t xml:space="preserve"> for goods and services</w:t>
      </w:r>
      <w:r w:rsidR="00AE5EA7">
        <w:t>. These higher prices are then paid not only by cardholders, but all consumers.</w:t>
      </w:r>
    </w:p>
    <w:p w14:paraId="2D908644" w14:textId="77777777" w:rsidR="00142188" w:rsidRDefault="00142188" w:rsidP="000E2E08">
      <w:pPr>
        <w:pStyle w:val="CHOICEBodyCopy"/>
      </w:pPr>
    </w:p>
    <w:p w14:paraId="1C7BADC1" w14:textId="77777777" w:rsidR="00AE5EA7" w:rsidRDefault="00142188" w:rsidP="000E2E08">
      <w:pPr>
        <w:pStyle w:val="CHOICEBodyCopy"/>
      </w:pPr>
      <w:r>
        <w:t>A</w:t>
      </w:r>
      <w:r w:rsidR="00AE5EA7">
        <w:t xml:space="preserve"> direct result of the 2003 RBA reforms</w:t>
      </w:r>
      <w:r>
        <w:t xml:space="preserve"> was that</w:t>
      </w:r>
      <w:r w:rsidR="00AE5EA7">
        <w:t xml:space="preserve"> average interchange fees for MasterCard and Visa were reduced to around 0.5%, down from around 0.95%. This had a predictable flow on effect to merchant</w:t>
      </w:r>
      <w:r w:rsidR="00F2656D">
        <w:t>s</w:t>
      </w:r>
      <w:r w:rsidR="00FA3AB7">
        <w:t xml:space="preserve"> where</w:t>
      </w:r>
      <w:r w:rsidR="00AE5EA7">
        <w:t xml:space="preserve"> service fees reduced, on average, from 1.44% for MasterCard or Visa transactions in March 2003 to 0.84% now.</w:t>
      </w:r>
      <w:r w:rsidR="00AE5EA7">
        <w:rPr>
          <w:rStyle w:val="FootnoteReference"/>
        </w:rPr>
        <w:footnoteReference w:id="1"/>
      </w:r>
      <w:r w:rsidR="00AE5EA7">
        <w:t xml:space="preserve"> </w:t>
      </w:r>
      <w:r w:rsidR="00707499">
        <w:t xml:space="preserve">Further </w:t>
      </w:r>
      <w:r w:rsidR="00AE5EA7">
        <w:t>lowering weighted interchange fees would mean that costs associated with accepting cards wo</w:t>
      </w:r>
      <w:r w:rsidR="005476F2">
        <w:t xml:space="preserve">uld </w:t>
      </w:r>
      <w:r w:rsidR="001A4E2D">
        <w:t>reduce</w:t>
      </w:r>
      <w:r w:rsidR="005476F2">
        <w:t>, benefiting consumers and merchants.</w:t>
      </w:r>
    </w:p>
    <w:p w14:paraId="4FC590CA" w14:textId="77777777" w:rsidR="00AE5EA7" w:rsidRDefault="00AE5EA7" w:rsidP="000E2E08">
      <w:pPr>
        <w:pStyle w:val="CHOICEBodyCopy"/>
      </w:pPr>
    </w:p>
    <w:p w14:paraId="695080C1" w14:textId="78D02679" w:rsidR="00FA3AB7" w:rsidRDefault="00FA3AB7" w:rsidP="00FA3AB7">
      <w:pPr>
        <w:pStyle w:val="CHOICEBodyCopy"/>
      </w:pPr>
      <w:r>
        <w:t xml:space="preserve">CHOICE does </w:t>
      </w:r>
      <w:r w:rsidR="005476F2">
        <w:t>acknowledge</w:t>
      </w:r>
      <w:r>
        <w:t xml:space="preserve"> that any move to lower the interchange rate will </w:t>
      </w:r>
      <w:r w:rsidR="005476F2">
        <w:t xml:space="preserve">likely </w:t>
      </w:r>
      <w:r>
        <w:t xml:space="preserve">negatively impact </w:t>
      </w:r>
      <w:r w:rsidR="006A4AF9">
        <w:t xml:space="preserve">the current business model for </w:t>
      </w:r>
      <w:r>
        <w:t>high cost rewards programs. However</w:t>
      </w:r>
      <w:r w:rsidR="005476F2">
        <w:t xml:space="preserve">, this </w:t>
      </w:r>
      <w:r>
        <w:t xml:space="preserve">will be </w:t>
      </w:r>
      <w:r w:rsidR="00FD35D5">
        <w:t xml:space="preserve">beneficial </w:t>
      </w:r>
      <w:r>
        <w:t xml:space="preserve">to </w:t>
      </w:r>
      <w:r w:rsidR="005476F2">
        <w:t xml:space="preserve">the vast majority of </w:t>
      </w:r>
      <w:r>
        <w:t>consumers</w:t>
      </w:r>
      <w:r w:rsidR="005476F2">
        <w:t>. H</w:t>
      </w:r>
      <w:r>
        <w:t xml:space="preserve">igh </w:t>
      </w:r>
      <w:r w:rsidR="001A4E2D">
        <w:t xml:space="preserve">cost </w:t>
      </w:r>
      <w:r>
        <w:t xml:space="preserve">rewards schemes </w:t>
      </w:r>
      <w:r w:rsidR="006A4AF9">
        <w:t xml:space="preserve">benefit </w:t>
      </w:r>
      <w:r>
        <w:t>a small subset of consumers</w:t>
      </w:r>
      <w:r w:rsidR="001A4E2D">
        <w:t xml:space="preserve"> while driving up cost</w:t>
      </w:r>
      <w:r w:rsidR="006A4AF9">
        <w:t>s</w:t>
      </w:r>
      <w:r w:rsidR="001A4E2D">
        <w:t xml:space="preserve"> f</w:t>
      </w:r>
      <w:r w:rsidR="006A4AF9">
        <w:t>or</w:t>
      </w:r>
      <w:r w:rsidR="001A4E2D">
        <w:t xml:space="preserve"> all card users</w:t>
      </w:r>
      <w:r w:rsidR="006A4AF9">
        <w:t xml:space="preserve">. It would substantially increase the transparency of such programs if consumers who opted for high cost rewards programs saw the true costs reflected in annual fees, rather than submerged in </w:t>
      </w:r>
      <w:r w:rsidR="009125D4">
        <w:t xml:space="preserve">opaque </w:t>
      </w:r>
      <w:r w:rsidR="006A4AF9">
        <w:t xml:space="preserve">costs </w:t>
      </w:r>
      <w:r w:rsidR="009125D4">
        <w:t xml:space="preserve">borne </w:t>
      </w:r>
      <w:r w:rsidR="006A4AF9">
        <w:t>by all card users.</w:t>
      </w:r>
    </w:p>
    <w:p w14:paraId="5068511E" w14:textId="77777777" w:rsidR="00FA3AB7" w:rsidRDefault="00FA3AB7" w:rsidP="00FA3AB7">
      <w:pPr>
        <w:pStyle w:val="CHOICEBodyCopy"/>
      </w:pPr>
    </w:p>
    <w:p w14:paraId="4CFCC00B" w14:textId="77777777" w:rsidR="00AE5EA7" w:rsidRPr="00F71155" w:rsidRDefault="00AE5EA7" w:rsidP="000E2E08">
      <w:pPr>
        <w:pStyle w:val="CHOICEBodyCopy"/>
      </w:pPr>
      <w:r w:rsidRPr="00F71155">
        <w:t>CHOICE is aware of a number of criticisms relating to further reduction in interchange fees.</w:t>
      </w:r>
      <w:r w:rsidR="00707CBA">
        <w:rPr>
          <w:rStyle w:val="FootnoteReference"/>
        </w:rPr>
        <w:footnoteReference w:id="2"/>
      </w:r>
      <w:r w:rsidRPr="00F71155">
        <w:t xml:space="preserve"> Such criticisms are:</w:t>
      </w:r>
    </w:p>
    <w:p w14:paraId="17603F2A" w14:textId="77777777" w:rsidR="006A0B14" w:rsidRDefault="006A0B14" w:rsidP="000E2E08">
      <w:pPr>
        <w:pStyle w:val="CHOICEBodyCopy"/>
      </w:pPr>
    </w:p>
    <w:p w14:paraId="6263E794" w14:textId="77777777" w:rsidR="00A16D40" w:rsidRDefault="00AE5EA7" w:rsidP="00F71155">
      <w:pPr>
        <w:pStyle w:val="ChoiceBulletpoints"/>
      </w:pPr>
      <w:r>
        <w:lastRenderedPageBreak/>
        <w:t xml:space="preserve">Merchants haven’t passed on savings to consumers, despite a significant cut in merchants’ annual merchant service fee costs. </w:t>
      </w:r>
    </w:p>
    <w:p w14:paraId="2DB7F0E2" w14:textId="77777777" w:rsidR="00A16D40" w:rsidRDefault="00A16D40" w:rsidP="00830290">
      <w:pPr>
        <w:pStyle w:val="ChoiceBulletpoints"/>
        <w:numPr>
          <w:ilvl w:val="0"/>
          <w:numId w:val="0"/>
        </w:numPr>
        <w:ind w:left="720" w:hanging="266"/>
      </w:pPr>
    </w:p>
    <w:p w14:paraId="04A0D8F5" w14:textId="77777777" w:rsidR="00707CBA" w:rsidRDefault="00AE5EA7" w:rsidP="00707CBA">
      <w:pPr>
        <w:pStyle w:val="CHOICEBodyCopy"/>
      </w:pPr>
      <w:r>
        <w:t>Typically, reports don’t claim prices are not lower than they would have been without the reforms, just that there’s no evidence to prove it.</w:t>
      </w:r>
      <w:r w:rsidR="006A0B14">
        <w:t xml:space="preserve"> </w:t>
      </w:r>
      <w:r w:rsidR="00707CBA" w:rsidRPr="00870E55">
        <w:t xml:space="preserve">It is likely that some merchants operating in sectors that face little competitive pressure will not pass on the full amount of savings if their card acceptance costs </w:t>
      </w:r>
      <w:r w:rsidR="00707CBA">
        <w:t>are</w:t>
      </w:r>
      <w:r w:rsidR="00707CBA" w:rsidRPr="00870E55">
        <w:t xml:space="preserve"> reduced. But this is a reason to </w:t>
      </w:r>
      <w:r w:rsidR="00945676">
        <w:t>investigate the state of competition</w:t>
      </w:r>
      <w:r w:rsidR="00707CBA" w:rsidRPr="00870E55">
        <w:t xml:space="preserve"> in those markets, not to keep interchange at high levels. This issue comes down to an assessment of who do we trust to pass on savings to consumers: the highly concentrated banking industry currently making record profits or all other businesses consumers have contact with, some facing more competitive pressure than others. </w:t>
      </w:r>
    </w:p>
    <w:p w14:paraId="29AFF417" w14:textId="77777777" w:rsidR="00A16D40" w:rsidRDefault="00A16D40" w:rsidP="00830290">
      <w:pPr>
        <w:pStyle w:val="ChoiceBulletpoints"/>
        <w:numPr>
          <w:ilvl w:val="0"/>
          <w:numId w:val="0"/>
        </w:numPr>
      </w:pPr>
    </w:p>
    <w:p w14:paraId="5E33DBF6" w14:textId="77777777" w:rsidR="00A16D40" w:rsidRDefault="00AE5EA7" w:rsidP="00AE5EA7">
      <w:pPr>
        <w:pStyle w:val="ChoiceBulletpoints"/>
      </w:pPr>
      <w:r>
        <w:t xml:space="preserve">Credit card reward programs have reduced in value and will continue to reduce in value. </w:t>
      </w:r>
    </w:p>
    <w:p w14:paraId="068A62C2" w14:textId="77777777" w:rsidR="00A16D40" w:rsidRDefault="00A16D40" w:rsidP="00830290">
      <w:pPr>
        <w:pStyle w:val="ChoiceBulletpoints"/>
        <w:numPr>
          <w:ilvl w:val="0"/>
          <w:numId w:val="0"/>
        </w:numPr>
      </w:pPr>
    </w:p>
    <w:p w14:paraId="05FB5FA8" w14:textId="77777777" w:rsidR="00A16D40" w:rsidRDefault="00185A74" w:rsidP="00830290">
      <w:pPr>
        <w:pStyle w:val="ChoiceBulletpoints"/>
        <w:numPr>
          <w:ilvl w:val="0"/>
          <w:numId w:val="0"/>
        </w:numPr>
      </w:pPr>
      <w:r>
        <w:t>R</w:t>
      </w:r>
      <w:r w:rsidR="00AE5EA7">
        <w:t xml:space="preserve">ewards programs </w:t>
      </w:r>
      <w:r>
        <w:t xml:space="preserve">only provide </w:t>
      </w:r>
      <w:r w:rsidR="00AE5EA7">
        <w:t>benefits to a small percentage of consumers.</w:t>
      </w:r>
      <w:r w:rsidR="00AE5EA7">
        <w:rPr>
          <w:rStyle w:val="FootnoteReference"/>
        </w:rPr>
        <w:footnoteReference w:id="3"/>
      </w:r>
      <w:r w:rsidR="00A16D40">
        <w:t xml:space="preserve"> </w:t>
      </w:r>
      <w:r w:rsidR="00A16D40" w:rsidRPr="00A16D40">
        <w:t>It is important to note that rewards schemes have never offered good value to most consumers. In 2003 consumers with a MasterCard and Visa rewards cards needed to spend an average of $12,400 to get a $100 voucher.</w:t>
      </w:r>
      <w:r w:rsidR="00A16D40" w:rsidRPr="00A16D40">
        <w:rPr>
          <w:vertAlign w:val="superscript"/>
        </w:rPr>
        <w:footnoteReference w:id="4"/>
      </w:r>
      <w:r w:rsidR="00A16D40" w:rsidRPr="00A16D40">
        <w:t xml:space="preserve">  This increased to $14,400 in 2004 and $16,000 in 2006.</w:t>
      </w:r>
      <w:r w:rsidR="00A16D40" w:rsidRPr="00A16D40">
        <w:rPr>
          <w:vertAlign w:val="superscript"/>
        </w:rPr>
        <w:footnoteReference w:id="5"/>
      </w:r>
      <w:r w:rsidR="00A16D40" w:rsidRPr="00A16D40">
        <w:t xml:space="preserve"> Today, the average spend required for a rewards credit card to receive a $100 voucher is $17,926.</w:t>
      </w:r>
      <w:r w:rsidR="00A16D40" w:rsidRPr="00A16D40">
        <w:rPr>
          <w:vertAlign w:val="superscript"/>
        </w:rPr>
        <w:footnoteReference w:id="6"/>
      </w:r>
      <w:r w:rsidR="00A16D40" w:rsidRPr="00A16D40">
        <w:t xml:space="preserve"> </w:t>
      </w:r>
    </w:p>
    <w:p w14:paraId="179165D5" w14:textId="77777777" w:rsidR="00A16D40" w:rsidRDefault="00A16D40" w:rsidP="00830290">
      <w:pPr>
        <w:pStyle w:val="ChoiceBulletpoints"/>
        <w:numPr>
          <w:ilvl w:val="0"/>
          <w:numId w:val="0"/>
        </w:numPr>
      </w:pPr>
    </w:p>
    <w:p w14:paraId="3FFC5FE4" w14:textId="77777777" w:rsidR="00A16D40" w:rsidRDefault="00A16D40" w:rsidP="00830290">
      <w:pPr>
        <w:pStyle w:val="ChoiceBulletpoints"/>
        <w:numPr>
          <w:ilvl w:val="0"/>
          <w:numId w:val="0"/>
        </w:numPr>
      </w:pPr>
      <w:r w:rsidRPr="00870E55">
        <w:t>Even in 2003, the consumers most likely to get value from rewards points had high</w:t>
      </w:r>
      <w:r w:rsidR="00945676">
        <w:t xml:space="preserve"> </w:t>
      </w:r>
      <w:r w:rsidRPr="00870E55">
        <w:t xml:space="preserve">incomes and consistent cash flows. RBA statistics demonstrate that </w:t>
      </w:r>
      <w:r>
        <w:t>c</w:t>
      </w:r>
      <w:r w:rsidRPr="00870E55">
        <w:t>onsumers in the top quartile of income are ten times more likely to have a premium credit card (with rewards points) than consumers in the lowest income quartile.</w:t>
      </w:r>
      <w:r w:rsidRPr="00707CBA">
        <w:rPr>
          <w:vertAlign w:val="superscript"/>
        </w:rPr>
        <w:footnoteReference w:id="7"/>
      </w:r>
      <w:r>
        <w:t xml:space="preserve"> </w:t>
      </w:r>
      <w:r w:rsidRPr="00870E55">
        <w:t>CHOICE statistics support this</w:t>
      </w:r>
      <w:r>
        <w:t xml:space="preserve">, finding </w:t>
      </w:r>
      <w:r w:rsidRPr="00870E55">
        <w:t>that only 19% of consumers earning under $50,000 per annum strongly agree that they are more likely to use a card with rewards points, compared to 32% of consumers who earn over $100,000.</w:t>
      </w:r>
      <w:r w:rsidRPr="00870E55">
        <w:rPr>
          <w:vertAlign w:val="superscript"/>
        </w:rPr>
        <w:footnoteReference w:id="8"/>
      </w:r>
    </w:p>
    <w:p w14:paraId="4FF77A8E" w14:textId="77777777" w:rsidR="00AE5EA7" w:rsidRDefault="00AE5EA7" w:rsidP="00830290">
      <w:pPr>
        <w:pStyle w:val="ChoiceBulletpoints"/>
        <w:numPr>
          <w:ilvl w:val="0"/>
          <w:numId w:val="0"/>
        </w:numPr>
      </w:pPr>
    </w:p>
    <w:p w14:paraId="6425736C" w14:textId="77777777" w:rsidR="00A16D40" w:rsidRDefault="006A0B14" w:rsidP="00AE5EA7">
      <w:pPr>
        <w:pStyle w:val="ChoiceBulletpoints"/>
      </w:pPr>
      <w:r>
        <w:t>Credit cards have become more expensive because of a reduction in interchange</w:t>
      </w:r>
      <w:r w:rsidR="00FA3AB7">
        <w:t xml:space="preserve"> fees</w:t>
      </w:r>
      <w:r>
        <w:t xml:space="preserve"> and subsequent reduction in bank profits. If interchange is reduced, annual fees will rise and some card providers may be unable to offer low rate cards.</w:t>
      </w:r>
      <w:r w:rsidR="00185A74">
        <w:t xml:space="preserve"> </w:t>
      </w:r>
    </w:p>
    <w:p w14:paraId="0BC9EE46" w14:textId="77777777" w:rsidR="00A16D40" w:rsidRDefault="00A16D40" w:rsidP="00830290">
      <w:pPr>
        <w:pStyle w:val="ChoiceBulletpoints"/>
        <w:numPr>
          <w:ilvl w:val="0"/>
          <w:numId w:val="0"/>
        </w:numPr>
      </w:pPr>
    </w:p>
    <w:p w14:paraId="72D708B6" w14:textId="77777777" w:rsidR="00BE51EA" w:rsidRDefault="00185A74" w:rsidP="00BE51EA">
      <w:pPr>
        <w:pStyle w:val="CHOICEBodyCopy"/>
        <w:rPr>
          <w:szCs w:val="22"/>
        </w:rPr>
      </w:pPr>
      <w:r>
        <w:t>This claim appears unlikely</w:t>
      </w:r>
      <w:r w:rsidR="00BE51EA">
        <w:t xml:space="preserve">. </w:t>
      </w:r>
      <w:r w:rsidR="00BE51EA">
        <w:rPr>
          <w:szCs w:val="22"/>
        </w:rPr>
        <w:t>Claims that card providers will no longer be able to offer low-rate cards haven’t proved true in the European Union. Currently, there are credit cards available with much lower interest rates than in the Australian market, despite reforms to lower interchange similar to the RBA proposal.</w:t>
      </w:r>
      <w:r w:rsidR="00BE51EA">
        <w:rPr>
          <w:rStyle w:val="FootnoteReference"/>
          <w:szCs w:val="22"/>
        </w:rPr>
        <w:footnoteReference w:id="9"/>
      </w:r>
      <w:r w:rsidR="00BE51EA">
        <w:rPr>
          <w:szCs w:val="22"/>
        </w:rPr>
        <w:t xml:space="preserve"> </w:t>
      </w:r>
    </w:p>
    <w:p w14:paraId="0265F7FA" w14:textId="77777777" w:rsidR="00BE51EA" w:rsidRDefault="00BE51EA" w:rsidP="00BE51EA">
      <w:pPr>
        <w:pStyle w:val="CHOICEBodyCopy"/>
        <w:rPr>
          <w:szCs w:val="22"/>
        </w:rPr>
      </w:pPr>
    </w:p>
    <w:p w14:paraId="5CC6A674" w14:textId="307AD39D" w:rsidR="006A0B14" w:rsidRDefault="002B6B56" w:rsidP="006A0B14">
      <w:pPr>
        <w:pStyle w:val="CHOICEBodyCopy"/>
      </w:pPr>
      <w:r>
        <w:t>It is also important to note that increasingly, the cost of providing credit has become less important while the cost of rewards cards and card scheme fees have grown. The</w:t>
      </w:r>
      <w:r w:rsidRPr="00870E55">
        <w:t xml:space="preserve"> Australian Bankers’ Association (ABA)</w:t>
      </w:r>
      <w:r>
        <w:t xml:space="preserve"> has noted that </w:t>
      </w:r>
      <w:r w:rsidRPr="00870E55">
        <w:t>funding costs for credit cards have become less important. Credit card funding comprised over half of card costs in 2008 but this has fallen t</w:t>
      </w:r>
      <w:r>
        <w:t>o only a third of costs in 2014 while r</w:t>
      </w:r>
      <w:r w:rsidRPr="00870E55">
        <w:t>ewards programs and scheme fees (payments to MasterCard, Visa etc.) have comprised a greater proportion of bank costs in recent years.</w:t>
      </w:r>
      <w:r w:rsidRPr="00870E55">
        <w:rPr>
          <w:vertAlign w:val="superscript"/>
        </w:rPr>
        <w:footnoteReference w:id="10"/>
      </w:r>
      <w:r>
        <w:t xml:space="preserve"> </w:t>
      </w:r>
      <w:r w:rsidRPr="00870E55">
        <w:t xml:space="preserve">The </w:t>
      </w:r>
      <w:r w:rsidR="00707CBA">
        <w:t xml:space="preserve">Commonwealth Bank also notes </w:t>
      </w:r>
      <w:r w:rsidRPr="00870E55">
        <w:t xml:space="preserve">that the cost of funds only contributes to 22% of </w:t>
      </w:r>
      <w:r w:rsidR="00945676">
        <w:t xml:space="preserve">its </w:t>
      </w:r>
      <w:r w:rsidRPr="00870E55">
        <w:t>credit card costs</w:t>
      </w:r>
      <w:r w:rsidR="00945676">
        <w:t>,</w:t>
      </w:r>
      <w:r w:rsidRPr="00870E55">
        <w:t xml:space="preserve"> with pricing risk, operating costs and rewards programs the other key costs.</w:t>
      </w:r>
      <w:r w:rsidRPr="00870E55">
        <w:rPr>
          <w:vertAlign w:val="superscript"/>
        </w:rPr>
        <w:footnoteReference w:id="11"/>
      </w:r>
      <w:r w:rsidRPr="00870E55">
        <w:t xml:space="preserve"> </w:t>
      </w:r>
      <w:r>
        <w:t xml:space="preserve">CHOICE expects that should interchange be lowered to 0.3%, </w:t>
      </w:r>
      <w:r w:rsidR="00945676">
        <w:t xml:space="preserve">the current business model of </w:t>
      </w:r>
      <w:r>
        <w:t xml:space="preserve">high cost rewards programs will be affected. </w:t>
      </w:r>
      <w:r w:rsidR="006F4E7F">
        <w:t>However this will not prevent schemes from marketing premium rewards cards to consumers with the costs of these programs more transparently reflected in annual fees, for example.</w:t>
      </w:r>
    </w:p>
    <w:p w14:paraId="4BECA4BB" w14:textId="77777777" w:rsidR="00563434" w:rsidRDefault="00563434" w:rsidP="006A0B14">
      <w:pPr>
        <w:pStyle w:val="CHOICEBodyCopy"/>
      </w:pPr>
    </w:p>
    <w:p w14:paraId="507865AF" w14:textId="77777777" w:rsidR="00563434" w:rsidRDefault="00F71155" w:rsidP="006A0B14">
      <w:pPr>
        <w:pStyle w:val="CHOICEBodyCopy"/>
        <w:rPr>
          <w:b/>
        </w:rPr>
      </w:pPr>
      <w:r>
        <w:rPr>
          <w:b/>
        </w:rPr>
        <w:t xml:space="preserve">Measures required to lower interchange fees </w:t>
      </w:r>
    </w:p>
    <w:p w14:paraId="35E1DCEA" w14:textId="77777777" w:rsidR="00F71155" w:rsidRDefault="00F71155" w:rsidP="00F71155">
      <w:pPr>
        <w:pStyle w:val="CHOICEBodyCopy"/>
      </w:pPr>
    </w:p>
    <w:p w14:paraId="34E4DDE4" w14:textId="77777777" w:rsidR="00381B34" w:rsidRDefault="00381B34" w:rsidP="00381B34">
      <w:pPr>
        <w:pStyle w:val="CHOICEBodyCopy"/>
      </w:pPr>
      <w:r>
        <w:t>CHOICE would like to see a combination of options presented in the RBA draft standards to reduce average interchange fee levels as well as the spread between</w:t>
      </w:r>
      <w:r w:rsidR="00FD35D5">
        <w:t xml:space="preserve"> the</w:t>
      </w:r>
      <w:r>
        <w:t xml:space="preserve"> highest and lowest interchange fees.</w:t>
      </w:r>
    </w:p>
    <w:p w14:paraId="4B214859" w14:textId="77777777" w:rsidR="00381B34" w:rsidRDefault="00381B34" w:rsidP="00F71155">
      <w:pPr>
        <w:pStyle w:val="CHOICEBodyCopy"/>
      </w:pPr>
    </w:p>
    <w:p w14:paraId="56E153F9" w14:textId="77777777" w:rsidR="00F71155" w:rsidRDefault="00BF239C" w:rsidP="00F71155">
      <w:pPr>
        <w:pStyle w:val="CHOICEBodyCopy"/>
      </w:pPr>
      <w:r>
        <w:t>Lower interchange fees</w:t>
      </w:r>
      <w:r w:rsidR="00F71155">
        <w:t xml:space="preserve"> </w:t>
      </w:r>
      <w:r w:rsidR="00FD35D5">
        <w:t>will reduce the effect of</w:t>
      </w:r>
      <w:r w:rsidR="00F71155">
        <w:t xml:space="preserve"> consumers with lower rate cards or consumers paying by other methods such as cash subsidising the higher value schemes of a small group of </w:t>
      </w:r>
      <w:r w:rsidR="00945676">
        <w:t>premium card users</w:t>
      </w:r>
      <w:r w:rsidR="00F71155">
        <w:t xml:space="preserve">. </w:t>
      </w:r>
    </w:p>
    <w:p w14:paraId="1D5F68E7" w14:textId="77777777" w:rsidR="007C3075" w:rsidRDefault="007C3075" w:rsidP="00F71155">
      <w:pPr>
        <w:pStyle w:val="CHOICEBodyCopy"/>
      </w:pPr>
    </w:p>
    <w:p w14:paraId="7048198A" w14:textId="77777777" w:rsidR="007C3075" w:rsidRDefault="007C3075" w:rsidP="00F71155">
      <w:pPr>
        <w:pStyle w:val="CHOICEBodyCopy"/>
      </w:pPr>
      <w:r>
        <w:t>The current</w:t>
      </w:r>
      <w:r w:rsidR="00381B34">
        <w:t xml:space="preserve"> interchange</w:t>
      </w:r>
      <w:r>
        <w:t xml:space="preserve"> benchmarks of 0.50% for credit card transactions and 12 cents for debit card transactions need to be lower. </w:t>
      </w:r>
      <w:r w:rsidR="00381B34">
        <w:t>CHOICE supports the proposal to reduce the weighted-average benchmarks to 0.30% for credit and 8 cents for debit. The RBA has gather</w:t>
      </w:r>
      <w:r w:rsidR="00135513">
        <w:t>ed</w:t>
      </w:r>
      <w:r w:rsidR="00381B34">
        <w:t xml:space="preserve"> more than sufficient evidence for these benchmarks in the current review as well as the 2007-08 </w:t>
      </w:r>
      <w:r w:rsidR="00381B34">
        <w:lastRenderedPageBreak/>
        <w:t>review of card payments. In addition, these levels would bring Australian regulation largely in line with measures being implemented in the European Union.</w:t>
      </w:r>
      <w:r w:rsidR="00135513">
        <w:rPr>
          <w:rStyle w:val="FootnoteReference"/>
        </w:rPr>
        <w:footnoteReference w:id="12"/>
      </w:r>
    </w:p>
    <w:p w14:paraId="1908C91B" w14:textId="77777777" w:rsidR="00830290" w:rsidRDefault="00830290" w:rsidP="00F71155">
      <w:pPr>
        <w:pStyle w:val="CHOICEBodyCopy"/>
      </w:pPr>
    </w:p>
    <w:p w14:paraId="0117E1F6" w14:textId="77777777" w:rsidR="007C3075" w:rsidRDefault="007C3075" w:rsidP="00F71155">
      <w:pPr>
        <w:pStyle w:val="CHOICEBodyCopy"/>
      </w:pPr>
      <w:r>
        <w:t xml:space="preserve">In order to ensure that average MasterCard and Visa debit and credit fees do not continue to drift above the average weighted benchmark, the RBA should </w:t>
      </w:r>
      <w:r w:rsidR="00D1036C">
        <w:t xml:space="preserve">also </w:t>
      </w:r>
      <w:r>
        <w:t xml:space="preserve">require a maximum or ceiling rate for individual interchange rates. CHOICE supports the proposed ceiling levels of 0.80% for credit and 15 cents or 0.20 % of transaction value for debit. </w:t>
      </w:r>
    </w:p>
    <w:p w14:paraId="0C4442FB" w14:textId="77777777" w:rsidR="00BF239C" w:rsidRDefault="00BF239C" w:rsidP="00F71155">
      <w:pPr>
        <w:pStyle w:val="CHOICEBodyCopy"/>
      </w:pPr>
    </w:p>
    <w:p w14:paraId="31CA5BE5" w14:textId="77777777" w:rsidR="00C72F87" w:rsidRPr="00830290" w:rsidRDefault="007C3075" w:rsidP="00F71155">
      <w:pPr>
        <w:pStyle w:val="CHOICEBodyCopy"/>
        <w:rPr>
          <w:b/>
        </w:rPr>
      </w:pPr>
      <w:r>
        <w:rPr>
          <w:b/>
        </w:rPr>
        <w:t>A</w:t>
      </w:r>
      <w:r w:rsidR="00C72F87">
        <w:rPr>
          <w:b/>
        </w:rPr>
        <w:t xml:space="preserve">nti-circumvention measures </w:t>
      </w:r>
    </w:p>
    <w:p w14:paraId="3B3434D3" w14:textId="77777777" w:rsidR="00F71155" w:rsidRDefault="00F71155" w:rsidP="006A0B14">
      <w:pPr>
        <w:pStyle w:val="CHOICEBodyCopy"/>
      </w:pPr>
    </w:p>
    <w:p w14:paraId="5CDB4F91" w14:textId="0FEEFEC4" w:rsidR="00707CBA" w:rsidRDefault="00707CBA" w:rsidP="00C72F87">
      <w:pPr>
        <w:pStyle w:val="CHOICEBodyCopy"/>
      </w:pPr>
      <w:r>
        <w:t>Measures are also required to prevent circumvention of regulation, particularly by international card schemes. Because of this,</w:t>
      </w:r>
      <w:r w:rsidR="00D1036C">
        <w:t xml:space="preserve"> it is essential that standards limit payments </w:t>
      </w:r>
      <w:r w:rsidR="006C2C63">
        <w:t xml:space="preserve">or benefits given </w:t>
      </w:r>
      <w:r w:rsidR="00D1036C">
        <w:t xml:space="preserve">by </w:t>
      </w:r>
      <w:r w:rsidR="006C2C63">
        <w:t xml:space="preserve">payment </w:t>
      </w:r>
      <w:r w:rsidR="00D1036C">
        <w:t xml:space="preserve">schemes to </w:t>
      </w:r>
      <w:r w:rsidR="006C2C63">
        <w:t xml:space="preserve">card </w:t>
      </w:r>
      <w:r w:rsidR="00D1036C">
        <w:t xml:space="preserve">issuers. Failing to </w:t>
      </w:r>
      <w:r w:rsidR="006C2C63">
        <w:t xml:space="preserve">capture scheme payments </w:t>
      </w:r>
      <w:r w:rsidR="00D1036C">
        <w:t xml:space="preserve">would create a shadow interchange-like system that would continue or exacerbate problems RBA standards are designed to address. In addition </w:t>
      </w:r>
      <w:r>
        <w:t>CHOICE recommends that commercial cards are retained in the coverage of interchange standards and that foreign-issued cards acquired in Australia are covered by the interchange standards.</w:t>
      </w:r>
    </w:p>
    <w:p w14:paraId="648845CA" w14:textId="77777777" w:rsidR="00707CBA" w:rsidRDefault="00707CBA" w:rsidP="006A0B14">
      <w:pPr>
        <w:pStyle w:val="CHOICEBodyCopy"/>
      </w:pPr>
    </w:p>
    <w:p w14:paraId="5AEA4799" w14:textId="2D8CD352" w:rsidR="00707CBA" w:rsidRDefault="00C72F87" w:rsidP="00C72F87">
      <w:pPr>
        <w:pStyle w:val="CHOICEBodyCopy"/>
      </w:pPr>
      <w:r>
        <w:t>Given that the</w:t>
      </w:r>
      <w:r w:rsidR="00707CBA">
        <w:t xml:space="preserve"> RBA has noted that the current quasi-regulatory approach ha</w:t>
      </w:r>
      <w:r w:rsidR="009125D4">
        <w:t>s</w:t>
      </w:r>
      <w:r w:rsidR="00707CBA">
        <w:t xml:space="preserve"> </w:t>
      </w:r>
      <w:r w:rsidR="006C2C63">
        <w:t xml:space="preserve">resulted in </w:t>
      </w:r>
      <w:r w:rsidR="00787F32">
        <w:t>interchange rates of</w:t>
      </w:r>
      <w:r w:rsidR="00707CBA">
        <w:t xml:space="preserve"> pre-paid cards </w:t>
      </w:r>
      <w:r w:rsidR="006C2C63">
        <w:t>staying at similar levels to</w:t>
      </w:r>
      <w:r w:rsidR="00707CBA">
        <w:t xml:space="preserve"> debit card</w:t>
      </w:r>
      <w:r w:rsidR="006C2C63">
        <w:t>s</w:t>
      </w:r>
      <w:r>
        <w:t>, CHOICE supports formalising regulation of prepaid cards consistent with debit interchange standards.</w:t>
      </w:r>
      <w:r w:rsidR="00707CBA">
        <w:t xml:space="preserve"> </w:t>
      </w:r>
      <w:r>
        <w:t>F</w:t>
      </w:r>
      <w:r w:rsidR="00707CBA">
        <w:t xml:space="preserve">ormalisation </w:t>
      </w:r>
      <w:r>
        <w:t xml:space="preserve">is unlikely </w:t>
      </w:r>
      <w:r w:rsidR="009125D4">
        <w:t xml:space="preserve">to place </w:t>
      </w:r>
      <w:r w:rsidR="00707CBA">
        <w:t>any further financial burden on issuers</w:t>
      </w:r>
      <w:r w:rsidR="009125D4">
        <w:t>,</w:t>
      </w:r>
      <w:r w:rsidR="00707CBA">
        <w:t xml:space="preserve"> while </w:t>
      </w:r>
      <w:r w:rsidR="009125D4">
        <w:t xml:space="preserve">increasing </w:t>
      </w:r>
      <w:r w:rsidR="00707CBA">
        <w:t xml:space="preserve">transparency and </w:t>
      </w:r>
      <w:r w:rsidR="006C2C63">
        <w:t xml:space="preserve">long-term </w:t>
      </w:r>
      <w:r w:rsidR="00707CBA">
        <w:t xml:space="preserve">certainty </w:t>
      </w:r>
      <w:r w:rsidR="009125D4">
        <w:t>f</w:t>
      </w:r>
      <w:r w:rsidR="00707CBA">
        <w:t>o</w:t>
      </w:r>
      <w:r w:rsidR="009125D4">
        <w:t>r</w:t>
      </w:r>
      <w:r w:rsidR="00707CBA">
        <w:t xml:space="preserve"> merchants and consumers.</w:t>
      </w:r>
      <w:r>
        <w:tab/>
      </w:r>
    </w:p>
    <w:p w14:paraId="68C9A407" w14:textId="77777777" w:rsidR="00C72F87" w:rsidRDefault="00C72F87" w:rsidP="00C72F87">
      <w:pPr>
        <w:pStyle w:val="CHOICEBodyCopy"/>
      </w:pPr>
    </w:p>
    <w:p w14:paraId="1AA68C84" w14:textId="77777777" w:rsidR="00C72F87" w:rsidRPr="00C37D01" w:rsidRDefault="00C72F87" w:rsidP="00C72F87">
      <w:pPr>
        <w:pStyle w:val="CHOICEBodyCopy"/>
        <w:rPr>
          <w:b/>
        </w:rPr>
      </w:pPr>
      <w:r>
        <w:rPr>
          <w:b/>
        </w:rPr>
        <w:t>Benchmark compliance</w:t>
      </w:r>
    </w:p>
    <w:p w14:paraId="026973FB" w14:textId="77777777" w:rsidR="00C72F87" w:rsidRDefault="00C72F87" w:rsidP="00C72F87">
      <w:pPr>
        <w:pStyle w:val="CHOICEBodyCopy"/>
      </w:pPr>
    </w:p>
    <w:p w14:paraId="2293175D" w14:textId="77777777" w:rsidR="00C72F87" w:rsidRDefault="00C72F87" w:rsidP="00C72F87">
      <w:pPr>
        <w:pStyle w:val="CHOICEBodyCopy"/>
      </w:pPr>
      <w:r>
        <w:t xml:space="preserve">CHOICE welcomes the RBA’s proposal to monitor compliance of interchange fees on a quarterly basis. It is clear that the current system of three-year compliance cycles for both credit and debit cards has not kept interchange fees at the required benchmark. This has in turn meant higher costs for merchants and consumers </w:t>
      </w:r>
    </w:p>
    <w:p w14:paraId="7FF40095" w14:textId="77777777" w:rsidR="00C72F87" w:rsidRDefault="00C72F87" w:rsidP="00C72F87">
      <w:pPr>
        <w:pStyle w:val="CHOICEBodyCopy"/>
        <w:tabs>
          <w:tab w:val="left" w:pos="8188"/>
        </w:tabs>
      </w:pPr>
      <w:r>
        <w:tab/>
      </w:r>
    </w:p>
    <w:p w14:paraId="4EC75501" w14:textId="77777777" w:rsidR="00C72F87" w:rsidRDefault="00C72F87" w:rsidP="00C72F87">
      <w:pPr>
        <w:pStyle w:val="CHOICEBodyCopy"/>
      </w:pPr>
      <w:r>
        <w:t>Typically, average interchange fees have remained above the benchmarks for MasterCard and Visa schemes. CHOICE notes that this has not been the case for ePAL, where the eftpos system has consistently remained below the benchmark.</w:t>
      </w:r>
    </w:p>
    <w:p w14:paraId="5014F163" w14:textId="77777777" w:rsidR="00C72F87" w:rsidRDefault="00C72F87" w:rsidP="00C72F87">
      <w:pPr>
        <w:pStyle w:val="CHOICEBodyCopy"/>
      </w:pPr>
    </w:p>
    <w:p w14:paraId="4E7D3DA1" w14:textId="77777777" w:rsidR="00C72F87" w:rsidRDefault="00C72F87" w:rsidP="00C72F87">
      <w:pPr>
        <w:pStyle w:val="CHOICEBodyCopy"/>
      </w:pPr>
      <w:r>
        <w:lastRenderedPageBreak/>
        <w:t>Given the disparity in interchange fees across schemes, CHOICE believes that significantly shorter compliance cycles (i.e. quarterly) are necessary to ensure that schemes do not exceed a cap or weighted average.</w:t>
      </w:r>
    </w:p>
    <w:p w14:paraId="35B21B16" w14:textId="77777777" w:rsidR="00C72F87" w:rsidRDefault="00C72F87" w:rsidP="00C72F87">
      <w:pPr>
        <w:pStyle w:val="CHOICEBodyCopy"/>
      </w:pPr>
    </w:p>
    <w:p w14:paraId="0CC5ED6B" w14:textId="77777777" w:rsidR="00C72F87" w:rsidRDefault="00C72F87" w:rsidP="00C72F87">
      <w:pPr>
        <w:pStyle w:val="CHOICEBodyCopy"/>
      </w:pPr>
      <w:r>
        <w:t>The RBA has noted that it does not believe this approach will amount to significant financial burden for scheme providers.</w:t>
      </w:r>
      <w:r>
        <w:rPr>
          <w:rStyle w:val="FootnoteReference"/>
        </w:rPr>
        <w:footnoteReference w:id="13"/>
      </w:r>
      <w:r>
        <w:t xml:space="preserve"> CHOICE believes that any costs associated with extra regulatory burden are in the public interest and will increase transparency and efficiency in the card scheme market.</w:t>
      </w:r>
    </w:p>
    <w:p w14:paraId="2031CDDB" w14:textId="77777777" w:rsidR="007C3075" w:rsidRDefault="000E2E08" w:rsidP="00830290">
      <w:pPr>
        <w:pStyle w:val="CHOICEH2"/>
      </w:pPr>
      <w:bookmarkStart w:id="6" w:name="_Toc288905810"/>
      <w:bookmarkStart w:id="7" w:name="_Toc442186488"/>
      <w:r>
        <w:t>Recommendation</w:t>
      </w:r>
      <w:bookmarkEnd w:id="6"/>
      <w:r w:rsidR="006826EB">
        <w:t>s</w:t>
      </w:r>
      <w:bookmarkEnd w:id="7"/>
    </w:p>
    <w:p w14:paraId="31B315F0" w14:textId="77777777" w:rsidR="007C3075" w:rsidRDefault="007C3075" w:rsidP="00830290">
      <w:pPr>
        <w:pStyle w:val="ChoiceBulletpoints"/>
        <w:numPr>
          <w:ilvl w:val="0"/>
          <w:numId w:val="7"/>
        </w:numPr>
      </w:pPr>
      <w:r>
        <w:t>That the RBA reduce</w:t>
      </w:r>
      <w:r w:rsidR="00737C61">
        <w:t>s</w:t>
      </w:r>
      <w:r>
        <w:t xml:space="preserve"> the weighted average interchange fee benchmarks and introduce a ceiling on individual interchange rates at the levels proposed in the options paper (combination of options two and three – interchange benchmarks and ceilings). </w:t>
      </w:r>
    </w:p>
    <w:p w14:paraId="3E5D67B0" w14:textId="77777777" w:rsidR="00D1036C" w:rsidRDefault="00D1036C" w:rsidP="00830290">
      <w:pPr>
        <w:pStyle w:val="ChoiceBulletpoints"/>
        <w:numPr>
          <w:ilvl w:val="0"/>
          <w:numId w:val="7"/>
        </w:numPr>
      </w:pPr>
      <w:r>
        <w:t>That the RBA limits payments by card schemes to issuers (option two – scheme payments).</w:t>
      </w:r>
    </w:p>
    <w:p w14:paraId="205F9A10" w14:textId="77777777" w:rsidR="00563434" w:rsidRDefault="00563434" w:rsidP="00830290">
      <w:pPr>
        <w:pStyle w:val="ChoiceBulletpoints"/>
        <w:numPr>
          <w:ilvl w:val="0"/>
          <w:numId w:val="7"/>
        </w:numPr>
      </w:pPr>
      <w:r>
        <w:t>That commercial cards are retained in the coverage of interchange standards</w:t>
      </w:r>
      <w:r w:rsidR="00707CBA">
        <w:t xml:space="preserve"> (option one – commercial cards). </w:t>
      </w:r>
    </w:p>
    <w:p w14:paraId="0EA62A76" w14:textId="77777777" w:rsidR="00707CBA" w:rsidRDefault="00707CBA" w:rsidP="00830290">
      <w:pPr>
        <w:pStyle w:val="ChoiceBulletpoints"/>
        <w:numPr>
          <w:ilvl w:val="0"/>
          <w:numId w:val="7"/>
        </w:numPr>
      </w:pPr>
      <w:r>
        <w:t xml:space="preserve">That the RBA clarifies the definitions in the Bank’s standards to include transactions in Australia with foreign-issued cards (option two – foreign-issued cards). </w:t>
      </w:r>
    </w:p>
    <w:p w14:paraId="17B7B1C2" w14:textId="77777777" w:rsidR="00C72F87" w:rsidRDefault="00C72F87" w:rsidP="00830290">
      <w:pPr>
        <w:pStyle w:val="ChoiceBulletpoints"/>
        <w:numPr>
          <w:ilvl w:val="0"/>
          <w:numId w:val="7"/>
        </w:numPr>
      </w:pPr>
      <w:r>
        <w:t>That the RBA formalise regulation for prepaid cards consistent with debit standards (option three – prepaid cards)</w:t>
      </w:r>
      <w:r w:rsidR="00D1036C">
        <w:t>.</w:t>
      </w:r>
      <w:r>
        <w:t xml:space="preserve"> </w:t>
      </w:r>
    </w:p>
    <w:p w14:paraId="7D2B1E7D" w14:textId="77777777" w:rsidR="00D67696" w:rsidRDefault="00C62976" w:rsidP="00830290">
      <w:pPr>
        <w:pStyle w:val="ChoiceBulletpoints"/>
        <w:numPr>
          <w:ilvl w:val="0"/>
          <w:numId w:val="7"/>
        </w:numPr>
      </w:pPr>
      <w:r>
        <w:t xml:space="preserve">The RBA adopts </w:t>
      </w:r>
      <w:r w:rsidR="00E41C85">
        <w:t>requires q</w:t>
      </w:r>
      <w:r>
        <w:t>uarterly compliance</w:t>
      </w:r>
      <w:r w:rsidR="00E41C85">
        <w:t xml:space="preserve"> for interchange benchmarks (option two – benchmark compliance)</w:t>
      </w:r>
      <w:r w:rsidR="006E5CD5">
        <w:t>.</w:t>
      </w:r>
    </w:p>
    <w:p w14:paraId="7A3D9865" w14:textId="77777777" w:rsidR="00C62976" w:rsidRDefault="00C62976" w:rsidP="00C62976">
      <w:pPr>
        <w:pStyle w:val="Heading1numbered"/>
      </w:pPr>
      <w:bookmarkStart w:id="8" w:name="_Toc442186489"/>
      <w:r>
        <w:t>Companion cards</w:t>
      </w:r>
      <w:bookmarkEnd w:id="8"/>
      <w:r w:rsidR="00212726">
        <w:t xml:space="preserve"> </w:t>
      </w:r>
    </w:p>
    <w:p w14:paraId="280C459E" w14:textId="77777777" w:rsidR="00C62976" w:rsidRDefault="00216EB9" w:rsidP="00C62976">
      <w:pPr>
        <w:pStyle w:val="CHOICEBodyCopy"/>
      </w:pPr>
      <w:r>
        <w:t xml:space="preserve">CHOICE notes the growing share in the market of companion cards, specifically American Express companion cards. CHOICE supports a move to bring American Express under the same regulatory framework as MasterCard and Visa, with the </w:t>
      </w:r>
      <w:r w:rsidR="006F4E7F">
        <w:t xml:space="preserve">intention </w:t>
      </w:r>
      <w:r>
        <w:t xml:space="preserve">that </w:t>
      </w:r>
      <w:r w:rsidR="00F71155">
        <w:t xml:space="preserve">this </w:t>
      </w:r>
      <w:r>
        <w:t>will reduce overall costs to consumers at the point of sale.</w:t>
      </w:r>
    </w:p>
    <w:p w14:paraId="79D779AA" w14:textId="77777777" w:rsidR="00216EB9" w:rsidRDefault="00216EB9" w:rsidP="00C62976">
      <w:pPr>
        <w:pStyle w:val="CHOICEBodyCopy"/>
      </w:pPr>
    </w:p>
    <w:p w14:paraId="5A636298" w14:textId="77777777" w:rsidR="00216EB9" w:rsidRDefault="00216EB9" w:rsidP="00C62976">
      <w:pPr>
        <w:pStyle w:val="CHOICEBodyCopy"/>
      </w:pPr>
      <w:r>
        <w:t xml:space="preserve">As noted in the consultation paper, the combined share of transactions by American Express cards has grown significantly from the early 2000s to today. </w:t>
      </w:r>
      <w:r w:rsidR="006F4E7F">
        <w:t>A</w:t>
      </w:r>
      <w:r>
        <w:t xml:space="preserve">long with Diners Club cards, </w:t>
      </w:r>
      <w:r w:rsidR="006F4E7F">
        <w:t xml:space="preserve">they </w:t>
      </w:r>
      <w:r w:rsidR="006F4E7F">
        <w:lastRenderedPageBreak/>
        <w:t xml:space="preserve">now </w:t>
      </w:r>
      <w:r>
        <w:t>account for 19 per cent of the market. This growth can be attributed to the introduction of bank-issued companion American Express rewards cards in Australia’s major banks from 2004.</w:t>
      </w:r>
      <w:r>
        <w:rPr>
          <w:rStyle w:val="FootnoteReference"/>
        </w:rPr>
        <w:footnoteReference w:id="14"/>
      </w:r>
    </w:p>
    <w:p w14:paraId="31CA5A87" w14:textId="77777777" w:rsidR="00216EB9" w:rsidRDefault="00216EB9" w:rsidP="00C62976">
      <w:pPr>
        <w:pStyle w:val="CHOICEBodyCopy"/>
      </w:pPr>
    </w:p>
    <w:p w14:paraId="3AFFC9CE" w14:textId="77777777" w:rsidR="00216EB9" w:rsidRDefault="00582763" w:rsidP="00C62976">
      <w:pPr>
        <w:pStyle w:val="CHOICEBodyCopy"/>
      </w:pPr>
      <w:r>
        <w:t>H</w:t>
      </w:r>
      <w:r w:rsidR="00216EB9">
        <w:t>igh</w:t>
      </w:r>
      <w:r>
        <w:t xml:space="preserve"> interchange rates on</w:t>
      </w:r>
      <w:r w:rsidR="00216EB9">
        <w:t xml:space="preserve"> American Express </w:t>
      </w:r>
      <w:r>
        <w:t xml:space="preserve">companion </w:t>
      </w:r>
      <w:r w:rsidR="00216EB9">
        <w:t>cards and their increasing growth in the market contribute</w:t>
      </w:r>
      <w:r w:rsidR="007A37A0">
        <w:t>s</w:t>
      </w:r>
      <w:r w:rsidR="00216EB9">
        <w:t xml:space="preserve"> to higher </w:t>
      </w:r>
      <w:r w:rsidR="007A37A0">
        <w:t xml:space="preserve">overall </w:t>
      </w:r>
      <w:r w:rsidR="00216EB9">
        <w:t xml:space="preserve">costs for consumers. Bringing American Express under the same regulatory framework as MasterCard and Visa would ensure both reduced costs to </w:t>
      </w:r>
      <w:r w:rsidR="008541B7">
        <w:t>the consumer and reduced complexity for businesses when accepting card payments.</w:t>
      </w:r>
      <w:r>
        <w:t xml:space="preserve"> Regulation needs to prevent any ‘interchange-like issuer payments’ in order to prevent card schemes circumventing regulation. </w:t>
      </w:r>
    </w:p>
    <w:p w14:paraId="01EDB8BC" w14:textId="77777777" w:rsidR="00582763" w:rsidRDefault="00582763" w:rsidP="00C62976">
      <w:pPr>
        <w:pStyle w:val="CHOICEBodyCopy"/>
      </w:pPr>
    </w:p>
    <w:p w14:paraId="17D4B00F" w14:textId="77777777" w:rsidR="007A37A0" w:rsidRDefault="00582763" w:rsidP="00C62976">
      <w:pPr>
        <w:pStyle w:val="CHOICEBodyCopy"/>
      </w:pPr>
      <w:r>
        <w:t>Other options</w:t>
      </w:r>
      <w:r w:rsidR="00F71155">
        <w:t xml:space="preserve"> for companion card regulation</w:t>
      </w:r>
      <w:r>
        <w:t xml:space="preserve"> presented in the RBA paper will lead to poor consumer outcomes. Option one, retaining current arrangements, will</w:t>
      </w:r>
      <w:r w:rsidR="00A16D40">
        <w:t xml:space="preserve"> continue to undermine current regulation and </w:t>
      </w:r>
      <w:r w:rsidR="000A059C">
        <w:t xml:space="preserve">perpetuate </w:t>
      </w:r>
      <w:r w:rsidR="00A16D40">
        <w:t>high</w:t>
      </w:r>
      <w:r w:rsidR="000A059C">
        <w:t>er</w:t>
      </w:r>
      <w:r w:rsidR="00A16D40">
        <w:t xml:space="preserve"> overall costs for consumers. </w:t>
      </w:r>
      <w:r>
        <w:t>Option two, removing interchange regulation, will lead to the pre-2003 situation of high and hidden costs for consumers through high interchange fees.</w:t>
      </w:r>
      <w:r w:rsidR="003264CE">
        <w:rPr>
          <w:rStyle w:val="FootnoteReference"/>
        </w:rPr>
        <w:footnoteReference w:id="15"/>
      </w:r>
    </w:p>
    <w:p w14:paraId="5572E5EC" w14:textId="77777777" w:rsidR="008541B7" w:rsidRDefault="008541B7" w:rsidP="008541B7">
      <w:pPr>
        <w:pStyle w:val="CHOICEH2"/>
      </w:pPr>
      <w:bookmarkStart w:id="9" w:name="_Toc442186490"/>
      <w:r>
        <w:t>Recommendations</w:t>
      </w:r>
      <w:bookmarkEnd w:id="9"/>
    </w:p>
    <w:p w14:paraId="33EB819A" w14:textId="77777777" w:rsidR="008541B7" w:rsidRDefault="00212726" w:rsidP="00830290">
      <w:pPr>
        <w:pStyle w:val="ChoiceBulletpoints"/>
        <w:numPr>
          <w:ilvl w:val="0"/>
          <w:numId w:val="7"/>
        </w:numPr>
      </w:pPr>
      <w:r>
        <w:t xml:space="preserve">The RBA </w:t>
      </w:r>
      <w:r w:rsidR="00FD35D5">
        <w:t xml:space="preserve">regulates </w:t>
      </w:r>
      <w:r>
        <w:t>issuer fees and other payments to issuers</w:t>
      </w:r>
      <w:r w:rsidR="00FD35D5">
        <w:t xml:space="preserve"> for companion cards (option three - companion cards)</w:t>
      </w:r>
      <w:r>
        <w:t>.</w:t>
      </w:r>
    </w:p>
    <w:p w14:paraId="6CD7B5E0" w14:textId="77777777" w:rsidR="00212726" w:rsidRDefault="00212726" w:rsidP="00212726">
      <w:pPr>
        <w:pStyle w:val="Heading1numbered"/>
      </w:pPr>
      <w:bookmarkStart w:id="10" w:name="_Toc442186491"/>
      <w:r>
        <w:t>Surcharging</w:t>
      </w:r>
      <w:bookmarkEnd w:id="10"/>
    </w:p>
    <w:p w14:paraId="2A6956C6" w14:textId="77777777" w:rsidR="00212726" w:rsidRDefault="00212726" w:rsidP="00212726">
      <w:pPr>
        <w:pStyle w:val="CHOICEBodyCopy"/>
      </w:pPr>
      <w:r>
        <w:t xml:space="preserve">Surcharging can improve the efficiency of the payments system when it provides accurate price signals to consumers. </w:t>
      </w:r>
      <w:r w:rsidR="00FD35D5">
        <w:t>S</w:t>
      </w:r>
      <w:r>
        <w:t>urcharges</w:t>
      </w:r>
      <w:r w:rsidR="007A37A0">
        <w:t xml:space="preserve"> </w:t>
      </w:r>
      <w:r>
        <w:t>should always reflect the costs incurred by the merchant.</w:t>
      </w:r>
    </w:p>
    <w:p w14:paraId="2632C246" w14:textId="77777777" w:rsidR="00212726" w:rsidRDefault="00212726" w:rsidP="00212726">
      <w:pPr>
        <w:pStyle w:val="CHOICEBodyCopy"/>
      </w:pPr>
    </w:p>
    <w:p w14:paraId="0453B0D4" w14:textId="77777777" w:rsidR="00212726" w:rsidRDefault="00212726" w:rsidP="00212726">
      <w:pPr>
        <w:pStyle w:val="CHOICEBodyCopy"/>
      </w:pPr>
      <w:r>
        <w:t>CHOICE has become increasingly concerned at instances of excessive surcharging in several industries and continues to advocate for reduced surcharging where it does not accurately reflect the costs associated with processing payments. It has become increasingly obvious that some businesses, particularly in the travel, tourism and entertainment industries, are charging excessive surcharges for credit card payments – well beyond the cost incurred for receiving the payment.</w:t>
      </w:r>
    </w:p>
    <w:p w14:paraId="19B36DBD" w14:textId="77777777" w:rsidR="00DD6BE4" w:rsidRDefault="00DD6BE4" w:rsidP="00212726">
      <w:pPr>
        <w:pStyle w:val="CHOICEBodyCopy"/>
      </w:pPr>
    </w:p>
    <w:p w14:paraId="1385B265" w14:textId="77777777" w:rsidR="009D6C4B" w:rsidRDefault="00EA1769" w:rsidP="00212726">
      <w:pPr>
        <w:pStyle w:val="CHOICEBodyCopy"/>
      </w:pPr>
      <w:r>
        <w:t xml:space="preserve">This is particularly reflected in industries that charge a fixed dollar surcharge, such as airlines, where the surcharge will often not accurately reflect the cost of processing the payment. </w:t>
      </w:r>
    </w:p>
    <w:p w14:paraId="0B199227" w14:textId="77777777" w:rsidR="00FD35D5" w:rsidRDefault="00FD35D5" w:rsidP="00212726">
      <w:pPr>
        <w:pStyle w:val="CHOICEBodyCopy"/>
      </w:pPr>
    </w:p>
    <w:p w14:paraId="38CA852E" w14:textId="77777777" w:rsidR="00EA1769" w:rsidRDefault="00EA1769" w:rsidP="00212726">
      <w:pPr>
        <w:pStyle w:val="CHOICEBodyCopy"/>
      </w:pPr>
    </w:p>
    <w:p w14:paraId="4C64073C" w14:textId="77777777" w:rsidR="0089575C" w:rsidRDefault="0089575C" w:rsidP="0089575C">
      <w:pPr>
        <w:pStyle w:val="CHOICEBodyCopy"/>
        <w:rPr>
          <w:b/>
          <w:bCs/>
          <w:u w:val="single"/>
        </w:rPr>
      </w:pPr>
      <w:r w:rsidRPr="0089575C">
        <w:rPr>
          <w:b/>
          <w:bCs/>
          <w:u w:val="single"/>
        </w:rPr>
        <w:t>Airline excessive credit card surcharging</w:t>
      </w:r>
      <w:r w:rsidR="00FD35D5">
        <w:rPr>
          <w:b/>
          <w:bCs/>
          <w:u w:val="single"/>
        </w:rPr>
        <w:t xml:space="preserve"> in 2016</w:t>
      </w:r>
    </w:p>
    <w:p w14:paraId="34765440" w14:textId="77777777" w:rsidR="0089575C" w:rsidRPr="0089575C" w:rsidRDefault="0089575C" w:rsidP="0089575C">
      <w:pPr>
        <w:pStyle w:val="CHOICEBodyCopy"/>
      </w:pPr>
    </w:p>
    <w:tbl>
      <w:tblPr>
        <w:tblW w:w="0" w:type="auto"/>
        <w:shd w:val="clear" w:color="auto" w:fill="FFFFFF"/>
        <w:tblCellMar>
          <w:left w:w="0" w:type="dxa"/>
          <w:right w:w="0" w:type="dxa"/>
        </w:tblCellMar>
        <w:tblLook w:val="04A0" w:firstRow="1" w:lastRow="0" w:firstColumn="1" w:lastColumn="0" w:noHBand="0" w:noVBand="1"/>
      </w:tblPr>
      <w:tblGrid>
        <w:gridCol w:w="1384"/>
        <w:gridCol w:w="1559"/>
        <w:gridCol w:w="1701"/>
        <w:gridCol w:w="2410"/>
        <w:gridCol w:w="2188"/>
      </w:tblGrid>
      <w:tr w:rsidR="0089575C" w:rsidRPr="0089575C" w14:paraId="4EA5FC82" w14:textId="77777777" w:rsidTr="0089575C">
        <w:tc>
          <w:tcPr>
            <w:tcW w:w="138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A8AF1B8" w14:textId="77777777" w:rsidR="0089575C" w:rsidRPr="0089575C" w:rsidRDefault="0089575C" w:rsidP="0089575C">
            <w:pPr>
              <w:pStyle w:val="CHOICEBodyCopy"/>
            </w:pPr>
            <w:r w:rsidRPr="0089575C">
              <w:rPr>
                <w:b/>
                <w:bCs/>
              </w:rPr>
              <w:t>Airline</w:t>
            </w:r>
          </w:p>
        </w:tc>
        <w:tc>
          <w:tcPr>
            <w:tcW w:w="155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7F67EAD8" w14:textId="77777777" w:rsidR="0089575C" w:rsidRPr="0089575C" w:rsidRDefault="0089575C" w:rsidP="0089575C">
            <w:pPr>
              <w:pStyle w:val="CHOICEBodyCopy"/>
            </w:pPr>
            <w:r w:rsidRPr="0089575C">
              <w:rPr>
                <w:b/>
                <w:bCs/>
              </w:rPr>
              <w:t>Ticket cost</w:t>
            </w:r>
            <w:r>
              <w:rPr>
                <w:rStyle w:val="FootnoteReference"/>
                <w:b/>
                <w:bCs/>
              </w:rPr>
              <w:footnoteReference w:id="16"/>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50A959DA" w14:textId="77777777" w:rsidR="0089575C" w:rsidRPr="0089575C" w:rsidRDefault="0089575C" w:rsidP="0089575C">
            <w:pPr>
              <w:pStyle w:val="CHOICEBodyCopy"/>
            </w:pPr>
            <w:r w:rsidRPr="0089575C">
              <w:rPr>
                <w:b/>
                <w:bCs/>
              </w:rPr>
              <w:t>Booking fee</w:t>
            </w:r>
          </w:p>
        </w:tc>
        <w:tc>
          <w:tcPr>
            <w:tcW w:w="241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0BE8E3EE" w14:textId="77777777" w:rsidR="0089575C" w:rsidRPr="0089575C" w:rsidRDefault="0089575C" w:rsidP="0089575C">
            <w:pPr>
              <w:pStyle w:val="CHOICEBodyCopy"/>
            </w:pPr>
            <w:r>
              <w:rPr>
                <w:b/>
                <w:bCs/>
              </w:rPr>
              <w:t>Likely average</w:t>
            </w:r>
            <w:r w:rsidRPr="0089575C">
              <w:rPr>
                <w:b/>
                <w:bCs/>
              </w:rPr>
              <w:t xml:space="preserve"> fee incurred by merchant</w:t>
            </w:r>
            <w:r>
              <w:rPr>
                <w:rStyle w:val="FootnoteReference"/>
                <w:b/>
                <w:bCs/>
              </w:rPr>
              <w:footnoteReference w:id="17"/>
            </w:r>
          </w:p>
        </w:tc>
        <w:tc>
          <w:tcPr>
            <w:tcW w:w="218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007CCBE0" w14:textId="77777777" w:rsidR="0089575C" w:rsidRPr="0089575C" w:rsidRDefault="0089575C" w:rsidP="0089575C">
            <w:pPr>
              <w:pStyle w:val="CHOICEBodyCopy"/>
            </w:pPr>
            <w:r w:rsidRPr="0089575C">
              <w:rPr>
                <w:b/>
                <w:bCs/>
              </w:rPr>
              <w:t>Percentage mark-up</w:t>
            </w:r>
          </w:p>
        </w:tc>
      </w:tr>
      <w:tr w:rsidR="0089575C" w:rsidRPr="0089575C" w14:paraId="4D9BB0DB" w14:textId="77777777" w:rsidTr="0089575C">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0D4E08B" w14:textId="77777777" w:rsidR="0089575C" w:rsidRPr="0089575C" w:rsidRDefault="0089575C" w:rsidP="0089575C">
            <w:pPr>
              <w:pStyle w:val="CHOICEBodyCopy"/>
            </w:pPr>
            <w:r w:rsidRPr="0089575C">
              <w:rPr>
                <w:b/>
                <w:bCs/>
              </w:rPr>
              <w:t>QANTAS</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1B70738" w14:textId="77777777" w:rsidR="0089575C" w:rsidRPr="0089575C" w:rsidRDefault="0089575C" w:rsidP="0089575C">
            <w:pPr>
              <w:pStyle w:val="CHOICEBodyCopy"/>
            </w:pPr>
            <w:r w:rsidRPr="0089575C">
              <w:t>$200</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59CB733" w14:textId="77777777" w:rsidR="0089575C" w:rsidRPr="0089575C" w:rsidRDefault="0089575C" w:rsidP="0089575C">
            <w:pPr>
              <w:pStyle w:val="CHOICEBodyCopy"/>
            </w:pPr>
            <w:r w:rsidRPr="0089575C">
              <w:t>$7</w:t>
            </w: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82D00C8" w14:textId="77777777" w:rsidR="0089575C" w:rsidRPr="0089575C" w:rsidRDefault="0089575C" w:rsidP="0089575C">
            <w:pPr>
              <w:pStyle w:val="CHOICEBodyCopy"/>
            </w:pPr>
            <w:r w:rsidRPr="0089575C">
              <w:t>$1.56</w:t>
            </w:r>
          </w:p>
        </w:tc>
        <w:tc>
          <w:tcPr>
            <w:tcW w:w="21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183F004" w14:textId="77777777" w:rsidR="0089575C" w:rsidRPr="0089575C" w:rsidRDefault="0089575C" w:rsidP="0089575C">
            <w:pPr>
              <w:pStyle w:val="CHOICEBodyCopy"/>
            </w:pPr>
            <w:r w:rsidRPr="0089575C">
              <w:t>348.72%</w:t>
            </w:r>
          </w:p>
        </w:tc>
      </w:tr>
      <w:tr w:rsidR="0089575C" w:rsidRPr="0089575C" w14:paraId="429C306B" w14:textId="77777777" w:rsidTr="0089575C">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8DC8E82" w14:textId="77777777" w:rsidR="0089575C" w:rsidRPr="0089575C" w:rsidRDefault="0089575C" w:rsidP="0089575C">
            <w:pPr>
              <w:pStyle w:val="CHOICEBodyCopy"/>
            </w:pPr>
            <w:r w:rsidRPr="0089575C">
              <w:rPr>
                <w:b/>
                <w:bCs/>
              </w:rPr>
              <w:t>Virgin</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053FFF8" w14:textId="77777777" w:rsidR="0089575C" w:rsidRPr="0089575C" w:rsidRDefault="0089575C" w:rsidP="0089575C">
            <w:pPr>
              <w:pStyle w:val="CHOICEBodyCopy"/>
            </w:pPr>
            <w:r w:rsidRPr="0089575C">
              <w:t>$135</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18FB8C4" w14:textId="77777777" w:rsidR="0089575C" w:rsidRPr="0089575C" w:rsidRDefault="0089575C" w:rsidP="0089575C">
            <w:pPr>
              <w:pStyle w:val="CHOICEBodyCopy"/>
            </w:pPr>
            <w:r w:rsidRPr="0089575C">
              <w:t>$7.70</w:t>
            </w: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1B011CA" w14:textId="77777777" w:rsidR="0089575C" w:rsidRPr="0089575C" w:rsidRDefault="0089575C" w:rsidP="0089575C">
            <w:pPr>
              <w:pStyle w:val="CHOICEBodyCopy"/>
            </w:pPr>
            <w:r w:rsidRPr="0089575C">
              <w:t>$1.05</w:t>
            </w:r>
          </w:p>
        </w:tc>
        <w:tc>
          <w:tcPr>
            <w:tcW w:w="21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AA76360" w14:textId="77777777" w:rsidR="0089575C" w:rsidRPr="0089575C" w:rsidRDefault="0089575C" w:rsidP="0089575C">
            <w:pPr>
              <w:pStyle w:val="CHOICEBodyCopy"/>
            </w:pPr>
            <w:r w:rsidRPr="0089575C">
              <w:t>633.33%</w:t>
            </w:r>
          </w:p>
        </w:tc>
      </w:tr>
      <w:tr w:rsidR="0089575C" w:rsidRPr="0089575C" w14:paraId="24E70E86" w14:textId="77777777" w:rsidTr="0089575C">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CFA4AD7" w14:textId="77777777" w:rsidR="0089575C" w:rsidRPr="0089575C" w:rsidRDefault="0089575C" w:rsidP="0089575C">
            <w:pPr>
              <w:pStyle w:val="CHOICEBodyCopy"/>
            </w:pPr>
            <w:r w:rsidRPr="0089575C">
              <w:rPr>
                <w:b/>
                <w:bCs/>
              </w:rPr>
              <w:t>Jetstar</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9160F5F" w14:textId="77777777" w:rsidR="0089575C" w:rsidRPr="0089575C" w:rsidRDefault="0089575C" w:rsidP="0089575C">
            <w:pPr>
              <w:pStyle w:val="CHOICEBodyCopy"/>
            </w:pPr>
            <w:r w:rsidRPr="0089575C">
              <w:t>$85</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E586D54" w14:textId="77777777" w:rsidR="0089575C" w:rsidRPr="0089575C" w:rsidRDefault="0089575C" w:rsidP="0089575C">
            <w:pPr>
              <w:pStyle w:val="CHOICEBodyCopy"/>
            </w:pPr>
            <w:r w:rsidRPr="0089575C">
              <w:t>$8.50</w:t>
            </w: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16703BC" w14:textId="77777777" w:rsidR="0089575C" w:rsidRPr="0089575C" w:rsidRDefault="0089575C" w:rsidP="0089575C">
            <w:pPr>
              <w:pStyle w:val="CHOICEBodyCopy"/>
            </w:pPr>
            <w:r w:rsidRPr="0089575C">
              <w:t>$0.66</w:t>
            </w:r>
          </w:p>
        </w:tc>
        <w:tc>
          <w:tcPr>
            <w:tcW w:w="21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807236E" w14:textId="77777777" w:rsidR="0089575C" w:rsidRPr="0089575C" w:rsidRDefault="0089575C" w:rsidP="0089575C">
            <w:pPr>
              <w:pStyle w:val="CHOICEBodyCopy"/>
            </w:pPr>
            <w:r w:rsidRPr="0089575C">
              <w:t>1187.88%</w:t>
            </w:r>
          </w:p>
        </w:tc>
      </w:tr>
      <w:tr w:rsidR="0089575C" w:rsidRPr="0089575C" w14:paraId="12281BD2" w14:textId="77777777" w:rsidTr="0089575C">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F25032B" w14:textId="77777777" w:rsidR="0089575C" w:rsidRPr="0089575C" w:rsidRDefault="0089575C" w:rsidP="0089575C">
            <w:pPr>
              <w:pStyle w:val="CHOICEBodyCopy"/>
            </w:pPr>
            <w:r w:rsidRPr="0089575C">
              <w:rPr>
                <w:b/>
                <w:bCs/>
              </w:rPr>
              <w:t>Tiger</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9F77651" w14:textId="77777777" w:rsidR="0089575C" w:rsidRPr="0089575C" w:rsidRDefault="0089575C" w:rsidP="0089575C">
            <w:pPr>
              <w:pStyle w:val="CHOICEBodyCopy"/>
            </w:pPr>
            <w:r w:rsidRPr="0089575C">
              <w:t>$95</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582D846" w14:textId="77777777" w:rsidR="0089575C" w:rsidRPr="0089575C" w:rsidRDefault="0089575C" w:rsidP="0089575C">
            <w:pPr>
              <w:pStyle w:val="CHOICEBodyCopy"/>
            </w:pPr>
            <w:r w:rsidRPr="0089575C">
              <w:t>$8.50</w:t>
            </w:r>
          </w:p>
        </w:tc>
        <w:tc>
          <w:tcPr>
            <w:tcW w:w="2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7AF968D" w14:textId="77777777" w:rsidR="0089575C" w:rsidRPr="0089575C" w:rsidRDefault="0089575C" w:rsidP="0089575C">
            <w:pPr>
              <w:pStyle w:val="CHOICEBodyCopy"/>
            </w:pPr>
            <w:r w:rsidRPr="0089575C">
              <w:t>$0.74</w:t>
            </w:r>
          </w:p>
        </w:tc>
        <w:tc>
          <w:tcPr>
            <w:tcW w:w="21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62F5DA3" w14:textId="77777777" w:rsidR="0089575C" w:rsidRPr="0089575C" w:rsidRDefault="0089575C" w:rsidP="0089575C">
            <w:pPr>
              <w:pStyle w:val="CHOICEBodyCopy"/>
            </w:pPr>
            <w:r w:rsidRPr="0089575C">
              <w:t>1048.65%</w:t>
            </w:r>
          </w:p>
        </w:tc>
      </w:tr>
    </w:tbl>
    <w:p w14:paraId="27C00675" w14:textId="77777777" w:rsidR="0089575C" w:rsidRPr="0089575C" w:rsidRDefault="0089575C" w:rsidP="0089575C">
      <w:pPr>
        <w:pStyle w:val="CHOICEBodyCopy"/>
      </w:pPr>
    </w:p>
    <w:p w14:paraId="0CC46EB4" w14:textId="77777777" w:rsidR="00212726" w:rsidRDefault="00212726" w:rsidP="00212726">
      <w:pPr>
        <w:pStyle w:val="CHOICEBodyCopy"/>
      </w:pPr>
    </w:p>
    <w:p w14:paraId="66D7ABB5" w14:textId="77777777" w:rsidR="003264CE" w:rsidRDefault="00212726" w:rsidP="00212726">
      <w:pPr>
        <w:pStyle w:val="CHOICEBodyCopy"/>
      </w:pPr>
      <w:r>
        <w:t xml:space="preserve">CHOICE does not believe that a “no surcharge” regime would be beneficial to consumers, and supports </w:t>
      </w:r>
      <w:r w:rsidR="00185A74">
        <w:t>initiatives</w:t>
      </w:r>
      <w:r>
        <w:t xml:space="preserve"> </w:t>
      </w:r>
      <w:r w:rsidR="00185A74">
        <w:t xml:space="preserve">from </w:t>
      </w:r>
      <w:r w:rsidR="003264CE">
        <w:t xml:space="preserve">the RBA, ACCC and the Federal </w:t>
      </w:r>
      <w:r w:rsidR="000A059C">
        <w:t xml:space="preserve">Government </w:t>
      </w:r>
      <w:r w:rsidR="00185A74">
        <w:t xml:space="preserve">that will lead to </w:t>
      </w:r>
      <w:r>
        <w:t xml:space="preserve">fairer surcharging. </w:t>
      </w:r>
    </w:p>
    <w:p w14:paraId="7AE3210E" w14:textId="77777777" w:rsidR="003264CE" w:rsidRDefault="003264CE" w:rsidP="00212726">
      <w:pPr>
        <w:pStyle w:val="CHOICEBodyCopy"/>
      </w:pPr>
    </w:p>
    <w:p w14:paraId="76782246" w14:textId="77777777" w:rsidR="00212726" w:rsidRDefault="00212726" w:rsidP="00212726">
      <w:pPr>
        <w:pStyle w:val="CHOICEBodyCopy"/>
      </w:pPr>
      <w:r>
        <w:t>A</w:t>
      </w:r>
      <w:r w:rsidRPr="00332BBE">
        <w:t>ny return to a “no surcharge” regime would shift the costs from consumers who choose a specific payment type to all consumers, as costs are absorbed into the overall price of goods and services. Such a change would disadvantage consumers using lower cost payment methods like eftpos or cash while subsidising users of higher cost credit cards.</w:t>
      </w:r>
    </w:p>
    <w:p w14:paraId="79C7D1EF" w14:textId="77777777" w:rsidR="00212726" w:rsidRDefault="00212726" w:rsidP="00212726">
      <w:pPr>
        <w:pStyle w:val="CHOICEBodyCopy"/>
      </w:pPr>
    </w:p>
    <w:p w14:paraId="01CDBD6E" w14:textId="77777777" w:rsidR="00212726" w:rsidRDefault="00212726" w:rsidP="00212726">
      <w:pPr>
        <w:pStyle w:val="CHOICEBodyCopy"/>
      </w:pPr>
      <w:r>
        <w:t>With</w:t>
      </w:r>
      <w:r w:rsidR="00EA1769">
        <w:t xml:space="preserve"> the expected finalisation of the </w:t>
      </w:r>
      <w:r w:rsidR="00EA1769">
        <w:rPr>
          <w:i/>
        </w:rPr>
        <w:t>Competition and Consumer Amendment (Payment Surcharges) Bill 2015</w:t>
      </w:r>
      <w:r w:rsidR="00EA1769">
        <w:t xml:space="preserve"> CHOICE hopes that enforcement </w:t>
      </w:r>
      <w:r w:rsidR="000A059C">
        <w:t xml:space="preserve">action against </w:t>
      </w:r>
      <w:r w:rsidR="00EA1769">
        <w:t>businesses engaging in excessive surcharging will be swift.</w:t>
      </w:r>
      <w:r w:rsidR="003264CE">
        <w:rPr>
          <w:rStyle w:val="FootnoteReference"/>
        </w:rPr>
        <w:footnoteReference w:id="18"/>
      </w:r>
      <w:r w:rsidR="00EA1769">
        <w:t xml:space="preserve"> This, along with the recommendations proposed by the RBA in its consultation paper, will provide merchants and banks with a framework for fairer surcharging.</w:t>
      </w:r>
    </w:p>
    <w:p w14:paraId="4CE8E553" w14:textId="77777777" w:rsidR="00EA1769" w:rsidRDefault="00EA1769" w:rsidP="00212726">
      <w:pPr>
        <w:pStyle w:val="CHOICEBodyCopy"/>
      </w:pPr>
    </w:p>
    <w:p w14:paraId="1DB27C1F" w14:textId="77777777" w:rsidR="00EA1769" w:rsidRDefault="00EA1769" w:rsidP="00212726">
      <w:pPr>
        <w:pStyle w:val="CHOICEBodyCopy"/>
      </w:pPr>
      <w:r>
        <w:lastRenderedPageBreak/>
        <w:t xml:space="preserve">CHOICE still believes that there </w:t>
      </w:r>
      <w:r w:rsidR="003264CE">
        <w:t>may</w:t>
      </w:r>
      <w:r>
        <w:t xml:space="preserve"> not be enough </w:t>
      </w:r>
      <w:r w:rsidR="003264CE">
        <w:t xml:space="preserve">avenues </w:t>
      </w:r>
      <w:r>
        <w:t>for consumers to report merchants en</w:t>
      </w:r>
      <w:r w:rsidR="00C01765">
        <w:t>gaging in excessive surcharging and would encourage a robust and accessible reporting system for consumers, either to the RBA or to the ACCC directly.</w:t>
      </w:r>
    </w:p>
    <w:p w14:paraId="63506902" w14:textId="77777777" w:rsidR="00C01765" w:rsidRDefault="00C01765" w:rsidP="00212726">
      <w:pPr>
        <w:pStyle w:val="CHOICEBodyCopy"/>
      </w:pPr>
    </w:p>
    <w:p w14:paraId="1ED950F6" w14:textId="77777777" w:rsidR="00C01765" w:rsidRDefault="00C01765" w:rsidP="00212726">
      <w:pPr>
        <w:pStyle w:val="CHOICEBodyCopy"/>
      </w:pPr>
      <w:r>
        <w:t>CHOICE will be pursuing th</w:t>
      </w:r>
      <w:r w:rsidR="00491F8E">
        <w:t xml:space="preserve">e issue of consumer reporting of excessive surcharging and how </w:t>
      </w:r>
      <w:r w:rsidR="003264CE">
        <w:t>such a system</w:t>
      </w:r>
      <w:r w:rsidR="00491F8E">
        <w:t xml:space="preserve"> may assist the ACCC in enforcing new regulatio</w:t>
      </w:r>
      <w:r w:rsidR="003264CE">
        <w:t>ns around excessive surcharging, as well as how a system may engage consumers in reporting unfair behaviour.</w:t>
      </w:r>
    </w:p>
    <w:p w14:paraId="1203C20A" w14:textId="77777777" w:rsidR="00491F8E" w:rsidRDefault="00491F8E" w:rsidP="00491F8E">
      <w:pPr>
        <w:pStyle w:val="CHOICEH2"/>
      </w:pPr>
      <w:bookmarkStart w:id="11" w:name="_Toc442186492"/>
      <w:r>
        <w:t>Recommendations</w:t>
      </w:r>
      <w:bookmarkEnd w:id="11"/>
    </w:p>
    <w:p w14:paraId="3537B6DA" w14:textId="77777777" w:rsidR="00491F8E" w:rsidRDefault="00491F8E" w:rsidP="00830290">
      <w:pPr>
        <w:pStyle w:val="ChoiceBulletpoints"/>
        <w:numPr>
          <w:ilvl w:val="0"/>
          <w:numId w:val="7"/>
        </w:numPr>
      </w:pPr>
      <w:r>
        <w:t xml:space="preserve">The </w:t>
      </w:r>
      <w:r w:rsidR="004028C3">
        <w:t>RBA makes modifications</w:t>
      </w:r>
      <w:r>
        <w:t xml:space="preserve"> to the cost of acceptance framework</w:t>
      </w:r>
      <w:r w:rsidR="004028C3">
        <w:t xml:space="preserve"> (option three – surcharging)</w:t>
      </w:r>
      <w:r w:rsidR="006E5CD5">
        <w:t>.</w:t>
      </w:r>
    </w:p>
    <w:p w14:paraId="356E8C08" w14:textId="77777777" w:rsidR="00491F8E" w:rsidRDefault="00491F8E" w:rsidP="00830290">
      <w:pPr>
        <w:pStyle w:val="ChoiceBulletpoints"/>
        <w:numPr>
          <w:ilvl w:val="0"/>
          <w:numId w:val="7"/>
        </w:numPr>
      </w:pPr>
      <w:r>
        <w:t>The RBA and ACCC consult consumer advocates on how</w:t>
      </w:r>
      <w:r w:rsidR="003264CE">
        <w:t xml:space="preserve"> consumer</w:t>
      </w:r>
      <w:r>
        <w:t xml:space="preserve"> reporting of excessive surcharging can best assist enforcement efforts</w:t>
      </w:r>
      <w:r w:rsidR="006E5CD5">
        <w:t>.</w:t>
      </w:r>
    </w:p>
    <w:sectPr w:rsidR="00491F8E" w:rsidSect="006E09E2">
      <w:headerReference w:type="default" r:id="rId17"/>
      <w:footerReference w:type="even" r:id="rId18"/>
      <w:footerReference w:type="default" r:id="rId19"/>
      <w:endnotePr>
        <w:numFmt w:val="decimal"/>
      </w:endnotePr>
      <w:pgSz w:w="11900" w:h="16840"/>
      <w:pgMar w:top="2552" w:right="1418" w:bottom="1985" w:left="1134" w:header="0" w:footer="284"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A563783" w15:done="0"/>
  <w15:commentEx w15:paraId="289C44AE" w15:done="0"/>
  <w15:commentEx w15:paraId="0E038182" w15:done="0"/>
  <w15:commentEx w15:paraId="378C17D7" w15:done="0"/>
  <w15:commentEx w15:paraId="147B751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86F7C6" w14:textId="77777777" w:rsidR="005024B0" w:rsidRDefault="005024B0" w:rsidP="008657BB">
      <w:r>
        <w:separator/>
      </w:r>
    </w:p>
    <w:p w14:paraId="43DC34EE" w14:textId="77777777" w:rsidR="005024B0" w:rsidRDefault="005024B0"/>
  </w:endnote>
  <w:endnote w:type="continuationSeparator" w:id="0">
    <w:p w14:paraId="561A7DD3" w14:textId="77777777" w:rsidR="005024B0" w:rsidRDefault="005024B0" w:rsidP="008657BB">
      <w:r>
        <w:continuationSeparator/>
      </w:r>
    </w:p>
    <w:p w14:paraId="5159E77C" w14:textId="77777777" w:rsidR="005024B0" w:rsidRDefault="005024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andon Grotesque Light">
    <w:altName w:val="Arial"/>
    <w:panose1 w:val="00000000000000000000"/>
    <w:charset w:val="00"/>
    <w:family w:val="swiss"/>
    <w:notTrueType/>
    <w:pitch w:val="variable"/>
    <w:sig w:usb0="A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NeueLT Pro 45 Lt">
    <w:altName w:val="Arial"/>
    <w:panose1 w:val="00000000000000000000"/>
    <w:charset w:val="00"/>
    <w:family w:val="swiss"/>
    <w:notTrueType/>
    <w:pitch w:val="variable"/>
    <w:sig w:usb0="800000AF" w:usb1="5000205B" w:usb2="00000000" w:usb3="00000000" w:csb0="0000009B" w:csb1="00000000"/>
  </w:font>
  <w:font w:name="Brandon Grotesque Bold">
    <w:altName w:val="Arial"/>
    <w:panose1 w:val="00000000000000000000"/>
    <w:charset w:val="00"/>
    <w:family w:val="swiss"/>
    <w:notTrueType/>
    <w:pitch w:val="variable"/>
    <w:sig w:usb0="A00000AF" w:usb1="5000205B" w:usb2="00000000" w:usb3="00000000" w:csb0="0000009B"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Brandon Grotesque Regular">
    <w:altName w:val="Segoe Script"/>
    <w:charset w:val="00"/>
    <w:family w:val="auto"/>
    <w:pitch w:val="variable"/>
    <w:sig w:usb0="00000001" w:usb1="5000205B" w:usb2="00000000" w:usb3="00000000" w:csb0="0000009B" w:csb1="00000000"/>
  </w:font>
  <w:font w:name="Lucida Grande">
    <w:altName w:val="Arial"/>
    <w:charset w:val="00"/>
    <w:family w:val="auto"/>
    <w:pitch w:val="variable"/>
    <w:sig w:usb0="00000000" w:usb1="5000A1FF" w:usb2="00000000" w:usb3="00000000" w:csb0="000001BF" w:csb1="00000000"/>
  </w:font>
  <w:font w:name="HelveticaNeueLT Pro 55 Roman">
    <w:altName w:val="Arial"/>
    <w:panose1 w:val="00000000000000000000"/>
    <w:charset w:val="00"/>
    <w:family w:val="swiss"/>
    <w:notTrueType/>
    <w:pitch w:val="variable"/>
    <w:sig w:usb0="800000AF" w:usb1="5000205B" w:usb2="00000000" w:usb3="00000000" w:csb0="0000009B" w:csb1="00000000"/>
  </w:font>
  <w:font w:name="Tahoma">
    <w:panose1 w:val="020B0604030504040204"/>
    <w:charset w:val="00"/>
    <w:family w:val="swiss"/>
    <w:pitch w:val="variable"/>
    <w:sig w:usb0="E1002EFF" w:usb1="C000605B" w:usb2="00000029" w:usb3="00000000" w:csb0="000101FF" w:csb1="00000000"/>
  </w:font>
  <w:font w:name="HelveticaNeueLT Pro 47 LtCn">
    <w:altName w:val="Arial Narrow"/>
    <w:charset w:val="00"/>
    <w:family w:val="auto"/>
    <w:pitch w:val="variable"/>
    <w:sig w:usb0="00000001" w:usb1="5000205B" w:usb2="00000000" w:usb3="00000000" w:csb0="0000009B"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52"/>
      <w:gridCol w:w="8376"/>
    </w:tblGrid>
    <w:tr w:rsidR="005024B0" w:rsidRPr="0025191F" w14:paraId="0572718D" w14:textId="77777777" w:rsidTr="00E76E8D">
      <w:tc>
        <w:tcPr>
          <w:tcW w:w="201" w:type="pct"/>
          <w:tcBorders>
            <w:bottom w:val="nil"/>
            <w:right w:val="single" w:sz="4" w:space="0" w:color="BFBFBF"/>
          </w:tcBorders>
        </w:tcPr>
        <w:p w14:paraId="39E3B60F" w14:textId="77777777" w:rsidR="005024B0" w:rsidRPr="007B7F10" w:rsidRDefault="005024B0" w:rsidP="00E76E8D">
          <w:pPr>
            <w:jc w:val="right"/>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2</w:t>
          </w:r>
          <w:r w:rsidRPr="007B7F10">
            <w:rPr>
              <w:rFonts w:ascii="Calibri" w:hAnsi="Calibri"/>
              <w:b/>
              <w:color w:val="595959" w:themeColor="text1" w:themeTint="A6"/>
            </w:rPr>
            <w:fldChar w:fldCharType="end"/>
          </w:r>
        </w:p>
      </w:tc>
      <w:tc>
        <w:tcPr>
          <w:tcW w:w="4799" w:type="pct"/>
          <w:tcBorders>
            <w:left w:val="single" w:sz="4" w:space="0" w:color="BFBFBF"/>
            <w:bottom w:val="nil"/>
          </w:tcBorders>
        </w:tcPr>
        <w:p w14:paraId="6FCC2348" w14:textId="4801D559" w:rsidR="005024B0" w:rsidRPr="0025191F" w:rsidRDefault="005024B0" w:rsidP="00E76E8D">
          <w:pPr>
            <w:rPr>
              <w:rFonts w:ascii="Calibri" w:eastAsia="Cambria" w:hAnsi="Calibri"/>
              <w:color w:val="595959" w:themeColor="text1" w:themeTint="A6"/>
            </w:rPr>
          </w:pPr>
          <w:r>
            <w:rPr>
              <w:rFonts w:ascii="Calibri" w:hAnsi="Calibri"/>
              <w:b/>
              <w:bCs/>
              <w:caps/>
              <w:color w:val="595959" w:themeColor="text1" w:themeTint="A6"/>
            </w:rPr>
            <w:t>CHOICE | Review of Card Payments Regulation</w:t>
          </w:r>
        </w:p>
      </w:tc>
    </w:tr>
  </w:tbl>
  <w:p w14:paraId="127AF362" w14:textId="77777777" w:rsidR="005024B0" w:rsidRDefault="005024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8376"/>
      <w:gridCol w:w="352"/>
    </w:tblGrid>
    <w:tr w:rsidR="005024B0" w:rsidRPr="0025191F" w14:paraId="1B9C21EC" w14:textId="77777777" w:rsidTr="00E76E8D">
      <w:tc>
        <w:tcPr>
          <w:tcW w:w="4816" w:type="pct"/>
          <w:tcBorders>
            <w:bottom w:val="nil"/>
            <w:right w:val="single" w:sz="4" w:space="0" w:color="BFBFBF"/>
          </w:tcBorders>
        </w:tcPr>
        <w:p w14:paraId="1D67879E" w14:textId="24BB9E6B" w:rsidR="005024B0" w:rsidRPr="007B7F10" w:rsidRDefault="005024B0" w:rsidP="00E76E8D">
          <w:pPr>
            <w:jc w:val="right"/>
            <w:rPr>
              <w:rFonts w:ascii="Calibri" w:eastAsia="Cambria" w:hAnsi="Calibri"/>
              <w:b/>
              <w:color w:val="595959" w:themeColor="text1" w:themeTint="A6"/>
            </w:rPr>
          </w:pPr>
          <w:r>
            <w:rPr>
              <w:rFonts w:ascii="Calibri" w:hAnsi="Calibri"/>
              <w:b/>
              <w:bCs/>
              <w:caps/>
              <w:color w:val="595959" w:themeColor="text1" w:themeTint="A6"/>
            </w:rPr>
            <w:t>CHOICE | Review of Card Payments Regulation</w:t>
          </w:r>
        </w:p>
      </w:tc>
      <w:tc>
        <w:tcPr>
          <w:tcW w:w="184" w:type="pct"/>
          <w:tcBorders>
            <w:left w:val="single" w:sz="4" w:space="0" w:color="BFBFBF"/>
            <w:bottom w:val="nil"/>
          </w:tcBorders>
        </w:tcPr>
        <w:p w14:paraId="27CA6BF3" w14:textId="77777777" w:rsidR="005024B0" w:rsidRPr="0025191F" w:rsidRDefault="005024B0" w:rsidP="00E76E8D">
          <w:pPr>
            <w:rPr>
              <w:rFonts w:ascii="Calibri" w:eastAsia="Cambria" w:hAnsi="Calibri"/>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2</w:t>
          </w:r>
          <w:r w:rsidRPr="007B7F10">
            <w:rPr>
              <w:rFonts w:ascii="Calibri" w:hAnsi="Calibri"/>
              <w:b/>
              <w:color w:val="595959" w:themeColor="text1" w:themeTint="A6"/>
            </w:rPr>
            <w:fldChar w:fldCharType="end"/>
          </w:r>
        </w:p>
      </w:tc>
    </w:tr>
  </w:tbl>
  <w:p w14:paraId="4FCE09A4" w14:textId="77777777" w:rsidR="005024B0" w:rsidRDefault="005024B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B25148" w14:textId="77777777" w:rsidR="005024B0" w:rsidRDefault="005024B0">
    <w:pPr>
      <w:pStyle w:val="Footer"/>
    </w:pPr>
    <w:r>
      <w:rPr>
        <w:noProof/>
        <w:lang w:eastAsia="en-AU"/>
      </w:rPr>
      <w:drawing>
        <wp:anchor distT="0" distB="0" distL="114300" distR="114300" simplePos="0" relativeHeight="251672576" behindDoc="0" locked="0" layoutInCell="1" allowOverlap="1" wp14:anchorId="3DD896CE" wp14:editId="391E3960">
          <wp:simplePos x="0" y="0"/>
          <wp:positionH relativeFrom="column">
            <wp:posOffset>-567690</wp:posOffset>
          </wp:positionH>
          <wp:positionV relativeFrom="paragraph">
            <wp:posOffset>-632460</wp:posOffset>
          </wp:positionV>
          <wp:extent cx="7559675" cy="1168400"/>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Page-Footer.pdf"/>
                  <pic:cNvPicPr/>
                </pic:nvPicPr>
                <pic:blipFill>
                  <a:blip r:embed="rId1">
                    <a:extLst>
                      <a:ext uri="{28A0092B-C50C-407E-A947-70E740481C1C}">
                        <a14:useLocalDpi xmlns:a14="http://schemas.microsoft.com/office/drawing/2010/main" val="0"/>
                      </a:ext>
                    </a:extLst>
                  </a:blip>
                  <a:stretch>
                    <a:fillRect/>
                  </a:stretch>
                </pic:blipFill>
                <pic:spPr>
                  <a:xfrm>
                    <a:off x="0" y="0"/>
                    <a:ext cx="7559675" cy="1168400"/>
                  </a:xfrm>
                  <a:prstGeom prst="rect">
                    <a:avLst/>
                  </a:prstGeom>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DE71BE" w14:textId="77777777" w:rsidR="005024B0" w:rsidRDefault="005024B0">
    <w:pPr>
      <w:pStyle w:val="Footer"/>
    </w:pPr>
    <w:r>
      <w:rPr>
        <w:noProof/>
        <w:lang w:eastAsia="en-AU"/>
      </w:rPr>
      <mc:AlternateContent>
        <mc:Choice Requires="wps">
          <w:drawing>
            <wp:anchor distT="0" distB="0" distL="114300" distR="114300" simplePos="0" relativeHeight="251676672" behindDoc="0" locked="0" layoutInCell="1" allowOverlap="1" wp14:anchorId="31CDBC48" wp14:editId="3CBCD638">
              <wp:simplePos x="0" y="0"/>
              <wp:positionH relativeFrom="column">
                <wp:posOffset>-720090</wp:posOffset>
              </wp:positionH>
              <wp:positionV relativeFrom="paragraph">
                <wp:posOffset>-473710</wp:posOffset>
              </wp:positionV>
              <wp:extent cx="7559675" cy="0"/>
              <wp:effectExtent l="0" t="0" r="34925" b="25400"/>
              <wp:wrapTopAndBottom/>
              <wp:docPr id="5" name="Straight Connector 5"/>
              <wp:cNvGraphicFramePr/>
              <a:graphic xmlns:a="http://schemas.openxmlformats.org/drawingml/2006/main">
                <a:graphicData uri="http://schemas.microsoft.com/office/word/2010/wordprocessingShape">
                  <wps:wsp>
                    <wps:cNvCnPr/>
                    <wps:spPr>
                      <a:xfrm>
                        <a:off x="0" y="0"/>
                        <a:ext cx="7559675" cy="0"/>
                      </a:xfrm>
                      <a:prstGeom prst="line">
                        <a:avLst/>
                      </a:prstGeom>
                      <a:ln w="12700" cap="flat">
                        <a:solidFill>
                          <a:schemeClr val="tx1"/>
                        </a:solidFill>
                        <a:round/>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03EB334D" id="Straight Connector 5"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7pt,-37.3pt" to="538.5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" strokecolor="black [3213]" strokeweight="1pt">
              <w10:wrap type="topAndBottom"/>
            </v:lin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85"/>
      <w:gridCol w:w="9193"/>
    </w:tblGrid>
    <w:tr w:rsidR="005024B0" w:rsidRPr="0025191F" w14:paraId="7CBF1B57" w14:textId="77777777" w:rsidTr="00E76E8D">
      <w:tc>
        <w:tcPr>
          <w:tcW w:w="201" w:type="pct"/>
          <w:tcBorders>
            <w:bottom w:val="nil"/>
            <w:right w:val="single" w:sz="4" w:space="0" w:color="BFBFBF"/>
          </w:tcBorders>
        </w:tcPr>
        <w:p w14:paraId="53C7AD3D" w14:textId="77777777" w:rsidR="005024B0" w:rsidRPr="007B7F10" w:rsidRDefault="005024B0" w:rsidP="00E76E8D">
          <w:pPr>
            <w:jc w:val="right"/>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4</w:t>
          </w:r>
          <w:r w:rsidRPr="007B7F10">
            <w:rPr>
              <w:rFonts w:ascii="Calibri" w:hAnsi="Calibri"/>
              <w:b/>
              <w:color w:val="595959" w:themeColor="text1" w:themeTint="A6"/>
            </w:rPr>
            <w:fldChar w:fldCharType="end"/>
          </w:r>
        </w:p>
      </w:tc>
      <w:tc>
        <w:tcPr>
          <w:tcW w:w="4799" w:type="pct"/>
          <w:tcBorders>
            <w:left w:val="single" w:sz="4" w:space="0" w:color="BFBFBF"/>
            <w:bottom w:val="nil"/>
          </w:tcBorders>
        </w:tcPr>
        <w:p w14:paraId="2E4DE10A" w14:textId="77E5A54A" w:rsidR="005024B0" w:rsidRPr="0025191F" w:rsidRDefault="005024B0" w:rsidP="00E76E8D">
          <w:pPr>
            <w:rPr>
              <w:rFonts w:ascii="Calibri" w:eastAsia="Cambria" w:hAnsi="Calibri"/>
              <w:color w:val="595959" w:themeColor="text1" w:themeTint="A6"/>
            </w:rPr>
          </w:pPr>
          <w:r>
            <w:rPr>
              <w:rFonts w:ascii="Calibri" w:hAnsi="Calibri"/>
              <w:b/>
              <w:bCs/>
              <w:caps/>
              <w:color w:val="595959" w:themeColor="text1" w:themeTint="A6"/>
            </w:rPr>
            <w:t>CHOICE | Review of Card Payments Regulation</w:t>
          </w:r>
        </w:p>
      </w:tc>
    </w:tr>
  </w:tbl>
  <w:p w14:paraId="4A88C939" w14:textId="77777777" w:rsidR="005024B0" w:rsidRDefault="005024B0">
    <w:pPr>
      <w:pStyle w:val="Footer"/>
    </w:pPr>
  </w:p>
  <w:p w14:paraId="7C9C69D8" w14:textId="77777777" w:rsidR="005024B0" w:rsidRDefault="005024B0"/>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Layout w:type="fixed"/>
      <w:tblCellMar>
        <w:left w:w="115" w:type="dxa"/>
        <w:right w:w="115" w:type="dxa"/>
      </w:tblCellMar>
      <w:tblLook w:val="04A0" w:firstRow="1" w:lastRow="0" w:firstColumn="1" w:lastColumn="0" w:noHBand="0" w:noVBand="1"/>
    </w:tblPr>
    <w:tblGrid>
      <w:gridCol w:w="9045"/>
      <w:gridCol w:w="533"/>
    </w:tblGrid>
    <w:tr w:rsidR="005024B0" w:rsidRPr="0025191F" w14:paraId="590DFF40" w14:textId="77777777" w:rsidTr="00221464">
      <w:tc>
        <w:tcPr>
          <w:tcW w:w="4722" w:type="pct"/>
          <w:tcBorders>
            <w:bottom w:val="nil"/>
            <w:right w:val="single" w:sz="4" w:space="0" w:color="BFBFBF"/>
          </w:tcBorders>
        </w:tcPr>
        <w:p w14:paraId="5B1D6F82" w14:textId="5028FC6D" w:rsidR="005024B0" w:rsidRPr="00830290" w:rsidRDefault="005024B0" w:rsidP="00830290">
          <w:pPr>
            <w:pStyle w:val="CHOICEBodyCopy"/>
          </w:pPr>
          <w:r w:rsidRPr="00830290">
            <w:rPr>
              <w:rFonts w:ascii="Brandon Grotesque Bold" w:hAnsi="Brandon Grotesque Bold"/>
              <w:noProof/>
              <w:color w:val="60BDE0"/>
              <w:sz w:val="18"/>
            </w:rPr>
            <w:t>CHOICE | Review of Card Payments Regulation</w:t>
          </w:r>
        </w:p>
      </w:tc>
      <w:tc>
        <w:tcPr>
          <w:tcW w:w="278" w:type="pct"/>
          <w:tcBorders>
            <w:left w:val="single" w:sz="4" w:space="0" w:color="BFBFBF"/>
            <w:bottom w:val="nil"/>
          </w:tcBorders>
        </w:tcPr>
        <w:p w14:paraId="134BABE4" w14:textId="1C50FF70" w:rsidR="005024B0" w:rsidRPr="00F63143" w:rsidRDefault="005024B0" w:rsidP="00E76E8D">
          <w:pPr>
            <w:pStyle w:val="Footer"/>
            <w:rPr>
              <w:rFonts w:ascii="Brandon Grotesque Bold" w:eastAsia="Cambria" w:hAnsi="Brandon Grotesque Bold"/>
            </w:rPr>
          </w:pPr>
          <w:r w:rsidRPr="00830290">
            <w:rPr>
              <w:rFonts w:ascii="Brandon Grotesque Bold" w:hAnsi="Brandon Grotesque Bold"/>
            </w:rPr>
            <w:fldChar w:fldCharType="begin"/>
          </w:r>
          <w:r w:rsidRPr="00830290">
            <w:rPr>
              <w:rFonts w:ascii="Brandon Grotesque Bold" w:hAnsi="Brandon Grotesque Bold"/>
            </w:rPr>
            <w:instrText xml:space="preserve"> PAGE   \* MERGEFORMAT </w:instrText>
          </w:r>
          <w:r w:rsidRPr="00830290">
            <w:rPr>
              <w:rFonts w:ascii="Brandon Grotesque Bold" w:hAnsi="Brandon Grotesque Bold"/>
            </w:rPr>
            <w:fldChar w:fldCharType="separate"/>
          </w:r>
          <w:r w:rsidR="00144BDB">
            <w:rPr>
              <w:rFonts w:ascii="Brandon Grotesque Bold" w:hAnsi="Brandon Grotesque Bold"/>
              <w:noProof/>
            </w:rPr>
            <w:t>13</w:t>
          </w:r>
          <w:r w:rsidRPr="00830290">
            <w:rPr>
              <w:rFonts w:ascii="Brandon Grotesque Bold" w:hAnsi="Brandon Grotesque Bold"/>
            </w:rPr>
            <w:fldChar w:fldCharType="end"/>
          </w:r>
        </w:p>
      </w:tc>
    </w:tr>
  </w:tbl>
  <w:p w14:paraId="090627A6" w14:textId="77777777" w:rsidR="005024B0" w:rsidRDefault="005024B0">
    <w:pPr>
      <w:pStyle w:val="Footer"/>
    </w:pPr>
  </w:p>
  <w:p w14:paraId="4C2BC646" w14:textId="77777777" w:rsidR="005024B0" w:rsidRDefault="005024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B4D6F8" w14:textId="77777777" w:rsidR="005024B0" w:rsidRDefault="005024B0" w:rsidP="008657BB">
      <w:r>
        <w:separator/>
      </w:r>
    </w:p>
    <w:p w14:paraId="34A7926E" w14:textId="77777777" w:rsidR="005024B0" w:rsidRDefault="005024B0"/>
  </w:footnote>
  <w:footnote w:type="continuationSeparator" w:id="0">
    <w:p w14:paraId="49A81159" w14:textId="77777777" w:rsidR="005024B0" w:rsidRDefault="005024B0" w:rsidP="008657BB">
      <w:r>
        <w:continuationSeparator/>
      </w:r>
    </w:p>
    <w:p w14:paraId="4FAE58DD" w14:textId="77777777" w:rsidR="005024B0" w:rsidRDefault="005024B0"/>
  </w:footnote>
  <w:footnote w:id="1">
    <w:p w14:paraId="6D6D8056" w14:textId="77777777" w:rsidR="005024B0" w:rsidRDefault="005024B0">
      <w:pPr>
        <w:pStyle w:val="FootnoteText"/>
      </w:pPr>
      <w:r>
        <w:rPr>
          <w:rStyle w:val="FootnoteReference"/>
        </w:rPr>
        <w:footnoteRef/>
      </w:r>
      <w:r>
        <w:t xml:space="preserve"> Reserve Bank of Australia (2015), C5: Average Merchant Fees for Debit, Credit and Charge Cards, http://www.rba.gov.au/payments-system/resources/statistics/index.html</w:t>
      </w:r>
    </w:p>
  </w:footnote>
  <w:footnote w:id="2">
    <w:p w14:paraId="1CE152E3" w14:textId="77777777" w:rsidR="005024B0" w:rsidRDefault="005024B0">
      <w:pPr>
        <w:pStyle w:val="FootnoteText"/>
      </w:pPr>
      <w:r>
        <w:rPr>
          <w:rStyle w:val="FootnoteReference"/>
        </w:rPr>
        <w:footnoteRef/>
      </w:r>
      <w:r>
        <w:t xml:space="preserve"> </w:t>
      </w:r>
      <w:r w:rsidRPr="00707CBA">
        <w:t>CHOICE addressed these criticisms in further detail in a submission to the Senate Standing Committee on Economics in September 2015.</w:t>
      </w:r>
      <w:r>
        <w:t xml:space="preserve"> See CHOICE submission 10.1: </w:t>
      </w:r>
      <w:r w:rsidRPr="006A0B14">
        <w:t>http://www.aph.gov.au/Parliamentary_Business/Committees/Senate/Economics/Credit_Card_Interest/Submissions</w:t>
      </w:r>
    </w:p>
  </w:footnote>
  <w:footnote w:id="3">
    <w:p w14:paraId="0B359AD2" w14:textId="77777777" w:rsidR="005024B0" w:rsidRDefault="005024B0">
      <w:pPr>
        <w:pStyle w:val="FootnoteText"/>
      </w:pPr>
      <w:r>
        <w:rPr>
          <w:rStyle w:val="FootnoteReference"/>
        </w:rPr>
        <w:footnoteRef/>
      </w:r>
      <w:r>
        <w:t xml:space="preserve"> Stillman, Robert, William Bishop, Kyla Malcolm and Nicole Hildebrandt, 28 April 2008, Regulatory Intervention in the payment card industry by the Reserve Bank of Australia, Analysis of the evidence. CRA International, London, p.16</w:t>
      </w:r>
    </w:p>
  </w:footnote>
  <w:footnote w:id="4">
    <w:p w14:paraId="2281214A" w14:textId="77777777" w:rsidR="005024B0" w:rsidRPr="00504614" w:rsidRDefault="005024B0" w:rsidP="00A16D40">
      <w:pPr>
        <w:spacing w:line="240" w:lineRule="auto"/>
        <w:rPr>
          <w:sz w:val="16"/>
          <w:szCs w:val="16"/>
        </w:rPr>
      </w:pPr>
      <w:r w:rsidRPr="00BC4617">
        <w:rPr>
          <w:rFonts w:eastAsiaTheme="minorHAnsi"/>
          <w:sz w:val="16"/>
          <w:szCs w:val="16"/>
          <w:vertAlign w:val="superscript"/>
        </w:rPr>
        <w:footnoteRef/>
      </w:r>
      <w:r w:rsidRPr="00BC4617">
        <w:rPr>
          <w:rFonts w:ascii="HelveticaNeueLT Pro 47 LtCn" w:eastAsiaTheme="minorHAnsi" w:hAnsi="HelveticaNeueLT Pro 47 LtCn"/>
          <w:sz w:val="16"/>
          <w:szCs w:val="20"/>
        </w:rPr>
        <w:t xml:space="preserve"> Stillman, Robert, William Bishop, Kyla Malcolm and Nicole Hildebrandt, 28 April 2008, Regulatory Intervention in the payment card industry by the Reserve Bank of Australia, Analysis of the evidence. CRA International, London, p.16.</w:t>
      </w:r>
      <w:r w:rsidRPr="00504614">
        <w:rPr>
          <w:sz w:val="16"/>
          <w:szCs w:val="16"/>
        </w:rPr>
        <w:t xml:space="preserve"> </w:t>
      </w:r>
    </w:p>
  </w:footnote>
  <w:footnote w:id="5">
    <w:p w14:paraId="4EE6D3CC" w14:textId="77777777" w:rsidR="005024B0" w:rsidRDefault="005024B0" w:rsidP="00A16D40">
      <w:pPr>
        <w:pStyle w:val="FootnoteText"/>
      </w:pPr>
      <w:r w:rsidRPr="00504614">
        <w:rPr>
          <w:rStyle w:val="FootnoteReference"/>
          <w:szCs w:val="16"/>
        </w:rPr>
        <w:footnoteRef/>
      </w:r>
      <w:r w:rsidRPr="00504614">
        <w:rPr>
          <w:szCs w:val="16"/>
        </w:rPr>
        <w:t xml:space="preserve"> Ibid.</w:t>
      </w:r>
      <w:r>
        <w:t xml:space="preserve"> </w:t>
      </w:r>
    </w:p>
  </w:footnote>
  <w:footnote w:id="6">
    <w:p w14:paraId="085810A1" w14:textId="77777777" w:rsidR="005024B0" w:rsidRDefault="005024B0" w:rsidP="00A16D40">
      <w:pPr>
        <w:pStyle w:val="FootnoteText"/>
      </w:pPr>
      <w:r>
        <w:rPr>
          <w:rStyle w:val="FootnoteReference"/>
        </w:rPr>
        <w:footnoteRef/>
      </w:r>
      <w:r>
        <w:t xml:space="preserve"> See CHOICE, (2015) Submission to Inquiry into matters relating to credit card interest rates p.13.</w:t>
      </w:r>
    </w:p>
  </w:footnote>
  <w:footnote w:id="7">
    <w:p w14:paraId="3582A9F6" w14:textId="77777777" w:rsidR="005024B0" w:rsidRDefault="005024B0" w:rsidP="00A16D40">
      <w:pPr>
        <w:pStyle w:val="FootnoteText"/>
      </w:pPr>
      <w:r>
        <w:rPr>
          <w:rStyle w:val="FootnoteReference"/>
        </w:rPr>
        <w:footnoteRef/>
      </w:r>
      <w:r>
        <w:t xml:space="preserve"> Ibid p.5. </w:t>
      </w:r>
    </w:p>
  </w:footnote>
  <w:footnote w:id="8">
    <w:p w14:paraId="70BF020E" w14:textId="77777777" w:rsidR="005024B0" w:rsidRDefault="005024B0" w:rsidP="00A16D40">
      <w:pPr>
        <w:pStyle w:val="FootnoteText"/>
      </w:pPr>
      <w:r>
        <w:rPr>
          <w:rStyle w:val="FootnoteReference"/>
        </w:rPr>
        <w:footnoteRef/>
      </w:r>
      <w:r>
        <w:t xml:space="preserve"> CHOICE, survey into consumer use and understanding of credit cards, July 2015. N=1679. For further information see CHOICE, (2015) Submission to Inquiry into matters relating to credit card interest rates p.13. </w:t>
      </w:r>
    </w:p>
  </w:footnote>
  <w:footnote w:id="9">
    <w:p w14:paraId="3E761944" w14:textId="77777777" w:rsidR="005024B0" w:rsidRDefault="005024B0" w:rsidP="00BE51EA">
      <w:pPr>
        <w:pStyle w:val="FootnoteText"/>
      </w:pPr>
      <w:r>
        <w:rPr>
          <w:rStyle w:val="FootnoteReference"/>
        </w:rPr>
        <w:footnoteRef/>
      </w:r>
      <w:r>
        <w:t xml:space="preserve"> For example, cards with ongoing interest rates as low as 6.4% in the United Kingdom at </w:t>
      </w:r>
      <w:hyperlink r:id="rId1" w:history="1">
        <w:r w:rsidRPr="00DD6801">
          <w:rPr>
            <w:rStyle w:val="Hyperlink"/>
          </w:rPr>
          <w:t>http://moneycompare.which.co.uk/credit-cards/everyday-credit-cards</w:t>
        </w:r>
      </w:hyperlink>
      <w:r>
        <w:t xml:space="preserve"> </w:t>
      </w:r>
    </w:p>
  </w:footnote>
  <w:footnote w:id="10">
    <w:p w14:paraId="6ABEBC0F" w14:textId="77777777" w:rsidR="005024B0" w:rsidRPr="007329B7" w:rsidRDefault="005024B0" w:rsidP="002B6B56">
      <w:pPr>
        <w:pStyle w:val="FootnoteText"/>
      </w:pPr>
      <w:r>
        <w:rPr>
          <w:rStyle w:val="FootnoteReference"/>
        </w:rPr>
        <w:footnoteRef/>
      </w:r>
      <w:r>
        <w:t xml:space="preserve"> ABA (2015), </w:t>
      </w:r>
      <w:r>
        <w:rPr>
          <w:i/>
        </w:rPr>
        <w:t>ABA response into the Inquiry into credit card interest rates</w:t>
      </w:r>
      <w:r>
        <w:t xml:space="preserve">, pp. 14-15. </w:t>
      </w:r>
    </w:p>
  </w:footnote>
  <w:footnote w:id="11">
    <w:p w14:paraId="324177B9" w14:textId="77777777" w:rsidR="005024B0" w:rsidRPr="007329B7" w:rsidRDefault="005024B0" w:rsidP="002B6B56">
      <w:pPr>
        <w:pStyle w:val="FootnoteText"/>
      </w:pPr>
      <w:r>
        <w:rPr>
          <w:rStyle w:val="FootnoteReference"/>
        </w:rPr>
        <w:footnoteRef/>
      </w:r>
      <w:r>
        <w:t xml:space="preserve"> Commonwealth Bank, (2015), </w:t>
      </w:r>
      <w:r>
        <w:rPr>
          <w:i/>
        </w:rPr>
        <w:t>Submission: Senate Economics References Committee Inquiry into matters relating to credit card interest rates</w:t>
      </w:r>
      <w:r>
        <w:t xml:space="preserve">, p. 7. </w:t>
      </w:r>
    </w:p>
  </w:footnote>
  <w:footnote w:id="12">
    <w:p w14:paraId="149AB9BE" w14:textId="77777777" w:rsidR="005024B0" w:rsidRDefault="005024B0">
      <w:pPr>
        <w:pStyle w:val="FootnoteText"/>
      </w:pPr>
      <w:r>
        <w:rPr>
          <w:rStyle w:val="FootnoteReference"/>
        </w:rPr>
        <w:footnoteRef/>
      </w:r>
      <w:r>
        <w:t xml:space="preserve"> See </w:t>
      </w:r>
      <w:hyperlink r:id="rId2" w:history="1">
        <w:r w:rsidRPr="009F5419">
          <w:rPr>
            <w:rStyle w:val="Hyperlink"/>
          </w:rPr>
          <w:t>http://ec.europa.eu/competition/sectors/financial_services/payments_en.html</w:t>
        </w:r>
      </w:hyperlink>
      <w:r>
        <w:t xml:space="preserve"> </w:t>
      </w:r>
    </w:p>
  </w:footnote>
  <w:footnote w:id="13">
    <w:p w14:paraId="0ED47715" w14:textId="77777777" w:rsidR="005024B0" w:rsidRDefault="005024B0" w:rsidP="00C72F87">
      <w:pPr>
        <w:pStyle w:val="FootnoteText"/>
      </w:pPr>
      <w:r>
        <w:rPr>
          <w:rStyle w:val="FootnoteReference"/>
        </w:rPr>
        <w:footnoteRef/>
      </w:r>
      <w:r>
        <w:t xml:space="preserve"> See Reserve Bank of Australia (2015), </w:t>
      </w:r>
      <w:r>
        <w:rPr>
          <w:i/>
        </w:rPr>
        <w:t>Review of Card Payments Regulation</w:t>
      </w:r>
      <w:r>
        <w:t xml:space="preserve">, </w:t>
      </w:r>
      <w:r>
        <w:rPr>
          <w:i/>
        </w:rPr>
        <w:t>Consultation Paper</w:t>
      </w:r>
      <w:r>
        <w:t>, Reserve Bank of Australia, Sydney.</w:t>
      </w:r>
    </w:p>
  </w:footnote>
  <w:footnote w:id="14">
    <w:p w14:paraId="07E917EE" w14:textId="77777777" w:rsidR="005024B0" w:rsidRPr="00216EB9" w:rsidRDefault="005024B0">
      <w:pPr>
        <w:pStyle w:val="FootnoteText"/>
      </w:pPr>
      <w:r>
        <w:rPr>
          <w:rStyle w:val="FootnoteReference"/>
        </w:rPr>
        <w:footnoteRef/>
      </w:r>
      <w:r>
        <w:t xml:space="preserve"> Ibid.</w:t>
      </w:r>
    </w:p>
  </w:footnote>
  <w:footnote w:id="15">
    <w:p w14:paraId="1447BAE3" w14:textId="77777777" w:rsidR="005024B0" w:rsidRDefault="005024B0">
      <w:pPr>
        <w:pStyle w:val="FootnoteText"/>
      </w:pPr>
      <w:r>
        <w:rPr>
          <w:rStyle w:val="FootnoteReference"/>
        </w:rPr>
        <w:footnoteRef/>
      </w:r>
      <w:r>
        <w:t xml:space="preserve"> See Reserve Bank of Australia (2015), </w:t>
      </w:r>
      <w:r>
        <w:rPr>
          <w:i/>
        </w:rPr>
        <w:t>Review of Card Payments Regulation</w:t>
      </w:r>
      <w:r>
        <w:t xml:space="preserve">, </w:t>
      </w:r>
      <w:r>
        <w:rPr>
          <w:i/>
        </w:rPr>
        <w:t>Consultation Paper</w:t>
      </w:r>
      <w:r>
        <w:t>, Reserve Bank of Australia, Sydney.</w:t>
      </w:r>
    </w:p>
  </w:footnote>
  <w:footnote w:id="16">
    <w:p w14:paraId="1ED95D80" w14:textId="77777777" w:rsidR="005024B0" w:rsidRDefault="005024B0">
      <w:pPr>
        <w:pStyle w:val="FootnoteText"/>
      </w:pPr>
      <w:r>
        <w:rPr>
          <w:rStyle w:val="FootnoteReference"/>
        </w:rPr>
        <w:footnoteRef/>
      </w:r>
      <w:r>
        <w:t xml:space="preserve"> </w:t>
      </w:r>
      <w:r w:rsidRPr="0089575C">
        <w:t>Flights selected were SYD to MEL morning commuter flight on Monday 29 February. Cheapest flight before 9am selected. Flights costs and booking costs reviewed between 11:00 and 11:15 on Tuesday 02 February 2016.</w:t>
      </w:r>
    </w:p>
  </w:footnote>
  <w:footnote w:id="17">
    <w:p w14:paraId="13E4B279" w14:textId="77777777" w:rsidR="005024B0" w:rsidRDefault="005024B0">
      <w:pPr>
        <w:pStyle w:val="FootnoteText"/>
      </w:pPr>
      <w:r>
        <w:rPr>
          <w:rStyle w:val="FootnoteReference"/>
        </w:rPr>
        <w:footnoteRef/>
      </w:r>
      <w:r>
        <w:t xml:space="preserve"> </w:t>
      </w:r>
      <w:r w:rsidRPr="0089575C">
        <w:t xml:space="preserve">Percentage mark-up calculated on RBA 2015 </w:t>
      </w:r>
      <w:r>
        <w:t xml:space="preserve">MasterCard/Visa </w:t>
      </w:r>
      <w:r w:rsidRPr="0089575C">
        <w:t>averag</w:t>
      </w:r>
      <w:r>
        <w:t xml:space="preserve">e merchant service fee of 0.78%, see: </w:t>
      </w:r>
      <w:hyperlink r:id="rId3" w:history="1">
        <w:r w:rsidRPr="00F150BE">
          <w:rPr>
            <w:rStyle w:val="Hyperlink"/>
          </w:rPr>
          <w:t>http://www.rba.gov.au/publications/annual-reports/psb/2015/pdf/retail-payments-developments.pdf</w:t>
        </w:r>
      </w:hyperlink>
      <w:r>
        <w:t>, p. 19</w:t>
      </w:r>
    </w:p>
  </w:footnote>
  <w:footnote w:id="18">
    <w:p w14:paraId="479F7D8F" w14:textId="77777777" w:rsidR="005024B0" w:rsidRDefault="005024B0">
      <w:pPr>
        <w:pStyle w:val="FootnoteText"/>
      </w:pPr>
      <w:r>
        <w:rPr>
          <w:rStyle w:val="FootnoteReference"/>
        </w:rPr>
        <w:footnoteRef/>
      </w:r>
      <w:r>
        <w:t xml:space="preserve"> See: </w:t>
      </w:r>
      <w:r w:rsidRPr="003264CE">
        <w:t>http://www.aph.gov.au/Parliamentary_Business/Bills_Legislation/Bills_Search_Results/Result?bId=r5579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F17A2" w14:textId="77777777" w:rsidR="00144BDB" w:rsidRDefault="00144B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F51CB2" w14:textId="77777777" w:rsidR="00144BDB" w:rsidRDefault="00144B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E57F2" w14:textId="77777777" w:rsidR="005024B0" w:rsidRDefault="005024B0" w:rsidP="00B951AF">
    <w:r>
      <w:rPr>
        <w:noProof/>
        <w:lang w:eastAsia="en-AU"/>
      </w:rPr>
      <w:drawing>
        <wp:anchor distT="0" distB="0" distL="114300" distR="114300" simplePos="0" relativeHeight="251662336" behindDoc="0" locked="0" layoutInCell="1" allowOverlap="1" wp14:anchorId="68BB89C8" wp14:editId="7DA1A8E0">
          <wp:simplePos x="0" y="0"/>
          <wp:positionH relativeFrom="column">
            <wp:posOffset>-718820</wp:posOffset>
          </wp:positionH>
          <wp:positionV relativeFrom="paragraph">
            <wp:posOffset>862965</wp:posOffset>
          </wp:positionV>
          <wp:extent cx="7559675" cy="1257300"/>
          <wp:effectExtent l="0" t="0" r="9525"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craft-CoverLetter-Header-MR.jpg"/>
                  <pic:cNvPicPr/>
                </pic:nvPicPr>
                <pic:blipFill>
                  <a:blip r:embed="rId1">
                    <a:extLst>
                      <a:ext uri="{28A0092B-C50C-407E-A947-70E740481C1C}">
                        <a14:useLocalDpi xmlns:a14="http://schemas.microsoft.com/office/drawing/2010/main" val="0"/>
                      </a:ext>
                    </a:extLst>
                  </a:blip>
                  <a:stretch>
                    <a:fillRect/>
                  </a:stretch>
                </pic:blipFill>
                <pic:spPr>
                  <a:xfrm>
                    <a:off x="0" y="0"/>
                    <a:ext cx="7559675" cy="1257300"/>
                  </a:xfrm>
                  <a:prstGeom prst="rect">
                    <a:avLst/>
                  </a:prstGeom>
                  <a:extLst>
                    <a:ext uri="{FAA26D3D-D897-4be2-8F04-BA451C77F1D7}">
                      <ma14:placeholderFlag xmlns:cx="http://schemas.microsoft.com/office/drawing/2014/chartex" xmlns:cx1="http://schemas.microsoft.com/office/drawing/2015/9/8/chartex" xmlns:w15="http://schemas.microsoft.com/office/word/2012/wordml"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24E4F" w14:textId="77777777" w:rsidR="005024B0" w:rsidRDefault="005024B0">
    <w:r>
      <w:rPr>
        <w:noProof/>
        <w:lang w:eastAsia="en-AU"/>
      </w:rPr>
      <w:drawing>
        <wp:anchor distT="0" distB="0" distL="114300" distR="114300" simplePos="0" relativeHeight="251674624" behindDoc="0" locked="0" layoutInCell="1" allowOverlap="1" wp14:anchorId="578BD7DD" wp14:editId="2AE517C5">
          <wp:simplePos x="0" y="0"/>
          <wp:positionH relativeFrom="column">
            <wp:posOffset>-567690</wp:posOffset>
          </wp:positionH>
          <wp:positionV relativeFrom="paragraph">
            <wp:posOffset>152400</wp:posOffset>
          </wp:positionV>
          <wp:extent cx="7556500" cy="939800"/>
          <wp:effectExtent l="0" t="0" r="1270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headings(2).pdf"/>
                  <pic:cNvPicPr/>
                </pic:nvPicPr>
                <pic:blipFill>
                  <a:blip r:embed="rId1">
                    <a:extLst>
                      <a:ext uri="{28A0092B-C50C-407E-A947-70E740481C1C}">
                        <a14:useLocalDpi xmlns:a14="http://schemas.microsoft.com/office/drawing/2010/main" val="0"/>
                      </a:ext>
                    </a:extLst>
                  </a:blip>
                  <a:stretch>
                    <a:fillRect/>
                  </a:stretch>
                </pic:blipFill>
                <pic:spPr>
                  <a:xfrm>
                    <a:off x="0" y="0"/>
                    <a:ext cx="7556500" cy="939800"/>
                  </a:xfrm>
                  <a:prstGeom prst="rect">
                    <a:avLst/>
                  </a:prstGeom>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6284C" w14:textId="77777777" w:rsidR="005024B0" w:rsidRDefault="005024B0" w:rsidP="00FA5CA0">
    <w:pPr>
      <w:pStyle w:val="Footer"/>
    </w:pPr>
    <w:r>
      <w:rPr>
        <w:noProof/>
        <w:lang w:eastAsia="en-AU"/>
      </w:rPr>
      <w:drawing>
        <wp:anchor distT="0" distB="0" distL="114300" distR="114300" simplePos="0" relativeHeight="251670528" behindDoc="0" locked="0" layoutInCell="1" allowOverlap="1" wp14:anchorId="337307CC" wp14:editId="5EFEF4B3">
          <wp:simplePos x="0" y="0"/>
          <wp:positionH relativeFrom="column">
            <wp:posOffset>-718503</wp:posOffset>
          </wp:positionH>
          <wp:positionV relativeFrom="paragraph">
            <wp:posOffset>0</wp:posOffset>
          </wp:positionV>
          <wp:extent cx="7556500" cy="939800"/>
          <wp:effectExtent l="0" t="0" r="1270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headings(2).pdf"/>
                  <pic:cNvPicPr/>
                </pic:nvPicPr>
                <pic:blipFill>
                  <a:blip r:embed="rId1">
                    <a:extLst>
                      <a:ext uri="{28A0092B-C50C-407E-A947-70E740481C1C}">
                        <a14:useLocalDpi xmlns:a14="http://schemas.microsoft.com/office/drawing/2010/main" val="0"/>
                      </a:ext>
                    </a:extLst>
                  </a:blip>
                  <a:stretch>
                    <a:fillRect/>
                  </a:stretch>
                </pic:blipFill>
                <pic:spPr>
                  <a:xfrm>
                    <a:off x="0" y="0"/>
                    <a:ext cx="7556500" cy="939800"/>
                  </a:xfrm>
                  <a:prstGeom prst="rect">
                    <a:avLst/>
                  </a:prstGeom>
                </pic:spPr>
              </pic:pic>
            </a:graphicData>
          </a:graphic>
          <wp14:sizeRelH relativeFrom="page">
            <wp14:pctWidth>0</wp14:pctWidth>
          </wp14:sizeRelH>
          <wp14:sizeRelV relativeFrom="page">
            <wp14:pctHeight>0</wp14:pctHeight>
          </wp14:sizeRelV>
        </wp:anchor>
      </w:drawing>
    </w:r>
    <w:r>
      <w:rPr>
        <w:noProof/>
        <w:lang w:eastAsia="en-AU"/>
      </w:rPr>
      <mc:AlternateContent>
        <mc:Choice Requires="wps">
          <w:drawing>
            <wp:anchor distT="0" distB="0" distL="114300" distR="114300" simplePos="0" relativeHeight="251669504" behindDoc="0" locked="0" layoutInCell="1" allowOverlap="1" wp14:anchorId="75FE5DD3" wp14:editId="3A626FF3">
              <wp:simplePos x="0" y="0"/>
              <wp:positionH relativeFrom="column">
                <wp:posOffset>-1137285</wp:posOffset>
              </wp:positionH>
              <wp:positionV relativeFrom="paragraph">
                <wp:posOffset>9798050</wp:posOffset>
              </wp:positionV>
              <wp:extent cx="7559675" cy="0"/>
              <wp:effectExtent l="0" t="0" r="34925" b="25400"/>
              <wp:wrapTopAndBottom/>
              <wp:docPr id="2" name="Straight Connector 2"/>
              <wp:cNvGraphicFramePr/>
              <a:graphic xmlns:a="http://schemas.openxmlformats.org/drawingml/2006/main">
                <a:graphicData uri="http://schemas.microsoft.com/office/word/2010/wordprocessingShape">
                  <wps:wsp>
                    <wps:cNvCnPr/>
                    <wps:spPr>
                      <a:xfrm>
                        <a:off x="0" y="0"/>
                        <a:ext cx="7559675" cy="0"/>
                      </a:xfrm>
                      <a:prstGeom prst="line">
                        <a:avLst/>
                      </a:prstGeom>
                      <a:ln w="12700" cap="flat">
                        <a:solidFill>
                          <a:schemeClr val="tx1"/>
                        </a:solidFill>
                        <a:round/>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3FF26384" id="Straight Connector 2"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5pt,771.5pt" to="505.7pt,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" strokecolor="black [3213]" strokeweight="1pt">
              <w10:wrap type="topAndBottom"/>
            </v:line>
          </w:pict>
        </mc:Fallback>
      </mc:AlternateContent>
    </w:r>
  </w:p>
  <w:p w14:paraId="4694BA6F" w14:textId="77777777" w:rsidR="005024B0" w:rsidRDefault="005024B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80E4181C"/>
    <w:lvl w:ilvl="0">
      <w:start w:val="1"/>
      <w:numFmt w:val="decimal"/>
      <w:pStyle w:val="ListNumber"/>
      <w:lvlText w:val="%1."/>
      <w:lvlJc w:val="left"/>
      <w:pPr>
        <w:tabs>
          <w:tab w:val="num" w:pos="360"/>
        </w:tabs>
        <w:ind w:left="360" w:hanging="360"/>
      </w:pPr>
    </w:lvl>
  </w:abstractNum>
  <w:abstractNum w:abstractNumId="1">
    <w:nsid w:val="00DA6C19"/>
    <w:multiLevelType w:val="hybridMultilevel"/>
    <w:tmpl w:val="BCA21D6E"/>
    <w:lvl w:ilvl="0" w:tplc="0C09000F">
      <w:start w:val="1"/>
      <w:numFmt w:val="decimal"/>
      <w:pStyle w:val="ChoiceBulletpoints"/>
      <w:lvlText w:val="%1."/>
      <w:lvlJc w:val="left"/>
      <w:pPr>
        <w:ind w:left="720" w:hanging="266"/>
      </w:pPr>
      <w:rPr>
        <w:rFonts w:hint="default"/>
        <w:color w:val="00A0D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7C55AD"/>
    <w:multiLevelType w:val="multilevel"/>
    <w:tmpl w:val="04090023"/>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
    <w:nsid w:val="149F4578"/>
    <w:multiLevelType w:val="multilevel"/>
    <w:tmpl w:val="ECA8ADC2"/>
    <w:lvl w:ilvl="0">
      <w:start w:val="1"/>
      <w:numFmt w:val="decimal"/>
      <w:pStyle w:val="Heading1numbered"/>
      <w:lvlText w:val="%1."/>
      <w:lvlJc w:val="left"/>
      <w:pPr>
        <w:ind w:left="360" w:hanging="360"/>
      </w:pPr>
      <w:rPr>
        <w:rFonts w:ascii="Brandon Grotesque Light" w:hAnsi="Brandon Grotesque Light" w:hint="default"/>
        <w:color w:val="595959" w:themeColor="text1" w:themeTint="A6"/>
        <w:sz w:val="36"/>
        <w:szCs w:val="36"/>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E153CA9"/>
    <w:multiLevelType w:val="hybridMultilevel"/>
    <w:tmpl w:val="78FCFABC"/>
    <w:lvl w:ilvl="0" w:tplc="99C8F56E">
      <w:start w:val="1"/>
      <w:numFmt w:val="decimal"/>
      <w:pStyle w:val="Recommendbox"/>
      <w:lvlText w:val="Recommendation %1:"/>
      <w:lvlJc w:val="left"/>
      <w:pPr>
        <w:tabs>
          <w:tab w:val="num" w:pos="851"/>
        </w:tabs>
        <w:ind w:left="851" w:hanging="284"/>
      </w:pPr>
      <w:rPr>
        <w:rFonts w:ascii="Trebuchet MS" w:hAnsi="Trebuchet MS" w:hint="default"/>
        <w:b/>
        <w:i/>
        <w:sz w:val="20"/>
        <w:szCs w:val="20"/>
      </w:rPr>
    </w:lvl>
    <w:lvl w:ilvl="1" w:tplc="04090019">
      <w:start w:val="1"/>
      <w:numFmt w:val="lowerLetter"/>
      <w:lvlText w:val="%2."/>
      <w:lvlJc w:val="left"/>
      <w:pPr>
        <w:tabs>
          <w:tab w:val="num" w:pos="1969"/>
        </w:tabs>
        <w:ind w:left="1969" w:hanging="360"/>
      </w:pPr>
    </w:lvl>
    <w:lvl w:ilvl="2" w:tplc="0409001B" w:tentative="1">
      <w:start w:val="1"/>
      <w:numFmt w:val="lowerRoman"/>
      <w:lvlText w:val="%3."/>
      <w:lvlJc w:val="right"/>
      <w:pPr>
        <w:tabs>
          <w:tab w:val="num" w:pos="2689"/>
        </w:tabs>
        <w:ind w:left="2689" w:hanging="180"/>
      </w:pPr>
    </w:lvl>
    <w:lvl w:ilvl="3" w:tplc="0409000F" w:tentative="1">
      <w:start w:val="1"/>
      <w:numFmt w:val="decimal"/>
      <w:lvlText w:val="%4."/>
      <w:lvlJc w:val="left"/>
      <w:pPr>
        <w:tabs>
          <w:tab w:val="num" w:pos="3409"/>
        </w:tabs>
        <w:ind w:left="3409" w:hanging="360"/>
      </w:pPr>
    </w:lvl>
    <w:lvl w:ilvl="4" w:tplc="04090019" w:tentative="1">
      <w:start w:val="1"/>
      <w:numFmt w:val="lowerLetter"/>
      <w:lvlText w:val="%5."/>
      <w:lvlJc w:val="left"/>
      <w:pPr>
        <w:tabs>
          <w:tab w:val="num" w:pos="4129"/>
        </w:tabs>
        <w:ind w:left="4129" w:hanging="360"/>
      </w:pPr>
    </w:lvl>
    <w:lvl w:ilvl="5" w:tplc="0409001B" w:tentative="1">
      <w:start w:val="1"/>
      <w:numFmt w:val="lowerRoman"/>
      <w:lvlText w:val="%6."/>
      <w:lvlJc w:val="right"/>
      <w:pPr>
        <w:tabs>
          <w:tab w:val="num" w:pos="4849"/>
        </w:tabs>
        <w:ind w:left="4849" w:hanging="180"/>
      </w:pPr>
    </w:lvl>
    <w:lvl w:ilvl="6" w:tplc="0409000F" w:tentative="1">
      <w:start w:val="1"/>
      <w:numFmt w:val="decimal"/>
      <w:lvlText w:val="%7."/>
      <w:lvlJc w:val="left"/>
      <w:pPr>
        <w:tabs>
          <w:tab w:val="num" w:pos="5569"/>
        </w:tabs>
        <w:ind w:left="5569" w:hanging="360"/>
      </w:pPr>
    </w:lvl>
    <w:lvl w:ilvl="7" w:tplc="04090019" w:tentative="1">
      <w:start w:val="1"/>
      <w:numFmt w:val="lowerLetter"/>
      <w:lvlText w:val="%8."/>
      <w:lvlJc w:val="left"/>
      <w:pPr>
        <w:tabs>
          <w:tab w:val="num" w:pos="6289"/>
        </w:tabs>
        <w:ind w:left="6289" w:hanging="360"/>
      </w:pPr>
    </w:lvl>
    <w:lvl w:ilvl="8" w:tplc="0409001B" w:tentative="1">
      <w:start w:val="1"/>
      <w:numFmt w:val="lowerRoman"/>
      <w:lvlText w:val="%9."/>
      <w:lvlJc w:val="right"/>
      <w:pPr>
        <w:tabs>
          <w:tab w:val="num" w:pos="7009"/>
        </w:tabs>
        <w:ind w:left="7009" w:hanging="180"/>
      </w:pPr>
    </w:lvl>
  </w:abstractNum>
  <w:abstractNum w:abstractNumId="5">
    <w:nsid w:val="1EAC76D8"/>
    <w:multiLevelType w:val="multilevel"/>
    <w:tmpl w:val="5948951E"/>
    <w:lvl w:ilvl="0">
      <w:start w:val="1"/>
      <w:numFmt w:val="decimal"/>
      <w:pStyle w:val="Bodycopynumbered"/>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DA651DD"/>
    <w:multiLevelType w:val="hybridMultilevel"/>
    <w:tmpl w:val="9A786DFC"/>
    <w:lvl w:ilvl="0" w:tplc="0C090001">
      <w:start w:val="1"/>
      <w:numFmt w:val="bullet"/>
      <w:lvlText w:val=""/>
      <w:lvlJc w:val="left"/>
      <w:pPr>
        <w:ind w:left="720" w:hanging="266"/>
      </w:pPr>
      <w:rPr>
        <w:rFonts w:ascii="Symbol" w:hAnsi="Symbol" w:hint="default"/>
        <w:color w:val="00A0D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5"/>
  </w:num>
  <w:num w:numId="6">
    <w:abstractNumId w:val="4"/>
  </w:num>
  <w:num w:numId="7">
    <w:abstractNumId w:val="6"/>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rin Turner">
    <w15:presenceInfo w15:providerId="Windows Live" w15:userId="0f7482a7c96bef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134"/>
  <w:characterSpacingControl w:val="doNotCompress"/>
  <w:hdrShapeDefaults>
    <o:shapedefaults v:ext="edit" spidmax="20481"/>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496"/>
    <w:rsid w:val="00011309"/>
    <w:rsid w:val="0001761D"/>
    <w:rsid w:val="00033A21"/>
    <w:rsid w:val="00061AC0"/>
    <w:rsid w:val="00063F64"/>
    <w:rsid w:val="00077795"/>
    <w:rsid w:val="00093DCB"/>
    <w:rsid w:val="000A059C"/>
    <w:rsid w:val="000B3671"/>
    <w:rsid w:val="000D0C5A"/>
    <w:rsid w:val="000E2E08"/>
    <w:rsid w:val="000F4411"/>
    <w:rsid w:val="00135513"/>
    <w:rsid w:val="00142188"/>
    <w:rsid w:val="001444A3"/>
    <w:rsid w:val="00144BDB"/>
    <w:rsid w:val="00185A74"/>
    <w:rsid w:val="001906AB"/>
    <w:rsid w:val="001A4E2D"/>
    <w:rsid w:val="001C0994"/>
    <w:rsid w:val="00202000"/>
    <w:rsid w:val="00212726"/>
    <w:rsid w:val="00214354"/>
    <w:rsid w:val="00216EB9"/>
    <w:rsid w:val="00221464"/>
    <w:rsid w:val="00231BF5"/>
    <w:rsid w:val="002362C5"/>
    <w:rsid w:val="00252229"/>
    <w:rsid w:val="00284BA2"/>
    <w:rsid w:val="002A206A"/>
    <w:rsid w:val="002A7DFC"/>
    <w:rsid w:val="002B6B56"/>
    <w:rsid w:val="002D0CFD"/>
    <w:rsid w:val="002D376E"/>
    <w:rsid w:val="002F4FF7"/>
    <w:rsid w:val="003006C9"/>
    <w:rsid w:val="003043EF"/>
    <w:rsid w:val="00312EA8"/>
    <w:rsid w:val="003264CE"/>
    <w:rsid w:val="00326563"/>
    <w:rsid w:val="00331772"/>
    <w:rsid w:val="0034480A"/>
    <w:rsid w:val="00377A08"/>
    <w:rsid w:val="003800A9"/>
    <w:rsid w:val="00381B34"/>
    <w:rsid w:val="00382430"/>
    <w:rsid w:val="003D5211"/>
    <w:rsid w:val="003E1ED3"/>
    <w:rsid w:val="003E224A"/>
    <w:rsid w:val="003E4DE7"/>
    <w:rsid w:val="003F13AC"/>
    <w:rsid w:val="004028C3"/>
    <w:rsid w:val="0040306E"/>
    <w:rsid w:val="004052FF"/>
    <w:rsid w:val="004065C4"/>
    <w:rsid w:val="0040669E"/>
    <w:rsid w:val="00453469"/>
    <w:rsid w:val="004675FB"/>
    <w:rsid w:val="0047716D"/>
    <w:rsid w:val="00480936"/>
    <w:rsid w:val="00490BB9"/>
    <w:rsid w:val="00491F8E"/>
    <w:rsid w:val="004925C8"/>
    <w:rsid w:val="004B24A9"/>
    <w:rsid w:val="004D411E"/>
    <w:rsid w:val="004D44AC"/>
    <w:rsid w:val="004D4B80"/>
    <w:rsid w:val="004D7BBB"/>
    <w:rsid w:val="005024B0"/>
    <w:rsid w:val="00526DB0"/>
    <w:rsid w:val="00535F02"/>
    <w:rsid w:val="0053704C"/>
    <w:rsid w:val="005476F2"/>
    <w:rsid w:val="0055285F"/>
    <w:rsid w:val="00563434"/>
    <w:rsid w:val="00582763"/>
    <w:rsid w:val="005F4C65"/>
    <w:rsid w:val="005F5951"/>
    <w:rsid w:val="00622BD9"/>
    <w:rsid w:val="0065075A"/>
    <w:rsid w:val="00657753"/>
    <w:rsid w:val="006826EB"/>
    <w:rsid w:val="00687E64"/>
    <w:rsid w:val="00697C97"/>
    <w:rsid w:val="006A0B14"/>
    <w:rsid w:val="006A4AF9"/>
    <w:rsid w:val="006C2C63"/>
    <w:rsid w:val="006E09E2"/>
    <w:rsid w:val="006E529A"/>
    <w:rsid w:val="006E5CD5"/>
    <w:rsid w:val="006F4E7F"/>
    <w:rsid w:val="00707499"/>
    <w:rsid w:val="00707CBA"/>
    <w:rsid w:val="00737C61"/>
    <w:rsid w:val="00770B31"/>
    <w:rsid w:val="0077248B"/>
    <w:rsid w:val="00784D78"/>
    <w:rsid w:val="00787F32"/>
    <w:rsid w:val="00791AAC"/>
    <w:rsid w:val="007A0AF3"/>
    <w:rsid w:val="007A37A0"/>
    <w:rsid w:val="007C3075"/>
    <w:rsid w:val="007C383E"/>
    <w:rsid w:val="007E75EE"/>
    <w:rsid w:val="00801EF5"/>
    <w:rsid w:val="00830290"/>
    <w:rsid w:val="008329BB"/>
    <w:rsid w:val="00840A67"/>
    <w:rsid w:val="00840CC5"/>
    <w:rsid w:val="008420A9"/>
    <w:rsid w:val="008541B7"/>
    <w:rsid w:val="008657BB"/>
    <w:rsid w:val="008711D8"/>
    <w:rsid w:val="0089575C"/>
    <w:rsid w:val="008A191C"/>
    <w:rsid w:val="008A6343"/>
    <w:rsid w:val="008B0620"/>
    <w:rsid w:val="00903EBD"/>
    <w:rsid w:val="009125D4"/>
    <w:rsid w:val="0091383C"/>
    <w:rsid w:val="009211E0"/>
    <w:rsid w:val="009250C9"/>
    <w:rsid w:val="00945676"/>
    <w:rsid w:val="0099136C"/>
    <w:rsid w:val="009D6C4B"/>
    <w:rsid w:val="00A0404C"/>
    <w:rsid w:val="00A16D40"/>
    <w:rsid w:val="00A306FE"/>
    <w:rsid w:val="00A85C40"/>
    <w:rsid w:val="00A8672B"/>
    <w:rsid w:val="00AE5EA7"/>
    <w:rsid w:val="00AE60E6"/>
    <w:rsid w:val="00B029DF"/>
    <w:rsid w:val="00B042A2"/>
    <w:rsid w:val="00B14463"/>
    <w:rsid w:val="00B32A73"/>
    <w:rsid w:val="00B37BFF"/>
    <w:rsid w:val="00B5671A"/>
    <w:rsid w:val="00B65FF1"/>
    <w:rsid w:val="00B74A13"/>
    <w:rsid w:val="00B951AF"/>
    <w:rsid w:val="00BA10F1"/>
    <w:rsid w:val="00BB53F0"/>
    <w:rsid w:val="00BC4988"/>
    <w:rsid w:val="00BC74A7"/>
    <w:rsid w:val="00BD78FE"/>
    <w:rsid w:val="00BE51EA"/>
    <w:rsid w:val="00BF2217"/>
    <w:rsid w:val="00BF239C"/>
    <w:rsid w:val="00BF4F5B"/>
    <w:rsid w:val="00BF53CC"/>
    <w:rsid w:val="00C0006A"/>
    <w:rsid w:val="00C01765"/>
    <w:rsid w:val="00C1622F"/>
    <w:rsid w:val="00C35233"/>
    <w:rsid w:val="00C62976"/>
    <w:rsid w:val="00C72F87"/>
    <w:rsid w:val="00C96E6C"/>
    <w:rsid w:val="00CC691C"/>
    <w:rsid w:val="00CE1764"/>
    <w:rsid w:val="00D1036C"/>
    <w:rsid w:val="00D127B5"/>
    <w:rsid w:val="00D213D1"/>
    <w:rsid w:val="00D25143"/>
    <w:rsid w:val="00D270D6"/>
    <w:rsid w:val="00D31D13"/>
    <w:rsid w:val="00D3779F"/>
    <w:rsid w:val="00D407A1"/>
    <w:rsid w:val="00D67696"/>
    <w:rsid w:val="00D91D9A"/>
    <w:rsid w:val="00DB1063"/>
    <w:rsid w:val="00DD6BE4"/>
    <w:rsid w:val="00DF6634"/>
    <w:rsid w:val="00E00282"/>
    <w:rsid w:val="00E150E1"/>
    <w:rsid w:val="00E151A1"/>
    <w:rsid w:val="00E41C85"/>
    <w:rsid w:val="00E561F5"/>
    <w:rsid w:val="00E6182A"/>
    <w:rsid w:val="00E66DC6"/>
    <w:rsid w:val="00E76E8D"/>
    <w:rsid w:val="00EA05D4"/>
    <w:rsid w:val="00EA1769"/>
    <w:rsid w:val="00ED2137"/>
    <w:rsid w:val="00ED5AE1"/>
    <w:rsid w:val="00EF3A04"/>
    <w:rsid w:val="00F004FB"/>
    <w:rsid w:val="00F06B98"/>
    <w:rsid w:val="00F10BAF"/>
    <w:rsid w:val="00F2656D"/>
    <w:rsid w:val="00F34496"/>
    <w:rsid w:val="00F42C76"/>
    <w:rsid w:val="00F4631B"/>
    <w:rsid w:val="00F5703B"/>
    <w:rsid w:val="00F60C1A"/>
    <w:rsid w:val="00F63143"/>
    <w:rsid w:val="00F71155"/>
    <w:rsid w:val="00F75633"/>
    <w:rsid w:val="00F76094"/>
    <w:rsid w:val="00FA3AB7"/>
    <w:rsid w:val="00FA5CA0"/>
    <w:rsid w:val="00FC7A22"/>
    <w:rsid w:val="00FD2B9D"/>
    <w:rsid w:val="00FD35D5"/>
    <w:rsid w:val="00FD5B0F"/>
    <w:rsid w:val="00FF5BE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1"/>
    <o:shapelayout v:ext="edit">
      <o:idmap v:ext="edit" data="1"/>
    </o:shapelayout>
  </w:shapeDefaults>
  <w:decimalSymbol w:val="."/>
  <w:listSeparator w:val=","/>
  <w14:docId w14:val="080FE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51"/>
    <w:pPr>
      <w:spacing w:line="320" w:lineRule="exact"/>
    </w:pPr>
    <w:rPr>
      <w:rFonts w:ascii="HelveticaNeueLT Pro 45 Lt" w:hAnsi="HelveticaNeueLT Pro 45 Lt"/>
      <w:color w:val="000000" w:themeColor="text1"/>
    </w:rPr>
  </w:style>
  <w:style w:type="paragraph" w:styleId="Heading1">
    <w:name w:val="heading 1"/>
    <w:basedOn w:val="CHOICEH2"/>
    <w:next w:val="Normal"/>
    <w:link w:val="Heading1Char"/>
    <w:uiPriority w:val="9"/>
    <w:qFormat/>
    <w:rsid w:val="00C1622F"/>
    <w:pPr>
      <w:outlineLvl w:val="0"/>
    </w:pPr>
  </w:style>
  <w:style w:type="paragraph" w:styleId="Heading2">
    <w:name w:val="heading 2"/>
    <w:basedOn w:val="Normal"/>
    <w:link w:val="Heading2Char"/>
    <w:uiPriority w:val="9"/>
    <w:qFormat/>
    <w:rsid w:val="00840A67"/>
    <w:pPr>
      <w:numPr>
        <w:ilvl w:val="1"/>
        <w:numId w:val="4"/>
      </w:num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3E1E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CFD"/>
    <w:pPr>
      <w:tabs>
        <w:tab w:val="center" w:pos="4320"/>
        <w:tab w:val="right" w:pos="8640"/>
      </w:tabs>
      <w:spacing w:line="240" w:lineRule="auto"/>
    </w:pPr>
  </w:style>
  <w:style w:type="character" w:customStyle="1" w:styleId="HeaderChar">
    <w:name w:val="Header Char"/>
    <w:basedOn w:val="DefaultParagraphFont"/>
    <w:link w:val="Header"/>
    <w:uiPriority w:val="99"/>
    <w:rsid w:val="002D0CFD"/>
    <w:rPr>
      <w:rFonts w:ascii="HelveticaNeueLT Pro 45 Lt" w:hAnsi="HelveticaNeueLT Pro 45 Lt"/>
      <w:color w:val="000000" w:themeColor="text1"/>
    </w:rPr>
  </w:style>
  <w:style w:type="paragraph" w:styleId="Footer">
    <w:name w:val="footer"/>
    <w:basedOn w:val="Normal"/>
    <w:link w:val="FooterChar"/>
    <w:uiPriority w:val="99"/>
    <w:unhideWhenUsed/>
    <w:rsid w:val="00FA5CA0"/>
    <w:pPr>
      <w:tabs>
        <w:tab w:val="center" w:pos="4320"/>
        <w:tab w:val="right" w:pos="8640"/>
      </w:tabs>
    </w:pPr>
    <w:rPr>
      <w:rFonts w:ascii="Brandon Grotesque Regular" w:hAnsi="Brandon Grotesque Regular"/>
      <w:color w:val="60BDE0"/>
      <w:sz w:val="18"/>
    </w:rPr>
  </w:style>
  <w:style w:type="character" w:customStyle="1" w:styleId="FooterChar">
    <w:name w:val="Footer Char"/>
    <w:basedOn w:val="DefaultParagraphFont"/>
    <w:link w:val="Footer"/>
    <w:uiPriority w:val="99"/>
    <w:rsid w:val="00FA5CA0"/>
    <w:rPr>
      <w:rFonts w:ascii="Brandon Grotesque Regular" w:hAnsi="Brandon Grotesque Regular"/>
      <w:color w:val="60BDE0"/>
      <w:sz w:val="18"/>
    </w:rPr>
  </w:style>
  <w:style w:type="paragraph" w:styleId="BalloonText">
    <w:name w:val="Balloon Text"/>
    <w:basedOn w:val="Normal"/>
    <w:link w:val="BalloonTextChar"/>
    <w:uiPriority w:val="99"/>
    <w:semiHidden/>
    <w:unhideWhenUsed/>
    <w:rsid w:val="008657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7BB"/>
    <w:rPr>
      <w:rFonts w:ascii="Lucida Grande" w:hAnsi="Lucida Grande" w:cs="Lucida Grande"/>
      <w:sz w:val="18"/>
      <w:szCs w:val="18"/>
    </w:rPr>
  </w:style>
  <w:style w:type="paragraph" w:customStyle="1" w:styleId="CHOICEBodyCopy">
    <w:name w:val="CHOICE Body Copy"/>
    <w:basedOn w:val="Normal"/>
    <w:qFormat/>
    <w:rsid w:val="0055285F"/>
    <w:rPr>
      <w:rFonts w:ascii="HelveticaNeueLT Pro 55 Roman" w:hAnsi="HelveticaNeueLT Pro 55 Roman"/>
      <w:sz w:val="22"/>
    </w:rPr>
  </w:style>
  <w:style w:type="character" w:customStyle="1" w:styleId="Heading2Char">
    <w:name w:val="Heading 2 Char"/>
    <w:basedOn w:val="DefaultParagraphFont"/>
    <w:link w:val="Heading2"/>
    <w:uiPriority w:val="9"/>
    <w:rsid w:val="00840A67"/>
    <w:rPr>
      <w:rFonts w:ascii="Times" w:hAnsi="Times"/>
      <w:b/>
      <w:bCs/>
      <w:color w:val="000000" w:themeColor="text1"/>
      <w:sz w:val="36"/>
      <w:szCs w:val="36"/>
    </w:rPr>
  </w:style>
  <w:style w:type="paragraph" w:customStyle="1" w:styleId="CHOICEPullQuote">
    <w:name w:val="CHOICE Pull Quote"/>
    <w:basedOn w:val="CHOICEBodyCopy"/>
    <w:qFormat/>
    <w:rsid w:val="0055285F"/>
    <w:pPr>
      <w:spacing w:before="120" w:after="120" w:line="400" w:lineRule="exact"/>
    </w:pPr>
    <w:rPr>
      <w:rFonts w:ascii="Brandon Grotesque Bold" w:hAnsi="Brandon Grotesque Bold"/>
      <w:color w:val="12A9D9"/>
      <w:sz w:val="32"/>
    </w:rPr>
  </w:style>
  <w:style w:type="paragraph" w:customStyle="1" w:styleId="CHOICEH2">
    <w:name w:val="CHOICE H2"/>
    <w:basedOn w:val="Normal"/>
    <w:qFormat/>
    <w:rsid w:val="0055285F"/>
    <w:pPr>
      <w:spacing w:before="440" w:after="200" w:line="420" w:lineRule="exact"/>
    </w:pPr>
    <w:rPr>
      <w:rFonts w:ascii="Brandon Grotesque Bold" w:hAnsi="Brandon Grotesque Bold"/>
      <w:color w:val="12A9D9"/>
      <w:sz w:val="32"/>
      <w:szCs w:val="36"/>
    </w:rPr>
  </w:style>
  <w:style w:type="paragraph" w:customStyle="1" w:styleId="ChoiceBulletpoints">
    <w:name w:val="Choice Bulletpoints"/>
    <w:basedOn w:val="Normal"/>
    <w:qFormat/>
    <w:rsid w:val="0055285F"/>
    <w:pPr>
      <w:numPr>
        <w:numId w:val="1"/>
      </w:numPr>
    </w:pPr>
    <w:rPr>
      <w:rFonts w:ascii="HelveticaNeueLT Pro 55 Roman" w:hAnsi="HelveticaNeueLT Pro 55 Roman"/>
      <w:sz w:val="22"/>
    </w:rPr>
  </w:style>
  <w:style w:type="paragraph" w:customStyle="1" w:styleId="CHOICEH1">
    <w:name w:val="CHOICE H1"/>
    <w:basedOn w:val="Normal"/>
    <w:qFormat/>
    <w:rsid w:val="0055285F"/>
    <w:pPr>
      <w:spacing w:before="100" w:after="240" w:line="600" w:lineRule="exact"/>
    </w:pPr>
    <w:rPr>
      <w:rFonts w:ascii="Brandon Grotesque Bold" w:hAnsi="Brandon Grotesque Bold"/>
      <w:color w:val="12A9D9"/>
      <w:sz w:val="40"/>
      <w:szCs w:val="36"/>
    </w:rPr>
  </w:style>
  <w:style w:type="paragraph" w:customStyle="1" w:styleId="Heading1numbered">
    <w:name w:val="Heading 1 numbered"/>
    <w:basedOn w:val="Normal"/>
    <w:qFormat/>
    <w:rsid w:val="0099136C"/>
    <w:pPr>
      <w:numPr>
        <w:numId w:val="2"/>
      </w:numPr>
      <w:spacing w:before="600" w:after="200" w:line="480" w:lineRule="exact"/>
    </w:pPr>
    <w:rPr>
      <w:rFonts w:ascii="Brandon Grotesque Bold" w:eastAsia="Times New Roman" w:hAnsi="Brandon Grotesque Bold" w:cs="Tahoma"/>
      <w:bCs/>
      <w:color w:val="595959" w:themeColor="text1" w:themeTint="A6"/>
      <w:sz w:val="40"/>
      <w:szCs w:val="50"/>
      <w:lang w:val="en-GB" w:eastAsia="de-DE"/>
    </w:rPr>
  </w:style>
  <w:style w:type="character" w:customStyle="1" w:styleId="Heading1Char">
    <w:name w:val="Heading 1 Char"/>
    <w:basedOn w:val="DefaultParagraphFont"/>
    <w:link w:val="Heading1"/>
    <w:uiPriority w:val="9"/>
    <w:rsid w:val="00C1622F"/>
    <w:rPr>
      <w:rFonts w:ascii="Brandon Grotesque Regular" w:hAnsi="Brandon Grotesque Regular"/>
      <w:color w:val="12A9D9"/>
      <w:sz w:val="30"/>
      <w:szCs w:val="36"/>
    </w:rPr>
  </w:style>
  <w:style w:type="paragraph" w:styleId="ListNumber">
    <w:name w:val="List Number"/>
    <w:basedOn w:val="Normal"/>
    <w:uiPriority w:val="99"/>
    <w:semiHidden/>
    <w:unhideWhenUsed/>
    <w:rsid w:val="00687E64"/>
    <w:pPr>
      <w:numPr>
        <w:numId w:val="3"/>
      </w:numPr>
      <w:contextualSpacing/>
    </w:pPr>
  </w:style>
  <w:style w:type="character" w:styleId="Hyperlink">
    <w:name w:val="Hyperlink"/>
    <w:rsid w:val="0034480A"/>
    <w:rPr>
      <w:color w:val="12A9D9"/>
      <w:u w:val="single"/>
    </w:rPr>
  </w:style>
  <w:style w:type="paragraph" w:styleId="FootnoteText">
    <w:name w:val="footnote text"/>
    <w:basedOn w:val="Normal"/>
    <w:link w:val="FootnoteTextChar"/>
    <w:uiPriority w:val="99"/>
    <w:unhideWhenUsed/>
    <w:rsid w:val="0034480A"/>
    <w:pPr>
      <w:spacing w:line="200" w:lineRule="exact"/>
    </w:pPr>
    <w:rPr>
      <w:rFonts w:ascii="HelveticaNeueLT Pro 47 LtCn" w:eastAsiaTheme="minorHAnsi" w:hAnsi="HelveticaNeueLT Pro 47 LtCn"/>
      <w:sz w:val="16"/>
      <w:szCs w:val="20"/>
    </w:rPr>
  </w:style>
  <w:style w:type="character" w:customStyle="1" w:styleId="FootnoteTextChar">
    <w:name w:val="Footnote Text Char"/>
    <w:basedOn w:val="DefaultParagraphFont"/>
    <w:link w:val="FootnoteText"/>
    <w:uiPriority w:val="99"/>
    <w:rsid w:val="0034480A"/>
    <w:rPr>
      <w:rFonts w:ascii="HelveticaNeueLT Pro 47 LtCn" w:eastAsiaTheme="minorHAnsi" w:hAnsi="HelveticaNeueLT Pro 47 LtCn"/>
      <w:color w:val="000000" w:themeColor="text1"/>
      <w:sz w:val="16"/>
      <w:szCs w:val="20"/>
    </w:rPr>
  </w:style>
  <w:style w:type="character" w:styleId="FootnoteReference">
    <w:name w:val="footnote reference"/>
    <w:basedOn w:val="DefaultParagraphFont"/>
    <w:uiPriority w:val="99"/>
    <w:unhideWhenUsed/>
    <w:rsid w:val="0034480A"/>
    <w:rPr>
      <w:rFonts w:ascii="HelveticaNeueLT Pro 47 LtCn" w:hAnsi="HelveticaNeueLT Pro 47 LtCn"/>
      <w:b w:val="0"/>
      <w:i w:val="0"/>
      <w:color w:val="000000" w:themeColor="text1"/>
      <w:sz w:val="16"/>
      <w:vertAlign w:val="superscript"/>
    </w:rPr>
  </w:style>
  <w:style w:type="character" w:styleId="FollowedHyperlink">
    <w:name w:val="FollowedHyperlink"/>
    <w:basedOn w:val="DefaultParagraphFont"/>
    <w:uiPriority w:val="99"/>
    <w:semiHidden/>
    <w:unhideWhenUsed/>
    <w:rsid w:val="00CE1764"/>
    <w:rPr>
      <w:color w:val="800080" w:themeColor="followedHyperlink"/>
      <w:u w:val="single"/>
    </w:rPr>
  </w:style>
  <w:style w:type="table" w:styleId="TableGrid">
    <w:name w:val="Table Grid"/>
    <w:basedOn w:val="TableNormal"/>
    <w:uiPriority w:val="59"/>
    <w:rsid w:val="003D5211"/>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OICE-TableHeading">
    <w:name w:val="CHOICE-Table Heading"/>
    <w:qFormat/>
    <w:rsid w:val="0055285F"/>
    <w:pPr>
      <w:spacing w:before="160" w:after="160" w:line="260" w:lineRule="exact"/>
      <w:jc w:val="center"/>
    </w:pPr>
    <w:rPr>
      <w:rFonts w:ascii="Brandon Grotesque Bold" w:hAnsi="Brandon Grotesque Bold"/>
      <w:color w:val="12A9D9"/>
      <w:szCs w:val="36"/>
      <w:lang w:val="en-US"/>
    </w:rPr>
  </w:style>
  <w:style w:type="paragraph" w:customStyle="1" w:styleId="CHOICETablecopy">
    <w:name w:val="CHOICE Table copy"/>
    <w:basedOn w:val="CHOICEBodyCopy"/>
    <w:qFormat/>
    <w:rsid w:val="0040306E"/>
    <w:pPr>
      <w:spacing w:before="120" w:after="120"/>
    </w:pPr>
    <w:rPr>
      <w:sz w:val="20"/>
      <w:lang w:val="en-US"/>
    </w:rPr>
  </w:style>
  <w:style w:type="character" w:customStyle="1" w:styleId="Heading4Char">
    <w:name w:val="Heading 4 Char"/>
    <w:basedOn w:val="DefaultParagraphFont"/>
    <w:link w:val="Heading4"/>
    <w:uiPriority w:val="9"/>
    <w:semiHidden/>
    <w:rsid w:val="003E1ED3"/>
    <w:rPr>
      <w:rFonts w:asciiTheme="majorHAnsi" w:eastAsiaTheme="majorEastAsia" w:hAnsiTheme="majorHAnsi" w:cstheme="majorBidi"/>
      <w:b/>
      <w:bCs/>
      <w:i/>
      <w:iCs/>
      <w:color w:val="4F81BD" w:themeColor="accent1"/>
    </w:rPr>
  </w:style>
  <w:style w:type="paragraph" w:styleId="TOC2">
    <w:name w:val="toc 2"/>
    <w:basedOn w:val="Normal"/>
    <w:next w:val="Normal"/>
    <w:autoRedefine/>
    <w:uiPriority w:val="39"/>
    <w:unhideWhenUsed/>
    <w:rsid w:val="003E224A"/>
    <w:pPr>
      <w:tabs>
        <w:tab w:val="left" w:pos="426"/>
        <w:tab w:val="right" w:leader="dot" w:pos="9338"/>
      </w:tabs>
      <w:spacing w:before="100" w:line="280" w:lineRule="exact"/>
    </w:pPr>
    <w:rPr>
      <w:sz w:val="22"/>
      <w:szCs w:val="22"/>
    </w:rPr>
  </w:style>
  <w:style w:type="paragraph" w:styleId="TOC3">
    <w:name w:val="toc 3"/>
    <w:basedOn w:val="Normal"/>
    <w:next w:val="Normal"/>
    <w:autoRedefine/>
    <w:uiPriority w:val="39"/>
    <w:unhideWhenUsed/>
    <w:rsid w:val="00BF4F5B"/>
    <w:pPr>
      <w:tabs>
        <w:tab w:val="right" w:leader="dot" w:pos="9338"/>
      </w:tabs>
      <w:spacing w:before="60" w:line="280" w:lineRule="exact"/>
      <w:ind w:left="397"/>
    </w:pPr>
    <w:rPr>
      <w:color w:val="808080" w:themeColor="background1" w:themeShade="80"/>
      <w:sz w:val="22"/>
      <w:szCs w:val="22"/>
    </w:rPr>
  </w:style>
  <w:style w:type="paragraph" w:styleId="TOCHeading">
    <w:name w:val="TOC Heading"/>
    <w:basedOn w:val="Normal"/>
    <w:next w:val="Normal"/>
    <w:uiPriority w:val="39"/>
    <w:unhideWhenUsed/>
    <w:qFormat/>
    <w:rsid w:val="007E75EE"/>
    <w:pPr>
      <w:spacing w:before="240" w:after="200"/>
    </w:pPr>
    <w:rPr>
      <w:rFonts w:ascii="Brandon Grotesque Bold" w:hAnsi="Brandon Grotesque Bold"/>
      <w:b/>
      <w:color w:val="595959" w:themeColor="text1" w:themeTint="A6"/>
      <w:sz w:val="28"/>
      <w:szCs w:val="28"/>
      <w:u w:val="single"/>
      <w:lang w:val="en-US"/>
    </w:rPr>
  </w:style>
  <w:style w:type="paragraph" w:customStyle="1" w:styleId="CoverTitle">
    <w:name w:val="Cover Title"/>
    <w:basedOn w:val="Normal"/>
    <w:qFormat/>
    <w:rsid w:val="002F4FF7"/>
    <w:pPr>
      <w:spacing w:line="420" w:lineRule="exact"/>
    </w:pPr>
    <w:rPr>
      <w:rFonts w:ascii="Brandon Grotesque Bold" w:hAnsi="Brandon Grotesque Bold"/>
      <w:color w:val="FFFFFF" w:themeColor="background1"/>
      <w:sz w:val="40"/>
      <w:szCs w:val="40"/>
    </w:rPr>
  </w:style>
  <w:style w:type="character" w:customStyle="1" w:styleId="CHOICECoverTitle">
    <w:name w:val="CHOICE Cover Title"/>
    <w:basedOn w:val="DefaultParagraphFont"/>
    <w:uiPriority w:val="1"/>
    <w:qFormat/>
    <w:rsid w:val="002F4FF7"/>
    <w:rPr>
      <w:rFonts w:ascii="Brandon Grotesque Bold" w:hAnsi="Brandon Grotesque Bold"/>
      <w:color w:val="FFFFFF" w:themeColor="background1"/>
      <w:sz w:val="40"/>
      <w:szCs w:val="40"/>
    </w:rPr>
  </w:style>
  <w:style w:type="paragraph" w:customStyle="1" w:styleId="Submissiontitle">
    <w:name w:val="Submission title"/>
    <w:qFormat/>
    <w:rsid w:val="002F4FF7"/>
    <w:pPr>
      <w:tabs>
        <w:tab w:val="left" w:pos="6950"/>
      </w:tabs>
      <w:spacing w:line="360" w:lineRule="auto"/>
      <w:jc w:val="center"/>
    </w:pPr>
    <w:rPr>
      <w:rFonts w:ascii="Georgia" w:eastAsia="Times New Roman" w:hAnsi="Georgia" w:cs="Times New Roman"/>
      <w:color w:val="00B4F3"/>
      <w:kern w:val="32"/>
      <w:sz w:val="56"/>
      <w:szCs w:val="56"/>
      <w:lang w:val="en-GB" w:eastAsia="de-DE"/>
    </w:rPr>
  </w:style>
  <w:style w:type="paragraph" w:customStyle="1" w:styleId="CHOICECoverHeading">
    <w:name w:val="CHOICE Cover Heading"/>
    <w:basedOn w:val="Normal"/>
    <w:qFormat/>
    <w:rsid w:val="002F4FF7"/>
    <w:pPr>
      <w:spacing w:line="600" w:lineRule="exact"/>
    </w:pPr>
    <w:rPr>
      <w:rFonts w:ascii="Brandon Grotesque Bold" w:hAnsi="Brandon Grotesque Bold"/>
      <w:color w:val="595959" w:themeColor="text1" w:themeTint="A6"/>
      <w:sz w:val="52"/>
      <w:szCs w:val="36"/>
    </w:rPr>
  </w:style>
  <w:style w:type="paragraph" w:customStyle="1" w:styleId="DateonCover">
    <w:name w:val="Date on Cover"/>
    <w:basedOn w:val="Normal"/>
    <w:qFormat/>
    <w:rsid w:val="008420A9"/>
    <w:pPr>
      <w:spacing w:after="1000"/>
    </w:pPr>
    <w:rPr>
      <w:rFonts w:ascii="Brandon Grotesque Light" w:hAnsi="Brandon Grotesque Light"/>
      <w:color w:val="595959" w:themeColor="text1" w:themeTint="A6"/>
      <w:sz w:val="30"/>
      <w:szCs w:val="36"/>
    </w:rPr>
  </w:style>
  <w:style w:type="paragraph" w:customStyle="1" w:styleId="Bodycopy">
    <w:name w:val="Body copy"/>
    <w:qFormat/>
    <w:rsid w:val="000E2E08"/>
    <w:pPr>
      <w:spacing w:before="120" w:after="240"/>
    </w:pPr>
    <w:rPr>
      <w:rFonts w:ascii="Trebuchet MS" w:eastAsia="Times New Roman" w:hAnsi="Trebuchet MS" w:cs="Times New Roman"/>
      <w:sz w:val="22"/>
      <w:lang w:val="en-GB" w:eastAsia="de-DE"/>
    </w:rPr>
  </w:style>
  <w:style w:type="paragraph" w:customStyle="1" w:styleId="Bodycopynumbered">
    <w:name w:val="Body copy numbered"/>
    <w:basedOn w:val="Bodycopy"/>
    <w:qFormat/>
    <w:rsid w:val="000E2E08"/>
    <w:pPr>
      <w:numPr>
        <w:numId w:val="5"/>
      </w:numPr>
    </w:pPr>
    <w:rPr>
      <w:szCs w:val="22"/>
    </w:rPr>
  </w:style>
  <w:style w:type="paragraph" w:customStyle="1" w:styleId="Recommendbox">
    <w:name w:val="Recommend box"/>
    <w:basedOn w:val="Normal"/>
    <w:link w:val="RecommendboxCharChar"/>
    <w:rsid w:val="000E2E08"/>
    <w:pPr>
      <w:keepLines/>
      <w:numPr>
        <w:numId w:val="6"/>
      </w:numPr>
      <w:pBdr>
        <w:top w:val="single" w:sz="4" w:space="6" w:color="00B4F3"/>
        <w:left w:val="single" w:sz="4" w:space="6" w:color="00B4F3"/>
        <w:bottom w:val="single" w:sz="4" w:space="6" w:color="00B4F3"/>
        <w:right w:val="single" w:sz="4" w:space="6" w:color="00B4F3"/>
      </w:pBdr>
      <w:shd w:val="clear" w:color="auto" w:fill="D8D8D6"/>
      <w:spacing w:after="120" w:line="240" w:lineRule="auto"/>
      <w:ind w:right="561"/>
      <w:jc w:val="both"/>
    </w:pPr>
    <w:rPr>
      <w:rFonts w:ascii="Trebuchet MS" w:eastAsia="Times New Roman" w:hAnsi="Trebuchet MS" w:cs="Times New Roman"/>
      <w:color w:val="auto"/>
      <w:sz w:val="22"/>
      <w:lang w:val="en-GB" w:eastAsia="de-DE"/>
    </w:rPr>
  </w:style>
  <w:style w:type="character" w:customStyle="1" w:styleId="RecommendboxCharChar">
    <w:name w:val="Recommend box Char Char"/>
    <w:link w:val="Recommendbox"/>
    <w:rsid w:val="000E2E08"/>
    <w:rPr>
      <w:rFonts w:ascii="Trebuchet MS" w:eastAsia="Times New Roman" w:hAnsi="Trebuchet MS" w:cs="Times New Roman"/>
      <w:sz w:val="22"/>
      <w:shd w:val="clear" w:color="auto" w:fill="D8D8D6"/>
      <w:lang w:val="en-GB" w:eastAsia="de-DE"/>
    </w:rPr>
  </w:style>
  <w:style w:type="paragraph" w:styleId="TOC1">
    <w:name w:val="toc 1"/>
    <w:basedOn w:val="Normal"/>
    <w:next w:val="Normal"/>
    <w:autoRedefine/>
    <w:uiPriority w:val="39"/>
    <w:unhideWhenUsed/>
    <w:rsid w:val="00BF4F5B"/>
    <w:pPr>
      <w:spacing w:after="100"/>
    </w:pPr>
    <w:rPr>
      <w:sz w:val="22"/>
    </w:rPr>
  </w:style>
  <w:style w:type="paragraph" w:customStyle="1" w:styleId="CoverSubheading">
    <w:name w:val="Cover Subheading"/>
    <w:basedOn w:val="Normal"/>
    <w:qFormat/>
    <w:rsid w:val="0055285F"/>
    <w:pPr>
      <w:spacing w:before="100" w:after="240" w:line="600" w:lineRule="exact"/>
    </w:pPr>
    <w:rPr>
      <w:rFonts w:ascii="Brandon Grotesque Bold" w:hAnsi="Brandon Grotesque Bold"/>
      <w:color w:val="12A9D9"/>
      <w:sz w:val="40"/>
    </w:rPr>
  </w:style>
  <w:style w:type="paragraph" w:customStyle="1" w:styleId="AboutUs">
    <w:name w:val="About Us"/>
    <w:basedOn w:val="CHOICEH1"/>
    <w:qFormat/>
    <w:rsid w:val="008420A9"/>
    <w:pPr>
      <w:spacing w:before="1000"/>
    </w:pPr>
  </w:style>
  <w:style w:type="paragraph" w:customStyle="1" w:styleId="ContentsHeading">
    <w:name w:val="Contents Heading"/>
    <w:basedOn w:val="Normal"/>
    <w:qFormat/>
    <w:rsid w:val="0055285F"/>
    <w:pPr>
      <w:spacing w:after="1200" w:line="600" w:lineRule="exact"/>
    </w:pPr>
    <w:rPr>
      <w:rFonts w:ascii="Brandon Grotesque Bold" w:hAnsi="Brandon Grotesque Bold"/>
      <w:color w:val="12A9D9"/>
      <w:sz w:val="54"/>
    </w:rPr>
  </w:style>
  <w:style w:type="paragraph" w:styleId="TOC4">
    <w:name w:val="toc 4"/>
    <w:basedOn w:val="Normal"/>
    <w:next w:val="Normal"/>
    <w:autoRedefine/>
    <w:uiPriority w:val="39"/>
    <w:unhideWhenUsed/>
    <w:rsid w:val="00BF4F5B"/>
    <w:pPr>
      <w:ind w:left="720"/>
    </w:pPr>
  </w:style>
  <w:style w:type="paragraph" w:styleId="TOC5">
    <w:name w:val="toc 5"/>
    <w:basedOn w:val="Normal"/>
    <w:next w:val="Normal"/>
    <w:autoRedefine/>
    <w:uiPriority w:val="39"/>
    <w:unhideWhenUsed/>
    <w:rsid w:val="00BF4F5B"/>
    <w:pPr>
      <w:ind w:left="960"/>
    </w:pPr>
  </w:style>
  <w:style w:type="paragraph" w:styleId="TOC6">
    <w:name w:val="toc 6"/>
    <w:basedOn w:val="Normal"/>
    <w:next w:val="Normal"/>
    <w:autoRedefine/>
    <w:uiPriority w:val="39"/>
    <w:unhideWhenUsed/>
    <w:rsid w:val="00BF4F5B"/>
    <w:pPr>
      <w:ind w:left="1200"/>
    </w:pPr>
  </w:style>
  <w:style w:type="paragraph" w:styleId="TOC7">
    <w:name w:val="toc 7"/>
    <w:basedOn w:val="Normal"/>
    <w:next w:val="Normal"/>
    <w:autoRedefine/>
    <w:uiPriority w:val="39"/>
    <w:unhideWhenUsed/>
    <w:rsid w:val="00BF4F5B"/>
    <w:pPr>
      <w:ind w:left="1440"/>
    </w:pPr>
  </w:style>
  <w:style w:type="paragraph" w:styleId="TOC8">
    <w:name w:val="toc 8"/>
    <w:basedOn w:val="Normal"/>
    <w:next w:val="Normal"/>
    <w:autoRedefine/>
    <w:uiPriority w:val="39"/>
    <w:unhideWhenUsed/>
    <w:rsid w:val="00BF4F5B"/>
    <w:pPr>
      <w:ind w:left="1680"/>
    </w:pPr>
  </w:style>
  <w:style w:type="paragraph" w:styleId="TOC9">
    <w:name w:val="toc 9"/>
    <w:basedOn w:val="Normal"/>
    <w:next w:val="Normal"/>
    <w:autoRedefine/>
    <w:uiPriority w:val="39"/>
    <w:unhideWhenUsed/>
    <w:rsid w:val="00BF4F5B"/>
    <w:pPr>
      <w:ind w:left="1920"/>
    </w:pPr>
  </w:style>
  <w:style w:type="paragraph" w:customStyle="1" w:styleId="StyleContentsHeadingBold">
    <w:name w:val="Style Contents Heading + Bold"/>
    <w:basedOn w:val="ContentsHeading"/>
    <w:rsid w:val="0055285F"/>
    <w:rPr>
      <w:bCs/>
    </w:rPr>
  </w:style>
  <w:style w:type="character" w:styleId="CommentReference">
    <w:name w:val="annotation reference"/>
    <w:basedOn w:val="DefaultParagraphFont"/>
    <w:uiPriority w:val="99"/>
    <w:semiHidden/>
    <w:unhideWhenUsed/>
    <w:rsid w:val="004D411E"/>
    <w:rPr>
      <w:sz w:val="16"/>
      <w:szCs w:val="16"/>
    </w:rPr>
  </w:style>
  <w:style w:type="paragraph" w:styleId="CommentText">
    <w:name w:val="annotation text"/>
    <w:basedOn w:val="Normal"/>
    <w:link w:val="CommentTextChar"/>
    <w:uiPriority w:val="99"/>
    <w:semiHidden/>
    <w:unhideWhenUsed/>
    <w:rsid w:val="004D411E"/>
    <w:pPr>
      <w:spacing w:line="240" w:lineRule="auto"/>
    </w:pPr>
    <w:rPr>
      <w:sz w:val="20"/>
      <w:szCs w:val="20"/>
    </w:rPr>
  </w:style>
  <w:style w:type="character" w:customStyle="1" w:styleId="CommentTextChar">
    <w:name w:val="Comment Text Char"/>
    <w:basedOn w:val="DefaultParagraphFont"/>
    <w:link w:val="CommentText"/>
    <w:uiPriority w:val="99"/>
    <w:semiHidden/>
    <w:rsid w:val="004D411E"/>
    <w:rPr>
      <w:rFonts w:ascii="HelveticaNeueLT Pro 45 Lt" w:hAnsi="HelveticaNeueLT Pro 45 Lt"/>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4D411E"/>
    <w:rPr>
      <w:b/>
      <w:bCs/>
    </w:rPr>
  </w:style>
  <w:style w:type="character" w:customStyle="1" w:styleId="CommentSubjectChar">
    <w:name w:val="Comment Subject Char"/>
    <w:basedOn w:val="CommentTextChar"/>
    <w:link w:val="CommentSubject"/>
    <w:uiPriority w:val="99"/>
    <w:semiHidden/>
    <w:rsid w:val="004D411E"/>
    <w:rPr>
      <w:rFonts w:ascii="HelveticaNeueLT Pro 45 Lt" w:hAnsi="HelveticaNeueLT Pro 45 Lt"/>
      <w:b/>
      <w:bCs/>
      <w:color w:val="000000" w:themeColor="text1"/>
      <w:sz w:val="20"/>
      <w:szCs w:val="20"/>
    </w:rPr>
  </w:style>
  <w:style w:type="paragraph" w:styleId="NoSpacing">
    <w:name w:val="No Spacing"/>
    <w:uiPriority w:val="1"/>
    <w:qFormat/>
    <w:rsid w:val="00212726"/>
    <w:rPr>
      <w:rFonts w:ascii="HelveticaNeueLT Pro 45 Lt" w:hAnsi="HelveticaNeueLT Pro 45 Lt"/>
      <w:color w:val="000000" w:themeColor="text1"/>
    </w:rPr>
  </w:style>
  <w:style w:type="paragraph" w:styleId="Revision">
    <w:name w:val="Revision"/>
    <w:hidden/>
    <w:uiPriority w:val="99"/>
    <w:semiHidden/>
    <w:rsid w:val="00F71155"/>
    <w:rPr>
      <w:rFonts w:ascii="HelveticaNeueLT Pro 45 Lt" w:hAnsi="HelveticaNeueLT Pro 45 Lt"/>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51"/>
    <w:pPr>
      <w:spacing w:line="320" w:lineRule="exact"/>
    </w:pPr>
    <w:rPr>
      <w:rFonts w:ascii="HelveticaNeueLT Pro 45 Lt" w:hAnsi="HelveticaNeueLT Pro 45 Lt"/>
      <w:color w:val="000000" w:themeColor="text1"/>
    </w:rPr>
  </w:style>
  <w:style w:type="paragraph" w:styleId="Heading1">
    <w:name w:val="heading 1"/>
    <w:basedOn w:val="CHOICEH2"/>
    <w:next w:val="Normal"/>
    <w:link w:val="Heading1Char"/>
    <w:uiPriority w:val="9"/>
    <w:qFormat/>
    <w:rsid w:val="00C1622F"/>
    <w:pPr>
      <w:outlineLvl w:val="0"/>
    </w:pPr>
  </w:style>
  <w:style w:type="paragraph" w:styleId="Heading2">
    <w:name w:val="heading 2"/>
    <w:basedOn w:val="Normal"/>
    <w:link w:val="Heading2Char"/>
    <w:uiPriority w:val="9"/>
    <w:qFormat/>
    <w:rsid w:val="00840A67"/>
    <w:pPr>
      <w:numPr>
        <w:ilvl w:val="1"/>
        <w:numId w:val="4"/>
      </w:num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3E1E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CFD"/>
    <w:pPr>
      <w:tabs>
        <w:tab w:val="center" w:pos="4320"/>
        <w:tab w:val="right" w:pos="8640"/>
      </w:tabs>
      <w:spacing w:line="240" w:lineRule="auto"/>
    </w:pPr>
  </w:style>
  <w:style w:type="character" w:customStyle="1" w:styleId="HeaderChar">
    <w:name w:val="Header Char"/>
    <w:basedOn w:val="DefaultParagraphFont"/>
    <w:link w:val="Header"/>
    <w:uiPriority w:val="99"/>
    <w:rsid w:val="002D0CFD"/>
    <w:rPr>
      <w:rFonts w:ascii="HelveticaNeueLT Pro 45 Lt" w:hAnsi="HelveticaNeueLT Pro 45 Lt"/>
      <w:color w:val="000000" w:themeColor="text1"/>
    </w:rPr>
  </w:style>
  <w:style w:type="paragraph" w:styleId="Footer">
    <w:name w:val="footer"/>
    <w:basedOn w:val="Normal"/>
    <w:link w:val="FooterChar"/>
    <w:uiPriority w:val="99"/>
    <w:unhideWhenUsed/>
    <w:rsid w:val="00FA5CA0"/>
    <w:pPr>
      <w:tabs>
        <w:tab w:val="center" w:pos="4320"/>
        <w:tab w:val="right" w:pos="8640"/>
      </w:tabs>
    </w:pPr>
    <w:rPr>
      <w:rFonts w:ascii="Brandon Grotesque Regular" w:hAnsi="Brandon Grotesque Regular"/>
      <w:color w:val="60BDE0"/>
      <w:sz w:val="18"/>
    </w:rPr>
  </w:style>
  <w:style w:type="character" w:customStyle="1" w:styleId="FooterChar">
    <w:name w:val="Footer Char"/>
    <w:basedOn w:val="DefaultParagraphFont"/>
    <w:link w:val="Footer"/>
    <w:uiPriority w:val="99"/>
    <w:rsid w:val="00FA5CA0"/>
    <w:rPr>
      <w:rFonts w:ascii="Brandon Grotesque Regular" w:hAnsi="Brandon Grotesque Regular"/>
      <w:color w:val="60BDE0"/>
      <w:sz w:val="18"/>
    </w:rPr>
  </w:style>
  <w:style w:type="paragraph" w:styleId="BalloonText">
    <w:name w:val="Balloon Text"/>
    <w:basedOn w:val="Normal"/>
    <w:link w:val="BalloonTextChar"/>
    <w:uiPriority w:val="99"/>
    <w:semiHidden/>
    <w:unhideWhenUsed/>
    <w:rsid w:val="008657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7BB"/>
    <w:rPr>
      <w:rFonts w:ascii="Lucida Grande" w:hAnsi="Lucida Grande" w:cs="Lucida Grande"/>
      <w:sz w:val="18"/>
      <w:szCs w:val="18"/>
    </w:rPr>
  </w:style>
  <w:style w:type="paragraph" w:customStyle="1" w:styleId="CHOICEBodyCopy">
    <w:name w:val="CHOICE Body Copy"/>
    <w:basedOn w:val="Normal"/>
    <w:qFormat/>
    <w:rsid w:val="0055285F"/>
    <w:rPr>
      <w:rFonts w:ascii="HelveticaNeueLT Pro 55 Roman" w:hAnsi="HelveticaNeueLT Pro 55 Roman"/>
      <w:sz w:val="22"/>
    </w:rPr>
  </w:style>
  <w:style w:type="character" w:customStyle="1" w:styleId="Heading2Char">
    <w:name w:val="Heading 2 Char"/>
    <w:basedOn w:val="DefaultParagraphFont"/>
    <w:link w:val="Heading2"/>
    <w:uiPriority w:val="9"/>
    <w:rsid w:val="00840A67"/>
    <w:rPr>
      <w:rFonts w:ascii="Times" w:hAnsi="Times"/>
      <w:b/>
      <w:bCs/>
      <w:color w:val="000000" w:themeColor="text1"/>
      <w:sz w:val="36"/>
      <w:szCs w:val="36"/>
    </w:rPr>
  </w:style>
  <w:style w:type="paragraph" w:customStyle="1" w:styleId="CHOICEPullQuote">
    <w:name w:val="CHOICE Pull Quote"/>
    <w:basedOn w:val="CHOICEBodyCopy"/>
    <w:qFormat/>
    <w:rsid w:val="0055285F"/>
    <w:pPr>
      <w:spacing w:before="120" w:after="120" w:line="400" w:lineRule="exact"/>
    </w:pPr>
    <w:rPr>
      <w:rFonts w:ascii="Brandon Grotesque Bold" w:hAnsi="Brandon Grotesque Bold"/>
      <w:color w:val="12A9D9"/>
      <w:sz w:val="32"/>
    </w:rPr>
  </w:style>
  <w:style w:type="paragraph" w:customStyle="1" w:styleId="CHOICEH2">
    <w:name w:val="CHOICE H2"/>
    <w:basedOn w:val="Normal"/>
    <w:qFormat/>
    <w:rsid w:val="0055285F"/>
    <w:pPr>
      <w:spacing w:before="440" w:after="200" w:line="420" w:lineRule="exact"/>
    </w:pPr>
    <w:rPr>
      <w:rFonts w:ascii="Brandon Grotesque Bold" w:hAnsi="Brandon Grotesque Bold"/>
      <w:color w:val="12A9D9"/>
      <w:sz w:val="32"/>
      <w:szCs w:val="36"/>
    </w:rPr>
  </w:style>
  <w:style w:type="paragraph" w:customStyle="1" w:styleId="ChoiceBulletpoints">
    <w:name w:val="Choice Bulletpoints"/>
    <w:basedOn w:val="Normal"/>
    <w:qFormat/>
    <w:rsid w:val="0055285F"/>
    <w:pPr>
      <w:numPr>
        <w:numId w:val="1"/>
      </w:numPr>
    </w:pPr>
    <w:rPr>
      <w:rFonts w:ascii="HelveticaNeueLT Pro 55 Roman" w:hAnsi="HelveticaNeueLT Pro 55 Roman"/>
      <w:sz w:val="22"/>
    </w:rPr>
  </w:style>
  <w:style w:type="paragraph" w:customStyle="1" w:styleId="CHOICEH1">
    <w:name w:val="CHOICE H1"/>
    <w:basedOn w:val="Normal"/>
    <w:qFormat/>
    <w:rsid w:val="0055285F"/>
    <w:pPr>
      <w:spacing w:before="100" w:after="240" w:line="600" w:lineRule="exact"/>
    </w:pPr>
    <w:rPr>
      <w:rFonts w:ascii="Brandon Grotesque Bold" w:hAnsi="Brandon Grotesque Bold"/>
      <w:color w:val="12A9D9"/>
      <w:sz w:val="40"/>
      <w:szCs w:val="36"/>
    </w:rPr>
  </w:style>
  <w:style w:type="paragraph" w:customStyle="1" w:styleId="Heading1numbered">
    <w:name w:val="Heading 1 numbered"/>
    <w:basedOn w:val="Normal"/>
    <w:qFormat/>
    <w:rsid w:val="0099136C"/>
    <w:pPr>
      <w:numPr>
        <w:numId w:val="2"/>
      </w:numPr>
      <w:spacing w:before="600" w:after="200" w:line="480" w:lineRule="exact"/>
    </w:pPr>
    <w:rPr>
      <w:rFonts w:ascii="Brandon Grotesque Bold" w:eastAsia="Times New Roman" w:hAnsi="Brandon Grotesque Bold" w:cs="Tahoma"/>
      <w:bCs/>
      <w:color w:val="595959" w:themeColor="text1" w:themeTint="A6"/>
      <w:sz w:val="40"/>
      <w:szCs w:val="50"/>
      <w:lang w:val="en-GB" w:eastAsia="de-DE"/>
    </w:rPr>
  </w:style>
  <w:style w:type="character" w:customStyle="1" w:styleId="Heading1Char">
    <w:name w:val="Heading 1 Char"/>
    <w:basedOn w:val="DefaultParagraphFont"/>
    <w:link w:val="Heading1"/>
    <w:uiPriority w:val="9"/>
    <w:rsid w:val="00C1622F"/>
    <w:rPr>
      <w:rFonts w:ascii="Brandon Grotesque Regular" w:hAnsi="Brandon Grotesque Regular"/>
      <w:color w:val="12A9D9"/>
      <w:sz w:val="30"/>
      <w:szCs w:val="36"/>
    </w:rPr>
  </w:style>
  <w:style w:type="paragraph" w:styleId="ListNumber">
    <w:name w:val="List Number"/>
    <w:basedOn w:val="Normal"/>
    <w:uiPriority w:val="99"/>
    <w:semiHidden/>
    <w:unhideWhenUsed/>
    <w:rsid w:val="00687E64"/>
    <w:pPr>
      <w:numPr>
        <w:numId w:val="3"/>
      </w:numPr>
      <w:contextualSpacing/>
    </w:pPr>
  </w:style>
  <w:style w:type="character" w:styleId="Hyperlink">
    <w:name w:val="Hyperlink"/>
    <w:rsid w:val="0034480A"/>
    <w:rPr>
      <w:color w:val="12A9D9"/>
      <w:u w:val="single"/>
    </w:rPr>
  </w:style>
  <w:style w:type="paragraph" w:styleId="FootnoteText">
    <w:name w:val="footnote text"/>
    <w:basedOn w:val="Normal"/>
    <w:link w:val="FootnoteTextChar"/>
    <w:uiPriority w:val="99"/>
    <w:unhideWhenUsed/>
    <w:rsid w:val="0034480A"/>
    <w:pPr>
      <w:spacing w:line="200" w:lineRule="exact"/>
    </w:pPr>
    <w:rPr>
      <w:rFonts w:ascii="HelveticaNeueLT Pro 47 LtCn" w:eastAsiaTheme="minorHAnsi" w:hAnsi="HelveticaNeueLT Pro 47 LtCn"/>
      <w:sz w:val="16"/>
      <w:szCs w:val="20"/>
    </w:rPr>
  </w:style>
  <w:style w:type="character" w:customStyle="1" w:styleId="FootnoteTextChar">
    <w:name w:val="Footnote Text Char"/>
    <w:basedOn w:val="DefaultParagraphFont"/>
    <w:link w:val="FootnoteText"/>
    <w:uiPriority w:val="99"/>
    <w:rsid w:val="0034480A"/>
    <w:rPr>
      <w:rFonts w:ascii="HelveticaNeueLT Pro 47 LtCn" w:eastAsiaTheme="minorHAnsi" w:hAnsi="HelveticaNeueLT Pro 47 LtCn"/>
      <w:color w:val="000000" w:themeColor="text1"/>
      <w:sz w:val="16"/>
      <w:szCs w:val="20"/>
    </w:rPr>
  </w:style>
  <w:style w:type="character" w:styleId="FootnoteReference">
    <w:name w:val="footnote reference"/>
    <w:basedOn w:val="DefaultParagraphFont"/>
    <w:uiPriority w:val="99"/>
    <w:unhideWhenUsed/>
    <w:rsid w:val="0034480A"/>
    <w:rPr>
      <w:rFonts w:ascii="HelveticaNeueLT Pro 47 LtCn" w:hAnsi="HelveticaNeueLT Pro 47 LtCn"/>
      <w:b w:val="0"/>
      <w:i w:val="0"/>
      <w:color w:val="000000" w:themeColor="text1"/>
      <w:sz w:val="16"/>
      <w:vertAlign w:val="superscript"/>
    </w:rPr>
  </w:style>
  <w:style w:type="character" w:styleId="FollowedHyperlink">
    <w:name w:val="FollowedHyperlink"/>
    <w:basedOn w:val="DefaultParagraphFont"/>
    <w:uiPriority w:val="99"/>
    <w:semiHidden/>
    <w:unhideWhenUsed/>
    <w:rsid w:val="00CE1764"/>
    <w:rPr>
      <w:color w:val="800080" w:themeColor="followedHyperlink"/>
      <w:u w:val="single"/>
    </w:rPr>
  </w:style>
  <w:style w:type="table" w:styleId="TableGrid">
    <w:name w:val="Table Grid"/>
    <w:basedOn w:val="TableNormal"/>
    <w:uiPriority w:val="59"/>
    <w:rsid w:val="003D5211"/>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OICE-TableHeading">
    <w:name w:val="CHOICE-Table Heading"/>
    <w:qFormat/>
    <w:rsid w:val="0055285F"/>
    <w:pPr>
      <w:spacing w:before="160" w:after="160" w:line="260" w:lineRule="exact"/>
      <w:jc w:val="center"/>
    </w:pPr>
    <w:rPr>
      <w:rFonts w:ascii="Brandon Grotesque Bold" w:hAnsi="Brandon Grotesque Bold"/>
      <w:color w:val="12A9D9"/>
      <w:szCs w:val="36"/>
      <w:lang w:val="en-US"/>
    </w:rPr>
  </w:style>
  <w:style w:type="paragraph" w:customStyle="1" w:styleId="CHOICETablecopy">
    <w:name w:val="CHOICE Table copy"/>
    <w:basedOn w:val="CHOICEBodyCopy"/>
    <w:qFormat/>
    <w:rsid w:val="0040306E"/>
    <w:pPr>
      <w:spacing w:before="120" w:after="120"/>
    </w:pPr>
    <w:rPr>
      <w:sz w:val="20"/>
      <w:lang w:val="en-US"/>
    </w:rPr>
  </w:style>
  <w:style w:type="character" w:customStyle="1" w:styleId="Heading4Char">
    <w:name w:val="Heading 4 Char"/>
    <w:basedOn w:val="DefaultParagraphFont"/>
    <w:link w:val="Heading4"/>
    <w:uiPriority w:val="9"/>
    <w:semiHidden/>
    <w:rsid w:val="003E1ED3"/>
    <w:rPr>
      <w:rFonts w:asciiTheme="majorHAnsi" w:eastAsiaTheme="majorEastAsia" w:hAnsiTheme="majorHAnsi" w:cstheme="majorBidi"/>
      <w:b/>
      <w:bCs/>
      <w:i/>
      <w:iCs/>
      <w:color w:val="4F81BD" w:themeColor="accent1"/>
    </w:rPr>
  </w:style>
  <w:style w:type="paragraph" w:styleId="TOC2">
    <w:name w:val="toc 2"/>
    <w:basedOn w:val="Normal"/>
    <w:next w:val="Normal"/>
    <w:autoRedefine/>
    <w:uiPriority w:val="39"/>
    <w:unhideWhenUsed/>
    <w:rsid w:val="003E224A"/>
    <w:pPr>
      <w:tabs>
        <w:tab w:val="left" w:pos="426"/>
        <w:tab w:val="right" w:leader="dot" w:pos="9338"/>
      </w:tabs>
      <w:spacing w:before="100" w:line="280" w:lineRule="exact"/>
    </w:pPr>
    <w:rPr>
      <w:sz w:val="22"/>
      <w:szCs w:val="22"/>
    </w:rPr>
  </w:style>
  <w:style w:type="paragraph" w:styleId="TOC3">
    <w:name w:val="toc 3"/>
    <w:basedOn w:val="Normal"/>
    <w:next w:val="Normal"/>
    <w:autoRedefine/>
    <w:uiPriority w:val="39"/>
    <w:unhideWhenUsed/>
    <w:rsid w:val="00BF4F5B"/>
    <w:pPr>
      <w:tabs>
        <w:tab w:val="right" w:leader="dot" w:pos="9338"/>
      </w:tabs>
      <w:spacing w:before="60" w:line="280" w:lineRule="exact"/>
      <w:ind w:left="397"/>
    </w:pPr>
    <w:rPr>
      <w:color w:val="808080" w:themeColor="background1" w:themeShade="80"/>
      <w:sz w:val="22"/>
      <w:szCs w:val="22"/>
    </w:rPr>
  </w:style>
  <w:style w:type="paragraph" w:styleId="TOCHeading">
    <w:name w:val="TOC Heading"/>
    <w:basedOn w:val="Normal"/>
    <w:next w:val="Normal"/>
    <w:uiPriority w:val="39"/>
    <w:unhideWhenUsed/>
    <w:qFormat/>
    <w:rsid w:val="007E75EE"/>
    <w:pPr>
      <w:spacing w:before="240" w:after="200"/>
    </w:pPr>
    <w:rPr>
      <w:rFonts w:ascii="Brandon Grotesque Bold" w:hAnsi="Brandon Grotesque Bold"/>
      <w:b/>
      <w:color w:val="595959" w:themeColor="text1" w:themeTint="A6"/>
      <w:sz w:val="28"/>
      <w:szCs w:val="28"/>
      <w:u w:val="single"/>
      <w:lang w:val="en-US"/>
    </w:rPr>
  </w:style>
  <w:style w:type="paragraph" w:customStyle="1" w:styleId="CoverTitle">
    <w:name w:val="Cover Title"/>
    <w:basedOn w:val="Normal"/>
    <w:qFormat/>
    <w:rsid w:val="002F4FF7"/>
    <w:pPr>
      <w:spacing w:line="420" w:lineRule="exact"/>
    </w:pPr>
    <w:rPr>
      <w:rFonts w:ascii="Brandon Grotesque Bold" w:hAnsi="Brandon Grotesque Bold"/>
      <w:color w:val="FFFFFF" w:themeColor="background1"/>
      <w:sz w:val="40"/>
      <w:szCs w:val="40"/>
    </w:rPr>
  </w:style>
  <w:style w:type="character" w:customStyle="1" w:styleId="CHOICECoverTitle">
    <w:name w:val="CHOICE Cover Title"/>
    <w:basedOn w:val="DefaultParagraphFont"/>
    <w:uiPriority w:val="1"/>
    <w:qFormat/>
    <w:rsid w:val="002F4FF7"/>
    <w:rPr>
      <w:rFonts w:ascii="Brandon Grotesque Bold" w:hAnsi="Brandon Grotesque Bold"/>
      <w:color w:val="FFFFFF" w:themeColor="background1"/>
      <w:sz w:val="40"/>
      <w:szCs w:val="40"/>
    </w:rPr>
  </w:style>
  <w:style w:type="paragraph" w:customStyle="1" w:styleId="Submissiontitle">
    <w:name w:val="Submission title"/>
    <w:qFormat/>
    <w:rsid w:val="002F4FF7"/>
    <w:pPr>
      <w:tabs>
        <w:tab w:val="left" w:pos="6950"/>
      </w:tabs>
      <w:spacing w:line="360" w:lineRule="auto"/>
      <w:jc w:val="center"/>
    </w:pPr>
    <w:rPr>
      <w:rFonts w:ascii="Georgia" w:eastAsia="Times New Roman" w:hAnsi="Georgia" w:cs="Times New Roman"/>
      <w:color w:val="00B4F3"/>
      <w:kern w:val="32"/>
      <w:sz w:val="56"/>
      <w:szCs w:val="56"/>
      <w:lang w:val="en-GB" w:eastAsia="de-DE"/>
    </w:rPr>
  </w:style>
  <w:style w:type="paragraph" w:customStyle="1" w:styleId="CHOICECoverHeading">
    <w:name w:val="CHOICE Cover Heading"/>
    <w:basedOn w:val="Normal"/>
    <w:qFormat/>
    <w:rsid w:val="002F4FF7"/>
    <w:pPr>
      <w:spacing w:line="600" w:lineRule="exact"/>
    </w:pPr>
    <w:rPr>
      <w:rFonts w:ascii="Brandon Grotesque Bold" w:hAnsi="Brandon Grotesque Bold"/>
      <w:color w:val="595959" w:themeColor="text1" w:themeTint="A6"/>
      <w:sz w:val="52"/>
      <w:szCs w:val="36"/>
    </w:rPr>
  </w:style>
  <w:style w:type="paragraph" w:customStyle="1" w:styleId="DateonCover">
    <w:name w:val="Date on Cover"/>
    <w:basedOn w:val="Normal"/>
    <w:qFormat/>
    <w:rsid w:val="008420A9"/>
    <w:pPr>
      <w:spacing w:after="1000"/>
    </w:pPr>
    <w:rPr>
      <w:rFonts w:ascii="Brandon Grotesque Light" w:hAnsi="Brandon Grotesque Light"/>
      <w:color w:val="595959" w:themeColor="text1" w:themeTint="A6"/>
      <w:sz w:val="30"/>
      <w:szCs w:val="36"/>
    </w:rPr>
  </w:style>
  <w:style w:type="paragraph" w:customStyle="1" w:styleId="Bodycopy">
    <w:name w:val="Body copy"/>
    <w:qFormat/>
    <w:rsid w:val="000E2E08"/>
    <w:pPr>
      <w:spacing w:before="120" w:after="240"/>
    </w:pPr>
    <w:rPr>
      <w:rFonts w:ascii="Trebuchet MS" w:eastAsia="Times New Roman" w:hAnsi="Trebuchet MS" w:cs="Times New Roman"/>
      <w:sz w:val="22"/>
      <w:lang w:val="en-GB" w:eastAsia="de-DE"/>
    </w:rPr>
  </w:style>
  <w:style w:type="paragraph" w:customStyle="1" w:styleId="Bodycopynumbered">
    <w:name w:val="Body copy numbered"/>
    <w:basedOn w:val="Bodycopy"/>
    <w:qFormat/>
    <w:rsid w:val="000E2E08"/>
    <w:pPr>
      <w:numPr>
        <w:numId w:val="5"/>
      </w:numPr>
    </w:pPr>
    <w:rPr>
      <w:szCs w:val="22"/>
    </w:rPr>
  </w:style>
  <w:style w:type="paragraph" w:customStyle="1" w:styleId="Recommendbox">
    <w:name w:val="Recommend box"/>
    <w:basedOn w:val="Normal"/>
    <w:link w:val="RecommendboxCharChar"/>
    <w:rsid w:val="000E2E08"/>
    <w:pPr>
      <w:keepLines/>
      <w:numPr>
        <w:numId w:val="6"/>
      </w:numPr>
      <w:pBdr>
        <w:top w:val="single" w:sz="4" w:space="6" w:color="00B4F3"/>
        <w:left w:val="single" w:sz="4" w:space="6" w:color="00B4F3"/>
        <w:bottom w:val="single" w:sz="4" w:space="6" w:color="00B4F3"/>
        <w:right w:val="single" w:sz="4" w:space="6" w:color="00B4F3"/>
      </w:pBdr>
      <w:shd w:val="clear" w:color="auto" w:fill="D8D8D6"/>
      <w:spacing w:after="120" w:line="240" w:lineRule="auto"/>
      <w:ind w:right="561"/>
      <w:jc w:val="both"/>
    </w:pPr>
    <w:rPr>
      <w:rFonts w:ascii="Trebuchet MS" w:eastAsia="Times New Roman" w:hAnsi="Trebuchet MS" w:cs="Times New Roman"/>
      <w:color w:val="auto"/>
      <w:sz w:val="22"/>
      <w:lang w:val="en-GB" w:eastAsia="de-DE"/>
    </w:rPr>
  </w:style>
  <w:style w:type="character" w:customStyle="1" w:styleId="RecommendboxCharChar">
    <w:name w:val="Recommend box Char Char"/>
    <w:link w:val="Recommendbox"/>
    <w:rsid w:val="000E2E08"/>
    <w:rPr>
      <w:rFonts w:ascii="Trebuchet MS" w:eastAsia="Times New Roman" w:hAnsi="Trebuchet MS" w:cs="Times New Roman"/>
      <w:sz w:val="22"/>
      <w:shd w:val="clear" w:color="auto" w:fill="D8D8D6"/>
      <w:lang w:val="en-GB" w:eastAsia="de-DE"/>
    </w:rPr>
  </w:style>
  <w:style w:type="paragraph" w:styleId="TOC1">
    <w:name w:val="toc 1"/>
    <w:basedOn w:val="Normal"/>
    <w:next w:val="Normal"/>
    <w:autoRedefine/>
    <w:uiPriority w:val="39"/>
    <w:unhideWhenUsed/>
    <w:rsid w:val="00BF4F5B"/>
    <w:pPr>
      <w:spacing w:after="100"/>
    </w:pPr>
    <w:rPr>
      <w:sz w:val="22"/>
    </w:rPr>
  </w:style>
  <w:style w:type="paragraph" w:customStyle="1" w:styleId="CoverSubheading">
    <w:name w:val="Cover Subheading"/>
    <w:basedOn w:val="Normal"/>
    <w:qFormat/>
    <w:rsid w:val="0055285F"/>
    <w:pPr>
      <w:spacing w:before="100" w:after="240" w:line="600" w:lineRule="exact"/>
    </w:pPr>
    <w:rPr>
      <w:rFonts w:ascii="Brandon Grotesque Bold" w:hAnsi="Brandon Grotesque Bold"/>
      <w:color w:val="12A9D9"/>
      <w:sz w:val="40"/>
    </w:rPr>
  </w:style>
  <w:style w:type="paragraph" w:customStyle="1" w:styleId="AboutUs">
    <w:name w:val="About Us"/>
    <w:basedOn w:val="CHOICEH1"/>
    <w:qFormat/>
    <w:rsid w:val="008420A9"/>
    <w:pPr>
      <w:spacing w:before="1000"/>
    </w:pPr>
  </w:style>
  <w:style w:type="paragraph" w:customStyle="1" w:styleId="ContentsHeading">
    <w:name w:val="Contents Heading"/>
    <w:basedOn w:val="Normal"/>
    <w:qFormat/>
    <w:rsid w:val="0055285F"/>
    <w:pPr>
      <w:spacing w:after="1200" w:line="600" w:lineRule="exact"/>
    </w:pPr>
    <w:rPr>
      <w:rFonts w:ascii="Brandon Grotesque Bold" w:hAnsi="Brandon Grotesque Bold"/>
      <w:color w:val="12A9D9"/>
      <w:sz w:val="54"/>
    </w:rPr>
  </w:style>
  <w:style w:type="paragraph" w:styleId="TOC4">
    <w:name w:val="toc 4"/>
    <w:basedOn w:val="Normal"/>
    <w:next w:val="Normal"/>
    <w:autoRedefine/>
    <w:uiPriority w:val="39"/>
    <w:unhideWhenUsed/>
    <w:rsid w:val="00BF4F5B"/>
    <w:pPr>
      <w:ind w:left="720"/>
    </w:pPr>
  </w:style>
  <w:style w:type="paragraph" w:styleId="TOC5">
    <w:name w:val="toc 5"/>
    <w:basedOn w:val="Normal"/>
    <w:next w:val="Normal"/>
    <w:autoRedefine/>
    <w:uiPriority w:val="39"/>
    <w:unhideWhenUsed/>
    <w:rsid w:val="00BF4F5B"/>
    <w:pPr>
      <w:ind w:left="960"/>
    </w:pPr>
  </w:style>
  <w:style w:type="paragraph" w:styleId="TOC6">
    <w:name w:val="toc 6"/>
    <w:basedOn w:val="Normal"/>
    <w:next w:val="Normal"/>
    <w:autoRedefine/>
    <w:uiPriority w:val="39"/>
    <w:unhideWhenUsed/>
    <w:rsid w:val="00BF4F5B"/>
    <w:pPr>
      <w:ind w:left="1200"/>
    </w:pPr>
  </w:style>
  <w:style w:type="paragraph" w:styleId="TOC7">
    <w:name w:val="toc 7"/>
    <w:basedOn w:val="Normal"/>
    <w:next w:val="Normal"/>
    <w:autoRedefine/>
    <w:uiPriority w:val="39"/>
    <w:unhideWhenUsed/>
    <w:rsid w:val="00BF4F5B"/>
    <w:pPr>
      <w:ind w:left="1440"/>
    </w:pPr>
  </w:style>
  <w:style w:type="paragraph" w:styleId="TOC8">
    <w:name w:val="toc 8"/>
    <w:basedOn w:val="Normal"/>
    <w:next w:val="Normal"/>
    <w:autoRedefine/>
    <w:uiPriority w:val="39"/>
    <w:unhideWhenUsed/>
    <w:rsid w:val="00BF4F5B"/>
    <w:pPr>
      <w:ind w:left="1680"/>
    </w:pPr>
  </w:style>
  <w:style w:type="paragraph" w:styleId="TOC9">
    <w:name w:val="toc 9"/>
    <w:basedOn w:val="Normal"/>
    <w:next w:val="Normal"/>
    <w:autoRedefine/>
    <w:uiPriority w:val="39"/>
    <w:unhideWhenUsed/>
    <w:rsid w:val="00BF4F5B"/>
    <w:pPr>
      <w:ind w:left="1920"/>
    </w:pPr>
  </w:style>
  <w:style w:type="paragraph" w:customStyle="1" w:styleId="StyleContentsHeadingBold">
    <w:name w:val="Style Contents Heading + Bold"/>
    <w:basedOn w:val="ContentsHeading"/>
    <w:rsid w:val="0055285F"/>
    <w:rPr>
      <w:bCs/>
    </w:rPr>
  </w:style>
  <w:style w:type="character" w:styleId="CommentReference">
    <w:name w:val="annotation reference"/>
    <w:basedOn w:val="DefaultParagraphFont"/>
    <w:uiPriority w:val="99"/>
    <w:semiHidden/>
    <w:unhideWhenUsed/>
    <w:rsid w:val="004D411E"/>
    <w:rPr>
      <w:sz w:val="16"/>
      <w:szCs w:val="16"/>
    </w:rPr>
  </w:style>
  <w:style w:type="paragraph" w:styleId="CommentText">
    <w:name w:val="annotation text"/>
    <w:basedOn w:val="Normal"/>
    <w:link w:val="CommentTextChar"/>
    <w:uiPriority w:val="99"/>
    <w:semiHidden/>
    <w:unhideWhenUsed/>
    <w:rsid w:val="004D411E"/>
    <w:pPr>
      <w:spacing w:line="240" w:lineRule="auto"/>
    </w:pPr>
    <w:rPr>
      <w:sz w:val="20"/>
      <w:szCs w:val="20"/>
    </w:rPr>
  </w:style>
  <w:style w:type="character" w:customStyle="1" w:styleId="CommentTextChar">
    <w:name w:val="Comment Text Char"/>
    <w:basedOn w:val="DefaultParagraphFont"/>
    <w:link w:val="CommentText"/>
    <w:uiPriority w:val="99"/>
    <w:semiHidden/>
    <w:rsid w:val="004D411E"/>
    <w:rPr>
      <w:rFonts w:ascii="HelveticaNeueLT Pro 45 Lt" w:hAnsi="HelveticaNeueLT Pro 45 Lt"/>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4D411E"/>
    <w:rPr>
      <w:b/>
      <w:bCs/>
    </w:rPr>
  </w:style>
  <w:style w:type="character" w:customStyle="1" w:styleId="CommentSubjectChar">
    <w:name w:val="Comment Subject Char"/>
    <w:basedOn w:val="CommentTextChar"/>
    <w:link w:val="CommentSubject"/>
    <w:uiPriority w:val="99"/>
    <w:semiHidden/>
    <w:rsid w:val="004D411E"/>
    <w:rPr>
      <w:rFonts w:ascii="HelveticaNeueLT Pro 45 Lt" w:hAnsi="HelveticaNeueLT Pro 45 Lt"/>
      <w:b/>
      <w:bCs/>
      <w:color w:val="000000" w:themeColor="text1"/>
      <w:sz w:val="20"/>
      <w:szCs w:val="20"/>
    </w:rPr>
  </w:style>
  <w:style w:type="paragraph" w:styleId="NoSpacing">
    <w:name w:val="No Spacing"/>
    <w:uiPriority w:val="1"/>
    <w:qFormat/>
    <w:rsid w:val="00212726"/>
    <w:rPr>
      <w:rFonts w:ascii="HelveticaNeueLT Pro 45 Lt" w:hAnsi="HelveticaNeueLT Pro 45 Lt"/>
      <w:color w:val="000000" w:themeColor="text1"/>
    </w:rPr>
  </w:style>
  <w:style w:type="paragraph" w:styleId="Revision">
    <w:name w:val="Revision"/>
    <w:hidden/>
    <w:uiPriority w:val="99"/>
    <w:semiHidden/>
    <w:rsid w:val="00F71155"/>
    <w:rPr>
      <w:rFonts w:ascii="HelveticaNeueLT Pro 45 Lt" w:hAnsi="HelveticaNeueLT Pro 45 Lt"/>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637233">
      <w:bodyDiv w:val="1"/>
      <w:marLeft w:val="0"/>
      <w:marRight w:val="0"/>
      <w:marTop w:val="0"/>
      <w:marBottom w:val="0"/>
      <w:divBdr>
        <w:top w:val="none" w:sz="0" w:space="0" w:color="auto"/>
        <w:left w:val="none" w:sz="0" w:space="0" w:color="auto"/>
        <w:bottom w:val="none" w:sz="0" w:space="0" w:color="auto"/>
        <w:right w:val="none" w:sz="0" w:space="0" w:color="auto"/>
      </w:divBdr>
    </w:div>
    <w:div w:id="1663661694">
      <w:bodyDiv w:val="1"/>
      <w:marLeft w:val="0"/>
      <w:marRight w:val="0"/>
      <w:marTop w:val="0"/>
      <w:marBottom w:val="0"/>
      <w:divBdr>
        <w:top w:val="none" w:sz="0" w:space="0" w:color="auto"/>
        <w:left w:val="none" w:sz="0" w:space="0" w:color="auto"/>
        <w:bottom w:val="none" w:sz="0" w:space="0" w:color="auto"/>
        <w:right w:val="none" w:sz="0" w:space="0" w:color="auto"/>
      </w:divBdr>
    </w:div>
    <w:div w:id="2086685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23" Type="http://schemas.microsoft.com/office/2011/relationships/commentsExtended" Target="commentsExtended.xml"/><Relationship Id="rId10" Type="http://schemas.openxmlformats.org/officeDocument/2006/relationships/header" Target="header2.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microsoft.com/office/2011/relationships/people" Target="people.xm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footnotes.xml.rels><?xml version="1.0" encoding="UTF-8" standalone="yes"?>
<Relationships xmlns="http://schemas.openxmlformats.org/package/2006/relationships"><Relationship Id="rId3" Type="http://schemas.openxmlformats.org/officeDocument/2006/relationships/hyperlink" Target="http://www.rba.gov.au/publications/annual-reports/psb/2015/pdf/retail-payments-developments.pdf" TargetMode="External"/><Relationship Id="rId2" Type="http://schemas.openxmlformats.org/officeDocument/2006/relationships/hyperlink" Target="http://ec.europa.eu/competition/sectors/financial_services/payments_en.html" TargetMode="External"/><Relationship Id="rId1" Type="http://schemas.openxmlformats.org/officeDocument/2006/relationships/hyperlink" Target="http://moneycompare.which.co.uk/credit-cards/everyday-credit-cards"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header4.xml.rels><?xml version="1.0" encoding="UTF-8" standalone="yes"?>
<Relationships xmlns="http://schemas.openxmlformats.org/package/2006/relationships"><Relationship Id="rId1" Type="http://schemas.openxmlformats.org/officeDocument/2006/relationships/image" Target="media/image3.emf"/></Relationships>
</file>

<file path=word/_rels/header5.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63A53-F44D-41D3-8634-8E6991FC1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13</Pages>
  <Words>2582</Words>
  <Characters>14719</Characters>
  <Application>Microsoft Office Word</Application>
  <DocSecurity>0</DocSecurity>
  <Lines>122</Lines>
  <Paragraphs>34</Paragraphs>
  <ScaleCrop>false</ScaleCrop>
  <Company/>
  <LinksUpToDate>false</LinksUpToDate>
  <CharactersWithSpaces>17267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2016-02-08T02:49:00Z</dcterms:created>
  <dcterms:modified xsi:type="dcterms:W3CDTF">2016-02-08T02:49:00Z</dcterms:modified>
</cp:coreProperties>
</file>