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400E8" w:rsidRDefault="001C05C7" w:rsidP="001C05C7">
      <w:pPr>
        <w:tabs>
          <w:tab w:val="left" w:pos="2700"/>
          <w:tab w:val="left" w:pos="5400"/>
          <w:tab w:val="left" w:pos="6480"/>
        </w:tabs>
        <w:rPr>
          <w:rFonts w:ascii="Arial" w:hAnsi="Arial"/>
          <w:sz w:val="16"/>
        </w:rPr>
      </w:pPr>
      <w:bookmarkStart w:id="0" w:name="_GoBack"/>
      <w:bookmarkEnd w:id="0"/>
      <w:r>
        <w:rPr>
          <w:rFonts w:ascii="Arial" w:hAnsi="Arial"/>
          <w:b/>
          <w:noProof/>
        </w:rPr>
        <w:drawing>
          <wp:anchor distT="0" distB="0" distL="114300" distR="114300" simplePos="0" relativeHeight="251657216" behindDoc="0" locked="0" layoutInCell="0" allowOverlap="1" wp14:anchorId="3938580F" wp14:editId="41970FB7">
            <wp:simplePos x="0" y="0"/>
            <wp:positionH relativeFrom="column">
              <wp:posOffset>-74295</wp:posOffset>
            </wp:positionH>
            <wp:positionV relativeFrom="paragraph">
              <wp:posOffset>4445</wp:posOffset>
            </wp:positionV>
            <wp:extent cx="2011680" cy="274320"/>
            <wp:effectExtent l="19050" t="0" r="7620" b="0"/>
            <wp:wrapTopAndBottom/>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9" cstate="print"/>
                    <a:srcRect/>
                    <a:stretch>
                      <a:fillRect/>
                    </a:stretch>
                  </pic:blipFill>
                  <pic:spPr bwMode="auto">
                    <a:xfrm>
                      <a:off x="0" y="0"/>
                      <a:ext cx="2011680" cy="274320"/>
                    </a:xfrm>
                    <a:prstGeom prst="rect">
                      <a:avLst/>
                    </a:prstGeom>
                    <a:noFill/>
                    <a:ln w="9525">
                      <a:noFill/>
                      <a:miter lim="800000"/>
                      <a:headEnd/>
                      <a:tailEnd/>
                    </a:ln>
                  </pic:spPr>
                </pic:pic>
              </a:graphicData>
            </a:graphic>
          </wp:anchor>
        </w:drawing>
      </w:r>
      <w:r w:rsidR="005400E8">
        <w:rPr>
          <w:rFonts w:ascii="Arial" w:hAnsi="Arial"/>
          <w:sz w:val="16"/>
        </w:rPr>
        <w:t xml:space="preserve">Commonwealth Bank of </w:t>
      </w:r>
      <w:smartTag w:uri="urn:schemas-microsoft-com:office:smarttags" w:element="country-region">
        <w:smartTag w:uri="urn:schemas-microsoft-com:office:smarttags" w:element="place">
          <w:r w:rsidR="005400E8">
            <w:rPr>
              <w:rFonts w:ascii="Arial" w:hAnsi="Arial"/>
              <w:sz w:val="16"/>
            </w:rPr>
            <w:t>Australia</w:t>
          </w:r>
        </w:smartTag>
      </w:smartTag>
    </w:p>
    <w:p w:rsidR="005400E8" w:rsidRDefault="005400E8" w:rsidP="001C05C7">
      <w:pPr>
        <w:tabs>
          <w:tab w:val="left" w:pos="2700"/>
          <w:tab w:val="left" w:pos="5400"/>
          <w:tab w:val="left" w:pos="6480"/>
        </w:tabs>
        <w:rPr>
          <w:rFonts w:ascii="Arial" w:hAnsi="Arial"/>
          <w:sz w:val="16"/>
        </w:rPr>
      </w:pPr>
      <w:r>
        <w:rPr>
          <w:rFonts w:ascii="Arial" w:hAnsi="Arial"/>
          <w:sz w:val="16"/>
        </w:rPr>
        <w:t>ABN 48 123 123 124</w:t>
      </w:r>
    </w:p>
    <w:p w:rsidR="0064712E" w:rsidRDefault="0064712E" w:rsidP="0064712E">
      <w:pPr>
        <w:tabs>
          <w:tab w:val="left" w:pos="2700"/>
          <w:tab w:val="left" w:pos="5400"/>
          <w:tab w:val="left" w:pos="6480"/>
        </w:tabs>
        <w:rPr>
          <w:rFonts w:ascii="Univers (WN)" w:hAnsi="Univers (WN)"/>
          <w:sz w:val="16"/>
        </w:rPr>
      </w:pPr>
    </w:p>
    <w:tbl>
      <w:tblPr>
        <w:tblStyle w:val="TableGrid"/>
        <w:tblW w:w="10065" w:type="dxa"/>
        <w:tblInd w:w="-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426"/>
        <w:gridCol w:w="1827"/>
        <w:gridCol w:w="2552"/>
        <w:gridCol w:w="3260"/>
      </w:tblGrid>
      <w:tr w:rsidR="0064712E" w:rsidTr="00573ADA">
        <w:tc>
          <w:tcPr>
            <w:tcW w:w="2426" w:type="dxa"/>
          </w:tcPr>
          <w:p w:rsidR="0064712E" w:rsidRDefault="0064712E" w:rsidP="00573ADA">
            <w:pPr>
              <w:rPr>
                <w:rFonts w:ascii="Arial" w:hAnsi="Arial"/>
                <w:sz w:val="16"/>
              </w:rPr>
            </w:pPr>
            <w:r>
              <w:rPr>
                <w:rFonts w:ascii="Arial" w:hAnsi="Arial"/>
                <w:sz w:val="16"/>
              </w:rPr>
              <w:t>Level  6</w:t>
            </w:r>
          </w:p>
        </w:tc>
        <w:tc>
          <w:tcPr>
            <w:tcW w:w="1827" w:type="dxa"/>
          </w:tcPr>
          <w:p w:rsidR="0064712E" w:rsidRDefault="0064712E" w:rsidP="00573ADA">
            <w:pPr>
              <w:rPr>
                <w:rFonts w:ascii="Arial" w:hAnsi="Arial"/>
                <w:sz w:val="16"/>
              </w:rPr>
            </w:pPr>
            <w:r>
              <w:rPr>
                <w:rFonts w:ascii="Arial" w:hAnsi="Arial"/>
                <w:sz w:val="16"/>
              </w:rPr>
              <w:t>GPO Box 2719</w:t>
            </w:r>
          </w:p>
        </w:tc>
        <w:tc>
          <w:tcPr>
            <w:tcW w:w="2552" w:type="dxa"/>
          </w:tcPr>
          <w:p w:rsidR="0064712E" w:rsidRDefault="0064712E" w:rsidP="00573ADA">
            <w:pPr>
              <w:rPr>
                <w:rFonts w:ascii="Arial" w:hAnsi="Arial"/>
                <w:sz w:val="16"/>
              </w:rPr>
            </w:pPr>
            <w:r>
              <w:rPr>
                <w:rFonts w:ascii="Arial" w:hAnsi="Arial"/>
                <w:sz w:val="16"/>
              </w:rPr>
              <w:t>Telephone:  (02) 9118 6545</w:t>
            </w:r>
          </w:p>
        </w:tc>
        <w:tc>
          <w:tcPr>
            <w:tcW w:w="3260" w:type="dxa"/>
          </w:tcPr>
          <w:p w:rsidR="0064712E" w:rsidRDefault="00773993" w:rsidP="00573ADA">
            <w:pPr>
              <w:rPr>
                <w:rFonts w:ascii="Arial" w:hAnsi="Arial"/>
                <w:sz w:val="16"/>
              </w:rPr>
            </w:pPr>
            <w:r>
              <w:rPr>
                <w:rFonts w:ascii="Arial" w:hAnsi="Arial"/>
                <w:sz w:val="16"/>
              </w:rPr>
              <w:t xml:space="preserve">Payments </w:t>
            </w:r>
            <w:r w:rsidR="0064712E">
              <w:rPr>
                <w:rFonts w:ascii="Arial" w:hAnsi="Arial"/>
                <w:sz w:val="16"/>
              </w:rPr>
              <w:t>Representation</w:t>
            </w:r>
          </w:p>
        </w:tc>
      </w:tr>
      <w:tr w:rsidR="0064712E" w:rsidTr="00573ADA">
        <w:tc>
          <w:tcPr>
            <w:tcW w:w="2426" w:type="dxa"/>
          </w:tcPr>
          <w:p w:rsidR="0064712E" w:rsidRDefault="0064712E" w:rsidP="00573ADA">
            <w:pPr>
              <w:rPr>
                <w:rFonts w:ascii="Arial" w:hAnsi="Arial"/>
                <w:sz w:val="16"/>
              </w:rPr>
            </w:pPr>
            <w:r>
              <w:rPr>
                <w:rFonts w:ascii="Arial" w:hAnsi="Arial"/>
                <w:sz w:val="16"/>
              </w:rPr>
              <w:t>201 Sussex Street</w:t>
            </w:r>
          </w:p>
        </w:tc>
        <w:tc>
          <w:tcPr>
            <w:tcW w:w="1827" w:type="dxa"/>
          </w:tcPr>
          <w:p w:rsidR="0064712E" w:rsidRDefault="0064712E" w:rsidP="00573ADA">
            <w:pPr>
              <w:rPr>
                <w:rFonts w:ascii="Arial" w:hAnsi="Arial"/>
                <w:sz w:val="16"/>
              </w:rPr>
            </w:pPr>
            <w:r>
              <w:rPr>
                <w:rFonts w:ascii="Arial" w:hAnsi="Arial"/>
                <w:sz w:val="16"/>
              </w:rPr>
              <w:t>Sydney</w:t>
            </w:r>
          </w:p>
        </w:tc>
        <w:tc>
          <w:tcPr>
            <w:tcW w:w="2552" w:type="dxa"/>
          </w:tcPr>
          <w:p w:rsidR="0064712E" w:rsidRDefault="0064712E" w:rsidP="003244ED">
            <w:pPr>
              <w:rPr>
                <w:rFonts w:ascii="Arial" w:hAnsi="Arial"/>
                <w:sz w:val="16"/>
              </w:rPr>
            </w:pPr>
            <w:r>
              <w:rPr>
                <w:rFonts w:ascii="Arial" w:hAnsi="Arial"/>
                <w:sz w:val="16"/>
              </w:rPr>
              <w:t xml:space="preserve">Email:  </w:t>
            </w:r>
            <w:hyperlink r:id="rId10" w:history="1">
              <w:r w:rsidR="003244ED" w:rsidRPr="00735721">
                <w:rPr>
                  <w:rStyle w:val="Hyperlink"/>
                  <w:rFonts w:ascii="Arial" w:hAnsi="Arial"/>
                  <w:sz w:val="16"/>
                </w:rPr>
                <w:t>woodward@cba.com.au</w:t>
              </w:r>
            </w:hyperlink>
          </w:p>
        </w:tc>
        <w:tc>
          <w:tcPr>
            <w:tcW w:w="3260" w:type="dxa"/>
          </w:tcPr>
          <w:p w:rsidR="0064712E" w:rsidRDefault="00773993" w:rsidP="00573ADA">
            <w:pPr>
              <w:rPr>
                <w:rFonts w:ascii="Arial" w:hAnsi="Arial"/>
                <w:sz w:val="16"/>
              </w:rPr>
            </w:pPr>
            <w:r>
              <w:rPr>
                <w:rFonts w:ascii="Arial" w:hAnsi="Arial"/>
                <w:sz w:val="16"/>
              </w:rPr>
              <w:t>Cash-Flow and Transaction Services</w:t>
            </w:r>
          </w:p>
        </w:tc>
      </w:tr>
      <w:tr w:rsidR="0064712E" w:rsidTr="00573ADA">
        <w:tc>
          <w:tcPr>
            <w:tcW w:w="2426" w:type="dxa"/>
          </w:tcPr>
          <w:p w:rsidR="0064712E" w:rsidRDefault="0064712E" w:rsidP="00573ADA">
            <w:pPr>
              <w:rPr>
                <w:rFonts w:ascii="Arial" w:hAnsi="Arial"/>
                <w:sz w:val="16"/>
              </w:rPr>
            </w:pPr>
            <w:r>
              <w:rPr>
                <w:rFonts w:ascii="Arial" w:hAnsi="Arial"/>
                <w:sz w:val="16"/>
              </w:rPr>
              <w:t>Sydney  NSW  2000</w:t>
            </w:r>
          </w:p>
        </w:tc>
        <w:tc>
          <w:tcPr>
            <w:tcW w:w="1827" w:type="dxa"/>
          </w:tcPr>
          <w:p w:rsidR="0064712E" w:rsidRDefault="0064712E" w:rsidP="00573ADA">
            <w:pPr>
              <w:rPr>
                <w:rFonts w:ascii="Arial" w:hAnsi="Arial"/>
                <w:sz w:val="16"/>
              </w:rPr>
            </w:pPr>
          </w:p>
        </w:tc>
        <w:tc>
          <w:tcPr>
            <w:tcW w:w="2552" w:type="dxa"/>
          </w:tcPr>
          <w:p w:rsidR="0064712E" w:rsidRDefault="0064712E" w:rsidP="00573ADA">
            <w:pPr>
              <w:rPr>
                <w:rFonts w:ascii="Arial" w:hAnsi="Arial"/>
                <w:sz w:val="16"/>
              </w:rPr>
            </w:pPr>
          </w:p>
        </w:tc>
        <w:tc>
          <w:tcPr>
            <w:tcW w:w="3260" w:type="dxa"/>
          </w:tcPr>
          <w:p w:rsidR="0064712E" w:rsidRDefault="00773993" w:rsidP="00573ADA">
            <w:pPr>
              <w:rPr>
                <w:rFonts w:ascii="Arial" w:hAnsi="Arial"/>
                <w:sz w:val="16"/>
              </w:rPr>
            </w:pPr>
            <w:r>
              <w:rPr>
                <w:rFonts w:ascii="Arial" w:hAnsi="Arial"/>
                <w:sz w:val="16"/>
              </w:rPr>
              <w:t>Institutional Banking and Markets</w:t>
            </w:r>
          </w:p>
        </w:tc>
      </w:tr>
      <w:tr w:rsidR="0064712E" w:rsidTr="00573ADA">
        <w:tc>
          <w:tcPr>
            <w:tcW w:w="2426" w:type="dxa"/>
          </w:tcPr>
          <w:p w:rsidR="0064712E" w:rsidRDefault="0064712E" w:rsidP="00573ADA">
            <w:pPr>
              <w:ind w:right="-198"/>
              <w:rPr>
                <w:rFonts w:ascii="Arial" w:hAnsi="Arial"/>
                <w:sz w:val="16"/>
              </w:rPr>
            </w:pPr>
            <w:r>
              <w:rPr>
                <w:rFonts w:ascii="Arial" w:hAnsi="Arial"/>
                <w:sz w:val="16"/>
              </w:rPr>
              <w:t>Australia</w:t>
            </w:r>
          </w:p>
        </w:tc>
        <w:tc>
          <w:tcPr>
            <w:tcW w:w="1827" w:type="dxa"/>
          </w:tcPr>
          <w:p w:rsidR="0064712E" w:rsidRDefault="0064712E" w:rsidP="00573ADA">
            <w:pPr>
              <w:rPr>
                <w:rFonts w:ascii="Arial" w:hAnsi="Arial"/>
                <w:sz w:val="16"/>
              </w:rPr>
            </w:pPr>
          </w:p>
        </w:tc>
        <w:tc>
          <w:tcPr>
            <w:tcW w:w="2552" w:type="dxa"/>
          </w:tcPr>
          <w:p w:rsidR="0064712E" w:rsidRDefault="0064712E" w:rsidP="00573ADA">
            <w:pPr>
              <w:rPr>
                <w:rFonts w:ascii="Arial" w:hAnsi="Arial"/>
                <w:sz w:val="16"/>
              </w:rPr>
            </w:pPr>
          </w:p>
        </w:tc>
        <w:tc>
          <w:tcPr>
            <w:tcW w:w="3260" w:type="dxa"/>
          </w:tcPr>
          <w:p w:rsidR="0064712E" w:rsidRDefault="0064712E" w:rsidP="00573ADA">
            <w:pPr>
              <w:rPr>
                <w:rFonts w:ascii="Arial" w:hAnsi="Arial"/>
                <w:sz w:val="16"/>
              </w:rPr>
            </w:pPr>
          </w:p>
        </w:tc>
      </w:tr>
    </w:tbl>
    <w:p w:rsidR="005400E8" w:rsidRDefault="005400E8" w:rsidP="001C05C7">
      <w:pPr>
        <w:tabs>
          <w:tab w:val="left" w:pos="2700"/>
          <w:tab w:val="left" w:pos="5400"/>
          <w:tab w:val="left" w:pos="6480"/>
        </w:tabs>
        <w:rPr>
          <w:rFonts w:ascii="Univers (WN)" w:hAnsi="Univers (WN)"/>
          <w:sz w:val="16"/>
        </w:rPr>
      </w:pPr>
    </w:p>
    <w:p w:rsidR="00FE0251" w:rsidRDefault="00FE0251" w:rsidP="008E504A">
      <w:pPr>
        <w:rPr>
          <w:rFonts w:ascii="Arial" w:hAnsi="Arial"/>
          <w:b/>
          <w:sz w:val="16"/>
        </w:rPr>
      </w:pPr>
    </w:p>
    <w:p w:rsidR="00BB41EE" w:rsidRPr="008E504A" w:rsidRDefault="00BB41EE" w:rsidP="008E504A">
      <w:pPr>
        <w:rPr>
          <w:rFonts w:ascii="Arial" w:hAnsi="Arial"/>
          <w:b/>
          <w:sz w:val="16"/>
        </w:rPr>
      </w:pPr>
    </w:p>
    <w:p w:rsidR="005400E8" w:rsidRPr="0018305B" w:rsidRDefault="00773993" w:rsidP="00EB6FA0">
      <w:pPr>
        <w:pStyle w:val="BodyText"/>
        <w:shd w:val="clear" w:color="auto" w:fill="FFFFFF" w:themeFill="background1"/>
        <w:spacing w:after="0" w:line="280" w:lineRule="exact"/>
        <w:jc w:val="left"/>
        <w:rPr>
          <w:rFonts w:ascii="Arial" w:hAnsi="Arial" w:cs="Arial"/>
          <w:sz w:val="22"/>
          <w:szCs w:val="22"/>
        </w:rPr>
      </w:pPr>
      <w:r>
        <w:rPr>
          <w:rFonts w:ascii="Arial" w:hAnsi="Arial" w:cs="Arial"/>
          <w:sz w:val="22"/>
          <w:szCs w:val="22"/>
        </w:rPr>
        <w:t>1 February 2016</w:t>
      </w:r>
    </w:p>
    <w:p w:rsidR="00940063" w:rsidRPr="00833325" w:rsidRDefault="00940063" w:rsidP="00833325">
      <w:pPr>
        <w:pStyle w:val="BodyText"/>
        <w:spacing w:after="0" w:line="240" w:lineRule="exact"/>
        <w:rPr>
          <w:rFonts w:ascii="Arial" w:hAnsi="Arial" w:cs="Arial"/>
          <w:sz w:val="22"/>
          <w:szCs w:val="22"/>
        </w:rPr>
      </w:pPr>
    </w:p>
    <w:p w:rsidR="00EB6FA0" w:rsidRPr="00297F62" w:rsidRDefault="00EB6FA0" w:rsidP="00297F62">
      <w:pPr>
        <w:pStyle w:val="BodyText"/>
        <w:spacing w:after="0" w:line="240" w:lineRule="exact"/>
        <w:jc w:val="left"/>
        <w:rPr>
          <w:rFonts w:ascii="Arial" w:hAnsi="Arial" w:cs="Arial"/>
          <w:sz w:val="22"/>
          <w:szCs w:val="22"/>
        </w:rPr>
      </w:pPr>
    </w:p>
    <w:p w:rsidR="009A6D44" w:rsidRPr="0018305B" w:rsidRDefault="00E151A7" w:rsidP="001C05C7">
      <w:pPr>
        <w:pStyle w:val="BodyText"/>
        <w:spacing w:after="0" w:line="240" w:lineRule="auto"/>
        <w:jc w:val="left"/>
        <w:rPr>
          <w:rFonts w:ascii="Arial" w:hAnsi="Arial" w:cs="Arial"/>
          <w:sz w:val="22"/>
          <w:szCs w:val="22"/>
        </w:rPr>
      </w:pPr>
      <w:r>
        <w:rPr>
          <w:rFonts w:ascii="Arial" w:hAnsi="Arial" w:cs="Arial"/>
          <w:noProof/>
          <w:sz w:val="22"/>
          <w:szCs w:val="22"/>
        </w:rPr>
        <mc:AlternateContent>
          <mc:Choice Requires="wpg">
            <w:drawing>
              <wp:anchor distT="0" distB="0" distL="114300" distR="114300" simplePos="0" relativeHeight="251658240" behindDoc="0" locked="0" layoutInCell="0" allowOverlap="1" wp14:anchorId="0B47C624" wp14:editId="5B88FDDC">
                <wp:simplePos x="0" y="0"/>
                <wp:positionH relativeFrom="column">
                  <wp:posOffset>5099050</wp:posOffset>
                </wp:positionH>
                <wp:positionV relativeFrom="paragraph">
                  <wp:posOffset>45085</wp:posOffset>
                </wp:positionV>
                <wp:extent cx="671830" cy="666750"/>
                <wp:effectExtent l="3175" t="6985" r="20320" b="12065"/>
                <wp:wrapNone/>
                <wp:docPr id="1" name="Group 2"/>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bwMode="auto">
                        <a:xfrm>
                          <a:off x="0" y="0"/>
                          <a:ext cx="671830" cy="666750"/>
                          <a:chOff x="9996" y="2743"/>
                          <a:chExt cx="1564" cy="1552"/>
                        </a:xfrm>
                      </wpg:grpSpPr>
                      <wps:wsp>
                        <wps:cNvPr id="2" name="Freeform 3"/>
                        <wps:cNvSpPr>
                          <a:spLocks noChangeAspect="1"/>
                        </wps:cNvSpPr>
                        <wps:spPr bwMode="auto">
                          <a:xfrm>
                            <a:off x="9996" y="2743"/>
                            <a:ext cx="1564" cy="1552"/>
                          </a:xfrm>
                          <a:custGeom>
                            <a:avLst/>
                            <a:gdLst>
                              <a:gd name="T0" fmla="*/ 0 w 1564"/>
                              <a:gd name="T1" fmla="*/ 776 h 1552"/>
                              <a:gd name="T2" fmla="*/ 782 w 1564"/>
                              <a:gd name="T3" fmla="*/ 0 h 1552"/>
                              <a:gd name="T4" fmla="*/ 1564 w 1564"/>
                              <a:gd name="T5" fmla="*/ 776 h 1552"/>
                              <a:gd name="T6" fmla="*/ 782 w 1564"/>
                              <a:gd name="T7" fmla="*/ 1552 h 1552"/>
                              <a:gd name="T8" fmla="*/ 0 w 1564"/>
                              <a:gd name="T9" fmla="*/ 776 h 1552"/>
                            </a:gdLst>
                            <a:ahLst/>
                            <a:cxnLst>
                              <a:cxn ang="0">
                                <a:pos x="T0" y="T1"/>
                              </a:cxn>
                              <a:cxn ang="0">
                                <a:pos x="T2" y="T3"/>
                              </a:cxn>
                              <a:cxn ang="0">
                                <a:pos x="T4" y="T5"/>
                              </a:cxn>
                              <a:cxn ang="0">
                                <a:pos x="T6" y="T7"/>
                              </a:cxn>
                              <a:cxn ang="0">
                                <a:pos x="T8" y="T9"/>
                              </a:cxn>
                            </a:cxnLst>
                            <a:rect l="0" t="0" r="r" b="b"/>
                            <a:pathLst>
                              <a:path w="1564" h="1552">
                                <a:moveTo>
                                  <a:pt x="0" y="776"/>
                                </a:moveTo>
                                <a:lnTo>
                                  <a:pt x="782" y="0"/>
                                </a:lnTo>
                                <a:lnTo>
                                  <a:pt x="1564" y="776"/>
                                </a:lnTo>
                                <a:lnTo>
                                  <a:pt x="782" y="1552"/>
                                </a:lnTo>
                                <a:lnTo>
                                  <a:pt x="0" y="776"/>
                                </a:lnTo>
                                <a:close/>
                              </a:path>
                            </a:pathLst>
                          </a:custGeom>
                          <a:solidFill>
                            <a:srgbClr val="FFB00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 name="Freeform 4"/>
                        <wps:cNvSpPr>
                          <a:spLocks noChangeAspect="1"/>
                        </wps:cNvSpPr>
                        <wps:spPr bwMode="auto">
                          <a:xfrm>
                            <a:off x="10778" y="3333"/>
                            <a:ext cx="782" cy="961"/>
                          </a:xfrm>
                          <a:custGeom>
                            <a:avLst/>
                            <a:gdLst>
                              <a:gd name="T0" fmla="*/ 0 w 782"/>
                              <a:gd name="T1" fmla="*/ 961 h 961"/>
                              <a:gd name="T2" fmla="*/ 782 w 782"/>
                              <a:gd name="T3" fmla="*/ 186 h 961"/>
                              <a:gd name="T4" fmla="*/ 594 w 782"/>
                              <a:gd name="T5" fmla="*/ 0 h 961"/>
                              <a:gd name="T6" fmla="*/ 312 w 782"/>
                              <a:gd name="T7" fmla="*/ 279 h 961"/>
                              <a:gd name="T8" fmla="*/ 0 w 782"/>
                              <a:gd name="T9" fmla="*/ 961 h 961"/>
                            </a:gdLst>
                            <a:ahLst/>
                            <a:cxnLst>
                              <a:cxn ang="0">
                                <a:pos x="T0" y="T1"/>
                              </a:cxn>
                              <a:cxn ang="0">
                                <a:pos x="T2" y="T3"/>
                              </a:cxn>
                              <a:cxn ang="0">
                                <a:pos x="T4" y="T5"/>
                              </a:cxn>
                              <a:cxn ang="0">
                                <a:pos x="T6" y="T7"/>
                              </a:cxn>
                              <a:cxn ang="0">
                                <a:pos x="T8" y="T9"/>
                              </a:cxn>
                            </a:cxnLst>
                            <a:rect l="0" t="0" r="r" b="b"/>
                            <a:pathLst>
                              <a:path w="782" h="961">
                                <a:moveTo>
                                  <a:pt x="0" y="961"/>
                                </a:moveTo>
                                <a:lnTo>
                                  <a:pt x="782" y="186"/>
                                </a:lnTo>
                                <a:lnTo>
                                  <a:pt x="594" y="0"/>
                                </a:lnTo>
                                <a:lnTo>
                                  <a:pt x="312" y="279"/>
                                </a:lnTo>
                                <a:lnTo>
                                  <a:pt x="0" y="961"/>
                                </a:lnTo>
                              </a:path>
                            </a:pathLst>
                          </a:custGeom>
                          <a:solidFill>
                            <a:srgbClr val="000000"/>
                          </a:solidFill>
                          <a:ln w="0">
                            <a:solidFill>
                              <a:srgbClr val="000000"/>
                            </a:solidFill>
                            <a:round/>
                            <a:headEnd/>
                            <a:tailEnd/>
                          </a:ln>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401.5pt;margin-top:3.55pt;width:52.9pt;height:52.5pt;z-index:251658240" coordorigin="9996,2743" coordsize="1564,15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8vmdsQQAAC0QAAAOAAAAZHJzL2Uyb0RvYy54bWzsV9tu4zYQfS/QfyD0WCCrS3SxhDiLTbIO&#10;CqTtApt+AC1RF1QiVVKOnRb9986Qoi1nrSTNogsUqB8kyhwdzpwZzqEu3u+6ljwwqRrBl47/znMI&#10;47koGl4tnV/vV2cLh6iB8oK2grOl88iU8/7y++8utn3GAlGLtmCSAAhX2bZfOvUw9JnrqrxmHVXv&#10;RM84TJZCdnSAR1m5haRbQO9aN/C82N0KWfRS5Ewp+PfGTDqXGr8sWT78UpaKDaRdOuDboK9SX9d4&#10;dS8vaFZJ2tdNPrpB3+BFRxsOi+6hbuhAyUY2X0B1TS6FEuXwLhedK8qyyZmOAaLxvSfR3Eqx6XUs&#10;Vbat+j1NQO0Tnt4Mm//88EmSpoDcOYTTDlKkVyUBUrPtqwwsbmX/uf8kTXwwvBP5b4pwcV1TXrEP&#10;qgeaEQDecJ++gs+VeZ+stz+JAlagm0Fotnal7BAVeCA7nZTHfVLYbiA5/Bkn/uIcUpfDVBzHSTQm&#10;La8hs/hWmqaxQ2A2SMJzk9C8/ji+7UdxaN71o0jH5NLMLKtdHV3DUKEA1YFj9XUcf65pz3TqFDI4&#10;chxYjleSMSxqoh3GtcHIcqxeIHhijG8qSM2L1J4gyRL8DEU0yzdquGVCZ4k+3KnBbJgCRrocirFo&#10;7iFDZdfC3vnBJR7ZEo06GlsbKLG9TZLEpAYrkxTYOHskIOlgtQhmsM4nVt4MEmR+j4T+zEBFE7N5&#10;t6DG9mDJrFvJxAqDm/EMuuIebI6tdGJz7BaUcGUzQGublHzHx6zAiMDOxK2ESeqFwn2CKYJdcm/2&#10;KaR2x3F2xhiygMa6PmG9542BaDSOdAd4ydhs1vvkVcZAFCKnU2PjzhirhN7ztLlLh0BzX5te0NMB&#10;KdJEwJBsoVPpplDjAMoPZzrxwO6FthkOnQhYH9c9zLd8ageFoB3UPQn8srP23ms0sx7EcQC0BvZu&#10;DC2c3RaziCaVX8LlrVAM2zBkHYLdDzQByNtkOyvRNsWqaVsMW8lqfd1K8kBBKFerK89bjaEfmbW6&#10;ZLjA18wy5h/oJSPH2FW08P2Z+kHoXQXp2SpeJGfhKozO0sRbnHl+epXGXpiGN6u/kH0/zOqmKBi/&#10;azizIuyHr2vA43HAyKeWYcxwGgWRTuyR90dBevp3KkhQXV7o1lUzWnwcxwNtWjN2jz3WJEPY9m64&#10;tp3ZKMtaFI/QpaUAnYTcwYEJBrWQfzhkC4ePpaN+31DJHNL+yEF5Uj8MwWzQD2GUBPAgpzPr6Qzl&#10;OUAtncGBXY/D68GccDa9bKoaVvI1F1x8AOEtG+zhIH4qM16NDyB+30gFoXWbk8ZeBUNMwzdQQd9L&#10;EtNRzuGHi9LMyqDee3jISGPbIe3xZLpr/pEIIqZe5KBuUw2ElUAfxvWel8ATSFMF9BeopieQphIY&#10;paiAJ5CmAohaegJnqn7nPoryCZyp+AVJehrpqfSdwJkq3xFH0MH+F76x0b5F+JBrArqHCcbaP8ia&#10;0R8jK2P6gezD/IxOLaxA2nl7N3hQca+QR6gnbQUlM7Zji2Lvp70zs18ndfMq0HIUEnOC+ndUBE4L&#10;Y+/FI/x/Syj0xxN8k2rRG7+f8aN3+qyDO3zlX/4NAAD//wMAUEsDBBQABgAIAAAAIQAzqkSN3wAA&#10;AAkBAAAPAAAAZHJzL2Rvd25yZXYueG1sTI9BS8NAEIXvgv9hGcGb3d0WNY3ZlFLUUxFsBeltmkyT&#10;0OxuyG6T9N87nvQ4vMeb78tWk23FQH1ovDOgZwoEucKXjasMfO3fHhIQIaIrsfWODFwpwCq/vckw&#10;Lf3oPmnYxUrwiAspGqhj7FIpQ1GTxTDzHTnOTr63GPnsK1n2OPK4beVcqSdpsXH8ocaONjUV593F&#10;GngfcVwv9OuwPZ8218P+8eN7q8mY+7tp/QIi0hT/yvCLz+iQM9PRX1wZRGsgUQt2iQaeNQjOlyph&#10;lSMX9VyDzDP53yD/AQAA//8DAFBLAQItABQABgAIAAAAIQC2gziS/gAAAOEBAAATAAAAAAAAAAAA&#10;AAAAAAAAAABbQ29udGVudF9UeXBlc10ueG1sUEsBAi0AFAAGAAgAAAAhADj9If/WAAAAlAEAAAsA&#10;AAAAAAAAAAAAAAAALwEAAF9yZWxzLy5yZWxzUEsBAi0AFAAGAAgAAAAhAATy+Z2xBAAALRAAAA4A&#10;AAAAAAAAAAAAAAAALgIAAGRycy9lMm9Eb2MueG1sUEsBAi0AFAAGAAgAAAAhADOqRI3fAAAACQEA&#10;AA8AAAAAAAAAAAAAAAAACwcAAGRycy9kb3ducmV2LnhtbFBLBQYAAAAABAAEAPMAAAAXCAAAAAA=&#10;" o:allowincell="f">
                <o:lock v:ext="edit" aspectratio="t"/>
                <v:shape id="Freeform 3" o:spid="_x0000_s1027" style="position:absolute;left:9996;top:2743;width:1564;height:1552;visibility:visible;mso-wrap-style:square;v-text-anchor:top" coordsize="1564,15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CcvlsQA&#10;AADaAAAADwAAAGRycy9kb3ducmV2LnhtbESPQWvCQBSE74L/YXlCL9JsKhhK6iqlYGl6SmIreHtk&#10;X5PQ7NuQ3cb037uC4HGYmW+YzW4ynRhpcK1lBU9RDIK4srrlWsHXYf/4DMJ5ZI2dZVLwTw522/ls&#10;g6m2Zy5oLH0tAoRdigoa7/tUSlc1ZNBFticO3o8dDPogh1rqAc8Bbjq5iuNEGmw5LDTY01tD1W/5&#10;ZxSc6vd9dlznWdIVnH9O3+XSj61SD4vp9QWEp8nfw7f2h1awguuVcAPk9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wnL5bEAAAA2gAAAA8AAAAAAAAAAAAAAAAAmAIAAGRycy9k&#10;b3ducmV2LnhtbFBLBQYAAAAABAAEAPUAAACJAwAAAAA=&#10;" path="m,776l782,r782,776l782,1552,,776xe" fillcolor="#ffb00f" stroked="f">
                  <v:path arrowok="t" o:connecttype="custom" o:connectlocs="0,776;782,0;1564,776;782,1552;0,776" o:connectangles="0,0,0,0,0"/>
                  <o:lock v:ext="edit" aspectratio="t"/>
                </v:shape>
                <v:shape id="Freeform 4" o:spid="_x0000_s1028" style="position:absolute;left:10778;top:3333;width:782;height:961;visibility:visible;mso-wrap-style:square;v-text-anchor:top" coordsize="782,9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zYlMsIA&#10;AADaAAAADwAAAGRycy9kb3ducmV2LnhtbESPQWsCMRSE74L/ITzBmyYqtLIapYgr0kOhaw89PjbP&#10;7NLNy7KJ6/rvTaHQ4zAz3zDb/eAa0VMXas8aFnMFgrj0pmar4euSz9YgQkQ22HgmDQ8KsN+NR1vM&#10;jL/zJ/VFtCJBOGSooYqxzaQMZUUOw9y3xMm7+s5hTLKz0nR4T3DXyKVSL9JhzWmhwpYOFZU/xc1p&#10;6Btl35eRv1/r/OjU6SM/93ah9XQyvG1ARBrif/ivfTYaVvB7Jd0AuXs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NiUywgAAANoAAAAPAAAAAAAAAAAAAAAAAJgCAABkcnMvZG93&#10;bnJldi54bWxQSwUGAAAAAAQABAD1AAAAhwMAAAAA&#10;" path="m,961l782,186,594,,312,279,,961e" fillcolor="black" strokeweight="0">
                  <v:path arrowok="t" o:connecttype="custom" o:connectlocs="0,961;782,186;594,0;312,279;0,961" o:connectangles="0,0,0,0,0"/>
                  <o:lock v:ext="edit" aspectratio="t"/>
                </v:shape>
              </v:group>
            </w:pict>
          </mc:Fallback>
        </mc:AlternateContent>
      </w:r>
      <w:r w:rsidR="00E9632C" w:rsidRPr="0018305B">
        <w:rPr>
          <w:rFonts w:ascii="Arial" w:hAnsi="Arial" w:cs="Arial"/>
          <w:sz w:val="22"/>
          <w:szCs w:val="22"/>
        </w:rPr>
        <w:t xml:space="preserve">Dr </w:t>
      </w:r>
      <w:r w:rsidR="00DA2E5D" w:rsidRPr="0018305B">
        <w:rPr>
          <w:rFonts w:ascii="Arial" w:hAnsi="Arial" w:cs="Arial"/>
          <w:sz w:val="22"/>
          <w:szCs w:val="22"/>
        </w:rPr>
        <w:t>Tony Richards</w:t>
      </w:r>
    </w:p>
    <w:p w:rsidR="00E5021E" w:rsidRPr="0018305B" w:rsidRDefault="00E5021E" w:rsidP="001C05C7">
      <w:pPr>
        <w:pStyle w:val="BodyText"/>
        <w:spacing w:after="0" w:line="240" w:lineRule="auto"/>
        <w:jc w:val="left"/>
        <w:rPr>
          <w:rFonts w:ascii="Arial" w:hAnsi="Arial" w:cs="Arial"/>
          <w:sz w:val="22"/>
          <w:szCs w:val="22"/>
        </w:rPr>
      </w:pPr>
      <w:r w:rsidRPr="0018305B">
        <w:rPr>
          <w:rFonts w:ascii="Arial" w:hAnsi="Arial" w:cs="Arial"/>
          <w:sz w:val="22"/>
          <w:szCs w:val="22"/>
        </w:rPr>
        <w:t>Head of Payments Policy Department</w:t>
      </w:r>
    </w:p>
    <w:p w:rsidR="00E5021E" w:rsidRPr="0018305B" w:rsidRDefault="00E5021E" w:rsidP="001C05C7">
      <w:pPr>
        <w:pStyle w:val="BodyText"/>
        <w:spacing w:after="0" w:line="240" w:lineRule="auto"/>
        <w:jc w:val="left"/>
        <w:rPr>
          <w:rFonts w:ascii="Arial" w:hAnsi="Arial" w:cs="Arial"/>
          <w:sz w:val="22"/>
          <w:szCs w:val="22"/>
        </w:rPr>
      </w:pPr>
      <w:r w:rsidRPr="0018305B">
        <w:rPr>
          <w:rFonts w:ascii="Arial" w:hAnsi="Arial" w:cs="Arial"/>
          <w:sz w:val="22"/>
          <w:szCs w:val="22"/>
        </w:rPr>
        <w:t>Reserve Bank of Australia</w:t>
      </w:r>
    </w:p>
    <w:p w:rsidR="00340DEB" w:rsidRPr="0018305B" w:rsidRDefault="00E5021E" w:rsidP="001C05C7">
      <w:pPr>
        <w:pStyle w:val="BodyText"/>
        <w:spacing w:after="0" w:line="240" w:lineRule="auto"/>
        <w:jc w:val="left"/>
        <w:rPr>
          <w:rFonts w:ascii="Arial" w:hAnsi="Arial" w:cs="Arial"/>
          <w:sz w:val="22"/>
          <w:szCs w:val="22"/>
        </w:rPr>
      </w:pPr>
      <w:r w:rsidRPr="0018305B">
        <w:rPr>
          <w:rFonts w:ascii="Arial" w:hAnsi="Arial" w:cs="Arial"/>
          <w:sz w:val="22"/>
          <w:szCs w:val="22"/>
        </w:rPr>
        <w:t>GPO Box 3947</w:t>
      </w:r>
    </w:p>
    <w:p w:rsidR="00E5021E" w:rsidRPr="0018305B" w:rsidRDefault="00E5021E" w:rsidP="001C05C7">
      <w:pPr>
        <w:pStyle w:val="BodyText"/>
        <w:spacing w:after="0" w:line="240" w:lineRule="auto"/>
        <w:jc w:val="left"/>
        <w:rPr>
          <w:rFonts w:ascii="Arial" w:hAnsi="Arial" w:cs="Arial"/>
          <w:sz w:val="22"/>
          <w:szCs w:val="22"/>
        </w:rPr>
      </w:pPr>
      <w:r w:rsidRPr="0018305B">
        <w:rPr>
          <w:rFonts w:ascii="Arial" w:hAnsi="Arial" w:cs="Arial"/>
          <w:sz w:val="22"/>
          <w:szCs w:val="22"/>
        </w:rPr>
        <w:t>Sydney NSW 2001</w:t>
      </w:r>
    </w:p>
    <w:p w:rsidR="001D7959" w:rsidRDefault="001D7959" w:rsidP="001C05C7">
      <w:pPr>
        <w:pStyle w:val="BodyText"/>
        <w:spacing w:after="0" w:line="240" w:lineRule="auto"/>
        <w:jc w:val="left"/>
        <w:rPr>
          <w:rFonts w:ascii="Arial" w:hAnsi="Arial" w:cs="Arial"/>
          <w:sz w:val="22"/>
          <w:szCs w:val="22"/>
        </w:rPr>
      </w:pPr>
    </w:p>
    <w:p w:rsidR="00ED1448" w:rsidRPr="0018305B" w:rsidRDefault="00ED1448" w:rsidP="001C05C7">
      <w:pPr>
        <w:pStyle w:val="BodyText"/>
        <w:spacing w:after="0" w:line="240" w:lineRule="auto"/>
        <w:jc w:val="left"/>
        <w:rPr>
          <w:rFonts w:ascii="Arial" w:hAnsi="Arial" w:cs="Arial"/>
          <w:sz w:val="22"/>
          <w:szCs w:val="22"/>
        </w:rPr>
      </w:pPr>
    </w:p>
    <w:p w:rsidR="00FE0251" w:rsidRPr="0018305B" w:rsidRDefault="00FE0251" w:rsidP="001C05C7">
      <w:pPr>
        <w:pStyle w:val="BodyText"/>
        <w:spacing w:after="0" w:line="240" w:lineRule="auto"/>
        <w:jc w:val="left"/>
        <w:rPr>
          <w:rFonts w:ascii="Arial" w:hAnsi="Arial" w:cs="Arial"/>
          <w:sz w:val="22"/>
          <w:szCs w:val="22"/>
        </w:rPr>
      </w:pPr>
    </w:p>
    <w:p w:rsidR="009A6D44" w:rsidRPr="0018305B" w:rsidRDefault="009A6D44" w:rsidP="001C05C7">
      <w:pPr>
        <w:pStyle w:val="BodyText"/>
        <w:spacing w:after="0" w:line="240" w:lineRule="auto"/>
        <w:jc w:val="left"/>
        <w:rPr>
          <w:rFonts w:ascii="Arial" w:hAnsi="Arial" w:cs="Arial"/>
          <w:i/>
          <w:sz w:val="22"/>
          <w:szCs w:val="22"/>
        </w:rPr>
      </w:pPr>
      <w:r w:rsidRPr="0018305B">
        <w:rPr>
          <w:rFonts w:ascii="Arial" w:hAnsi="Arial" w:cs="Arial"/>
          <w:i/>
          <w:sz w:val="22"/>
          <w:szCs w:val="22"/>
        </w:rPr>
        <w:t xml:space="preserve">By Email to:     </w:t>
      </w:r>
      <w:hyperlink r:id="rId11" w:history="1">
        <w:r w:rsidR="00E5021E" w:rsidRPr="0018305B">
          <w:rPr>
            <w:rStyle w:val="Hyperlink"/>
            <w:rFonts w:ascii="Arial" w:hAnsi="Arial" w:cs="Arial"/>
            <w:i/>
            <w:sz w:val="22"/>
            <w:szCs w:val="22"/>
          </w:rPr>
          <w:t>pysubmissions@rba.gov.au</w:t>
        </w:r>
      </w:hyperlink>
    </w:p>
    <w:p w:rsidR="00E5021E" w:rsidRPr="004946C3" w:rsidRDefault="00E5021E" w:rsidP="001C05C7">
      <w:pPr>
        <w:pStyle w:val="BodyText"/>
        <w:spacing w:after="0" w:line="240" w:lineRule="auto"/>
        <w:jc w:val="left"/>
        <w:rPr>
          <w:rFonts w:ascii="Arial" w:hAnsi="Arial" w:cs="Arial"/>
          <w:sz w:val="22"/>
          <w:szCs w:val="22"/>
        </w:rPr>
      </w:pPr>
    </w:p>
    <w:p w:rsidR="00E5021E" w:rsidRPr="00297F62" w:rsidRDefault="00E5021E" w:rsidP="00297F62">
      <w:pPr>
        <w:pStyle w:val="BodyText"/>
        <w:spacing w:after="0" w:line="240" w:lineRule="auto"/>
        <w:jc w:val="left"/>
        <w:rPr>
          <w:rFonts w:ascii="Arial" w:hAnsi="Arial" w:cs="Arial"/>
          <w:sz w:val="22"/>
          <w:szCs w:val="22"/>
        </w:rPr>
      </w:pPr>
    </w:p>
    <w:p w:rsidR="0043063D" w:rsidRPr="004946C3" w:rsidRDefault="0043063D" w:rsidP="001C05C7">
      <w:pPr>
        <w:pStyle w:val="BodyText"/>
        <w:spacing w:after="0" w:line="240" w:lineRule="auto"/>
        <w:jc w:val="left"/>
        <w:rPr>
          <w:rFonts w:ascii="Arial" w:hAnsi="Arial" w:cs="Arial"/>
          <w:sz w:val="22"/>
          <w:szCs w:val="22"/>
        </w:rPr>
      </w:pPr>
    </w:p>
    <w:p w:rsidR="00E5021E" w:rsidRPr="0018305B" w:rsidRDefault="00E5021E" w:rsidP="001C05C7">
      <w:pPr>
        <w:pStyle w:val="BodyText"/>
        <w:spacing w:after="0" w:line="240" w:lineRule="auto"/>
        <w:jc w:val="left"/>
        <w:rPr>
          <w:rFonts w:ascii="Arial" w:hAnsi="Arial" w:cs="Arial"/>
          <w:sz w:val="22"/>
          <w:szCs w:val="22"/>
        </w:rPr>
      </w:pPr>
      <w:r w:rsidRPr="0018305B">
        <w:rPr>
          <w:rFonts w:ascii="Arial" w:hAnsi="Arial" w:cs="Arial"/>
          <w:sz w:val="22"/>
          <w:szCs w:val="22"/>
        </w:rPr>
        <w:t xml:space="preserve">Dear Dr </w:t>
      </w:r>
      <w:r w:rsidR="00DA2E5D" w:rsidRPr="0018305B">
        <w:rPr>
          <w:rFonts w:ascii="Arial" w:hAnsi="Arial" w:cs="Arial"/>
          <w:sz w:val="22"/>
          <w:szCs w:val="22"/>
        </w:rPr>
        <w:t>Richards</w:t>
      </w:r>
      <w:r w:rsidRPr="0018305B">
        <w:rPr>
          <w:rFonts w:ascii="Arial" w:hAnsi="Arial" w:cs="Arial"/>
          <w:sz w:val="22"/>
          <w:szCs w:val="22"/>
        </w:rPr>
        <w:t xml:space="preserve">, </w:t>
      </w:r>
    </w:p>
    <w:p w:rsidR="00D159E4" w:rsidRDefault="00D159E4" w:rsidP="001C05C7">
      <w:pPr>
        <w:pStyle w:val="BodyText"/>
        <w:spacing w:after="0" w:line="240" w:lineRule="auto"/>
        <w:jc w:val="left"/>
        <w:rPr>
          <w:rFonts w:ascii="Arial" w:hAnsi="Arial" w:cs="Arial"/>
          <w:i/>
          <w:sz w:val="22"/>
          <w:szCs w:val="22"/>
        </w:rPr>
      </w:pPr>
    </w:p>
    <w:p w:rsidR="0043063D" w:rsidRPr="0018305B" w:rsidRDefault="0043063D" w:rsidP="001C05C7">
      <w:pPr>
        <w:pStyle w:val="BodyText"/>
        <w:spacing w:after="0" w:line="240" w:lineRule="auto"/>
        <w:jc w:val="left"/>
        <w:rPr>
          <w:rFonts w:ascii="Arial" w:hAnsi="Arial" w:cs="Arial"/>
          <w:i/>
          <w:sz w:val="22"/>
          <w:szCs w:val="22"/>
        </w:rPr>
      </w:pPr>
    </w:p>
    <w:p w:rsidR="00E9632C" w:rsidRPr="0018305B" w:rsidRDefault="00773993" w:rsidP="001C05C7">
      <w:pPr>
        <w:pStyle w:val="BodyText"/>
        <w:spacing w:after="0" w:line="240" w:lineRule="auto"/>
        <w:jc w:val="left"/>
        <w:rPr>
          <w:rFonts w:ascii="Arial" w:hAnsi="Arial" w:cs="Arial"/>
          <w:b/>
          <w:sz w:val="22"/>
          <w:szCs w:val="22"/>
        </w:rPr>
      </w:pPr>
      <w:r>
        <w:rPr>
          <w:rFonts w:ascii="Arial" w:hAnsi="Arial" w:cs="Arial"/>
          <w:b/>
          <w:sz w:val="22"/>
          <w:szCs w:val="22"/>
        </w:rPr>
        <w:t>Submission in Response to “</w:t>
      </w:r>
      <w:r w:rsidR="00021C53">
        <w:rPr>
          <w:rFonts w:ascii="Arial" w:hAnsi="Arial" w:cs="Arial"/>
          <w:b/>
          <w:sz w:val="22"/>
          <w:szCs w:val="22"/>
        </w:rPr>
        <w:t xml:space="preserve">Review of Card Payments Regulation – </w:t>
      </w:r>
      <w:r>
        <w:rPr>
          <w:rFonts w:ascii="Arial" w:hAnsi="Arial" w:cs="Arial"/>
          <w:b/>
          <w:sz w:val="22"/>
          <w:szCs w:val="22"/>
        </w:rPr>
        <w:t xml:space="preserve">Consultation </w:t>
      </w:r>
      <w:r w:rsidR="00021C53">
        <w:rPr>
          <w:rFonts w:ascii="Arial" w:hAnsi="Arial" w:cs="Arial"/>
          <w:b/>
          <w:sz w:val="22"/>
          <w:szCs w:val="22"/>
        </w:rPr>
        <w:t xml:space="preserve">Paper,  </w:t>
      </w:r>
      <w:r>
        <w:rPr>
          <w:rFonts w:ascii="Arial" w:hAnsi="Arial" w:cs="Arial"/>
          <w:b/>
          <w:sz w:val="22"/>
          <w:szCs w:val="22"/>
        </w:rPr>
        <w:t>December</w:t>
      </w:r>
      <w:r w:rsidR="00021C53">
        <w:rPr>
          <w:rFonts w:ascii="Arial" w:hAnsi="Arial" w:cs="Arial"/>
          <w:b/>
          <w:sz w:val="22"/>
          <w:szCs w:val="22"/>
        </w:rPr>
        <w:t xml:space="preserve"> 2015</w:t>
      </w:r>
      <w:r>
        <w:rPr>
          <w:rFonts w:ascii="Arial" w:hAnsi="Arial" w:cs="Arial"/>
          <w:b/>
          <w:sz w:val="22"/>
          <w:szCs w:val="22"/>
        </w:rPr>
        <w:t>”</w:t>
      </w:r>
    </w:p>
    <w:p w:rsidR="002452DC" w:rsidRDefault="002452DC" w:rsidP="00E9632C">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Commonwealth Bank of Australia (the Bank) appreciates the opportunity to respond to the Reserve Bank of Australia (RBA) Consultation Paper on the Review of Card Payments Regulation dated December 2015.  We understand that this submission will be published on the RBA’s web-site.</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The Bank’s submission to the RBA dated 22 April 2015 remains our preferred position for addressing the concerns outlined by the RBA in its 4 March 2015 Issues Paper.  The comments that follow are limited to the Bank’s views on the proposals contained in the RBA’s December 2015 Consultation Paper, as per the RBA’s request.  Commentary is provided on an exceptions basis.</w:t>
      </w:r>
    </w:p>
    <w:p w:rsidR="00C018BB" w:rsidRDefault="00C018BB" w:rsidP="00C018BB">
      <w:pPr>
        <w:rPr>
          <w:rFonts w:ascii="Arial" w:hAnsi="Arial" w:cs="Arial"/>
          <w:b/>
          <w:sz w:val="22"/>
          <w:szCs w:val="22"/>
        </w:rPr>
      </w:pPr>
    </w:p>
    <w:p w:rsidR="008164DE" w:rsidRDefault="008164DE" w:rsidP="00C018BB">
      <w:pPr>
        <w:rPr>
          <w:rFonts w:ascii="Arial" w:hAnsi="Arial" w:cs="Arial"/>
          <w:b/>
          <w:sz w:val="22"/>
          <w:szCs w:val="22"/>
        </w:rPr>
      </w:pPr>
    </w:p>
    <w:p w:rsidR="00C018BB" w:rsidRPr="00C018BB" w:rsidRDefault="00C018BB" w:rsidP="00C018BB">
      <w:pPr>
        <w:rPr>
          <w:rFonts w:ascii="Arial" w:hAnsi="Arial" w:cs="Arial"/>
          <w:b/>
          <w:sz w:val="22"/>
          <w:szCs w:val="22"/>
        </w:rPr>
      </w:pPr>
      <w:r w:rsidRPr="00C018BB">
        <w:rPr>
          <w:rFonts w:ascii="Arial" w:hAnsi="Arial" w:cs="Arial"/>
          <w:b/>
          <w:sz w:val="22"/>
          <w:szCs w:val="22"/>
        </w:rPr>
        <w:t>Companion Cards</w:t>
      </w:r>
    </w:p>
    <w:p w:rsidR="00C018BB" w:rsidRDefault="00C018BB" w:rsidP="00C018BB">
      <w:pPr>
        <w:rPr>
          <w:rFonts w:ascii="Arial" w:hAnsi="Arial" w:cs="Arial"/>
          <w:sz w:val="22"/>
          <w:szCs w:val="22"/>
        </w:rPr>
      </w:pPr>
    </w:p>
    <w:p w:rsidR="00254F0B" w:rsidRDefault="00C018BB" w:rsidP="00C018BB">
      <w:pPr>
        <w:rPr>
          <w:rFonts w:ascii="Arial" w:hAnsi="Arial" w:cs="Arial"/>
          <w:sz w:val="22"/>
          <w:szCs w:val="22"/>
        </w:rPr>
      </w:pPr>
      <w:r w:rsidRPr="00C018BB">
        <w:rPr>
          <w:rFonts w:ascii="Arial" w:hAnsi="Arial" w:cs="Arial"/>
          <w:sz w:val="22"/>
          <w:szCs w:val="22"/>
        </w:rPr>
        <w:t xml:space="preserve">The RBA’s preferred option </w:t>
      </w:r>
      <w:r w:rsidR="00763127">
        <w:rPr>
          <w:rFonts w:ascii="Arial" w:hAnsi="Arial" w:cs="Arial"/>
          <w:sz w:val="22"/>
          <w:szCs w:val="22"/>
        </w:rPr>
        <w:t xml:space="preserve">with respect to </w:t>
      </w:r>
      <w:r w:rsidR="009D6391">
        <w:rPr>
          <w:rFonts w:ascii="Arial" w:hAnsi="Arial" w:cs="Arial"/>
          <w:sz w:val="22"/>
          <w:szCs w:val="22"/>
        </w:rPr>
        <w:t>C</w:t>
      </w:r>
      <w:r w:rsidR="00763127">
        <w:rPr>
          <w:rFonts w:ascii="Arial" w:hAnsi="Arial" w:cs="Arial"/>
          <w:sz w:val="22"/>
          <w:szCs w:val="22"/>
        </w:rPr>
        <w:t xml:space="preserve">ompanion </w:t>
      </w:r>
      <w:r w:rsidR="009D6391">
        <w:rPr>
          <w:rFonts w:ascii="Arial" w:hAnsi="Arial" w:cs="Arial"/>
          <w:sz w:val="22"/>
          <w:szCs w:val="22"/>
        </w:rPr>
        <w:t>C</w:t>
      </w:r>
      <w:r w:rsidR="00763127">
        <w:rPr>
          <w:rFonts w:ascii="Arial" w:hAnsi="Arial" w:cs="Arial"/>
          <w:sz w:val="22"/>
          <w:szCs w:val="22"/>
        </w:rPr>
        <w:t xml:space="preserve">ards </w:t>
      </w:r>
      <w:r w:rsidR="00864FB5">
        <w:rPr>
          <w:rFonts w:ascii="Arial" w:hAnsi="Arial" w:cs="Arial"/>
          <w:sz w:val="22"/>
          <w:szCs w:val="22"/>
        </w:rPr>
        <w:t>(</w:t>
      </w:r>
      <w:r w:rsidR="00265430">
        <w:rPr>
          <w:rFonts w:ascii="Arial" w:hAnsi="Arial" w:cs="Arial"/>
          <w:sz w:val="22"/>
          <w:szCs w:val="22"/>
        </w:rPr>
        <w:t>extending</w:t>
      </w:r>
      <w:r w:rsidR="00864FB5">
        <w:rPr>
          <w:rFonts w:ascii="Arial" w:hAnsi="Arial" w:cs="Arial"/>
          <w:sz w:val="22"/>
          <w:szCs w:val="22"/>
        </w:rPr>
        <w:t xml:space="preserve"> regulatory coverage to include American Express </w:t>
      </w:r>
      <w:r w:rsidR="009D6391">
        <w:rPr>
          <w:rFonts w:ascii="Arial" w:hAnsi="Arial" w:cs="Arial"/>
          <w:sz w:val="22"/>
          <w:szCs w:val="22"/>
        </w:rPr>
        <w:t>C</w:t>
      </w:r>
      <w:r w:rsidR="00864FB5">
        <w:rPr>
          <w:rFonts w:ascii="Arial" w:hAnsi="Arial" w:cs="Arial"/>
          <w:sz w:val="22"/>
          <w:szCs w:val="22"/>
        </w:rPr>
        <w:t xml:space="preserve">ompanion </w:t>
      </w:r>
      <w:r w:rsidR="009D6391">
        <w:rPr>
          <w:rFonts w:ascii="Arial" w:hAnsi="Arial" w:cs="Arial"/>
          <w:sz w:val="22"/>
          <w:szCs w:val="22"/>
        </w:rPr>
        <w:t>C</w:t>
      </w:r>
      <w:r w:rsidR="00864FB5">
        <w:rPr>
          <w:rFonts w:ascii="Arial" w:hAnsi="Arial" w:cs="Arial"/>
          <w:sz w:val="22"/>
          <w:szCs w:val="22"/>
        </w:rPr>
        <w:t xml:space="preserve">ards) </w:t>
      </w:r>
      <w:r w:rsidR="008C7916">
        <w:rPr>
          <w:rFonts w:ascii="Arial" w:hAnsi="Arial" w:cs="Arial"/>
          <w:sz w:val="22"/>
          <w:szCs w:val="22"/>
        </w:rPr>
        <w:t>is at odds with the preference expressed by the Bank in April.</w:t>
      </w:r>
      <w:r w:rsidR="008C7916">
        <w:rPr>
          <w:rStyle w:val="FootnoteReference"/>
          <w:rFonts w:ascii="Arial" w:hAnsi="Arial" w:cs="Arial"/>
          <w:sz w:val="22"/>
          <w:szCs w:val="22"/>
        </w:rPr>
        <w:footnoteReference w:id="1"/>
      </w:r>
      <w:r w:rsidR="008C7916">
        <w:rPr>
          <w:rFonts w:ascii="Arial" w:hAnsi="Arial" w:cs="Arial"/>
          <w:sz w:val="22"/>
          <w:szCs w:val="22"/>
        </w:rPr>
        <w:t xml:space="preserve">  The RBA’s option will, we believe, significantly change market structure and dynamics and </w:t>
      </w:r>
      <w:r w:rsidRPr="00C018BB">
        <w:rPr>
          <w:rFonts w:ascii="Arial" w:hAnsi="Arial" w:cs="Arial"/>
          <w:sz w:val="22"/>
          <w:szCs w:val="22"/>
        </w:rPr>
        <w:t xml:space="preserve">result in a large upheaval to the Bank’s AMEX </w:t>
      </w:r>
      <w:r w:rsidR="009D6391">
        <w:rPr>
          <w:rFonts w:ascii="Arial" w:hAnsi="Arial" w:cs="Arial"/>
          <w:sz w:val="22"/>
          <w:szCs w:val="22"/>
        </w:rPr>
        <w:t>C</w:t>
      </w:r>
      <w:r w:rsidRPr="00C018BB">
        <w:rPr>
          <w:rFonts w:ascii="Arial" w:hAnsi="Arial" w:cs="Arial"/>
          <w:sz w:val="22"/>
          <w:szCs w:val="22"/>
        </w:rPr>
        <w:t xml:space="preserve">ompanion </w:t>
      </w:r>
      <w:r w:rsidR="009D6391">
        <w:rPr>
          <w:rFonts w:ascii="Arial" w:hAnsi="Arial" w:cs="Arial"/>
          <w:sz w:val="22"/>
          <w:szCs w:val="22"/>
        </w:rPr>
        <w:t>C</w:t>
      </w:r>
      <w:r w:rsidRPr="00C018BB">
        <w:rPr>
          <w:rFonts w:ascii="Arial" w:hAnsi="Arial" w:cs="Arial"/>
          <w:sz w:val="22"/>
          <w:szCs w:val="22"/>
        </w:rPr>
        <w:t xml:space="preserve">ard products.  </w:t>
      </w:r>
    </w:p>
    <w:p w:rsidR="00254F0B" w:rsidRDefault="00254F0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The Bank </w:t>
      </w:r>
      <w:r w:rsidR="00763127">
        <w:rPr>
          <w:rFonts w:ascii="Arial" w:hAnsi="Arial" w:cs="Arial"/>
          <w:sz w:val="22"/>
          <w:szCs w:val="22"/>
        </w:rPr>
        <w:t xml:space="preserve">will </w:t>
      </w:r>
      <w:r w:rsidRPr="00C018BB">
        <w:rPr>
          <w:rFonts w:ascii="Arial" w:hAnsi="Arial" w:cs="Arial"/>
          <w:sz w:val="22"/>
          <w:szCs w:val="22"/>
        </w:rPr>
        <w:t xml:space="preserve">require time to review this business in light of the proposed changes.  Modifications to our relationship with AMEX may be required; adjustments to systems, processes and procedures will also eventuate.  Product changes are inevitable as a consequence, and will need to be accompanied by an extensive communication process with our cardholders. </w:t>
      </w:r>
    </w:p>
    <w:p w:rsidR="00C018BB" w:rsidRDefault="00C018BB" w:rsidP="00C018BB">
      <w:pPr>
        <w:rPr>
          <w:rFonts w:ascii="Arial" w:hAnsi="Arial" w:cs="Arial"/>
          <w:sz w:val="22"/>
          <w:szCs w:val="22"/>
          <w:u w:val="single"/>
        </w:rPr>
      </w:pPr>
    </w:p>
    <w:p w:rsidR="00C018BB" w:rsidRPr="00C018BB" w:rsidRDefault="00C018BB" w:rsidP="00C018BB">
      <w:pPr>
        <w:rPr>
          <w:rFonts w:ascii="Arial" w:hAnsi="Arial" w:cs="Arial"/>
          <w:sz w:val="22"/>
          <w:szCs w:val="22"/>
          <w:u w:val="single"/>
        </w:rPr>
      </w:pPr>
      <w:r w:rsidRPr="00C018BB">
        <w:rPr>
          <w:rFonts w:ascii="Arial" w:hAnsi="Arial" w:cs="Arial"/>
          <w:sz w:val="22"/>
          <w:szCs w:val="22"/>
          <w:u w:val="single"/>
        </w:rPr>
        <w:t>Accordingly we ask for a suitable implementation period before this change takes effect.  The Bank considers a two year transition to be appropriate.</w:t>
      </w:r>
    </w:p>
    <w:p w:rsidR="00C018BB" w:rsidRDefault="00C018BB" w:rsidP="00C018BB">
      <w:pPr>
        <w:rPr>
          <w:rFonts w:ascii="Arial" w:hAnsi="Arial" w:cs="Arial"/>
          <w:b/>
          <w:sz w:val="22"/>
          <w:szCs w:val="22"/>
        </w:rPr>
      </w:pPr>
    </w:p>
    <w:p w:rsidR="008164DE" w:rsidRDefault="008164DE" w:rsidP="00C018BB">
      <w:pPr>
        <w:rPr>
          <w:rFonts w:ascii="Arial" w:hAnsi="Arial" w:cs="Arial"/>
          <w:b/>
          <w:sz w:val="22"/>
          <w:szCs w:val="22"/>
        </w:rPr>
      </w:pPr>
    </w:p>
    <w:p w:rsidR="00C018BB" w:rsidRPr="00C018BB" w:rsidRDefault="00C018BB" w:rsidP="00C018BB">
      <w:pPr>
        <w:rPr>
          <w:rFonts w:ascii="Arial" w:hAnsi="Arial" w:cs="Arial"/>
          <w:b/>
          <w:sz w:val="22"/>
          <w:szCs w:val="22"/>
        </w:rPr>
      </w:pPr>
      <w:r w:rsidRPr="00C018BB">
        <w:rPr>
          <w:rFonts w:ascii="Arial" w:hAnsi="Arial" w:cs="Arial"/>
          <w:b/>
          <w:sz w:val="22"/>
          <w:szCs w:val="22"/>
        </w:rPr>
        <w:t>Commercial Cards</w:t>
      </w:r>
    </w:p>
    <w:p w:rsidR="00C018BB" w:rsidRDefault="00C018BB" w:rsidP="00C018BB">
      <w:pPr>
        <w:rPr>
          <w:rFonts w:ascii="Arial" w:hAnsi="Arial" w:cs="Arial"/>
          <w:sz w:val="22"/>
          <w:szCs w:val="22"/>
        </w:rPr>
      </w:pPr>
    </w:p>
    <w:p w:rsidR="00864FB5" w:rsidRDefault="00B45C87" w:rsidP="00C018BB">
      <w:pPr>
        <w:rPr>
          <w:rFonts w:ascii="Arial" w:hAnsi="Arial" w:cs="Arial"/>
          <w:sz w:val="22"/>
          <w:szCs w:val="22"/>
        </w:rPr>
      </w:pPr>
      <w:r>
        <w:rPr>
          <w:rFonts w:ascii="Arial" w:hAnsi="Arial" w:cs="Arial"/>
          <w:sz w:val="22"/>
          <w:szCs w:val="22"/>
        </w:rPr>
        <w:t xml:space="preserve">The </w:t>
      </w:r>
      <w:r w:rsidR="00864FB5">
        <w:rPr>
          <w:rFonts w:ascii="Arial" w:hAnsi="Arial" w:cs="Arial"/>
          <w:sz w:val="22"/>
          <w:szCs w:val="22"/>
        </w:rPr>
        <w:t xml:space="preserve">RBA proposes to continue to include Commercial Card interchange fees within the overall weighted average cap, while also </w:t>
      </w:r>
      <w:r w:rsidR="00265430">
        <w:rPr>
          <w:rFonts w:ascii="Arial" w:hAnsi="Arial" w:cs="Arial"/>
          <w:sz w:val="22"/>
          <w:szCs w:val="22"/>
        </w:rPr>
        <w:t>having</w:t>
      </w:r>
      <w:r w:rsidR="00864FB5">
        <w:rPr>
          <w:rFonts w:ascii="Arial" w:hAnsi="Arial" w:cs="Arial"/>
          <w:sz w:val="22"/>
          <w:szCs w:val="22"/>
        </w:rPr>
        <w:t xml:space="preserve"> such interchange fees operate under the </w:t>
      </w:r>
      <w:r w:rsidR="00265430">
        <w:rPr>
          <w:rFonts w:ascii="Arial" w:hAnsi="Arial" w:cs="Arial"/>
          <w:sz w:val="22"/>
          <w:szCs w:val="22"/>
        </w:rPr>
        <w:t xml:space="preserve">suggested </w:t>
      </w:r>
      <w:r w:rsidR="00864FB5">
        <w:rPr>
          <w:rFonts w:ascii="Arial" w:hAnsi="Arial" w:cs="Arial"/>
          <w:sz w:val="22"/>
          <w:szCs w:val="22"/>
        </w:rPr>
        <w:t xml:space="preserve">overall caps.  </w:t>
      </w:r>
    </w:p>
    <w:p w:rsidR="00864FB5" w:rsidRDefault="00864FB5"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Three-party card schemes have a strong presence in the market for issuance of commercial cards </w:t>
      </w:r>
      <w:r w:rsidR="00A41CE7">
        <w:rPr>
          <w:rFonts w:ascii="Arial" w:hAnsi="Arial" w:cs="Arial"/>
          <w:sz w:val="22"/>
          <w:szCs w:val="22"/>
        </w:rPr>
        <w:t xml:space="preserve">- </w:t>
      </w:r>
      <w:r w:rsidRPr="00C018BB">
        <w:rPr>
          <w:rFonts w:ascii="Arial" w:hAnsi="Arial" w:cs="Arial"/>
          <w:sz w:val="22"/>
          <w:szCs w:val="22"/>
        </w:rPr>
        <w:t xml:space="preserve">in direct competition to the regulated four-party products.  </w:t>
      </w:r>
      <w:r w:rsidR="00F47292">
        <w:rPr>
          <w:rFonts w:ascii="Arial" w:hAnsi="Arial" w:cs="Arial"/>
          <w:sz w:val="22"/>
          <w:szCs w:val="22"/>
        </w:rPr>
        <w:t xml:space="preserve">Commercial cards bring large volumes of business to merchants in a number of industries, including </w:t>
      </w:r>
      <w:r w:rsidR="00F47292" w:rsidRPr="00C018BB">
        <w:rPr>
          <w:rFonts w:ascii="Arial" w:hAnsi="Arial" w:cs="Arial"/>
          <w:sz w:val="22"/>
          <w:szCs w:val="22"/>
        </w:rPr>
        <w:t>travel, entertainment and procurement</w:t>
      </w:r>
      <w:r w:rsidR="00F47292">
        <w:rPr>
          <w:rFonts w:ascii="Arial" w:hAnsi="Arial" w:cs="Arial"/>
          <w:sz w:val="22"/>
          <w:szCs w:val="22"/>
        </w:rPr>
        <w:t>.  M</w:t>
      </w:r>
      <w:r w:rsidR="00F47292" w:rsidRPr="00F47292">
        <w:rPr>
          <w:rFonts w:ascii="Arial" w:hAnsi="Arial" w:cs="Arial"/>
          <w:sz w:val="22"/>
          <w:szCs w:val="22"/>
        </w:rPr>
        <w:t xml:space="preserve">erchants </w:t>
      </w:r>
      <w:r w:rsidR="00F47292">
        <w:rPr>
          <w:rFonts w:ascii="Arial" w:hAnsi="Arial" w:cs="Arial"/>
          <w:sz w:val="22"/>
          <w:szCs w:val="22"/>
        </w:rPr>
        <w:t xml:space="preserve">in these sectors </w:t>
      </w:r>
      <w:r w:rsidR="00F47292" w:rsidRPr="00F47292">
        <w:rPr>
          <w:rFonts w:ascii="Arial" w:hAnsi="Arial" w:cs="Arial"/>
          <w:sz w:val="22"/>
          <w:szCs w:val="22"/>
        </w:rPr>
        <w:t>are more likely to accept three-party cards in order to benefit from the additional sales revenue</w:t>
      </w:r>
      <w:r w:rsidR="00F47292">
        <w:rPr>
          <w:rFonts w:ascii="Arial" w:hAnsi="Arial" w:cs="Arial"/>
          <w:sz w:val="22"/>
          <w:szCs w:val="22"/>
        </w:rPr>
        <w:t xml:space="preserve">. </w:t>
      </w:r>
      <w:r w:rsidR="00F47292" w:rsidRPr="00F47292">
        <w:rPr>
          <w:rFonts w:ascii="Arial" w:hAnsi="Arial" w:cs="Arial"/>
          <w:sz w:val="22"/>
          <w:szCs w:val="22"/>
        </w:rPr>
        <w:t xml:space="preserve"> </w:t>
      </w:r>
      <w:r w:rsidRPr="00C018BB">
        <w:rPr>
          <w:rFonts w:ascii="Arial" w:hAnsi="Arial" w:cs="Arial"/>
          <w:sz w:val="22"/>
          <w:szCs w:val="22"/>
        </w:rPr>
        <w:t>Furthermore, staff using a three party commercial card will often have a personal card as a backup should their commercial card not be accepted.  Accordingly, merchant acceptance does not seem to be an impediment to three party schemes competing vigorously in the commercial cards issuance market.</w:t>
      </w:r>
    </w:p>
    <w:p w:rsidR="00C018BB" w:rsidRDefault="00C018BB" w:rsidP="00C018BB">
      <w:pPr>
        <w:rPr>
          <w:rFonts w:ascii="Arial" w:hAnsi="Arial" w:cs="Arial"/>
          <w:sz w:val="22"/>
          <w:szCs w:val="22"/>
        </w:rPr>
      </w:pPr>
    </w:p>
    <w:p w:rsidR="008164DE" w:rsidRDefault="00C018BB" w:rsidP="00C018BB">
      <w:pPr>
        <w:rPr>
          <w:rFonts w:ascii="Arial" w:hAnsi="Arial" w:cs="Arial"/>
          <w:sz w:val="22"/>
          <w:szCs w:val="22"/>
        </w:rPr>
      </w:pPr>
      <w:r w:rsidRPr="00C018BB">
        <w:rPr>
          <w:rFonts w:ascii="Arial" w:hAnsi="Arial" w:cs="Arial"/>
          <w:sz w:val="22"/>
          <w:szCs w:val="22"/>
        </w:rPr>
        <w:t xml:space="preserve">Placing an 80bp cap on interchange fees for Visa and MasterCard commercial credit cards will put these products at a significant disadvantage relative to three-party schemes.  Three-party schemes will be better placed to promote their commercial card products to potential business clients, due to their fee flows being unregulated.  This could well result in a shift in market share for commercial cards from four-party schemes to three-party schemes upon implementation of the RBA’s proposal, analogous to the uplift in three-party scheme market share after the RBA’s original reforms to credit card interchange fees. </w:t>
      </w:r>
    </w:p>
    <w:p w:rsidR="00265430" w:rsidRDefault="00265430" w:rsidP="00C018BB">
      <w:pPr>
        <w:rPr>
          <w:rFonts w:ascii="Arial" w:hAnsi="Arial" w:cs="Arial"/>
          <w:sz w:val="22"/>
          <w:szCs w:val="22"/>
        </w:rPr>
      </w:pPr>
    </w:p>
    <w:p w:rsidR="00265430" w:rsidRDefault="00265430" w:rsidP="00C018BB">
      <w:pPr>
        <w:rPr>
          <w:rFonts w:ascii="Arial" w:hAnsi="Arial" w:cs="Arial"/>
          <w:sz w:val="22"/>
          <w:szCs w:val="22"/>
        </w:rPr>
      </w:pPr>
      <w:r w:rsidRPr="00265430">
        <w:rPr>
          <w:rFonts w:ascii="Arial" w:hAnsi="Arial" w:cs="Arial"/>
          <w:sz w:val="22"/>
          <w:szCs w:val="22"/>
        </w:rPr>
        <w:t>As interchange makes up a vast majority of the revenue earn</w:t>
      </w:r>
      <w:r>
        <w:rPr>
          <w:rFonts w:ascii="Arial" w:hAnsi="Arial" w:cs="Arial"/>
          <w:sz w:val="22"/>
          <w:szCs w:val="22"/>
        </w:rPr>
        <w:t>ed by Issuers,</w:t>
      </w:r>
      <w:r w:rsidRPr="00265430">
        <w:rPr>
          <w:rFonts w:ascii="Arial" w:hAnsi="Arial" w:cs="Arial"/>
          <w:sz w:val="22"/>
          <w:szCs w:val="22"/>
        </w:rPr>
        <w:t xml:space="preserve"> </w:t>
      </w:r>
      <w:r>
        <w:rPr>
          <w:rFonts w:ascii="Arial" w:hAnsi="Arial" w:cs="Arial"/>
          <w:sz w:val="22"/>
          <w:szCs w:val="22"/>
        </w:rPr>
        <w:t xml:space="preserve">it is </w:t>
      </w:r>
      <w:r w:rsidRPr="00265430">
        <w:rPr>
          <w:rFonts w:ascii="Arial" w:hAnsi="Arial" w:cs="Arial"/>
          <w:sz w:val="22"/>
          <w:szCs w:val="22"/>
        </w:rPr>
        <w:t xml:space="preserve">likely </w:t>
      </w:r>
      <w:r>
        <w:rPr>
          <w:rFonts w:ascii="Arial" w:hAnsi="Arial" w:cs="Arial"/>
          <w:sz w:val="22"/>
          <w:szCs w:val="22"/>
        </w:rPr>
        <w:t xml:space="preserve">that they will </w:t>
      </w:r>
      <w:r w:rsidRPr="00265430">
        <w:rPr>
          <w:rFonts w:ascii="Arial" w:hAnsi="Arial" w:cs="Arial"/>
          <w:sz w:val="22"/>
          <w:szCs w:val="22"/>
        </w:rPr>
        <w:t>review their cost base in providing commercial card solutions</w:t>
      </w:r>
      <w:r>
        <w:rPr>
          <w:rFonts w:ascii="Arial" w:hAnsi="Arial" w:cs="Arial"/>
          <w:sz w:val="22"/>
          <w:szCs w:val="22"/>
        </w:rPr>
        <w:t xml:space="preserve">, in order </w:t>
      </w:r>
      <w:r w:rsidRPr="00265430">
        <w:rPr>
          <w:rFonts w:ascii="Arial" w:hAnsi="Arial" w:cs="Arial"/>
          <w:sz w:val="22"/>
          <w:szCs w:val="22"/>
        </w:rPr>
        <w:t>to be able to continue to drive innovation</w:t>
      </w:r>
      <w:r>
        <w:rPr>
          <w:rFonts w:ascii="Arial" w:hAnsi="Arial" w:cs="Arial"/>
          <w:sz w:val="22"/>
          <w:szCs w:val="22"/>
        </w:rPr>
        <w:t>, encourage usage and ensure commercial returns</w:t>
      </w:r>
      <w:r w:rsidRPr="00265430">
        <w:rPr>
          <w:rFonts w:ascii="Arial" w:hAnsi="Arial" w:cs="Arial"/>
          <w:sz w:val="22"/>
          <w:szCs w:val="22"/>
        </w:rPr>
        <w:t xml:space="preserve">.  This could inadvertently </w:t>
      </w:r>
      <w:r>
        <w:rPr>
          <w:rFonts w:ascii="Arial" w:hAnsi="Arial" w:cs="Arial"/>
          <w:sz w:val="22"/>
          <w:szCs w:val="22"/>
        </w:rPr>
        <w:t xml:space="preserve">and disproportionately </w:t>
      </w:r>
      <w:r w:rsidRPr="00265430">
        <w:rPr>
          <w:rFonts w:ascii="Arial" w:hAnsi="Arial" w:cs="Arial"/>
          <w:sz w:val="22"/>
          <w:szCs w:val="22"/>
        </w:rPr>
        <w:t xml:space="preserve">impact smaller businesses as larger corporates will be </w:t>
      </w:r>
      <w:r>
        <w:rPr>
          <w:rFonts w:ascii="Arial" w:hAnsi="Arial" w:cs="Arial"/>
          <w:sz w:val="22"/>
          <w:szCs w:val="22"/>
        </w:rPr>
        <w:t>better placed</w:t>
      </w:r>
      <w:r w:rsidRPr="00265430">
        <w:rPr>
          <w:rFonts w:ascii="Arial" w:hAnsi="Arial" w:cs="Arial"/>
          <w:sz w:val="22"/>
          <w:szCs w:val="22"/>
        </w:rPr>
        <w:t xml:space="preserve"> to negotiate </w:t>
      </w:r>
      <w:r>
        <w:rPr>
          <w:rFonts w:ascii="Arial" w:hAnsi="Arial" w:cs="Arial"/>
          <w:sz w:val="22"/>
          <w:szCs w:val="22"/>
        </w:rPr>
        <w:t>preferential</w:t>
      </w:r>
      <w:r w:rsidRPr="00265430">
        <w:rPr>
          <w:rFonts w:ascii="Arial" w:hAnsi="Arial" w:cs="Arial"/>
          <w:sz w:val="22"/>
          <w:szCs w:val="22"/>
        </w:rPr>
        <w:t xml:space="preserve"> terms and contracts than smaller businesses.</w:t>
      </w:r>
    </w:p>
    <w:p w:rsidR="00265430" w:rsidRDefault="00265430" w:rsidP="00C018BB">
      <w:pPr>
        <w:rPr>
          <w:rFonts w:ascii="Arial" w:hAnsi="Arial" w:cs="Arial"/>
          <w:sz w:val="22"/>
          <w:szCs w:val="22"/>
        </w:rPr>
      </w:pPr>
    </w:p>
    <w:p w:rsidR="008164DE" w:rsidRDefault="00265430" w:rsidP="00C018BB">
      <w:pPr>
        <w:rPr>
          <w:rFonts w:ascii="Arial" w:hAnsi="Arial" w:cs="Arial"/>
          <w:sz w:val="22"/>
          <w:szCs w:val="22"/>
        </w:rPr>
      </w:pPr>
      <w:r>
        <w:rPr>
          <w:rFonts w:ascii="Arial" w:hAnsi="Arial" w:cs="Arial"/>
          <w:sz w:val="22"/>
          <w:szCs w:val="22"/>
        </w:rPr>
        <w:t xml:space="preserve">Furthermore, the viability of commercial pre-paid product offerings </w:t>
      </w:r>
      <w:r w:rsidRPr="00265430">
        <w:rPr>
          <w:rFonts w:ascii="Arial" w:hAnsi="Arial" w:cs="Arial"/>
          <w:sz w:val="22"/>
          <w:szCs w:val="22"/>
        </w:rPr>
        <w:t xml:space="preserve">will be significantly impacted </w:t>
      </w:r>
      <w:r>
        <w:rPr>
          <w:rFonts w:ascii="Arial" w:hAnsi="Arial" w:cs="Arial"/>
          <w:sz w:val="22"/>
          <w:szCs w:val="22"/>
        </w:rPr>
        <w:t>if subject to the proposed debit caps</w:t>
      </w:r>
      <w:r w:rsidRPr="00265430">
        <w:rPr>
          <w:rFonts w:ascii="Arial" w:hAnsi="Arial" w:cs="Arial"/>
          <w:sz w:val="22"/>
          <w:szCs w:val="22"/>
        </w:rPr>
        <w:t>.</w:t>
      </w:r>
      <w:r>
        <w:rPr>
          <w:rFonts w:ascii="Arial" w:hAnsi="Arial" w:cs="Arial"/>
          <w:sz w:val="22"/>
          <w:szCs w:val="22"/>
        </w:rPr>
        <w:t xml:space="preserve"> </w:t>
      </w:r>
      <w:r w:rsidRPr="00265430">
        <w:rPr>
          <w:rFonts w:ascii="Arial" w:hAnsi="Arial" w:cs="Arial"/>
          <w:sz w:val="22"/>
          <w:szCs w:val="22"/>
        </w:rPr>
        <w:t xml:space="preserve"> This </w:t>
      </w:r>
      <w:r>
        <w:rPr>
          <w:rFonts w:ascii="Arial" w:hAnsi="Arial" w:cs="Arial"/>
          <w:sz w:val="22"/>
          <w:szCs w:val="22"/>
        </w:rPr>
        <w:t xml:space="preserve">will </w:t>
      </w:r>
      <w:r w:rsidRPr="00265430">
        <w:rPr>
          <w:rFonts w:ascii="Arial" w:hAnsi="Arial" w:cs="Arial"/>
          <w:sz w:val="22"/>
          <w:szCs w:val="22"/>
        </w:rPr>
        <w:t>impact innovation and investment in this develop</w:t>
      </w:r>
      <w:r w:rsidR="00FC5741">
        <w:rPr>
          <w:rFonts w:ascii="Arial" w:hAnsi="Arial" w:cs="Arial"/>
          <w:sz w:val="22"/>
          <w:szCs w:val="22"/>
        </w:rPr>
        <w:t>ing</w:t>
      </w:r>
      <w:r w:rsidRPr="00265430">
        <w:rPr>
          <w:rFonts w:ascii="Arial" w:hAnsi="Arial" w:cs="Arial"/>
          <w:sz w:val="22"/>
          <w:szCs w:val="22"/>
        </w:rPr>
        <w:t xml:space="preserve"> segment and </w:t>
      </w:r>
      <w:r w:rsidR="0069248E">
        <w:rPr>
          <w:rFonts w:ascii="Arial" w:hAnsi="Arial" w:cs="Arial"/>
          <w:sz w:val="22"/>
          <w:szCs w:val="22"/>
        </w:rPr>
        <w:t xml:space="preserve">further exacerbate the </w:t>
      </w:r>
      <w:r w:rsidRPr="00265430">
        <w:rPr>
          <w:rFonts w:ascii="Arial" w:hAnsi="Arial" w:cs="Arial"/>
          <w:sz w:val="22"/>
          <w:szCs w:val="22"/>
        </w:rPr>
        <w:t xml:space="preserve">competitive imbalance with </w:t>
      </w:r>
      <w:r w:rsidR="0069248E">
        <w:rPr>
          <w:rFonts w:ascii="Arial" w:hAnsi="Arial" w:cs="Arial"/>
          <w:sz w:val="22"/>
          <w:szCs w:val="22"/>
        </w:rPr>
        <w:t>three party</w:t>
      </w:r>
      <w:r w:rsidRPr="00265430">
        <w:rPr>
          <w:rFonts w:ascii="Arial" w:hAnsi="Arial" w:cs="Arial"/>
          <w:sz w:val="22"/>
          <w:szCs w:val="22"/>
        </w:rPr>
        <w:t xml:space="preserve"> prepaid offerings.</w:t>
      </w:r>
    </w:p>
    <w:p w:rsidR="00265430" w:rsidRDefault="00265430" w:rsidP="00C018BB">
      <w:pPr>
        <w:rPr>
          <w:rFonts w:ascii="Arial" w:hAnsi="Arial" w:cs="Arial"/>
          <w:sz w:val="22"/>
          <w:szCs w:val="22"/>
        </w:rPr>
      </w:pPr>
    </w:p>
    <w:p w:rsidR="00265430" w:rsidRDefault="00C018BB" w:rsidP="00C018BB">
      <w:pPr>
        <w:rPr>
          <w:rFonts w:ascii="Arial" w:hAnsi="Arial" w:cs="Arial"/>
          <w:sz w:val="22"/>
          <w:szCs w:val="22"/>
        </w:rPr>
      </w:pPr>
      <w:r w:rsidRPr="00C018BB">
        <w:rPr>
          <w:rFonts w:ascii="Arial" w:hAnsi="Arial" w:cs="Arial"/>
          <w:sz w:val="22"/>
          <w:szCs w:val="22"/>
        </w:rPr>
        <w:t xml:space="preserve">In order to help maintain the commercial competitiveness of the Visa and MasterCard commercial card offerings, </w:t>
      </w:r>
      <w:r w:rsidRPr="00C018BB">
        <w:rPr>
          <w:rFonts w:ascii="Arial" w:hAnsi="Arial" w:cs="Arial"/>
          <w:sz w:val="22"/>
          <w:szCs w:val="22"/>
          <w:u w:val="single"/>
        </w:rPr>
        <w:t xml:space="preserve">the Bank recommends that commercial cards are exempted from the caps on maximum debit and credit card interchange fees. </w:t>
      </w:r>
    </w:p>
    <w:p w:rsidR="008164DE" w:rsidRDefault="008164DE"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While the Bank does not support the application of a cap on commercial interchange fees, should the RBA pursue this option, then considerable time will be needed by commercial card issuers to adjust existing contracts with their business customers. </w:t>
      </w:r>
      <w:r w:rsidR="00864FB5">
        <w:rPr>
          <w:rFonts w:ascii="Arial" w:hAnsi="Arial" w:cs="Arial"/>
          <w:sz w:val="22"/>
          <w:szCs w:val="22"/>
        </w:rPr>
        <w:t xml:space="preserve"> </w:t>
      </w:r>
      <w:r w:rsidRPr="00C018BB">
        <w:rPr>
          <w:rFonts w:ascii="Arial" w:hAnsi="Arial" w:cs="Arial"/>
          <w:sz w:val="22"/>
          <w:szCs w:val="22"/>
        </w:rPr>
        <w:t xml:space="preserve">Typically, these contracts have been negotiated on a bespoke basis.  Accordingly, in order to minimise market disruption and provide sufficient time for communication and negotiation, </w:t>
      </w:r>
      <w:r w:rsidRPr="00C018BB">
        <w:rPr>
          <w:rFonts w:ascii="Arial" w:hAnsi="Arial" w:cs="Arial"/>
          <w:sz w:val="22"/>
          <w:szCs w:val="22"/>
          <w:u w:val="single"/>
        </w:rPr>
        <w:t>we ask for a suitable implementation period before this change takes effect.  The Bank considers a two year transition to be appropriate.</w:t>
      </w:r>
    </w:p>
    <w:p w:rsidR="00C018BB" w:rsidRDefault="00C018BB" w:rsidP="00C018BB">
      <w:pPr>
        <w:rPr>
          <w:rFonts w:ascii="Arial" w:hAnsi="Arial" w:cs="Arial"/>
          <w:b/>
          <w:sz w:val="22"/>
          <w:szCs w:val="22"/>
        </w:rPr>
      </w:pPr>
    </w:p>
    <w:p w:rsidR="008164DE" w:rsidRDefault="008164DE" w:rsidP="00C018BB">
      <w:pPr>
        <w:rPr>
          <w:rFonts w:ascii="Arial" w:hAnsi="Arial" w:cs="Arial"/>
          <w:b/>
          <w:sz w:val="22"/>
          <w:szCs w:val="22"/>
        </w:rPr>
      </w:pPr>
    </w:p>
    <w:p w:rsidR="00C018BB" w:rsidRPr="00C018BB" w:rsidRDefault="00C018BB" w:rsidP="00C018BB">
      <w:pPr>
        <w:rPr>
          <w:rFonts w:ascii="Arial" w:hAnsi="Arial" w:cs="Arial"/>
          <w:b/>
          <w:sz w:val="22"/>
          <w:szCs w:val="22"/>
        </w:rPr>
      </w:pPr>
      <w:r w:rsidRPr="00C018BB">
        <w:rPr>
          <w:rFonts w:ascii="Arial" w:hAnsi="Arial" w:cs="Arial"/>
          <w:b/>
          <w:sz w:val="22"/>
          <w:szCs w:val="22"/>
        </w:rPr>
        <w:t>Foreign-Issued Cards</w:t>
      </w:r>
    </w:p>
    <w:p w:rsidR="00C018BB" w:rsidRDefault="00C018BB" w:rsidP="00C018BB">
      <w:pPr>
        <w:rPr>
          <w:rFonts w:ascii="Arial" w:hAnsi="Arial" w:cs="Arial"/>
          <w:sz w:val="22"/>
          <w:szCs w:val="22"/>
        </w:rPr>
      </w:pPr>
    </w:p>
    <w:p w:rsidR="00C018BB" w:rsidRPr="00C018BB" w:rsidRDefault="00B45C87" w:rsidP="00C018BB">
      <w:pPr>
        <w:rPr>
          <w:rFonts w:ascii="Arial" w:hAnsi="Arial" w:cs="Arial"/>
          <w:sz w:val="22"/>
          <w:szCs w:val="22"/>
        </w:rPr>
      </w:pPr>
      <w:r>
        <w:rPr>
          <w:rFonts w:ascii="Arial" w:hAnsi="Arial" w:cs="Arial"/>
          <w:sz w:val="22"/>
          <w:szCs w:val="22"/>
        </w:rPr>
        <w:t xml:space="preserve">The </w:t>
      </w:r>
      <w:r w:rsidR="00864FB5">
        <w:rPr>
          <w:rFonts w:ascii="Arial" w:hAnsi="Arial" w:cs="Arial"/>
          <w:sz w:val="22"/>
          <w:szCs w:val="22"/>
        </w:rPr>
        <w:t xml:space="preserve">RBA proposes to bring transactions with foreign issued cards acquired in Australia under the coverage of the RBA interchange fee standards.  </w:t>
      </w:r>
      <w:r w:rsidR="00C018BB" w:rsidRPr="00C018BB">
        <w:rPr>
          <w:rFonts w:ascii="Arial" w:hAnsi="Arial" w:cs="Arial"/>
          <w:sz w:val="22"/>
          <w:szCs w:val="22"/>
        </w:rPr>
        <w:t xml:space="preserve">The Bank is keen to avoid a situation in </w:t>
      </w:r>
      <w:r w:rsidR="00C018BB" w:rsidRPr="00C018BB">
        <w:rPr>
          <w:rFonts w:ascii="Arial" w:hAnsi="Arial" w:cs="Arial"/>
          <w:sz w:val="22"/>
          <w:szCs w:val="22"/>
        </w:rPr>
        <w:lastRenderedPageBreak/>
        <w:t>the cards market whereby Australian card issuing and acquiring businesses are subject to undue influence from multiple regulators locally and overseas.  The Bank is concerned that by capturing the interchange fees applicable to foreign-issued cards in its Standards, the RBA could be setting a precedent which, if replicated in other markets, could result in a complex web of regulations for card interchange fees on cross-border transactions.</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Another concern is that foreign issued card volumes are likely to introduce considerable volatility and seasonality into benchmark compliance calculations.  This could result in more frequent recalibrations of interchange fees to meet the benchmark, which would increase the operational costs of compliance with the interchange benchmarks.</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The Bank expects that Card Schemes would set all cross border interchange fees captured under this regulation at the (maximum) level of the cap.  This would then result in domestic interchange fees being lower than otherwise in order to achieve </w:t>
      </w:r>
      <w:r w:rsidR="006A03B9">
        <w:rPr>
          <w:rFonts w:ascii="Arial" w:hAnsi="Arial" w:cs="Arial"/>
          <w:sz w:val="22"/>
          <w:szCs w:val="22"/>
        </w:rPr>
        <w:t xml:space="preserve">weighted average </w:t>
      </w:r>
      <w:r w:rsidRPr="00C018BB">
        <w:rPr>
          <w:rFonts w:ascii="Arial" w:hAnsi="Arial" w:cs="Arial"/>
          <w:sz w:val="22"/>
          <w:szCs w:val="22"/>
        </w:rPr>
        <w:t xml:space="preserve">benchmark compliance.  The outcome of such a situation is that domestic cardholders would </w:t>
      </w:r>
      <w:r w:rsidR="00864FB5">
        <w:rPr>
          <w:rFonts w:ascii="Arial" w:hAnsi="Arial" w:cs="Arial"/>
          <w:sz w:val="22"/>
          <w:szCs w:val="22"/>
        </w:rPr>
        <w:t xml:space="preserve">subsidise, and effectively </w:t>
      </w:r>
      <w:r w:rsidRPr="00C018BB">
        <w:rPr>
          <w:rFonts w:ascii="Arial" w:hAnsi="Arial" w:cs="Arial"/>
          <w:sz w:val="22"/>
          <w:szCs w:val="22"/>
        </w:rPr>
        <w:t>lose out to</w:t>
      </w:r>
      <w:r w:rsidR="00864FB5">
        <w:rPr>
          <w:rFonts w:ascii="Arial" w:hAnsi="Arial" w:cs="Arial"/>
          <w:sz w:val="22"/>
          <w:szCs w:val="22"/>
        </w:rPr>
        <w:t>,</w:t>
      </w:r>
      <w:r w:rsidRPr="00C018BB">
        <w:rPr>
          <w:rFonts w:ascii="Arial" w:hAnsi="Arial" w:cs="Arial"/>
          <w:sz w:val="22"/>
          <w:szCs w:val="22"/>
        </w:rPr>
        <w:t xml:space="preserve"> foreign cardholders.  From the Bank’s perspective, this is an undesirable outcome.  The Bank would much rather see interchange fees used to incentivise innovations in the domestic market.</w:t>
      </w:r>
    </w:p>
    <w:p w:rsidR="00C018BB" w:rsidRDefault="00C018BB" w:rsidP="00C018BB">
      <w:pPr>
        <w:rPr>
          <w:rFonts w:ascii="Arial" w:hAnsi="Arial" w:cs="Arial"/>
          <w:sz w:val="22"/>
          <w:szCs w:val="22"/>
          <w:u w:val="single"/>
        </w:rPr>
      </w:pPr>
    </w:p>
    <w:p w:rsidR="00C018BB" w:rsidRPr="00C018BB" w:rsidRDefault="00C018BB" w:rsidP="00C018BB">
      <w:pPr>
        <w:rPr>
          <w:rFonts w:ascii="Arial" w:hAnsi="Arial" w:cs="Arial"/>
          <w:sz w:val="22"/>
          <w:szCs w:val="22"/>
          <w:u w:val="single"/>
        </w:rPr>
      </w:pPr>
      <w:r w:rsidRPr="00C018BB">
        <w:rPr>
          <w:rFonts w:ascii="Arial" w:hAnsi="Arial" w:cs="Arial"/>
          <w:sz w:val="22"/>
          <w:szCs w:val="22"/>
          <w:u w:val="single"/>
        </w:rPr>
        <w:t>The Bank recommends that the RBA instead pursues Option 1 to retain the current approach in regard to foreign issued cards.</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The RBA is concerned about the risk of domestic card issuers circumventing local requirements through the issuance of foreign cards.  The Bank considers that this is most unlikely and more than adequately mitigated by the mooted Anti-Avoidance clauses in the draft Standards.</w:t>
      </w:r>
    </w:p>
    <w:p w:rsidR="00C018BB" w:rsidRDefault="00C018BB" w:rsidP="00C018BB">
      <w:pPr>
        <w:rPr>
          <w:rFonts w:ascii="Arial" w:hAnsi="Arial" w:cs="Arial"/>
          <w:b/>
          <w:sz w:val="22"/>
          <w:szCs w:val="22"/>
        </w:rPr>
      </w:pPr>
    </w:p>
    <w:p w:rsidR="008164DE" w:rsidRDefault="008164DE" w:rsidP="00C018BB">
      <w:pPr>
        <w:rPr>
          <w:rFonts w:ascii="Arial" w:hAnsi="Arial" w:cs="Arial"/>
          <w:b/>
          <w:sz w:val="22"/>
          <w:szCs w:val="22"/>
        </w:rPr>
      </w:pPr>
    </w:p>
    <w:p w:rsidR="00C018BB" w:rsidRPr="00C018BB" w:rsidRDefault="00C018BB" w:rsidP="00C018BB">
      <w:pPr>
        <w:rPr>
          <w:rFonts w:ascii="Arial" w:hAnsi="Arial" w:cs="Arial"/>
          <w:b/>
          <w:sz w:val="22"/>
          <w:szCs w:val="22"/>
        </w:rPr>
      </w:pPr>
      <w:r w:rsidRPr="00C018BB">
        <w:rPr>
          <w:rFonts w:ascii="Arial" w:hAnsi="Arial" w:cs="Arial"/>
          <w:b/>
          <w:sz w:val="22"/>
          <w:szCs w:val="22"/>
        </w:rPr>
        <w:t xml:space="preserve">Benchmark Compliance </w:t>
      </w:r>
    </w:p>
    <w:p w:rsidR="00C018BB" w:rsidRDefault="00C018BB" w:rsidP="00C018BB">
      <w:pPr>
        <w:rPr>
          <w:rFonts w:ascii="Arial" w:hAnsi="Arial" w:cs="Arial"/>
          <w:sz w:val="22"/>
          <w:szCs w:val="22"/>
        </w:rPr>
      </w:pPr>
    </w:p>
    <w:p w:rsidR="00C018BB" w:rsidRPr="00C018BB" w:rsidRDefault="00B45C87" w:rsidP="00C018BB">
      <w:pPr>
        <w:rPr>
          <w:rFonts w:ascii="Arial" w:hAnsi="Arial" w:cs="Arial"/>
          <w:sz w:val="22"/>
          <w:szCs w:val="22"/>
        </w:rPr>
      </w:pPr>
      <w:r>
        <w:rPr>
          <w:rFonts w:ascii="Arial" w:hAnsi="Arial" w:cs="Arial"/>
          <w:sz w:val="22"/>
          <w:szCs w:val="22"/>
        </w:rPr>
        <w:t xml:space="preserve">The </w:t>
      </w:r>
      <w:r w:rsidR="004E5404">
        <w:rPr>
          <w:rFonts w:ascii="Arial" w:hAnsi="Arial" w:cs="Arial"/>
          <w:sz w:val="22"/>
          <w:szCs w:val="22"/>
        </w:rPr>
        <w:t xml:space="preserve">RBA proposes a move to quarterly compliance.  </w:t>
      </w:r>
      <w:r w:rsidR="009D6391">
        <w:rPr>
          <w:rFonts w:ascii="Arial" w:hAnsi="Arial" w:cs="Arial"/>
          <w:sz w:val="22"/>
          <w:szCs w:val="22"/>
        </w:rPr>
        <w:t>While t</w:t>
      </w:r>
      <w:r w:rsidR="00C018BB" w:rsidRPr="00C018BB">
        <w:rPr>
          <w:rFonts w:ascii="Arial" w:hAnsi="Arial" w:cs="Arial"/>
          <w:sz w:val="22"/>
          <w:szCs w:val="22"/>
        </w:rPr>
        <w:t>he Bank supports a move to a more frequent interchange compliance cycle</w:t>
      </w:r>
      <w:r w:rsidR="009D6391">
        <w:rPr>
          <w:rFonts w:ascii="Arial" w:hAnsi="Arial" w:cs="Arial"/>
          <w:sz w:val="22"/>
          <w:szCs w:val="22"/>
        </w:rPr>
        <w:t xml:space="preserve">, </w:t>
      </w:r>
      <w:r w:rsidR="00C018BB" w:rsidRPr="00C018BB">
        <w:rPr>
          <w:rFonts w:ascii="Arial" w:hAnsi="Arial" w:cs="Arial"/>
          <w:sz w:val="22"/>
          <w:szCs w:val="22"/>
        </w:rPr>
        <w:t xml:space="preserve">a quarterly compliance cycle will result in considerable operational imposts. </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It is unlikely that an annual compliance cycle would permit or incentivise any drift above the weighted average benchmark.  </w:t>
      </w:r>
      <w:r w:rsidRPr="00C018BB">
        <w:rPr>
          <w:rFonts w:ascii="Arial" w:hAnsi="Arial" w:cs="Arial"/>
          <w:sz w:val="22"/>
          <w:szCs w:val="22"/>
          <w:u w:val="single"/>
        </w:rPr>
        <w:t>Accordingly, in the interests of efficiency, the Bank proposes that the interchange compliance cycle move to an annual frequency, rather than</w:t>
      </w:r>
      <w:r w:rsidR="006A03B9">
        <w:rPr>
          <w:rFonts w:ascii="Arial" w:hAnsi="Arial" w:cs="Arial"/>
          <w:sz w:val="22"/>
          <w:szCs w:val="22"/>
          <w:u w:val="single"/>
        </w:rPr>
        <w:t xml:space="preserve"> the</w:t>
      </w:r>
      <w:r w:rsidRPr="00C018BB">
        <w:rPr>
          <w:rFonts w:ascii="Arial" w:hAnsi="Arial" w:cs="Arial"/>
          <w:sz w:val="22"/>
          <w:szCs w:val="22"/>
          <w:u w:val="single"/>
        </w:rPr>
        <w:t xml:space="preserve"> quarterly cycle currently proposed</w:t>
      </w:r>
      <w:r w:rsidRPr="00C018BB">
        <w:rPr>
          <w:rFonts w:ascii="Arial" w:hAnsi="Arial" w:cs="Arial"/>
          <w:sz w:val="22"/>
          <w:szCs w:val="22"/>
        </w:rPr>
        <w:t xml:space="preserve">.  As acknowledged by </w:t>
      </w:r>
      <w:r w:rsidR="006A03B9">
        <w:rPr>
          <w:rFonts w:ascii="Arial" w:hAnsi="Arial" w:cs="Arial"/>
          <w:sz w:val="22"/>
          <w:szCs w:val="22"/>
        </w:rPr>
        <w:t xml:space="preserve">the </w:t>
      </w:r>
      <w:r w:rsidRPr="00C018BB">
        <w:rPr>
          <w:rFonts w:ascii="Arial" w:hAnsi="Arial" w:cs="Arial"/>
          <w:sz w:val="22"/>
          <w:szCs w:val="22"/>
        </w:rPr>
        <w:t>RBA, shifting to an annual cycle would, in itself, be an improvement over the current three year cycle.</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Quarterly reporting could still be used to assure the RBA that annual compliance is not resulting in any meaningful drift above the weighted average benchmark.  A forward looking commitment from card schemes that drift above the benchmark over the ensuing year is not considered likely might provide an additional level of comfort to the RBA (in conjunction with annual </w:t>
      </w:r>
      <w:r w:rsidR="006A03B9">
        <w:rPr>
          <w:rFonts w:ascii="Arial" w:hAnsi="Arial" w:cs="Arial"/>
          <w:sz w:val="22"/>
          <w:szCs w:val="22"/>
        </w:rPr>
        <w:t>compliance</w:t>
      </w:r>
      <w:r w:rsidRPr="00C018BB">
        <w:rPr>
          <w:rFonts w:ascii="Arial" w:hAnsi="Arial" w:cs="Arial"/>
          <w:sz w:val="22"/>
          <w:szCs w:val="22"/>
        </w:rPr>
        <w:t>) – if required.</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The Bank wishes to avoid an increase in the frequency of interchange schedule resets.  An interchange reset requires our acquiring business to provide at least 30 days’ notice of price changes to our merchant clients.  System changes are also necessary. </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Quarterly compliance would also expose the weighted average benchmark to the effects of seasonality</w:t>
      </w:r>
      <w:r w:rsidR="0069248E">
        <w:rPr>
          <w:rFonts w:ascii="Arial" w:hAnsi="Arial" w:cs="Arial"/>
          <w:sz w:val="22"/>
          <w:szCs w:val="22"/>
        </w:rPr>
        <w:t xml:space="preserve"> (potentially compounded by an overlay of seasonality introduced by large merchants)</w:t>
      </w:r>
      <w:r w:rsidRPr="00C018BB">
        <w:rPr>
          <w:rFonts w:ascii="Arial" w:hAnsi="Arial" w:cs="Arial"/>
          <w:sz w:val="22"/>
          <w:szCs w:val="22"/>
        </w:rPr>
        <w:t>.  This would greatly increase the chances of a seasonal spike in a particular category(</w:t>
      </w:r>
      <w:proofErr w:type="spellStart"/>
      <w:r w:rsidRPr="00C018BB">
        <w:rPr>
          <w:rFonts w:ascii="Arial" w:hAnsi="Arial" w:cs="Arial"/>
          <w:sz w:val="22"/>
          <w:szCs w:val="22"/>
        </w:rPr>
        <w:t>ies</w:t>
      </w:r>
      <w:proofErr w:type="spellEnd"/>
      <w:r w:rsidRPr="00C018BB">
        <w:rPr>
          <w:rFonts w:ascii="Arial" w:hAnsi="Arial" w:cs="Arial"/>
          <w:sz w:val="22"/>
          <w:szCs w:val="22"/>
        </w:rPr>
        <w:t xml:space="preserve">) of cards triggering an interchange reset, which would otherwise have been unnecessary </w:t>
      </w:r>
      <w:r w:rsidR="006A03B9">
        <w:rPr>
          <w:rFonts w:ascii="Arial" w:hAnsi="Arial" w:cs="Arial"/>
          <w:sz w:val="22"/>
          <w:szCs w:val="22"/>
        </w:rPr>
        <w:t>under</w:t>
      </w:r>
      <w:r w:rsidRPr="00C018BB">
        <w:rPr>
          <w:rFonts w:ascii="Arial" w:hAnsi="Arial" w:cs="Arial"/>
          <w:sz w:val="22"/>
          <w:szCs w:val="22"/>
        </w:rPr>
        <w:t xml:space="preserve"> an annual compliance regime. </w:t>
      </w:r>
    </w:p>
    <w:p w:rsidR="00C018BB" w:rsidRDefault="00C018BB" w:rsidP="00C018BB">
      <w:pPr>
        <w:rPr>
          <w:rFonts w:ascii="Arial" w:hAnsi="Arial" w:cs="Arial"/>
          <w:b/>
          <w:sz w:val="22"/>
          <w:szCs w:val="22"/>
        </w:rPr>
      </w:pPr>
    </w:p>
    <w:p w:rsidR="008164DE" w:rsidRDefault="008164DE" w:rsidP="00C018BB">
      <w:pPr>
        <w:rPr>
          <w:rFonts w:ascii="Arial" w:hAnsi="Arial" w:cs="Arial"/>
          <w:b/>
          <w:sz w:val="22"/>
          <w:szCs w:val="22"/>
        </w:rPr>
      </w:pPr>
    </w:p>
    <w:p w:rsidR="00E66006" w:rsidRDefault="00E66006" w:rsidP="00C018BB">
      <w:pPr>
        <w:rPr>
          <w:rFonts w:ascii="Arial" w:hAnsi="Arial" w:cs="Arial"/>
          <w:b/>
          <w:sz w:val="22"/>
          <w:szCs w:val="22"/>
        </w:rPr>
      </w:pPr>
    </w:p>
    <w:p w:rsidR="00C018BB" w:rsidRPr="00C018BB" w:rsidRDefault="00C018BB" w:rsidP="00C018BB">
      <w:pPr>
        <w:rPr>
          <w:rFonts w:ascii="Arial" w:hAnsi="Arial" w:cs="Arial"/>
          <w:b/>
          <w:sz w:val="22"/>
          <w:szCs w:val="22"/>
        </w:rPr>
      </w:pPr>
      <w:r w:rsidRPr="00C018BB">
        <w:rPr>
          <w:rFonts w:ascii="Arial" w:hAnsi="Arial" w:cs="Arial"/>
          <w:b/>
          <w:sz w:val="22"/>
          <w:szCs w:val="22"/>
        </w:rPr>
        <w:t>Interchange Benchmarks and Ceilings</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The RBA’s </w:t>
      </w:r>
      <w:r w:rsidR="006A03B9">
        <w:rPr>
          <w:rFonts w:ascii="Arial" w:hAnsi="Arial" w:cs="Arial"/>
          <w:sz w:val="22"/>
          <w:szCs w:val="22"/>
        </w:rPr>
        <w:t xml:space="preserve">draft </w:t>
      </w:r>
      <w:r w:rsidRPr="00C018BB">
        <w:rPr>
          <w:rFonts w:ascii="Arial" w:hAnsi="Arial" w:cs="Arial"/>
          <w:sz w:val="22"/>
          <w:szCs w:val="22"/>
        </w:rPr>
        <w:t xml:space="preserve">Standard 1 for Credit Cards defines interchange fees as payable from an acquirer to an issuer. The definition of interchange fees in </w:t>
      </w:r>
      <w:r w:rsidR="006A03B9">
        <w:rPr>
          <w:rFonts w:ascii="Arial" w:hAnsi="Arial" w:cs="Arial"/>
          <w:sz w:val="22"/>
          <w:szCs w:val="22"/>
        </w:rPr>
        <w:t xml:space="preserve">the draft </w:t>
      </w:r>
      <w:r w:rsidRPr="00C018BB">
        <w:rPr>
          <w:rFonts w:ascii="Arial" w:hAnsi="Arial" w:cs="Arial"/>
          <w:sz w:val="22"/>
          <w:szCs w:val="22"/>
        </w:rPr>
        <w:t>Standard 2 for Debit and Prepaid Cards is not consistent with Standard 1</w:t>
      </w:r>
      <w:r w:rsidR="004E5404">
        <w:rPr>
          <w:rFonts w:ascii="Arial" w:hAnsi="Arial" w:cs="Arial"/>
          <w:sz w:val="22"/>
          <w:szCs w:val="22"/>
        </w:rPr>
        <w:t xml:space="preserve"> </w:t>
      </w:r>
      <w:r w:rsidRPr="00C018BB">
        <w:rPr>
          <w:rFonts w:ascii="Arial" w:hAnsi="Arial" w:cs="Arial"/>
          <w:sz w:val="22"/>
          <w:szCs w:val="22"/>
        </w:rPr>
        <w:t>- it does not stipulate that interchange fees are payable from acquirer to issuer.</w:t>
      </w:r>
    </w:p>
    <w:p w:rsidR="00C018BB" w:rsidRDefault="00C018BB" w:rsidP="00C018BB">
      <w:pPr>
        <w:rPr>
          <w:rFonts w:ascii="Arial" w:hAnsi="Arial" w:cs="Arial"/>
          <w:sz w:val="22"/>
          <w:szCs w:val="22"/>
          <w:u w:val="single"/>
        </w:rPr>
      </w:pPr>
    </w:p>
    <w:p w:rsidR="00C018BB" w:rsidRPr="00C018BB" w:rsidRDefault="00C018BB" w:rsidP="00C018BB">
      <w:pPr>
        <w:rPr>
          <w:rFonts w:ascii="Arial" w:hAnsi="Arial" w:cs="Arial"/>
          <w:sz w:val="22"/>
          <w:szCs w:val="22"/>
          <w:u w:val="single"/>
        </w:rPr>
      </w:pPr>
      <w:r w:rsidRPr="00C018BB">
        <w:rPr>
          <w:rFonts w:ascii="Arial" w:hAnsi="Arial" w:cs="Arial"/>
          <w:sz w:val="22"/>
          <w:szCs w:val="22"/>
          <w:u w:val="single"/>
        </w:rPr>
        <w:t>The Bank suggests the RBA modifies Standard 2 for Debit Cards to change the definition of interchange fees to be consistent with Standard 1 for Credit Cards.</w:t>
      </w:r>
      <w:r w:rsidRPr="00C018BB">
        <w:rPr>
          <w:rStyle w:val="FootnoteReference"/>
          <w:rFonts w:ascii="Arial" w:hAnsi="Arial" w:cs="Arial"/>
          <w:sz w:val="22"/>
          <w:szCs w:val="22"/>
          <w:u w:val="single"/>
        </w:rPr>
        <w:footnoteReference w:id="2"/>
      </w:r>
      <w:r w:rsidRPr="00C018BB">
        <w:rPr>
          <w:rFonts w:ascii="Arial" w:hAnsi="Arial" w:cs="Arial"/>
          <w:sz w:val="22"/>
          <w:szCs w:val="22"/>
          <w:u w:val="single"/>
        </w:rPr>
        <w:t xml:space="preserve"> </w:t>
      </w:r>
    </w:p>
    <w:p w:rsidR="00C018BB" w:rsidRDefault="00C018BB" w:rsidP="00C018BB">
      <w:pPr>
        <w:rPr>
          <w:rFonts w:ascii="Arial" w:hAnsi="Arial" w:cs="Arial"/>
          <w:b/>
          <w:sz w:val="22"/>
          <w:szCs w:val="22"/>
        </w:rPr>
      </w:pPr>
    </w:p>
    <w:p w:rsidR="008164DE" w:rsidRDefault="008164DE" w:rsidP="00C018BB">
      <w:pPr>
        <w:rPr>
          <w:rFonts w:ascii="Arial" w:hAnsi="Arial" w:cs="Arial"/>
          <w:b/>
          <w:sz w:val="22"/>
          <w:szCs w:val="22"/>
        </w:rPr>
      </w:pPr>
    </w:p>
    <w:p w:rsidR="00C018BB" w:rsidRPr="00C018BB" w:rsidRDefault="00C018BB" w:rsidP="00C018BB">
      <w:pPr>
        <w:rPr>
          <w:rFonts w:ascii="Arial" w:hAnsi="Arial" w:cs="Arial"/>
          <w:b/>
          <w:sz w:val="22"/>
          <w:szCs w:val="22"/>
        </w:rPr>
      </w:pPr>
      <w:r w:rsidRPr="00C018BB">
        <w:rPr>
          <w:rFonts w:ascii="Arial" w:hAnsi="Arial" w:cs="Arial"/>
          <w:b/>
          <w:sz w:val="22"/>
          <w:szCs w:val="22"/>
        </w:rPr>
        <w:t>Surcharging</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The Bank has serious concerns about the implementation of the changes required of acquirers to merchant statements, as proposed by the RBA.  The RBA’s proposed changes to merchant statements are a prescriptive means to achieving its desired outcome.  Compliance with this proposal will incur considerable cost and changes for acquirers and payments processors. </w:t>
      </w:r>
    </w:p>
    <w:p w:rsidR="00C018BB" w:rsidRDefault="00C018BB" w:rsidP="00C018BB">
      <w:pPr>
        <w:rPr>
          <w:rFonts w:ascii="Arial" w:hAnsi="Arial" w:cs="Arial"/>
          <w:sz w:val="22"/>
          <w:szCs w:val="22"/>
        </w:rPr>
      </w:pPr>
    </w:p>
    <w:p w:rsidR="00C018BB" w:rsidRDefault="00C018BB" w:rsidP="00C018BB">
      <w:pPr>
        <w:rPr>
          <w:rFonts w:ascii="Arial" w:hAnsi="Arial" w:cs="Arial"/>
          <w:sz w:val="22"/>
          <w:szCs w:val="22"/>
          <w:u w:val="single"/>
        </w:rPr>
      </w:pPr>
      <w:r w:rsidRPr="00C018BB">
        <w:rPr>
          <w:rFonts w:ascii="Arial" w:hAnsi="Arial" w:cs="Arial"/>
          <w:sz w:val="22"/>
          <w:szCs w:val="22"/>
        </w:rPr>
        <w:t xml:space="preserve">CBA does not currently provide merchants with an annual statement of their acquiring activity and merchant service fees.  We believe this is also true for most of our competitors.  To create this would require significant one-time and ongoing expense.  However, we fail to see why this is necessary when a merchant’s regular statements will provide suitable information about the maximum permissible surcharge price for a merchant. </w:t>
      </w:r>
      <w:r w:rsidR="00661E0F">
        <w:rPr>
          <w:rFonts w:ascii="Arial" w:hAnsi="Arial" w:cs="Arial"/>
          <w:sz w:val="22"/>
          <w:szCs w:val="22"/>
        </w:rPr>
        <w:t xml:space="preserve"> </w:t>
      </w:r>
      <w:r w:rsidRPr="00C018BB">
        <w:rPr>
          <w:rFonts w:ascii="Arial" w:hAnsi="Arial" w:cs="Arial"/>
          <w:sz w:val="22"/>
          <w:szCs w:val="22"/>
          <w:u w:val="single"/>
        </w:rPr>
        <w:t>As such, we think an annual merchant statement is unnecessary and should not be required by the RBA if the acquirer does not presently offer this.</w:t>
      </w:r>
    </w:p>
    <w:p w:rsidR="00D50A3B" w:rsidRDefault="00D50A3B" w:rsidP="00C018BB">
      <w:pPr>
        <w:rPr>
          <w:rFonts w:ascii="Arial" w:hAnsi="Arial" w:cs="Arial"/>
          <w:sz w:val="22"/>
          <w:szCs w:val="22"/>
          <w:u w:val="single"/>
        </w:rPr>
      </w:pPr>
    </w:p>
    <w:p w:rsidR="00D50A3B" w:rsidRPr="002102FC" w:rsidRDefault="00D50A3B" w:rsidP="00C018BB">
      <w:pPr>
        <w:rPr>
          <w:rFonts w:ascii="Arial" w:hAnsi="Arial" w:cs="Arial"/>
          <w:sz w:val="22"/>
          <w:szCs w:val="22"/>
          <w:u w:val="single"/>
        </w:rPr>
      </w:pPr>
      <w:r w:rsidRPr="002102FC">
        <w:rPr>
          <w:rFonts w:ascii="Arial" w:hAnsi="Arial" w:cs="Arial"/>
          <w:sz w:val="22"/>
          <w:szCs w:val="22"/>
        </w:rPr>
        <w:t xml:space="preserve">CBA </w:t>
      </w:r>
      <w:r w:rsidR="00661E0F">
        <w:rPr>
          <w:rFonts w:ascii="Arial" w:hAnsi="Arial" w:cs="Arial"/>
          <w:sz w:val="22"/>
          <w:szCs w:val="22"/>
        </w:rPr>
        <w:t xml:space="preserve">also currently </w:t>
      </w:r>
      <w:r w:rsidRPr="002102FC">
        <w:rPr>
          <w:rFonts w:ascii="Arial" w:hAnsi="Arial" w:cs="Arial"/>
          <w:sz w:val="22"/>
          <w:szCs w:val="22"/>
        </w:rPr>
        <w:t>provides its merchant</w:t>
      </w:r>
      <w:r w:rsidR="00581937">
        <w:rPr>
          <w:rFonts w:ascii="Arial" w:hAnsi="Arial" w:cs="Arial"/>
          <w:sz w:val="22"/>
          <w:szCs w:val="22"/>
        </w:rPr>
        <w:t xml:space="preserve"> client</w:t>
      </w:r>
      <w:r w:rsidRPr="002102FC">
        <w:rPr>
          <w:rFonts w:ascii="Arial" w:hAnsi="Arial" w:cs="Arial"/>
          <w:sz w:val="22"/>
          <w:szCs w:val="22"/>
        </w:rPr>
        <w:t xml:space="preserve">s with separate statements for Visa/MasterCard transactions and </w:t>
      </w:r>
      <w:proofErr w:type="spellStart"/>
      <w:r w:rsidRPr="002102FC">
        <w:rPr>
          <w:rFonts w:ascii="Arial" w:hAnsi="Arial" w:cs="Arial"/>
          <w:sz w:val="22"/>
          <w:szCs w:val="22"/>
        </w:rPr>
        <w:t>eftpos</w:t>
      </w:r>
      <w:proofErr w:type="spellEnd"/>
      <w:r w:rsidRPr="002102FC">
        <w:rPr>
          <w:rFonts w:ascii="Arial" w:hAnsi="Arial" w:cs="Arial"/>
          <w:sz w:val="22"/>
          <w:szCs w:val="22"/>
        </w:rPr>
        <w:t>/</w:t>
      </w:r>
      <w:proofErr w:type="spellStart"/>
      <w:r w:rsidRPr="002102FC">
        <w:rPr>
          <w:rFonts w:ascii="Arial" w:hAnsi="Arial" w:cs="Arial"/>
          <w:sz w:val="22"/>
          <w:szCs w:val="22"/>
        </w:rPr>
        <w:t>UnionPay</w:t>
      </w:r>
      <w:proofErr w:type="spellEnd"/>
      <w:r w:rsidRPr="002102FC">
        <w:rPr>
          <w:rFonts w:ascii="Arial" w:hAnsi="Arial" w:cs="Arial"/>
          <w:sz w:val="22"/>
          <w:szCs w:val="22"/>
        </w:rPr>
        <w:t xml:space="preserve"> transactions. </w:t>
      </w:r>
      <w:r w:rsidR="00661E0F">
        <w:rPr>
          <w:rFonts w:ascii="Arial" w:hAnsi="Arial" w:cs="Arial"/>
          <w:sz w:val="22"/>
          <w:szCs w:val="22"/>
        </w:rPr>
        <w:t xml:space="preserve"> </w:t>
      </w:r>
      <w:r w:rsidR="00661E0F">
        <w:rPr>
          <w:rFonts w:ascii="Arial" w:hAnsi="Arial" w:cs="Arial"/>
          <w:sz w:val="22"/>
          <w:szCs w:val="22"/>
          <w:u w:val="single"/>
        </w:rPr>
        <w:t>We</w:t>
      </w:r>
      <w:r w:rsidRPr="00581937">
        <w:rPr>
          <w:rFonts w:ascii="Arial" w:hAnsi="Arial" w:cs="Arial"/>
          <w:sz w:val="22"/>
          <w:szCs w:val="22"/>
          <w:u w:val="single"/>
        </w:rPr>
        <w:t xml:space="preserve"> would </w:t>
      </w:r>
      <w:r w:rsidR="00661E0F">
        <w:rPr>
          <w:rFonts w:ascii="Arial" w:hAnsi="Arial" w:cs="Arial"/>
          <w:sz w:val="22"/>
          <w:szCs w:val="22"/>
          <w:u w:val="single"/>
        </w:rPr>
        <w:t>appreciate</w:t>
      </w:r>
      <w:r w:rsidRPr="00581937">
        <w:rPr>
          <w:rFonts w:ascii="Arial" w:hAnsi="Arial" w:cs="Arial"/>
          <w:sz w:val="22"/>
          <w:szCs w:val="22"/>
          <w:u w:val="single"/>
        </w:rPr>
        <w:t xml:space="preserve"> clarification from the RBA that </w:t>
      </w:r>
      <w:r w:rsidR="00581937" w:rsidRPr="00581937">
        <w:rPr>
          <w:rFonts w:ascii="Arial" w:hAnsi="Arial" w:cs="Arial"/>
          <w:sz w:val="22"/>
          <w:szCs w:val="22"/>
          <w:u w:val="single"/>
        </w:rPr>
        <w:t xml:space="preserve">this practice is acceptable and acquirers do not need to display the maximum permissible surcharge for every card category on a single merchant statement. </w:t>
      </w:r>
    </w:p>
    <w:p w:rsidR="00C018BB" w:rsidRDefault="00C018BB" w:rsidP="00C018BB">
      <w:pPr>
        <w:rPr>
          <w:rFonts w:ascii="Arial" w:hAnsi="Arial" w:cs="Arial"/>
          <w:sz w:val="22"/>
          <w:szCs w:val="22"/>
        </w:rPr>
      </w:pPr>
    </w:p>
    <w:p w:rsidR="00C018BB" w:rsidRDefault="00C018BB" w:rsidP="00C018BB">
      <w:pPr>
        <w:rPr>
          <w:rFonts w:ascii="Arial" w:hAnsi="Arial" w:cs="Arial"/>
          <w:sz w:val="22"/>
          <w:szCs w:val="22"/>
        </w:rPr>
      </w:pPr>
      <w:r w:rsidRPr="00C018BB">
        <w:rPr>
          <w:rFonts w:ascii="Arial" w:hAnsi="Arial" w:cs="Arial"/>
          <w:sz w:val="22"/>
          <w:szCs w:val="22"/>
        </w:rPr>
        <w:t xml:space="preserve">Furthermore, apportioning a merchant’s other costs to each interchange category to calculate the maximum surcharge price will require considerable system development.  This data does not currently feed into </w:t>
      </w:r>
      <w:r w:rsidR="00387329" w:rsidRPr="00387329">
        <w:rPr>
          <w:rFonts w:ascii="Arial" w:hAnsi="Arial" w:cs="Arial"/>
          <w:sz w:val="22"/>
          <w:szCs w:val="22"/>
        </w:rPr>
        <w:t>the relevant</w:t>
      </w:r>
      <w:r w:rsidRPr="00C018BB">
        <w:rPr>
          <w:rFonts w:ascii="Arial" w:hAnsi="Arial" w:cs="Arial"/>
          <w:sz w:val="22"/>
          <w:szCs w:val="22"/>
        </w:rPr>
        <w:t xml:space="preserve"> merchant billing system, and to do so would necessitate a costly IT project.</w:t>
      </w:r>
    </w:p>
    <w:p w:rsidR="00B14A00" w:rsidRDefault="00B14A00" w:rsidP="00C018BB">
      <w:pPr>
        <w:rPr>
          <w:rFonts w:ascii="Arial" w:hAnsi="Arial" w:cs="Arial"/>
          <w:sz w:val="22"/>
          <w:szCs w:val="22"/>
        </w:rPr>
      </w:pPr>
    </w:p>
    <w:p w:rsidR="00B14A00" w:rsidRPr="00C018BB" w:rsidRDefault="00B14A00" w:rsidP="00C018BB">
      <w:pPr>
        <w:rPr>
          <w:rFonts w:ascii="Arial" w:hAnsi="Arial" w:cs="Arial"/>
          <w:sz w:val="22"/>
          <w:szCs w:val="22"/>
        </w:rPr>
      </w:pPr>
      <w:r>
        <w:rPr>
          <w:rFonts w:ascii="Arial" w:hAnsi="Arial" w:cs="Arial"/>
          <w:sz w:val="22"/>
          <w:szCs w:val="22"/>
        </w:rPr>
        <w:t xml:space="preserve">Another complexity with implementing the RBA’s proposed surcharging reforms comes about from third party costs. </w:t>
      </w:r>
      <w:r w:rsidR="0069248E">
        <w:rPr>
          <w:rFonts w:ascii="Arial" w:hAnsi="Arial" w:cs="Arial"/>
          <w:sz w:val="22"/>
          <w:szCs w:val="22"/>
        </w:rPr>
        <w:t xml:space="preserve"> </w:t>
      </w:r>
      <w:r w:rsidR="006854E4">
        <w:rPr>
          <w:rFonts w:ascii="Arial" w:hAnsi="Arial" w:cs="Arial"/>
          <w:sz w:val="22"/>
          <w:szCs w:val="22"/>
        </w:rPr>
        <w:t>Some larger merchants will have costs relevant for inclusion in the calculation of the maximum permissible surcharge which are unknown by the acquirer.</w:t>
      </w:r>
      <w:r w:rsidR="00661E0F">
        <w:rPr>
          <w:rFonts w:ascii="Arial" w:hAnsi="Arial" w:cs="Arial"/>
          <w:sz w:val="22"/>
          <w:szCs w:val="22"/>
        </w:rPr>
        <w:t xml:space="preserve"> </w:t>
      </w:r>
      <w:r w:rsidR="00F6226C">
        <w:rPr>
          <w:rFonts w:ascii="Arial" w:hAnsi="Arial" w:cs="Arial"/>
          <w:sz w:val="22"/>
          <w:szCs w:val="22"/>
        </w:rPr>
        <w:t xml:space="preserve"> For example a merchant may: have sourced their own </w:t>
      </w:r>
      <w:proofErr w:type="spellStart"/>
      <w:r w:rsidR="00F6226C">
        <w:rPr>
          <w:rFonts w:ascii="Arial" w:hAnsi="Arial" w:cs="Arial"/>
          <w:sz w:val="22"/>
          <w:szCs w:val="22"/>
        </w:rPr>
        <w:t>PINpads</w:t>
      </w:r>
      <w:proofErr w:type="spellEnd"/>
      <w:r w:rsidR="00F6226C">
        <w:rPr>
          <w:rFonts w:ascii="Arial" w:hAnsi="Arial" w:cs="Arial"/>
          <w:sz w:val="22"/>
          <w:szCs w:val="22"/>
        </w:rPr>
        <w:t>, have an arrangement directly with a</w:t>
      </w:r>
      <w:r w:rsidR="00976345">
        <w:rPr>
          <w:rFonts w:ascii="Arial" w:hAnsi="Arial" w:cs="Arial"/>
          <w:sz w:val="22"/>
          <w:szCs w:val="22"/>
        </w:rPr>
        <w:t>n</w:t>
      </w:r>
      <w:r w:rsidR="00F6226C">
        <w:rPr>
          <w:rFonts w:ascii="Arial" w:hAnsi="Arial" w:cs="Arial"/>
          <w:sz w:val="22"/>
          <w:szCs w:val="22"/>
        </w:rPr>
        <w:t xml:space="preserve"> e-payments gateway, or use a fraud checking service. </w:t>
      </w:r>
      <w:r w:rsidR="0069248E">
        <w:rPr>
          <w:rFonts w:ascii="Arial" w:hAnsi="Arial" w:cs="Arial"/>
          <w:sz w:val="22"/>
          <w:szCs w:val="22"/>
        </w:rPr>
        <w:t xml:space="preserve"> </w:t>
      </w:r>
      <w:r w:rsidR="00F6226C">
        <w:rPr>
          <w:rFonts w:ascii="Arial" w:hAnsi="Arial" w:cs="Arial"/>
          <w:sz w:val="22"/>
          <w:szCs w:val="22"/>
        </w:rPr>
        <w:t xml:space="preserve">The merchant’s acquirer will not know these costs and accordingly will not be able to incorporate them into </w:t>
      </w:r>
      <w:r w:rsidR="0069248E">
        <w:rPr>
          <w:rFonts w:ascii="Arial" w:hAnsi="Arial" w:cs="Arial"/>
          <w:sz w:val="22"/>
          <w:szCs w:val="22"/>
        </w:rPr>
        <w:t xml:space="preserve">monitoring </w:t>
      </w:r>
      <w:r w:rsidR="00F6226C">
        <w:rPr>
          <w:rFonts w:ascii="Arial" w:hAnsi="Arial" w:cs="Arial"/>
          <w:sz w:val="22"/>
          <w:szCs w:val="22"/>
        </w:rPr>
        <w:t xml:space="preserve">the maximum allowable surcharge. </w:t>
      </w:r>
      <w:r w:rsidR="0069248E">
        <w:rPr>
          <w:rFonts w:ascii="Arial" w:hAnsi="Arial" w:cs="Arial"/>
          <w:sz w:val="22"/>
          <w:szCs w:val="22"/>
        </w:rPr>
        <w:t xml:space="preserve"> </w:t>
      </w:r>
      <w:r w:rsidR="00F6226C">
        <w:rPr>
          <w:rFonts w:ascii="Arial" w:hAnsi="Arial" w:cs="Arial"/>
          <w:sz w:val="22"/>
          <w:szCs w:val="22"/>
        </w:rPr>
        <w:t>Furthermore, some merchants use multiple acquirers</w:t>
      </w:r>
      <w:r w:rsidR="0069248E">
        <w:rPr>
          <w:rFonts w:ascii="Arial" w:hAnsi="Arial" w:cs="Arial"/>
          <w:sz w:val="22"/>
          <w:szCs w:val="22"/>
        </w:rPr>
        <w:t xml:space="preserve"> -</w:t>
      </w:r>
      <w:r w:rsidR="00F6226C">
        <w:rPr>
          <w:rFonts w:ascii="Arial" w:hAnsi="Arial" w:cs="Arial"/>
          <w:sz w:val="22"/>
          <w:szCs w:val="22"/>
        </w:rPr>
        <w:t xml:space="preserve"> which acquirer’s statement do they use to determine their maximum allowable surcharge?    </w:t>
      </w:r>
      <w:r w:rsidR="006854E4">
        <w:rPr>
          <w:rFonts w:ascii="Arial" w:hAnsi="Arial" w:cs="Arial"/>
          <w:sz w:val="22"/>
          <w:szCs w:val="22"/>
        </w:rPr>
        <w:t xml:space="preserve"> </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The Bank </w:t>
      </w:r>
      <w:r w:rsidR="00661E0F">
        <w:rPr>
          <w:rFonts w:ascii="Arial" w:hAnsi="Arial" w:cs="Arial"/>
          <w:sz w:val="22"/>
          <w:szCs w:val="22"/>
        </w:rPr>
        <w:t xml:space="preserve">thus </w:t>
      </w:r>
      <w:r w:rsidRPr="00C018BB">
        <w:rPr>
          <w:rFonts w:ascii="Arial" w:hAnsi="Arial" w:cs="Arial"/>
          <w:sz w:val="22"/>
          <w:szCs w:val="22"/>
        </w:rPr>
        <w:t>considers the</w:t>
      </w:r>
      <w:r w:rsidR="006A03B9">
        <w:rPr>
          <w:rFonts w:ascii="Arial" w:hAnsi="Arial" w:cs="Arial"/>
          <w:sz w:val="22"/>
          <w:szCs w:val="22"/>
        </w:rPr>
        <w:t xml:space="preserve"> RBA’s</w:t>
      </w:r>
      <w:r w:rsidRPr="00C018BB">
        <w:rPr>
          <w:rFonts w:ascii="Arial" w:hAnsi="Arial" w:cs="Arial"/>
          <w:sz w:val="22"/>
          <w:szCs w:val="22"/>
        </w:rPr>
        <w:t xml:space="preserve"> currently proposed approach to be unnecessarily complex.  </w:t>
      </w:r>
      <w:r w:rsidRPr="00C018BB">
        <w:rPr>
          <w:rFonts w:ascii="Arial" w:hAnsi="Arial" w:cs="Arial"/>
          <w:sz w:val="22"/>
          <w:szCs w:val="22"/>
          <w:u w:val="single"/>
        </w:rPr>
        <w:t>The Bank suggests a much simpler means of achieving a similar outcome would be for the RBA to stipulate that merchants can surcharge up to “1.x” times the relevant merchant service fee</w:t>
      </w:r>
      <w:r w:rsidR="0069248E">
        <w:rPr>
          <w:rFonts w:ascii="Arial" w:hAnsi="Arial" w:cs="Arial"/>
          <w:sz w:val="22"/>
          <w:szCs w:val="22"/>
          <w:u w:val="single"/>
        </w:rPr>
        <w:t>,</w:t>
      </w:r>
      <w:r w:rsidRPr="00C018BB">
        <w:rPr>
          <w:rFonts w:ascii="Arial" w:hAnsi="Arial" w:cs="Arial"/>
          <w:sz w:val="22"/>
          <w:szCs w:val="22"/>
          <w:u w:val="single"/>
        </w:rPr>
        <w:t xml:space="preserve"> with this multiple set by the RBA.</w:t>
      </w:r>
      <w:r w:rsidRPr="00C018BB">
        <w:rPr>
          <w:rFonts w:ascii="Arial" w:hAnsi="Arial" w:cs="Arial"/>
          <w:sz w:val="22"/>
          <w:szCs w:val="22"/>
        </w:rPr>
        <w:t xml:space="preserve"> </w:t>
      </w:r>
      <w:r w:rsidR="004E5404">
        <w:rPr>
          <w:rFonts w:ascii="Arial" w:hAnsi="Arial" w:cs="Arial"/>
          <w:sz w:val="22"/>
          <w:szCs w:val="22"/>
        </w:rPr>
        <w:t xml:space="preserve"> </w:t>
      </w:r>
      <w:r w:rsidRPr="00C018BB">
        <w:rPr>
          <w:rFonts w:ascii="Arial" w:hAnsi="Arial" w:cs="Arial"/>
          <w:sz w:val="22"/>
          <w:szCs w:val="22"/>
        </w:rPr>
        <w:t xml:space="preserve">This is a rule of thumb type approach to cater for non MSF costs incurred by the merchant.  The RBA could choose to survey some </w:t>
      </w:r>
      <w:r w:rsidRPr="00C018BB">
        <w:rPr>
          <w:rFonts w:ascii="Arial" w:hAnsi="Arial" w:cs="Arial"/>
          <w:sz w:val="22"/>
          <w:szCs w:val="22"/>
        </w:rPr>
        <w:lastRenderedPageBreak/>
        <w:t xml:space="preserve">merchants and acquirers if it wanted the multiple to reflect the cost profile of a sample of merchants. </w:t>
      </w:r>
    </w:p>
    <w:p w:rsidR="00C018BB" w:rsidRDefault="00C018BB" w:rsidP="00C018BB">
      <w:pPr>
        <w:rPr>
          <w:rFonts w:ascii="Arial" w:hAnsi="Arial" w:cs="Arial"/>
          <w:sz w:val="22"/>
          <w:szCs w:val="22"/>
        </w:rPr>
      </w:pPr>
    </w:p>
    <w:p w:rsidR="00C018BB" w:rsidRPr="00C018BB" w:rsidRDefault="006A03B9" w:rsidP="00C018BB">
      <w:pPr>
        <w:rPr>
          <w:rFonts w:ascii="Arial" w:hAnsi="Arial" w:cs="Arial"/>
          <w:sz w:val="22"/>
          <w:szCs w:val="22"/>
        </w:rPr>
      </w:pPr>
      <w:r>
        <w:rPr>
          <w:rFonts w:ascii="Arial" w:hAnsi="Arial" w:cs="Arial"/>
          <w:sz w:val="22"/>
          <w:szCs w:val="22"/>
        </w:rPr>
        <w:t>T</w:t>
      </w:r>
      <w:r w:rsidR="00C018BB" w:rsidRPr="00C018BB">
        <w:rPr>
          <w:rFonts w:ascii="Arial" w:hAnsi="Arial" w:cs="Arial"/>
          <w:sz w:val="22"/>
          <w:szCs w:val="22"/>
        </w:rPr>
        <w:t xml:space="preserve">he </w:t>
      </w:r>
      <w:r>
        <w:rPr>
          <w:rFonts w:ascii="Arial" w:hAnsi="Arial" w:cs="Arial"/>
          <w:sz w:val="22"/>
          <w:szCs w:val="22"/>
        </w:rPr>
        <w:t xml:space="preserve">discontinued </w:t>
      </w:r>
      <w:r w:rsidR="00C018BB" w:rsidRPr="00C018BB">
        <w:rPr>
          <w:rFonts w:ascii="Arial" w:hAnsi="Arial" w:cs="Arial"/>
          <w:sz w:val="22"/>
          <w:szCs w:val="22"/>
        </w:rPr>
        <w:t>interchange cost survey was seen as an expensive, burdensome and unnecessary means of arriving at an interchange benchmark</w:t>
      </w:r>
      <w:r>
        <w:rPr>
          <w:rFonts w:ascii="Arial" w:hAnsi="Arial" w:cs="Arial"/>
          <w:sz w:val="22"/>
          <w:szCs w:val="22"/>
        </w:rPr>
        <w:t xml:space="preserve">. </w:t>
      </w:r>
      <w:r w:rsidR="004E5404">
        <w:rPr>
          <w:rFonts w:ascii="Arial" w:hAnsi="Arial" w:cs="Arial"/>
          <w:sz w:val="22"/>
          <w:szCs w:val="22"/>
        </w:rPr>
        <w:t xml:space="preserve"> </w:t>
      </w:r>
      <w:r>
        <w:rPr>
          <w:rFonts w:ascii="Arial" w:hAnsi="Arial" w:cs="Arial"/>
          <w:sz w:val="22"/>
          <w:szCs w:val="22"/>
        </w:rPr>
        <w:t>T</w:t>
      </w:r>
      <w:r w:rsidR="00C018BB" w:rsidRPr="00C018BB">
        <w:rPr>
          <w:rFonts w:ascii="Arial" w:hAnsi="Arial" w:cs="Arial"/>
          <w:sz w:val="22"/>
          <w:szCs w:val="22"/>
        </w:rPr>
        <w:t xml:space="preserve">his </w:t>
      </w:r>
      <w:r>
        <w:rPr>
          <w:rFonts w:ascii="Arial" w:hAnsi="Arial" w:cs="Arial"/>
          <w:sz w:val="22"/>
          <w:szCs w:val="22"/>
        </w:rPr>
        <w:t>applies equally</w:t>
      </w:r>
      <w:r w:rsidR="00C018BB" w:rsidRPr="00C018BB">
        <w:rPr>
          <w:rFonts w:ascii="Arial" w:hAnsi="Arial" w:cs="Arial"/>
          <w:sz w:val="22"/>
          <w:szCs w:val="22"/>
        </w:rPr>
        <w:t xml:space="preserve">, in the Bank’s view, </w:t>
      </w:r>
      <w:r>
        <w:rPr>
          <w:rFonts w:ascii="Arial" w:hAnsi="Arial" w:cs="Arial"/>
          <w:sz w:val="22"/>
          <w:szCs w:val="22"/>
        </w:rPr>
        <w:t>to</w:t>
      </w:r>
      <w:r w:rsidR="00C018BB" w:rsidRPr="00C018BB">
        <w:rPr>
          <w:rFonts w:ascii="Arial" w:hAnsi="Arial" w:cs="Arial"/>
          <w:sz w:val="22"/>
          <w:szCs w:val="22"/>
        </w:rPr>
        <w:t xml:space="preserve"> setting </w:t>
      </w:r>
      <w:r>
        <w:rPr>
          <w:rFonts w:ascii="Arial" w:hAnsi="Arial" w:cs="Arial"/>
          <w:sz w:val="22"/>
          <w:szCs w:val="22"/>
        </w:rPr>
        <w:t>a merchant’s</w:t>
      </w:r>
      <w:r w:rsidR="00C018BB" w:rsidRPr="00C018BB">
        <w:rPr>
          <w:rFonts w:ascii="Arial" w:hAnsi="Arial" w:cs="Arial"/>
          <w:sz w:val="22"/>
          <w:szCs w:val="22"/>
        </w:rPr>
        <w:t xml:space="preserve"> maximum surcharge price by incorporating an apportionment of </w:t>
      </w:r>
      <w:r>
        <w:rPr>
          <w:rFonts w:ascii="Arial" w:hAnsi="Arial" w:cs="Arial"/>
          <w:sz w:val="22"/>
          <w:szCs w:val="22"/>
        </w:rPr>
        <w:t xml:space="preserve">their </w:t>
      </w:r>
      <w:r w:rsidR="00C018BB" w:rsidRPr="00C018BB">
        <w:rPr>
          <w:rFonts w:ascii="Arial" w:hAnsi="Arial" w:cs="Arial"/>
          <w:sz w:val="22"/>
          <w:szCs w:val="22"/>
        </w:rPr>
        <w:t>other costs to each interchange category.  Using a RBA-set multiple will achieve an almost identical outcome</w:t>
      </w:r>
      <w:r>
        <w:rPr>
          <w:rFonts w:ascii="Arial" w:hAnsi="Arial" w:cs="Arial"/>
          <w:sz w:val="22"/>
          <w:szCs w:val="22"/>
        </w:rPr>
        <w:t>,</w:t>
      </w:r>
      <w:r w:rsidR="00C018BB" w:rsidRPr="00C018BB">
        <w:rPr>
          <w:rFonts w:ascii="Arial" w:hAnsi="Arial" w:cs="Arial"/>
          <w:sz w:val="22"/>
          <w:szCs w:val="22"/>
        </w:rPr>
        <w:t xml:space="preserve"> while saving acquirers considerable cost and complexity.</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The Bank’s suggested approach would be flexible in accommodating industries consisting of ‘agency’ merchants, such as travel agencies and entertainment ticket retailers. </w:t>
      </w:r>
      <w:r w:rsidR="004E5404">
        <w:rPr>
          <w:rFonts w:ascii="Arial" w:hAnsi="Arial" w:cs="Arial"/>
          <w:sz w:val="22"/>
          <w:szCs w:val="22"/>
        </w:rPr>
        <w:t xml:space="preserve"> </w:t>
      </w:r>
      <w:r w:rsidRPr="00C018BB">
        <w:rPr>
          <w:rFonts w:ascii="Arial" w:hAnsi="Arial" w:cs="Arial"/>
          <w:sz w:val="22"/>
          <w:szCs w:val="22"/>
        </w:rPr>
        <w:t xml:space="preserve">These merchants often incur additional costs arising from chargebacks due to the failure of the ultimate supplier to deliver the purchased goods/service to the cardholder. </w:t>
      </w:r>
      <w:r w:rsidR="004E5404">
        <w:rPr>
          <w:rFonts w:ascii="Arial" w:hAnsi="Arial" w:cs="Arial"/>
          <w:sz w:val="22"/>
          <w:szCs w:val="22"/>
        </w:rPr>
        <w:t xml:space="preserve"> </w:t>
      </w:r>
      <w:r w:rsidRPr="00C018BB">
        <w:rPr>
          <w:rFonts w:ascii="Arial" w:hAnsi="Arial" w:cs="Arial"/>
          <w:sz w:val="22"/>
          <w:szCs w:val="22"/>
        </w:rPr>
        <w:t xml:space="preserve">The RBA could, by exception, set a separate multiple for an individual industry to accommodate unique costs in accepting card payments </w:t>
      </w:r>
      <w:r w:rsidR="006A03B9">
        <w:rPr>
          <w:rFonts w:ascii="Arial" w:hAnsi="Arial" w:cs="Arial"/>
          <w:sz w:val="22"/>
          <w:szCs w:val="22"/>
        </w:rPr>
        <w:t>particular</w:t>
      </w:r>
      <w:r w:rsidRPr="00C018BB">
        <w:rPr>
          <w:rFonts w:ascii="Arial" w:hAnsi="Arial" w:cs="Arial"/>
          <w:sz w:val="22"/>
          <w:szCs w:val="22"/>
        </w:rPr>
        <w:t xml:space="preserve"> to that industry. </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In regards to the issue of excessive surcharging by merchants, the Bank </w:t>
      </w:r>
      <w:r w:rsidR="004E5404">
        <w:rPr>
          <w:rFonts w:ascii="Arial" w:hAnsi="Arial" w:cs="Arial"/>
          <w:sz w:val="22"/>
          <w:szCs w:val="22"/>
        </w:rPr>
        <w:t xml:space="preserve">(as we have previously argued) </w:t>
      </w:r>
      <w:r w:rsidRPr="00C018BB">
        <w:rPr>
          <w:rFonts w:ascii="Arial" w:hAnsi="Arial" w:cs="Arial"/>
          <w:sz w:val="22"/>
          <w:szCs w:val="22"/>
        </w:rPr>
        <w:t xml:space="preserve">considers this issue should be addressed under competition law. </w:t>
      </w:r>
      <w:r w:rsidR="004E5404">
        <w:rPr>
          <w:rFonts w:ascii="Arial" w:hAnsi="Arial" w:cs="Arial"/>
          <w:sz w:val="22"/>
          <w:szCs w:val="22"/>
        </w:rPr>
        <w:t xml:space="preserve"> </w:t>
      </w:r>
      <w:r w:rsidRPr="00C018BB">
        <w:rPr>
          <w:rFonts w:ascii="Arial" w:hAnsi="Arial" w:cs="Arial"/>
          <w:sz w:val="22"/>
          <w:szCs w:val="22"/>
        </w:rPr>
        <w:t>As such, the Bank suggests the Australian Competition and Consumer Commission should examine surcharging practi</w:t>
      </w:r>
      <w:r w:rsidR="00A271B0">
        <w:rPr>
          <w:rFonts w:ascii="Arial" w:hAnsi="Arial" w:cs="Arial"/>
          <w:sz w:val="22"/>
          <w:szCs w:val="22"/>
        </w:rPr>
        <w:t>c</w:t>
      </w:r>
      <w:r w:rsidRPr="00C018BB">
        <w:rPr>
          <w:rFonts w:ascii="Arial" w:hAnsi="Arial" w:cs="Arial"/>
          <w:sz w:val="22"/>
          <w:szCs w:val="22"/>
        </w:rPr>
        <w:t xml:space="preserve">es within </w:t>
      </w:r>
      <w:r w:rsidR="00387329" w:rsidRPr="00387329">
        <w:rPr>
          <w:rFonts w:ascii="Arial" w:hAnsi="Arial" w:cs="Arial"/>
          <w:sz w:val="22"/>
          <w:szCs w:val="22"/>
        </w:rPr>
        <w:t>specific industries where excessive surcharging is experienced by cardholders</w:t>
      </w:r>
      <w:r w:rsidRPr="00C018BB">
        <w:rPr>
          <w:rFonts w:ascii="Arial" w:hAnsi="Arial" w:cs="Arial"/>
          <w:sz w:val="22"/>
          <w:szCs w:val="22"/>
        </w:rPr>
        <w:t xml:space="preserve">. </w:t>
      </w:r>
      <w:r w:rsidR="004E5404">
        <w:rPr>
          <w:rFonts w:ascii="Arial" w:hAnsi="Arial" w:cs="Arial"/>
          <w:sz w:val="22"/>
          <w:szCs w:val="22"/>
        </w:rPr>
        <w:t xml:space="preserve"> </w:t>
      </w:r>
      <w:r w:rsidRPr="00C018BB">
        <w:rPr>
          <w:rFonts w:ascii="Arial" w:hAnsi="Arial" w:cs="Arial"/>
          <w:sz w:val="22"/>
          <w:szCs w:val="22"/>
        </w:rPr>
        <w:t xml:space="preserve">The RBA is unsuited to monitoring and enforcing compliance of the Government’s proposed surcharging legislation. </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By placing a cap on the maximum permissible surcharge for each merchant, the </w:t>
      </w:r>
      <w:r w:rsidR="006A03B9">
        <w:rPr>
          <w:rFonts w:ascii="Arial" w:hAnsi="Arial" w:cs="Arial"/>
          <w:sz w:val="22"/>
          <w:szCs w:val="22"/>
        </w:rPr>
        <w:t xml:space="preserve">merchant service fee </w:t>
      </w:r>
      <w:r w:rsidRPr="00C018BB">
        <w:rPr>
          <w:rFonts w:ascii="Arial" w:hAnsi="Arial" w:cs="Arial"/>
          <w:sz w:val="22"/>
          <w:szCs w:val="22"/>
        </w:rPr>
        <w:t xml:space="preserve">pricing structure for some merchants could result in unusual outcomes.  CBA offers a Simple Merchant Plan to its merchants, with a fixed fee for acquiring turnover up to a specified level.  Calculating the average merchant service fee in a period of abnormally low turnover for a merchant will result in an unusually high maximum allowable surcharge.  </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Similarly, the Bank offers bundled pricing for multiple banking products to some of its business clients.  This would require some discretion on the acquirer’s behalf to determine the merchant service fee </w:t>
      </w:r>
      <w:r w:rsidR="006A03B9">
        <w:rPr>
          <w:rFonts w:ascii="Arial" w:hAnsi="Arial" w:cs="Arial"/>
          <w:sz w:val="22"/>
          <w:szCs w:val="22"/>
        </w:rPr>
        <w:t xml:space="preserve">applicable </w:t>
      </w:r>
      <w:r w:rsidRPr="00C018BB">
        <w:rPr>
          <w:rFonts w:ascii="Arial" w:hAnsi="Arial" w:cs="Arial"/>
          <w:sz w:val="22"/>
          <w:szCs w:val="22"/>
        </w:rPr>
        <w:t>for such clients.</w:t>
      </w:r>
    </w:p>
    <w:p w:rsidR="00C018BB" w:rsidRDefault="00C018BB" w:rsidP="00C018BB">
      <w:pPr>
        <w:rPr>
          <w:rFonts w:ascii="Arial" w:hAnsi="Arial" w:cs="Arial"/>
          <w:sz w:val="22"/>
          <w:szCs w:val="22"/>
          <w:u w:val="single"/>
        </w:rPr>
      </w:pPr>
    </w:p>
    <w:p w:rsidR="00C018BB" w:rsidRPr="00CE3940" w:rsidRDefault="00C018BB" w:rsidP="00C018BB">
      <w:pPr>
        <w:rPr>
          <w:rFonts w:ascii="Arial" w:hAnsi="Arial" w:cs="Arial"/>
          <w:sz w:val="22"/>
          <w:szCs w:val="22"/>
        </w:rPr>
      </w:pPr>
      <w:r w:rsidRPr="00C018BB">
        <w:rPr>
          <w:rFonts w:ascii="Arial" w:hAnsi="Arial" w:cs="Arial"/>
          <w:sz w:val="22"/>
          <w:szCs w:val="22"/>
          <w:u w:val="single"/>
        </w:rPr>
        <w:t>The Bank recommends that the RBA’s requirements for merchant statements be as light touch as possible in order to minimise any resulting complexities</w:t>
      </w:r>
      <w:r w:rsidR="006A03B9">
        <w:rPr>
          <w:rFonts w:ascii="Arial" w:hAnsi="Arial" w:cs="Arial"/>
          <w:sz w:val="22"/>
          <w:szCs w:val="22"/>
          <w:u w:val="single"/>
        </w:rPr>
        <w:t>,</w:t>
      </w:r>
      <w:r w:rsidRPr="00C018BB">
        <w:rPr>
          <w:rFonts w:ascii="Arial" w:hAnsi="Arial" w:cs="Arial"/>
          <w:sz w:val="22"/>
          <w:szCs w:val="22"/>
        </w:rPr>
        <w:t xml:space="preserve"> whilst still adhering to principles of </w:t>
      </w:r>
      <w:r w:rsidRPr="00833325">
        <w:rPr>
          <w:rFonts w:ascii="Arial" w:hAnsi="Arial" w:cs="Arial"/>
          <w:sz w:val="22"/>
          <w:szCs w:val="22"/>
        </w:rPr>
        <w:t xml:space="preserve">transparency and disclosure.  </w:t>
      </w:r>
      <w:r w:rsidR="00CE3940" w:rsidRPr="00833325">
        <w:rPr>
          <w:rFonts w:ascii="Arial" w:hAnsi="Arial" w:cs="Arial"/>
          <w:sz w:val="22"/>
          <w:szCs w:val="22"/>
        </w:rPr>
        <w:t xml:space="preserve">Regardless of the approach adopted, the implementation period should be sufficient to allow for considered systems and operational development and deployment. </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The Bank has written separately to the RBA </w:t>
      </w:r>
      <w:r w:rsidR="006A03B9">
        <w:rPr>
          <w:rFonts w:ascii="Arial" w:hAnsi="Arial" w:cs="Arial"/>
          <w:sz w:val="22"/>
          <w:szCs w:val="22"/>
        </w:rPr>
        <w:t>regarding</w:t>
      </w:r>
      <w:r w:rsidRPr="00C018BB">
        <w:rPr>
          <w:rFonts w:ascii="Arial" w:hAnsi="Arial" w:cs="Arial"/>
          <w:sz w:val="22"/>
          <w:szCs w:val="22"/>
        </w:rPr>
        <w:t xml:space="preserve"> changes to merchant statements to support a revised surcharging framework.  We would welcome the opportunity for further discussion on this matter.</w:t>
      </w:r>
    </w:p>
    <w:p w:rsidR="00C018BB" w:rsidRDefault="00C018BB" w:rsidP="00C018BB">
      <w:pPr>
        <w:rPr>
          <w:rFonts w:ascii="Arial" w:hAnsi="Arial" w:cs="Arial"/>
          <w:b/>
          <w:sz w:val="22"/>
          <w:szCs w:val="22"/>
        </w:rPr>
      </w:pPr>
    </w:p>
    <w:p w:rsidR="008164DE" w:rsidRDefault="008164DE" w:rsidP="00C018BB">
      <w:pPr>
        <w:rPr>
          <w:rFonts w:ascii="Arial" w:hAnsi="Arial" w:cs="Arial"/>
          <w:b/>
          <w:sz w:val="22"/>
          <w:szCs w:val="22"/>
        </w:rPr>
      </w:pPr>
    </w:p>
    <w:p w:rsidR="00C018BB" w:rsidRPr="00C018BB" w:rsidRDefault="00C018BB" w:rsidP="00C018BB">
      <w:pPr>
        <w:rPr>
          <w:rFonts w:ascii="Arial" w:hAnsi="Arial" w:cs="Arial"/>
          <w:b/>
          <w:sz w:val="22"/>
          <w:szCs w:val="22"/>
        </w:rPr>
      </w:pPr>
      <w:r w:rsidRPr="00C018BB">
        <w:rPr>
          <w:rFonts w:ascii="Arial" w:hAnsi="Arial" w:cs="Arial"/>
          <w:b/>
          <w:sz w:val="22"/>
          <w:szCs w:val="22"/>
        </w:rPr>
        <w:t>Other Matters</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 xml:space="preserve">The definition of ‘Issuer’ and ‘Acquirer’ within the RBA’s draft </w:t>
      </w:r>
      <w:r w:rsidR="006A03B9">
        <w:rPr>
          <w:rFonts w:ascii="Arial" w:hAnsi="Arial" w:cs="Arial"/>
          <w:sz w:val="22"/>
          <w:szCs w:val="22"/>
        </w:rPr>
        <w:t>S</w:t>
      </w:r>
      <w:r w:rsidRPr="00C018BB">
        <w:rPr>
          <w:rFonts w:ascii="Arial" w:hAnsi="Arial" w:cs="Arial"/>
          <w:sz w:val="22"/>
          <w:szCs w:val="22"/>
        </w:rPr>
        <w:t xml:space="preserve">tandards is ambiguous. </w:t>
      </w:r>
      <w:r w:rsidR="004E5404">
        <w:rPr>
          <w:rFonts w:ascii="Arial" w:hAnsi="Arial" w:cs="Arial"/>
          <w:sz w:val="22"/>
          <w:szCs w:val="22"/>
        </w:rPr>
        <w:t xml:space="preserve"> </w:t>
      </w:r>
      <w:r w:rsidRPr="00C018BB">
        <w:rPr>
          <w:rFonts w:ascii="Arial" w:hAnsi="Arial" w:cs="Arial"/>
          <w:sz w:val="22"/>
          <w:szCs w:val="22"/>
        </w:rPr>
        <w:t xml:space="preserve">The definitions in the RBA’s Standards could refer to either the individual business units within the Bank performing these functions, or to the entire Bank as an entity. </w:t>
      </w:r>
      <w:r w:rsidR="004E5404" w:rsidRPr="00B45C87">
        <w:rPr>
          <w:rFonts w:ascii="Arial" w:hAnsi="Arial" w:cs="Arial"/>
          <w:sz w:val="22"/>
          <w:szCs w:val="22"/>
          <w:u w:val="single"/>
        </w:rPr>
        <w:t xml:space="preserve"> </w:t>
      </w:r>
      <w:r w:rsidR="00387329" w:rsidRPr="00387329">
        <w:rPr>
          <w:rFonts w:ascii="Arial" w:hAnsi="Arial" w:cs="Arial"/>
          <w:sz w:val="22"/>
          <w:szCs w:val="22"/>
          <w:u w:val="single"/>
        </w:rPr>
        <w:t xml:space="preserve">The Bank suggests that </w:t>
      </w:r>
      <w:r w:rsidR="00E66006">
        <w:rPr>
          <w:rFonts w:ascii="Arial" w:hAnsi="Arial" w:cs="Arial"/>
          <w:sz w:val="22"/>
          <w:szCs w:val="22"/>
          <w:u w:val="single"/>
        </w:rPr>
        <w:t>a “whole of Bank” approach be adopted and would appreciate clarity in this regard.</w:t>
      </w:r>
    </w:p>
    <w:p w:rsidR="00C018BB" w:rsidRDefault="00C018BB" w:rsidP="00C018BB">
      <w:pPr>
        <w:rPr>
          <w:rFonts w:ascii="Arial" w:hAnsi="Arial" w:cs="Arial"/>
          <w:sz w:val="22"/>
          <w:szCs w:val="22"/>
        </w:rPr>
      </w:pPr>
    </w:p>
    <w:p w:rsidR="00C018BB" w:rsidRPr="00C018BB" w:rsidRDefault="00C018BB" w:rsidP="00C018BB">
      <w:pPr>
        <w:rPr>
          <w:rFonts w:ascii="Arial" w:hAnsi="Arial" w:cs="Arial"/>
          <w:sz w:val="22"/>
          <w:szCs w:val="22"/>
        </w:rPr>
      </w:pPr>
      <w:r w:rsidRPr="00C018BB">
        <w:rPr>
          <w:rFonts w:ascii="Arial" w:hAnsi="Arial" w:cs="Arial"/>
          <w:sz w:val="22"/>
          <w:szCs w:val="22"/>
        </w:rPr>
        <w:t>The RBA’s draft standards are</w:t>
      </w:r>
      <w:r w:rsidR="004E5404">
        <w:rPr>
          <w:rFonts w:ascii="Arial" w:hAnsi="Arial" w:cs="Arial"/>
          <w:sz w:val="22"/>
          <w:szCs w:val="22"/>
        </w:rPr>
        <w:t>, in our view,</w:t>
      </w:r>
      <w:r w:rsidRPr="00C018BB">
        <w:rPr>
          <w:rFonts w:ascii="Arial" w:hAnsi="Arial" w:cs="Arial"/>
          <w:sz w:val="22"/>
          <w:szCs w:val="22"/>
        </w:rPr>
        <w:t xml:space="preserve"> written in legalistic language which is not easily interpret</w:t>
      </w:r>
      <w:r w:rsidR="00C24D27">
        <w:rPr>
          <w:rFonts w:ascii="Arial" w:hAnsi="Arial" w:cs="Arial"/>
          <w:sz w:val="22"/>
          <w:szCs w:val="22"/>
        </w:rPr>
        <w:t>ed by</w:t>
      </w:r>
      <w:r w:rsidRPr="00C018BB">
        <w:rPr>
          <w:rFonts w:ascii="Arial" w:hAnsi="Arial" w:cs="Arial"/>
          <w:sz w:val="22"/>
          <w:szCs w:val="22"/>
        </w:rPr>
        <w:t xml:space="preserve"> new readers.  The clauses within these </w:t>
      </w:r>
      <w:r w:rsidR="00C24D27">
        <w:rPr>
          <w:rFonts w:ascii="Arial" w:hAnsi="Arial" w:cs="Arial"/>
          <w:sz w:val="22"/>
          <w:szCs w:val="22"/>
        </w:rPr>
        <w:t>S</w:t>
      </w:r>
      <w:r w:rsidRPr="00C018BB">
        <w:rPr>
          <w:rFonts w:ascii="Arial" w:hAnsi="Arial" w:cs="Arial"/>
          <w:sz w:val="22"/>
          <w:szCs w:val="22"/>
        </w:rPr>
        <w:t xml:space="preserve">tandards are quite complex, and many readers will call upon a legal interpretation to clarify the ultimate meaning and application of these </w:t>
      </w:r>
      <w:r w:rsidR="00C24D27">
        <w:rPr>
          <w:rFonts w:ascii="Arial" w:hAnsi="Arial" w:cs="Arial"/>
          <w:sz w:val="22"/>
          <w:szCs w:val="22"/>
        </w:rPr>
        <w:t>clauses</w:t>
      </w:r>
      <w:r w:rsidRPr="00C018BB">
        <w:rPr>
          <w:rFonts w:ascii="Arial" w:hAnsi="Arial" w:cs="Arial"/>
          <w:sz w:val="22"/>
          <w:szCs w:val="22"/>
        </w:rPr>
        <w:t xml:space="preserve">. </w:t>
      </w:r>
      <w:r w:rsidR="004E5404">
        <w:rPr>
          <w:rFonts w:ascii="Arial" w:hAnsi="Arial" w:cs="Arial"/>
          <w:sz w:val="22"/>
          <w:szCs w:val="22"/>
        </w:rPr>
        <w:t xml:space="preserve"> </w:t>
      </w:r>
      <w:r w:rsidRPr="00C018BB">
        <w:rPr>
          <w:rFonts w:ascii="Arial" w:hAnsi="Arial" w:cs="Arial"/>
          <w:sz w:val="22"/>
          <w:szCs w:val="22"/>
        </w:rPr>
        <w:t xml:space="preserve">The use of legal wording can be effective in closing off loopholes; however this comes at the expense of readability and ease of interpretation. </w:t>
      </w:r>
    </w:p>
    <w:p w:rsidR="00C018BB" w:rsidRDefault="00C018BB" w:rsidP="00C018BB">
      <w:pPr>
        <w:rPr>
          <w:rFonts w:ascii="Arial" w:hAnsi="Arial" w:cs="Arial"/>
          <w:sz w:val="22"/>
          <w:szCs w:val="22"/>
          <w:u w:val="single"/>
        </w:rPr>
      </w:pPr>
    </w:p>
    <w:p w:rsidR="00C018BB" w:rsidRPr="00C018BB" w:rsidRDefault="00C018BB" w:rsidP="00C018BB">
      <w:pPr>
        <w:rPr>
          <w:rFonts w:ascii="Arial" w:hAnsi="Arial" w:cs="Arial"/>
          <w:sz w:val="22"/>
          <w:szCs w:val="22"/>
        </w:rPr>
      </w:pPr>
      <w:r w:rsidRPr="00C018BB">
        <w:rPr>
          <w:rFonts w:ascii="Arial" w:hAnsi="Arial" w:cs="Arial"/>
          <w:sz w:val="22"/>
          <w:szCs w:val="22"/>
          <w:u w:val="single"/>
        </w:rPr>
        <w:t>The Bank recommends that these Standards are redrafted using more conversational plain English, where permissible.</w:t>
      </w:r>
      <w:r w:rsidRPr="00C018BB">
        <w:rPr>
          <w:rFonts w:ascii="Arial" w:hAnsi="Arial" w:cs="Arial"/>
          <w:sz w:val="22"/>
          <w:szCs w:val="22"/>
        </w:rPr>
        <w:t xml:space="preserve"> </w:t>
      </w:r>
      <w:r w:rsidR="004E5404">
        <w:rPr>
          <w:rFonts w:ascii="Arial" w:hAnsi="Arial" w:cs="Arial"/>
          <w:sz w:val="22"/>
          <w:szCs w:val="22"/>
        </w:rPr>
        <w:t xml:space="preserve"> </w:t>
      </w:r>
      <w:r w:rsidRPr="00C018BB">
        <w:rPr>
          <w:rFonts w:ascii="Arial" w:hAnsi="Arial" w:cs="Arial"/>
          <w:sz w:val="22"/>
          <w:szCs w:val="22"/>
        </w:rPr>
        <w:t xml:space="preserve">Ordinarily, this approach may be eschewed in an attempt to prevent loopholes from emerging within the wording. </w:t>
      </w:r>
      <w:r w:rsidR="004E5404">
        <w:rPr>
          <w:rFonts w:ascii="Arial" w:hAnsi="Arial" w:cs="Arial"/>
          <w:sz w:val="22"/>
          <w:szCs w:val="22"/>
        </w:rPr>
        <w:t xml:space="preserve"> </w:t>
      </w:r>
      <w:r w:rsidRPr="00C018BB">
        <w:rPr>
          <w:rFonts w:ascii="Arial" w:hAnsi="Arial" w:cs="Arial"/>
          <w:sz w:val="22"/>
          <w:szCs w:val="22"/>
        </w:rPr>
        <w:t xml:space="preserve">However, the anti-avoidance provisions within the Standards mean that any potential loopholes will not be able to be exploited. </w:t>
      </w:r>
    </w:p>
    <w:p w:rsidR="00C018BB" w:rsidRDefault="00C018BB" w:rsidP="00C018BB">
      <w:pPr>
        <w:rPr>
          <w:rFonts w:ascii="Arial" w:hAnsi="Arial" w:cs="Arial"/>
          <w:sz w:val="22"/>
          <w:szCs w:val="22"/>
        </w:rPr>
      </w:pPr>
    </w:p>
    <w:p w:rsidR="00C018BB" w:rsidRDefault="004E5404" w:rsidP="00C018BB">
      <w:r>
        <w:rPr>
          <w:rFonts w:ascii="Arial" w:hAnsi="Arial" w:cs="Arial"/>
          <w:sz w:val="22"/>
          <w:szCs w:val="22"/>
        </w:rPr>
        <w:t>Also, the</w:t>
      </w:r>
      <w:r w:rsidR="00C018BB" w:rsidRPr="00C018BB">
        <w:rPr>
          <w:rFonts w:ascii="Arial" w:hAnsi="Arial" w:cs="Arial"/>
          <w:sz w:val="22"/>
          <w:szCs w:val="22"/>
        </w:rPr>
        <w:t xml:space="preserve"> RBA requires that merchants are able to access an up to date list of credit and debit card BINs. </w:t>
      </w:r>
      <w:r>
        <w:rPr>
          <w:rFonts w:ascii="Arial" w:hAnsi="Arial" w:cs="Arial"/>
          <w:sz w:val="22"/>
          <w:szCs w:val="22"/>
        </w:rPr>
        <w:t xml:space="preserve"> </w:t>
      </w:r>
      <w:r w:rsidR="00C018BB" w:rsidRPr="00C018BB">
        <w:rPr>
          <w:rFonts w:ascii="Arial" w:hAnsi="Arial" w:cs="Arial"/>
          <w:sz w:val="22"/>
          <w:szCs w:val="22"/>
        </w:rPr>
        <w:t xml:space="preserve">The process whereby merchants who wish to obtain this information </w:t>
      </w:r>
      <w:r w:rsidR="00C24D27">
        <w:rPr>
          <w:rFonts w:ascii="Arial" w:hAnsi="Arial" w:cs="Arial"/>
          <w:sz w:val="22"/>
          <w:szCs w:val="22"/>
        </w:rPr>
        <w:t>need</w:t>
      </w:r>
      <w:r w:rsidR="00C018BB" w:rsidRPr="00C018BB">
        <w:rPr>
          <w:rFonts w:ascii="Arial" w:hAnsi="Arial" w:cs="Arial"/>
          <w:sz w:val="22"/>
          <w:szCs w:val="22"/>
        </w:rPr>
        <w:t xml:space="preserve"> to contact their acquirer, and the acquirer obtains an up to date listing from each scheme, is unnecessarily cumbersome. </w:t>
      </w:r>
      <w:r>
        <w:rPr>
          <w:rFonts w:ascii="Arial" w:hAnsi="Arial" w:cs="Arial"/>
          <w:sz w:val="22"/>
          <w:szCs w:val="22"/>
        </w:rPr>
        <w:t xml:space="preserve"> </w:t>
      </w:r>
      <w:r w:rsidR="00C018BB" w:rsidRPr="00C018BB">
        <w:rPr>
          <w:rFonts w:ascii="Arial" w:hAnsi="Arial" w:cs="Arial"/>
          <w:sz w:val="22"/>
          <w:szCs w:val="22"/>
        </w:rPr>
        <w:t xml:space="preserve">A </w:t>
      </w:r>
      <w:r w:rsidR="00661E0F">
        <w:rPr>
          <w:rFonts w:ascii="Arial" w:hAnsi="Arial" w:cs="Arial"/>
          <w:sz w:val="22"/>
          <w:szCs w:val="22"/>
        </w:rPr>
        <w:t>preferable</w:t>
      </w:r>
      <w:r w:rsidR="00C018BB" w:rsidRPr="00C018BB">
        <w:rPr>
          <w:rFonts w:ascii="Arial" w:hAnsi="Arial" w:cs="Arial"/>
          <w:sz w:val="22"/>
          <w:szCs w:val="22"/>
        </w:rPr>
        <w:t xml:space="preserve"> approach would be for each scheme to maintain a central listing on </w:t>
      </w:r>
      <w:r w:rsidR="00C24D27">
        <w:rPr>
          <w:rFonts w:ascii="Arial" w:hAnsi="Arial" w:cs="Arial"/>
          <w:sz w:val="22"/>
          <w:szCs w:val="22"/>
        </w:rPr>
        <w:t>their</w:t>
      </w:r>
      <w:r w:rsidR="00C018BB" w:rsidRPr="00C018BB">
        <w:rPr>
          <w:rFonts w:ascii="Arial" w:hAnsi="Arial" w:cs="Arial"/>
          <w:sz w:val="22"/>
          <w:szCs w:val="22"/>
        </w:rPr>
        <w:t xml:space="preserve"> website, with access available to merchants.</w:t>
      </w:r>
      <w:r>
        <w:rPr>
          <w:rFonts w:ascii="Arial" w:hAnsi="Arial" w:cs="Arial"/>
          <w:sz w:val="22"/>
          <w:szCs w:val="22"/>
        </w:rPr>
        <w:t xml:space="preserve"> </w:t>
      </w:r>
      <w:r w:rsidR="00C018BB" w:rsidRPr="00C018BB">
        <w:rPr>
          <w:rFonts w:ascii="Arial" w:hAnsi="Arial" w:cs="Arial"/>
          <w:sz w:val="22"/>
          <w:szCs w:val="22"/>
        </w:rPr>
        <w:t xml:space="preserve"> </w:t>
      </w:r>
      <w:r w:rsidR="00C018BB" w:rsidRPr="00C018BB">
        <w:rPr>
          <w:rFonts w:ascii="Arial" w:hAnsi="Arial" w:cs="Arial"/>
          <w:sz w:val="22"/>
          <w:szCs w:val="22"/>
          <w:u w:val="single"/>
        </w:rPr>
        <w:t>The Bank suggests the RBA endorses this approach.</w:t>
      </w:r>
    </w:p>
    <w:p w:rsidR="004E5404" w:rsidRPr="00833325" w:rsidRDefault="004E5404" w:rsidP="00C018BB">
      <w:pPr>
        <w:rPr>
          <w:rFonts w:ascii="Arial" w:hAnsi="Arial" w:cs="Arial"/>
          <w:sz w:val="22"/>
          <w:szCs w:val="22"/>
        </w:rPr>
      </w:pPr>
    </w:p>
    <w:p w:rsidR="008C7916" w:rsidRPr="00833325" w:rsidRDefault="008C7916" w:rsidP="00C018BB">
      <w:pPr>
        <w:rPr>
          <w:rFonts w:ascii="Arial" w:hAnsi="Arial" w:cs="Arial"/>
          <w:sz w:val="22"/>
          <w:szCs w:val="22"/>
        </w:rPr>
      </w:pPr>
      <w:r>
        <w:rPr>
          <w:rFonts w:ascii="Arial" w:hAnsi="Arial" w:cs="Arial"/>
          <w:sz w:val="22"/>
          <w:szCs w:val="22"/>
        </w:rPr>
        <w:t xml:space="preserve">The Bank’s views in relation to Companion Cards and three party networks in general have been expressed above, and previously.  We note with interest that the Payments System Board would consider designation </w:t>
      </w:r>
      <w:r w:rsidR="00E66006">
        <w:rPr>
          <w:rFonts w:ascii="Arial" w:hAnsi="Arial" w:cs="Arial"/>
          <w:sz w:val="22"/>
          <w:szCs w:val="22"/>
        </w:rPr>
        <w:t xml:space="preserve">of the AMEX proprietary card system if “appropriate” outcomes are not forthcoming following implementation of the current round of proposed changes.  The Bank would welcome the opportunity to contribute to any </w:t>
      </w:r>
      <w:r w:rsidR="00DB48E5">
        <w:rPr>
          <w:rFonts w:ascii="Arial" w:hAnsi="Arial" w:cs="Arial"/>
          <w:sz w:val="22"/>
          <w:szCs w:val="22"/>
        </w:rPr>
        <w:t>c</w:t>
      </w:r>
      <w:r w:rsidR="00E66006">
        <w:rPr>
          <w:rFonts w:ascii="Arial" w:hAnsi="Arial" w:cs="Arial"/>
          <w:sz w:val="22"/>
          <w:szCs w:val="22"/>
        </w:rPr>
        <w:t>onsultation process that might precede any such possible designation.</w:t>
      </w:r>
    </w:p>
    <w:p w:rsidR="008C7916" w:rsidRPr="00833325" w:rsidRDefault="008C7916" w:rsidP="00C018BB">
      <w:pPr>
        <w:rPr>
          <w:rFonts w:ascii="Arial" w:hAnsi="Arial" w:cs="Arial"/>
          <w:sz w:val="22"/>
          <w:szCs w:val="22"/>
        </w:rPr>
      </w:pPr>
    </w:p>
    <w:p w:rsidR="0061318D" w:rsidRPr="0018305B" w:rsidRDefault="002452DC" w:rsidP="002452DC">
      <w:pPr>
        <w:rPr>
          <w:rFonts w:ascii="Arial" w:hAnsi="Arial" w:cs="Arial"/>
          <w:sz w:val="22"/>
          <w:szCs w:val="22"/>
        </w:rPr>
      </w:pPr>
      <w:r w:rsidRPr="0018305B">
        <w:rPr>
          <w:rFonts w:ascii="Arial" w:hAnsi="Arial" w:cs="Arial"/>
          <w:sz w:val="22"/>
          <w:szCs w:val="22"/>
        </w:rPr>
        <w:t xml:space="preserve">Thank you for the opportunity </w:t>
      </w:r>
      <w:r w:rsidR="00485181" w:rsidRPr="0018305B">
        <w:rPr>
          <w:rFonts w:ascii="Arial" w:hAnsi="Arial" w:cs="Arial"/>
          <w:sz w:val="22"/>
          <w:szCs w:val="22"/>
        </w:rPr>
        <w:t xml:space="preserve">to </w:t>
      </w:r>
      <w:r w:rsidR="00021C53">
        <w:rPr>
          <w:rFonts w:ascii="Arial" w:hAnsi="Arial" w:cs="Arial"/>
          <w:sz w:val="22"/>
          <w:szCs w:val="22"/>
        </w:rPr>
        <w:t xml:space="preserve">lodge this </w:t>
      </w:r>
      <w:r w:rsidR="00DE456D">
        <w:rPr>
          <w:rFonts w:ascii="Arial" w:hAnsi="Arial" w:cs="Arial"/>
          <w:sz w:val="22"/>
          <w:szCs w:val="22"/>
        </w:rPr>
        <w:t>S</w:t>
      </w:r>
      <w:r w:rsidR="00021C53">
        <w:rPr>
          <w:rFonts w:ascii="Arial" w:hAnsi="Arial" w:cs="Arial"/>
          <w:sz w:val="22"/>
          <w:szCs w:val="22"/>
        </w:rPr>
        <w:t>ubmission</w:t>
      </w:r>
      <w:r w:rsidR="00B3691D">
        <w:rPr>
          <w:rFonts w:ascii="Arial" w:hAnsi="Arial" w:cs="Arial"/>
          <w:sz w:val="22"/>
          <w:szCs w:val="22"/>
        </w:rPr>
        <w:t xml:space="preserve">.  </w:t>
      </w:r>
      <w:r w:rsidR="0061318D" w:rsidRPr="0018305B">
        <w:rPr>
          <w:rFonts w:ascii="Arial" w:hAnsi="Arial" w:cs="Arial"/>
          <w:sz w:val="22"/>
          <w:szCs w:val="22"/>
        </w:rPr>
        <w:t xml:space="preserve">We </w:t>
      </w:r>
      <w:r w:rsidR="00773993">
        <w:rPr>
          <w:rFonts w:ascii="Arial" w:hAnsi="Arial" w:cs="Arial"/>
          <w:sz w:val="22"/>
          <w:szCs w:val="22"/>
        </w:rPr>
        <w:t>would appreciate the opportunity</w:t>
      </w:r>
      <w:r w:rsidR="00021C53">
        <w:rPr>
          <w:rFonts w:ascii="Arial" w:hAnsi="Arial" w:cs="Arial"/>
          <w:sz w:val="22"/>
          <w:szCs w:val="22"/>
        </w:rPr>
        <w:t xml:space="preserve"> to discuss the above, and related, matters with you </w:t>
      </w:r>
      <w:r w:rsidR="00B3691D">
        <w:rPr>
          <w:rFonts w:ascii="Arial" w:hAnsi="Arial" w:cs="Arial"/>
          <w:sz w:val="22"/>
          <w:szCs w:val="22"/>
        </w:rPr>
        <w:t xml:space="preserve">and </w:t>
      </w:r>
      <w:r w:rsidR="002755D0">
        <w:rPr>
          <w:rFonts w:ascii="Arial" w:hAnsi="Arial" w:cs="Arial"/>
          <w:sz w:val="22"/>
          <w:szCs w:val="22"/>
        </w:rPr>
        <w:t xml:space="preserve">ask that you </w:t>
      </w:r>
      <w:r w:rsidR="00B3691D">
        <w:rPr>
          <w:rFonts w:ascii="Arial" w:hAnsi="Arial" w:cs="Arial"/>
          <w:sz w:val="22"/>
          <w:szCs w:val="22"/>
        </w:rPr>
        <w:t>contact the undersigned</w:t>
      </w:r>
      <w:r w:rsidR="002755D0">
        <w:rPr>
          <w:rFonts w:ascii="Arial" w:hAnsi="Arial" w:cs="Arial"/>
          <w:sz w:val="22"/>
          <w:szCs w:val="22"/>
        </w:rPr>
        <w:t xml:space="preserve"> to arrange a suitable opportunity</w:t>
      </w:r>
      <w:r w:rsidR="0061318D" w:rsidRPr="0018305B">
        <w:rPr>
          <w:rFonts w:ascii="Arial" w:hAnsi="Arial" w:cs="Arial"/>
          <w:sz w:val="22"/>
          <w:szCs w:val="22"/>
        </w:rPr>
        <w:t>.</w:t>
      </w:r>
    </w:p>
    <w:p w:rsidR="0061318D" w:rsidRDefault="0061318D" w:rsidP="002452DC">
      <w:pPr>
        <w:rPr>
          <w:rFonts w:ascii="Arial" w:hAnsi="Arial" w:cs="Arial"/>
          <w:sz w:val="22"/>
          <w:szCs w:val="22"/>
        </w:rPr>
      </w:pPr>
    </w:p>
    <w:p w:rsidR="002452DC" w:rsidRPr="0018305B" w:rsidRDefault="002452DC" w:rsidP="00E9632C">
      <w:pPr>
        <w:rPr>
          <w:rFonts w:ascii="Arial" w:hAnsi="Arial" w:cs="Arial"/>
          <w:sz w:val="22"/>
          <w:szCs w:val="22"/>
        </w:rPr>
      </w:pPr>
    </w:p>
    <w:p w:rsidR="005400E8" w:rsidRPr="0018305B" w:rsidRDefault="005400E8" w:rsidP="001C05C7">
      <w:pPr>
        <w:jc w:val="both"/>
        <w:rPr>
          <w:rFonts w:ascii="Arial" w:hAnsi="Arial" w:cs="Arial"/>
          <w:sz w:val="22"/>
          <w:szCs w:val="22"/>
        </w:rPr>
      </w:pPr>
      <w:r w:rsidRPr="0018305B">
        <w:rPr>
          <w:rFonts w:ascii="Arial" w:hAnsi="Arial" w:cs="Arial"/>
          <w:sz w:val="22"/>
          <w:szCs w:val="22"/>
        </w:rPr>
        <w:t>Yours sincerely</w:t>
      </w:r>
    </w:p>
    <w:p w:rsidR="005400E8" w:rsidRPr="004946C3" w:rsidRDefault="005400E8" w:rsidP="001C05C7">
      <w:pPr>
        <w:jc w:val="both"/>
        <w:rPr>
          <w:rFonts w:ascii="Arial" w:hAnsi="Arial" w:cs="Arial"/>
          <w:sz w:val="22"/>
          <w:szCs w:val="22"/>
        </w:rPr>
      </w:pPr>
    </w:p>
    <w:p w:rsidR="0061318D" w:rsidRDefault="0061318D" w:rsidP="001C05C7">
      <w:pPr>
        <w:jc w:val="both"/>
        <w:rPr>
          <w:rFonts w:ascii="Arial" w:hAnsi="Arial" w:cs="Arial"/>
          <w:sz w:val="22"/>
          <w:szCs w:val="22"/>
        </w:rPr>
      </w:pPr>
    </w:p>
    <w:p w:rsidR="008164DE" w:rsidRPr="004946C3" w:rsidRDefault="008164DE" w:rsidP="001C05C7">
      <w:pPr>
        <w:jc w:val="both"/>
        <w:rPr>
          <w:rFonts w:ascii="Arial" w:hAnsi="Arial" w:cs="Arial"/>
          <w:sz w:val="22"/>
          <w:szCs w:val="22"/>
        </w:rPr>
      </w:pPr>
    </w:p>
    <w:p w:rsidR="0061318D" w:rsidRPr="006E7019" w:rsidRDefault="006E7019" w:rsidP="001C05C7">
      <w:pPr>
        <w:jc w:val="both"/>
        <w:rPr>
          <w:rFonts w:ascii="Arial" w:hAnsi="Arial" w:cs="Arial"/>
          <w:i/>
          <w:sz w:val="22"/>
          <w:szCs w:val="22"/>
        </w:rPr>
      </w:pPr>
      <w:r>
        <w:rPr>
          <w:rFonts w:ascii="Arial" w:hAnsi="Arial" w:cs="Arial"/>
          <w:sz w:val="22"/>
          <w:szCs w:val="22"/>
        </w:rPr>
        <w:t xml:space="preserve">  [</w:t>
      </w:r>
      <w:r>
        <w:rPr>
          <w:rFonts w:ascii="Arial" w:hAnsi="Arial" w:cs="Arial"/>
          <w:i/>
          <w:sz w:val="22"/>
          <w:szCs w:val="22"/>
        </w:rPr>
        <w:t>Signed]</w:t>
      </w:r>
    </w:p>
    <w:p w:rsidR="004946C3" w:rsidRPr="004946C3" w:rsidRDefault="004946C3" w:rsidP="001C05C7">
      <w:pPr>
        <w:jc w:val="both"/>
        <w:rPr>
          <w:rFonts w:ascii="Arial" w:hAnsi="Arial" w:cs="Arial"/>
          <w:sz w:val="22"/>
          <w:szCs w:val="22"/>
        </w:rPr>
      </w:pPr>
    </w:p>
    <w:p w:rsidR="005400E8" w:rsidRPr="004946C3" w:rsidRDefault="005400E8" w:rsidP="001C05C7">
      <w:pPr>
        <w:jc w:val="both"/>
        <w:rPr>
          <w:rFonts w:ascii="Arial" w:hAnsi="Arial" w:cs="Arial"/>
          <w:sz w:val="22"/>
          <w:szCs w:val="22"/>
        </w:rPr>
      </w:pPr>
    </w:p>
    <w:p w:rsidR="00FE0251" w:rsidRPr="004946C3" w:rsidRDefault="00FE0251" w:rsidP="001C05C7">
      <w:pPr>
        <w:jc w:val="both"/>
        <w:rPr>
          <w:rFonts w:ascii="Arial" w:hAnsi="Arial" w:cs="Arial"/>
          <w:sz w:val="22"/>
          <w:szCs w:val="22"/>
        </w:rPr>
      </w:pPr>
    </w:p>
    <w:p w:rsidR="005400E8" w:rsidRPr="0018305B" w:rsidRDefault="005400E8" w:rsidP="001C05C7">
      <w:pPr>
        <w:jc w:val="both"/>
        <w:rPr>
          <w:rFonts w:ascii="Arial" w:hAnsi="Arial" w:cs="Arial"/>
          <w:sz w:val="22"/>
          <w:szCs w:val="22"/>
        </w:rPr>
      </w:pPr>
      <w:r w:rsidRPr="0018305B">
        <w:rPr>
          <w:rFonts w:ascii="Arial" w:hAnsi="Arial" w:cs="Arial"/>
          <w:sz w:val="22"/>
          <w:szCs w:val="22"/>
        </w:rPr>
        <w:t>Stuart Woodward</w:t>
      </w:r>
    </w:p>
    <w:p w:rsidR="005400E8" w:rsidRPr="0018305B" w:rsidRDefault="005400E8" w:rsidP="001C05C7">
      <w:pPr>
        <w:jc w:val="both"/>
        <w:rPr>
          <w:rFonts w:ascii="Arial" w:hAnsi="Arial" w:cs="Arial"/>
          <w:sz w:val="22"/>
          <w:szCs w:val="22"/>
        </w:rPr>
      </w:pPr>
      <w:r w:rsidRPr="0018305B">
        <w:rPr>
          <w:rFonts w:ascii="Arial" w:hAnsi="Arial" w:cs="Arial"/>
          <w:sz w:val="22"/>
          <w:szCs w:val="22"/>
        </w:rPr>
        <w:t>General Manager</w:t>
      </w:r>
    </w:p>
    <w:p w:rsidR="005400E8" w:rsidRPr="0018305B" w:rsidRDefault="00773993" w:rsidP="001C05C7">
      <w:pPr>
        <w:jc w:val="both"/>
        <w:rPr>
          <w:rFonts w:ascii="Arial" w:hAnsi="Arial" w:cs="Arial"/>
          <w:sz w:val="22"/>
          <w:szCs w:val="22"/>
        </w:rPr>
      </w:pPr>
      <w:r>
        <w:rPr>
          <w:rFonts w:ascii="Arial" w:hAnsi="Arial" w:cs="Arial"/>
          <w:sz w:val="22"/>
          <w:szCs w:val="22"/>
        </w:rPr>
        <w:t xml:space="preserve">Payments </w:t>
      </w:r>
      <w:r w:rsidR="001C7EFF" w:rsidRPr="0018305B">
        <w:rPr>
          <w:rFonts w:ascii="Arial" w:hAnsi="Arial" w:cs="Arial"/>
          <w:sz w:val="22"/>
          <w:szCs w:val="22"/>
        </w:rPr>
        <w:t>Representation</w:t>
      </w:r>
    </w:p>
    <w:sectPr w:rsidR="005400E8" w:rsidRPr="0018305B" w:rsidSect="00ED1448">
      <w:headerReference w:type="even" r:id="rId12"/>
      <w:headerReference w:type="default" r:id="rId13"/>
      <w:footerReference w:type="even" r:id="rId14"/>
      <w:footerReference w:type="default" r:id="rId15"/>
      <w:headerReference w:type="first" r:id="rId16"/>
      <w:footerReference w:type="first" r:id="rId17"/>
      <w:pgSz w:w="11907" w:h="16834" w:code="9"/>
      <w:pgMar w:top="425" w:right="1361" w:bottom="1247" w:left="1361" w:header="624"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1E03" w:rsidRDefault="00E61E03">
      <w:r>
        <w:separator/>
      </w:r>
    </w:p>
  </w:endnote>
  <w:endnote w:type="continuationSeparator" w:id="0">
    <w:p w:rsidR="00E61E03" w:rsidRDefault="00E61E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alatino Linotype">
    <w:panose1 w:val="02040502050505030304"/>
    <w:charset w:val="00"/>
    <w:family w:val="roman"/>
    <w:pitch w:val="variable"/>
    <w:sig w:usb0="E0000287" w:usb1="40000013" w:usb2="00000000" w:usb3="00000000" w:csb0="0000019F" w:csb1="00000000"/>
  </w:font>
  <w:font w:name="Univers (WN)">
    <w:panose1 w:val="00000000000000000000"/>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2132" w:rsidRDefault="007F2132">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2132" w:rsidRDefault="007F2132">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2132" w:rsidRDefault="007F213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1E03" w:rsidRDefault="00E61E03">
      <w:r>
        <w:separator/>
      </w:r>
    </w:p>
  </w:footnote>
  <w:footnote w:type="continuationSeparator" w:id="0">
    <w:p w:rsidR="00E61E03" w:rsidRDefault="00E61E03">
      <w:r>
        <w:continuationSeparator/>
      </w:r>
    </w:p>
  </w:footnote>
  <w:footnote w:id="1">
    <w:p w:rsidR="008C7916" w:rsidRPr="003B7AF7" w:rsidRDefault="008C7916" w:rsidP="008C7916">
      <w:pPr>
        <w:pStyle w:val="FootnoteText"/>
        <w:rPr>
          <w:rFonts w:ascii="Arial" w:hAnsi="Arial" w:cs="Arial"/>
          <w:sz w:val="16"/>
          <w:szCs w:val="16"/>
        </w:rPr>
      </w:pPr>
      <w:r w:rsidRPr="003B7AF7">
        <w:rPr>
          <w:rStyle w:val="FootnoteReference"/>
          <w:rFonts w:ascii="Arial" w:hAnsi="Arial" w:cs="Arial"/>
          <w:sz w:val="16"/>
          <w:szCs w:val="16"/>
        </w:rPr>
        <w:footnoteRef/>
      </w:r>
      <w:r w:rsidRPr="003B7AF7">
        <w:rPr>
          <w:rFonts w:ascii="Arial" w:hAnsi="Arial" w:cs="Arial"/>
          <w:sz w:val="16"/>
          <w:szCs w:val="16"/>
        </w:rPr>
        <w:t xml:space="preserve">  In</w:t>
      </w:r>
      <w:r w:rsidRPr="00254F0B">
        <w:rPr>
          <w:rFonts w:ascii="Arial" w:hAnsi="Arial" w:cs="Arial"/>
          <w:sz w:val="16"/>
          <w:szCs w:val="16"/>
        </w:rPr>
        <w:t xml:space="preserve"> our submission of 22 April we </w:t>
      </w:r>
      <w:r>
        <w:rPr>
          <w:rFonts w:ascii="Arial" w:hAnsi="Arial" w:cs="Arial"/>
          <w:sz w:val="16"/>
          <w:szCs w:val="16"/>
        </w:rPr>
        <w:t>indicated (page 3) that “</w:t>
      </w:r>
      <w:r w:rsidRPr="003B7AF7">
        <w:rPr>
          <w:rFonts w:ascii="Arial" w:hAnsi="Arial" w:cs="Arial"/>
          <w:bCs/>
          <w:i/>
          <w:sz w:val="16"/>
          <w:szCs w:val="16"/>
        </w:rPr>
        <w:t>we do not see a need for regulation of American Express cards or transactions.  Further, we see no need to distinguish between “companion” card arrangements and the more traditional American Express card</w:t>
      </w:r>
      <w:r>
        <w:rPr>
          <w:rFonts w:ascii="Arial" w:hAnsi="Arial" w:cs="Arial"/>
          <w:bCs/>
          <w:sz w:val="16"/>
          <w:szCs w:val="16"/>
        </w:rPr>
        <w:t>”.  The Bank remains of this view.  We believe that the RBA’s proposed changes will result in an uneven competitive landscape to the benefit of three party networks operating outside the regulation.</w:t>
      </w:r>
    </w:p>
  </w:footnote>
  <w:footnote w:id="2">
    <w:p w:rsidR="00C018BB" w:rsidRPr="00C018BB" w:rsidRDefault="00C018BB" w:rsidP="00C018BB">
      <w:pPr>
        <w:pStyle w:val="FootnoteText"/>
        <w:rPr>
          <w:rFonts w:ascii="Arial" w:hAnsi="Arial" w:cs="Arial"/>
        </w:rPr>
      </w:pPr>
      <w:r w:rsidRPr="00C018BB">
        <w:rPr>
          <w:rStyle w:val="FootnoteReference"/>
          <w:rFonts w:ascii="Arial" w:hAnsi="Arial" w:cs="Arial"/>
        </w:rPr>
        <w:footnoteRef/>
      </w:r>
      <w:r w:rsidRPr="00C018BB">
        <w:rPr>
          <w:rFonts w:ascii="Arial" w:hAnsi="Arial" w:cs="Arial"/>
        </w:rPr>
        <w:t xml:space="preserve"> </w:t>
      </w:r>
      <w:r w:rsidRPr="002102FC">
        <w:rPr>
          <w:rFonts w:ascii="Arial" w:hAnsi="Arial" w:cs="Arial"/>
          <w:sz w:val="16"/>
          <w:szCs w:val="16"/>
        </w:rPr>
        <w:t xml:space="preserve">The Bank’s suggestion would prevent debit card interchange fees from flowing to the acquirer, including for </w:t>
      </w:r>
      <w:proofErr w:type="spellStart"/>
      <w:r w:rsidRPr="002102FC">
        <w:rPr>
          <w:rFonts w:ascii="Arial" w:hAnsi="Arial" w:cs="Arial"/>
          <w:sz w:val="16"/>
          <w:szCs w:val="16"/>
        </w:rPr>
        <w:t>cashout</w:t>
      </w:r>
      <w:proofErr w:type="spellEnd"/>
      <w:r w:rsidRPr="002102FC">
        <w:rPr>
          <w:rFonts w:ascii="Arial" w:hAnsi="Arial" w:cs="Arial"/>
          <w:sz w:val="16"/>
          <w:szCs w:val="16"/>
        </w:rPr>
        <w:t xml:space="preserve"> transactions. </w:t>
      </w:r>
      <w:r w:rsidR="004E5404" w:rsidRPr="002102FC">
        <w:rPr>
          <w:rFonts w:ascii="Arial" w:hAnsi="Arial" w:cs="Arial"/>
          <w:sz w:val="16"/>
          <w:szCs w:val="16"/>
        </w:rPr>
        <w:t xml:space="preserve"> </w:t>
      </w:r>
      <w:r w:rsidRPr="002102FC">
        <w:rPr>
          <w:rFonts w:ascii="Arial" w:hAnsi="Arial" w:cs="Arial"/>
          <w:sz w:val="16"/>
          <w:szCs w:val="16"/>
        </w:rPr>
        <w:t xml:space="preserve">Some large merchants presently benefit from a rebate from their acquirer for </w:t>
      </w:r>
      <w:proofErr w:type="spellStart"/>
      <w:r w:rsidRPr="002102FC">
        <w:rPr>
          <w:rFonts w:ascii="Arial" w:hAnsi="Arial" w:cs="Arial"/>
          <w:sz w:val="16"/>
          <w:szCs w:val="16"/>
        </w:rPr>
        <w:t>cashout</w:t>
      </w:r>
      <w:proofErr w:type="spellEnd"/>
      <w:r w:rsidRPr="002102FC">
        <w:rPr>
          <w:rFonts w:ascii="Arial" w:hAnsi="Arial" w:cs="Arial"/>
          <w:sz w:val="16"/>
          <w:szCs w:val="16"/>
        </w:rPr>
        <w:t xml:space="preserve"> transactions, on the back of the interchange fee paid to the acquirer. </w:t>
      </w:r>
      <w:r w:rsidR="004E5404" w:rsidRPr="002102FC">
        <w:rPr>
          <w:rFonts w:ascii="Arial" w:hAnsi="Arial" w:cs="Arial"/>
          <w:sz w:val="16"/>
          <w:szCs w:val="16"/>
        </w:rPr>
        <w:t xml:space="preserve"> </w:t>
      </w:r>
      <w:r w:rsidRPr="002102FC">
        <w:rPr>
          <w:rFonts w:ascii="Arial" w:hAnsi="Arial" w:cs="Arial"/>
          <w:sz w:val="16"/>
          <w:szCs w:val="16"/>
        </w:rPr>
        <w:t xml:space="preserve">The Bank does not perceive </w:t>
      </w:r>
      <w:proofErr w:type="spellStart"/>
      <w:r w:rsidRPr="002102FC">
        <w:rPr>
          <w:rFonts w:ascii="Arial" w:hAnsi="Arial" w:cs="Arial"/>
          <w:sz w:val="16"/>
          <w:szCs w:val="16"/>
        </w:rPr>
        <w:t>cashouts</w:t>
      </w:r>
      <w:proofErr w:type="spellEnd"/>
      <w:r w:rsidRPr="002102FC">
        <w:rPr>
          <w:rFonts w:ascii="Arial" w:hAnsi="Arial" w:cs="Arial"/>
          <w:sz w:val="16"/>
          <w:szCs w:val="16"/>
        </w:rPr>
        <w:t xml:space="preserve"> as a service for which merchants require compensation since much of the value from this transaction, before interchange fees, already accrues to the merchant by way of reduced cash-handling costs and better customer service.</w:t>
      </w:r>
      <w:r w:rsidRPr="00C018BB">
        <w:rPr>
          <w:rFonts w:ascii="Arial" w:hAnsi="Arial" w:cs="Arial"/>
        </w:rPr>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3A5A" w:rsidRDefault="00663A5A">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663A5A" w:rsidRDefault="00663A5A">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63A5A" w:rsidRDefault="00663A5A">
    <w:pPr>
      <w:pStyle w:val="Header"/>
      <w:framePr w:wrap="around" w:vAnchor="text" w:hAnchor="margin" w:xAlign="center" w:y="1"/>
      <w:rPr>
        <w:rStyle w:val="PageNumber"/>
        <w:rFonts w:ascii="Arial" w:hAnsi="Arial"/>
      </w:rPr>
    </w:pPr>
    <w:r>
      <w:rPr>
        <w:rStyle w:val="PageNumber"/>
        <w:rFonts w:ascii="Arial" w:hAnsi="Arial"/>
      </w:rPr>
      <w:fldChar w:fldCharType="begin"/>
    </w:r>
    <w:r>
      <w:rPr>
        <w:rStyle w:val="PageNumber"/>
        <w:rFonts w:ascii="Arial" w:hAnsi="Arial"/>
      </w:rPr>
      <w:instrText xml:space="preserve">PAGE  </w:instrText>
    </w:r>
    <w:r>
      <w:rPr>
        <w:rStyle w:val="PageNumber"/>
        <w:rFonts w:ascii="Arial" w:hAnsi="Arial"/>
      </w:rPr>
      <w:fldChar w:fldCharType="separate"/>
    </w:r>
    <w:r w:rsidR="007F2132">
      <w:rPr>
        <w:rStyle w:val="PageNumber"/>
        <w:rFonts w:ascii="Arial" w:hAnsi="Arial"/>
        <w:noProof/>
      </w:rPr>
      <w:t>6</w:t>
    </w:r>
    <w:r>
      <w:rPr>
        <w:rStyle w:val="PageNumber"/>
        <w:rFonts w:ascii="Arial" w:hAnsi="Arial"/>
      </w:rPr>
      <w:fldChar w:fldCharType="end"/>
    </w:r>
  </w:p>
  <w:p w:rsidR="00663A5A" w:rsidRDefault="00663A5A">
    <w:pPr>
      <w:pStyle w:val="Header"/>
    </w:pPr>
  </w:p>
  <w:p w:rsidR="00663A5A" w:rsidRDefault="00663A5A">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2132" w:rsidRDefault="007F2132">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9307D2E"/>
    <w:lvl w:ilvl="0">
      <w:start w:val="1"/>
      <w:numFmt w:val="bullet"/>
      <w:lvlText w:val=""/>
      <w:lvlJc w:val="left"/>
      <w:pPr>
        <w:tabs>
          <w:tab w:val="num" w:pos="360"/>
        </w:tabs>
        <w:ind w:left="360" w:hanging="360"/>
      </w:pPr>
      <w:rPr>
        <w:rFonts w:ascii="Symbol" w:hAnsi="Symbol" w:hint="default"/>
      </w:rPr>
    </w:lvl>
  </w:abstractNum>
  <w:abstractNum w:abstractNumId="1">
    <w:nsid w:val="FFFFFFFE"/>
    <w:multiLevelType w:val="singleLevel"/>
    <w:tmpl w:val="61E061E0"/>
    <w:lvl w:ilvl="0">
      <w:numFmt w:val="bullet"/>
      <w:lvlText w:val="*"/>
      <w:lvlJc w:val="left"/>
    </w:lvl>
  </w:abstractNum>
  <w:abstractNum w:abstractNumId="2">
    <w:nsid w:val="0EEE0295"/>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
    <w:nsid w:val="112C7589"/>
    <w:multiLevelType w:val="hybridMultilevel"/>
    <w:tmpl w:val="C03C589E"/>
    <w:lvl w:ilvl="0" w:tplc="B0FC4216">
      <w:start w:val="1"/>
      <w:numFmt w:val="lowerRoman"/>
      <w:lvlText w:val="(%1)"/>
      <w:lvlJc w:val="left"/>
      <w:pPr>
        <w:ind w:left="720" w:hanging="72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4">
    <w:nsid w:val="19602259"/>
    <w:multiLevelType w:val="hybridMultilevel"/>
    <w:tmpl w:val="D082B044"/>
    <w:lvl w:ilvl="0" w:tplc="0C09000F">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5">
    <w:nsid w:val="1969121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6">
    <w:nsid w:val="1C094284"/>
    <w:multiLevelType w:val="hybridMultilevel"/>
    <w:tmpl w:val="40BE4A68"/>
    <w:lvl w:ilvl="0" w:tplc="F3B61A0A">
      <w:start w:val="1"/>
      <w:numFmt w:val="lowerRoman"/>
      <w:lvlText w:val="(%1)"/>
      <w:lvlJc w:val="left"/>
      <w:pPr>
        <w:ind w:left="1080" w:hanging="72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7">
    <w:nsid w:val="1DF7523B"/>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8">
    <w:nsid w:val="217A7B7D"/>
    <w:multiLevelType w:val="singleLevel"/>
    <w:tmpl w:val="F47CF97C"/>
    <w:lvl w:ilvl="0">
      <w:start w:val="1"/>
      <w:numFmt w:val="bullet"/>
      <w:pStyle w:val="ListBullet"/>
      <w:lvlText w:val=""/>
      <w:lvlJc w:val="left"/>
      <w:pPr>
        <w:tabs>
          <w:tab w:val="num" w:pos="720"/>
        </w:tabs>
        <w:ind w:left="720" w:hanging="720"/>
      </w:pPr>
      <w:rPr>
        <w:rFonts w:ascii="Symbol" w:hAnsi="Symbol" w:hint="default"/>
      </w:rPr>
    </w:lvl>
  </w:abstractNum>
  <w:abstractNum w:abstractNumId="9">
    <w:nsid w:val="31751429"/>
    <w:multiLevelType w:val="hybridMultilevel"/>
    <w:tmpl w:val="2DBC0374"/>
    <w:lvl w:ilvl="0" w:tplc="2B5CF6D8">
      <w:start w:val="1"/>
      <w:numFmt w:val="bullet"/>
      <w:lvlText w:val=""/>
      <w:lvlJc w:val="left"/>
      <w:pPr>
        <w:tabs>
          <w:tab w:val="num" w:pos="1080"/>
        </w:tabs>
        <w:ind w:left="1080" w:hanging="360"/>
      </w:pPr>
      <w:rPr>
        <w:rFonts w:ascii="Symbol" w:hAnsi="Symbol" w:hint="default"/>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33767BE3"/>
    <w:multiLevelType w:val="hybridMultilevel"/>
    <w:tmpl w:val="7AB4F2AA"/>
    <w:lvl w:ilvl="0" w:tplc="0C09000F">
      <w:start w:val="1"/>
      <w:numFmt w:val="decimal"/>
      <w:lvlText w:val="%1."/>
      <w:lvlJc w:val="left"/>
      <w:pPr>
        <w:ind w:left="720" w:hanging="360"/>
      </w:pPr>
      <w:rPr>
        <w:color w:val="auto"/>
      </w:rPr>
    </w:lvl>
    <w:lvl w:ilvl="1" w:tplc="0C090019">
      <w:start w:val="1"/>
      <w:numFmt w:val="lowerLetter"/>
      <w:lvlText w:val="%2."/>
      <w:lvlJc w:val="left"/>
      <w:pPr>
        <w:ind w:left="1440" w:hanging="360"/>
      </w:pPr>
    </w:lvl>
    <w:lvl w:ilvl="2" w:tplc="0C09001B">
      <w:start w:val="1"/>
      <w:numFmt w:val="lowerRoman"/>
      <w:lvlText w:val="%3."/>
      <w:lvlJc w:val="right"/>
      <w:pPr>
        <w:ind w:left="2160" w:hanging="180"/>
      </w:pPr>
    </w:lvl>
    <w:lvl w:ilvl="3" w:tplc="0C09000F">
      <w:start w:val="1"/>
      <w:numFmt w:val="decimal"/>
      <w:lvlText w:val="%4."/>
      <w:lvlJc w:val="left"/>
      <w:pPr>
        <w:ind w:left="2880" w:hanging="360"/>
      </w:pPr>
    </w:lvl>
    <w:lvl w:ilvl="4" w:tplc="0C090019">
      <w:start w:val="1"/>
      <w:numFmt w:val="lowerLetter"/>
      <w:lvlText w:val="%5."/>
      <w:lvlJc w:val="left"/>
      <w:pPr>
        <w:ind w:left="3600" w:hanging="360"/>
      </w:pPr>
    </w:lvl>
    <w:lvl w:ilvl="5" w:tplc="0C09001B">
      <w:start w:val="1"/>
      <w:numFmt w:val="lowerRoman"/>
      <w:lvlText w:val="%6."/>
      <w:lvlJc w:val="right"/>
      <w:pPr>
        <w:ind w:left="4320" w:hanging="180"/>
      </w:pPr>
    </w:lvl>
    <w:lvl w:ilvl="6" w:tplc="0C09000F">
      <w:start w:val="1"/>
      <w:numFmt w:val="decimal"/>
      <w:lvlText w:val="%7."/>
      <w:lvlJc w:val="left"/>
      <w:pPr>
        <w:ind w:left="5040" w:hanging="360"/>
      </w:pPr>
    </w:lvl>
    <w:lvl w:ilvl="7" w:tplc="0C090019">
      <w:start w:val="1"/>
      <w:numFmt w:val="lowerLetter"/>
      <w:lvlText w:val="%8."/>
      <w:lvlJc w:val="left"/>
      <w:pPr>
        <w:ind w:left="5760" w:hanging="360"/>
      </w:pPr>
    </w:lvl>
    <w:lvl w:ilvl="8" w:tplc="0C09001B">
      <w:start w:val="1"/>
      <w:numFmt w:val="lowerRoman"/>
      <w:lvlText w:val="%9."/>
      <w:lvlJc w:val="right"/>
      <w:pPr>
        <w:ind w:left="6480" w:hanging="180"/>
      </w:pPr>
    </w:lvl>
  </w:abstractNum>
  <w:abstractNum w:abstractNumId="11">
    <w:nsid w:val="358B4839"/>
    <w:multiLevelType w:val="hybridMultilevel"/>
    <w:tmpl w:val="FDDEBB68"/>
    <w:lvl w:ilvl="0" w:tplc="0C090001">
      <w:start w:val="1"/>
      <w:numFmt w:val="bullet"/>
      <w:lvlText w:val=""/>
      <w:lvlJc w:val="left"/>
      <w:pPr>
        <w:ind w:left="720" w:hanging="360"/>
      </w:pPr>
      <w:rPr>
        <w:rFonts w:ascii="Symbol" w:hAnsi="Symbol" w:hint="default"/>
      </w:rPr>
    </w:lvl>
    <w:lvl w:ilvl="1" w:tplc="0C090019">
      <w:start w:val="1"/>
      <w:numFmt w:val="decimal"/>
      <w:lvlText w:val="%2."/>
      <w:lvlJc w:val="left"/>
      <w:pPr>
        <w:tabs>
          <w:tab w:val="num" w:pos="1440"/>
        </w:tabs>
        <w:ind w:left="1440" w:hanging="360"/>
      </w:pPr>
    </w:lvl>
    <w:lvl w:ilvl="2" w:tplc="0C09001B">
      <w:start w:val="1"/>
      <w:numFmt w:val="decimal"/>
      <w:lvlText w:val="%3."/>
      <w:lvlJc w:val="left"/>
      <w:pPr>
        <w:tabs>
          <w:tab w:val="num" w:pos="2160"/>
        </w:tabs>
        <w:ind w:left="2160" w:hanging="360"/>
      </w:pPr>
    </w:lvl>
    <w:lvl w:ilvl="3" w:tplc="0C09000F">
      <w:start w:val="1"/>
      <w:numFmt w:val="decimal"/>
      <w:lvlText w:val="%4."/>
      <w:lvlJc w:val="left"/>
      <w:pPr>
        <w:tabs>
          <w:tab w:val="num" w:pos="2880"/>
        </w:tabs>
        <w:ind w:left="2880" w:hanging="360"/>
      </w:pPr>
    </w:lvl>
    <w:lvl w:ilvl="4" w:tplc="0C090019">
      <w:start w:val="1"/>
      <w:numFmt w:val="decimal"/>
      <w:lvlText w:val="%5."/>
      <w:lvlJc w:val="left"/>
      <w:pPr>
        <w:tabs>
          <w:tab w:val="num" w:pos="3600"/>
        </w:tabs>
        <w:ind w:left="3600" w:hanging="360"/>
      </w:pPr>
    </w:lvl>
    <w:lvl w:ilvl="5" w:tplc="0C09001B">
      <w:start w:val="1"/>
      <w:numFmt w:val="decimal"/>
      <w:lvlText w:val="%6."/>
      <w:lvlJc w:val="left"/>
      <w:pPr>
        <w:tabs>
          <w:tab w:val="num" w:pos="4320"/>
        </w:tabs>
        <w:ind w:left="4320" w:hanging="360"/>
      </w:pPr>
    </w:lvl>
    <w:lvl w:ilvl="6" w:tplc="0C09000F">
      <w:start w:val="1"/>
      <w:numFmt w:val="decimal"/>
      <w:lvlText w:val="%7."/>
      <w:lvlJc w:val="left"/>
      <w:pPr>
        <w:tabs>
          <w:tab w:val="num" w:pos="5040"/>
        </w:tabs>
        <w:ind w:left="5040" w:hanging="360"/>
      </w:pPr>
    </w:lvl>
    <w:lvl w:ilvl="7" w:tplc="0C090019">
      <w:start w:val="1"/>
      <w:numFmt w:val="decimal"/>
      <w:lvlText w:val="%8."/>
      <w:lvlJc w:val="left"/>
      <w:pPr>
        <w:tabs>
          <w:tab w:val="num" w:pos="5760"/>
        </w:tabs>
        <w:ind w:left="5760" w:hanging="360"/>
      </w:pPr>
    </w:lvl>
    <w:lvl w:ilvl="8" w:tplc="0C09001B">
      <w:start w:val="1"/>
      <w:numFmt w:val="decimal"/>
      <w:lvlText w:val="%9."/>
      <w:lvlJc w:val="left"/>
      <w:pPr>
        <w:tabs>
          <w:tab w:val="num" w:pos="6480"/>
        </w:tabs>
        <w:ind w:left="6480" w:hanging="360"/>
      </w:pPr>
    </w:lvl>
  </w:abstractNum>
  <w:abstractNum w:abstractNumId="12">
    <w:nsid w:val="36AF0A68"/>
    <w:multiLevelType w:val="hybridMultilevel"/>
    <w:tmpl w:val="C5E68D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nsid w:val="376E2E5C"/>
    <w:multiLevelType w:val="hybridMultilevel"/>
    <w:tmpl w:val="8F36AA20"/>
    <w:lvl w:ilvl="0" w:tplc="0C090001">
      <w:start w:val="1"/>
      <w:numFmt w:val="bullet"/>
      <w:lvlText w:val=""/>
      <w:lvlJc w:val="left"/>
      <w:pPr>
        <w:ind w:left="1080" w:hanging="360"/>
      </w:pPr>
      <w:rPr>
        <w:rFonts w:ascii="Symbol" w:hAnsi="Symbol" w:hint="default"/>
      </w:rPr>
    </w:lvl>
    <w:lvl w:ilvl="1" w:tplc="0C090003">
      <w:start w:val="1"/>
      <w:numFmt w:val="decimal"/>
      <w:lvlText w:val="%2."/>
      <w:lvlJc w:val="left"/>
      <w:pPr>
        <w:tabs>
          <w:tab w:val="num" w:pos="1800"/>
        </w:tabs>
        <w:ind w:left="1800" w:hanging="360"/>
      </w:p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14">
    <w:nsid w:val="38DA506D"/>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5">
    <w:nsid w:val="39B62C97"/>
    <w:multiLevelType w:val="hybridMultilevel"/>
    <w:tmpl w:val="D200DB7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nsid w:val="3A076473"/>
    <w:multiLevelType w:val="hybridMultilevel"/>
    <w:tmpl w:val="B21C60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7">
    <w:nsid w:val="3C9E2CB1"/>
    <w:multiLevelType w:val="hybridMultilevel"/>
    <w:tmpl w:val="83082A1A"/>
    <w:lvl w:ilvl="0" w:tplc="2B5CF6D8">
      <w:start w:val="1"/>
      <w:numFmt w:val="bullet"/>
      <w:lvlText w:val=""/>
      <w:lvlJc w:val="left"/>
      <w:pPr>
        <w:tabs>
          <w:tab w:val="num" w:pos="1080"/>
        </w:tabs>
        <w:ind w:left="1080" w:hanging="360"/>
      </w:pPr>
      <w:rPr>
        <w:rFonts w:ascii="Symbol" w:hAnsi="Symbol" w:hint="default"/>
        <w:sz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nsid w:val="42CD62CF"/>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19">
    <w:nsid w:val="44471BB9"/>
    <w:multiLevelType w:val="hybridMultilevel"/>
    <w:tmpl w:val="7C50AE82"/>
    <w:lvl w:ilvl="0" w:tplc="0C09000F">
      <w:start w:val="1"/>
      <w:numFmt w:val="decimal"/>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20">
    <w:nsid w:val="4A9F777E"/>
    <w:multiLevelType w:val="hybridMultilevel"/>
    <w:tmpl w:val="0D78FACC"/>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1">
    <w:nsid w:val="4C88401D"/>
    <w:multiLevelType w:val="hybridMultilevel"/>
    <w:tmpl w:val="993E5D2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nsid w:val="4D255C36"/>
    <w:multiLevelType w:val="hybridMultilevel"/>
    <w:tmpl w:val="41607B8E"/>
    <w:lvl w:ilvl="0" w:tplc="2B5CF6D8">
      <w:start w:val="1"/>
      <w:numFmt w:val="bullet"/>
      <w:lvlText w:val=""/>
      <w:lvlJc w:val="left"/>
      <w:pPr>
        <w:tabs>
          <w:tab w:val="num" w:pos="1080"/>
        </w:tabs>
        <w:ind w:left="1080" w:hanging="360"/>
      </w:pPr>
      <w:rPr>
        <w:rFonts w:ascii="Symbol" w:hAnsi="Symbol" w:hint="default"/>
        <w:sz w:val="22"/>
      </w:rPr>
    </w:lvl>
    <w:lvl w:ilvl="1" w:tplc="0C090003" w:tentative="1">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23">
    <w:nsid w:val="529741F2"/>
    <w:multiLevelType w:val="hybridMultilevel"/>
    <w:tmpl w:val="25A21E06"/>
    <w:lvl w:ilvl="0" w:tplc="0C09000F">
      <w:start w:val="1"/>
      <w:numFmt w:val="decimal"/>
      <w:lvlText w:val="%1."/>
      <w:lvlJc w:val="left"/>
      <w:pPr>
        <w:ind w:left="360" w:hanging="360"/>
      </w:p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4">
    <w:nsid w:val="57895C19"/>
    <w:multiLevelType w:val="hybridMultilevel"/>
    <w:tmpl w:val="E1B0CFD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5">
    <w:nsid w:val="597F180A"/>
    <w:multiLevelType w:val="hybridMultilevel"/>
    <w:tmpl w:val="C40695E4"/>
    <w:lvl w:ilvl="0" w:tplc="0C090001">
      <w:start w:val="1"/>
      <w:numFmt w:val="bullet"/>
      <w:lvlText w:val=""/>
      <w:lvlJc w:val="left"/>
      <w:pPr>
        <w:ind w:left="1080" w:hanging="360"/>
      </w:pPr>
      <w:rPr>
        <w:rFonts w:ascii="Symbol" w:hAnsi="Symbol" w:hint="default"/>
      </w:rPr>
    </w:lvl>
    <w:lvl w:ilvl="1" w:tplc="0C090003">
      <w:start w:val="1"/>
      <w:numFmt w:val="decimal"/>
      <w:lvlText w:val="%2."/>
      <w:lvlJc w:val="left"/>
      <w:pPr>
        <w:tabs>
          <w:tab w:val="num" w:pos="1800"/>
        </w:tabs>
        <w:ind w:left="1800" w:hanging="360"/>
      </w:pPr>
    </w:lvl>
    <w:lvl w:ilvl="2" w:tplc="0C090005">
      <w:start w:val="1"/>
      <w:numFmt w:val="decimal"/>
      <w:lvlText w:val="%3."/>
      <w:lvlJc w:val="left"/>
      <w:pPr>
        <w:tabs>
          <w:tab w:val="num" w:pos="2520"/>
        </w:tabs>
        <w:ind w:left="2520" w:hanging="360"/>
      </w:pPr>
    </w:lvl>
    <w:lvl w:ilvl="3" w:tplc="0C090001">
      <w:start w:val="1"/>
      <w:numFmt w:val="decimal"/>
      <w:lvlText w:val="%4."/>
      <w:lvlJc w:val="left"/>
      <w:pPr>
        <w:tabs>
          <w:tab w:val="num" w:pos="3240"/>
        </w:tabs>
        <w:ind w:left="3240" w:hanging="360"/>
      </w:pPr>
    </w:lvl>
    <w:lvl w:ilvl="4" w:tplc="0C090003">
      <w:start w:val="1"/>
      <w:numFmt w:val="decimal"/>
      <w:lvlText w:val="%5."/>
      <w:lvlJc w:val="left"/>
      <w:pPr>
        <w:tabs>
          <w:tab w:val="num" w:pos="3960"/>
        </w:tabs>
        <w:ind w:left="3960" w:hanging="360"/>
      </w:pPr>
    </w:lvl>
    <w:lvl w:ilvl="5" w:tplc="0C090005">
      <w:start w:val="1"/>
      <w:numFmt w:val="decimal"/>
      <w:lvlText w:val="%6."/>
      <w:lvlJc w:val="left"/>
      <w:pPr>
        <w:tabs>
          <w:tab w:val="num" w:pos="4680"/>
        </w:tabs>
        <w:ind w:left="4680" w:hanging="360"/>
      </w:pPr>
    </w:lvl>
    <w:lvl w:ilvl="6" w:tplc="0C090001">
      <w:start w:val="1"/>
      <w:numFmt w:val="decimal"/>
      <w:lvlText w:val="%7."/>
      <w:lvlJc w:val="left"/>
      <w:pPr>
        <w:tabs>
          <w:tab w:val="num" w:pos="5400"/>
        </w:tabs>
        <w:ind w:left="5400" w:hanging="360"/>
      </w:pPr>
    </w:lvl>
    <w:lvl w:ilvl="7" w:tplc="0C090003">
      <w:start w:val="1"/>
      <w:numFmt w:val="decimal"/>
      <w:lvlText w:val="%8."/>
      <w:lvlJc w:val="left"/>
      <w:pPr>
        <w:tabs>
          <w:tab w:val="num" w:pos="6120"/>
        </w:tabs>
        <w:ind w:left="6120" w:hanging="360"/>
      </w:pPr>
    </w:lvl>
    <w:lvl w:ilvl="8" w:tplc="0C090005">
      <w:start w:val="1"/>
      <w:numFmt w:val="decimal"/>
      <w:lvlText w:val="%9."/>
      <w:lvlJc w:val="left"/>
      <w:pPr>
        <w:tabs>
          <w:tab w:val="num" w:pos="6840"/>
        </w:tabs>
        <w:ind w:left="6840" w:hanging="360"/>
      </w:pPr>
    </w:lvl>
  </w:abstractNum>
  <w:abstractNum w:abstractNumId="26">
    <w:nsid w:val="5B94791B"/>
    <w:multiLevelType w:val="hybridMultilevel"/>
    <w:tmpl w:val="6F8A58B2"/>
    <w:lvl w:ilvl="0" w:tplc="6936A812">
      <w:start w:val="1"/>
      <w:numFmt w:val="lowerRoman"/>
      <w:lvlText w:val="%1."/>
      <w:lvlJc w:val="right"/>
      <w:pPr>
        <w:ind w:left="720" w:hanging="360"/>
      </w:pPr>
      <w:rPr>
        <w:rFonts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7">
    <w:nsid w:val="5DC87D42"/>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28">
    <w:nsid w:val="5EFB05C0"/>
    <w:multiLevelType w:val="hybridMultilevel"/>
    <w:tmpl w:val="CF4A06FA"/>
    <w:lvl w:ilvl="0" w:tplc="2B5CF6D8">
      <w:start w:val="1"/>
      <w:numFmt w:val="bullet"/>
      <w:lvlText w:val=""/>
      <w:lvlJc w:val="left"/>
      <w:pPr>
        <w:tabs>
          <w:tab w:val="num" w:pos="1080"/>
        </w:tabs>
        <w:ind w:left="1080" w:hanging="360"/>
      </w:pPr>
      <w:rPr>
        <w:rFonts w:ascii="Symbol" w:hAnsi="Symbol" w:hint="default"/>
        <w:sz w:val="22"/>
      </w:rPr>
    </w:lvl>
    <w:lvl w:ilvl="1" w:tplc="0C090003">
      <w:start w:val="1"/>
      <w:numFmt w:val="bullet"/>
      <w:lvlText w:val="o"/>
      <w:lvlJc w:val="left"/>
      <w:pPr>
        <w:tabs>
          <w:tab w:val="num" w:pos="1800"/>
        </w:tabs>
        <w:ind w:left="1800" w:hanging="360"/>
      </w:pPr>
      <w:rPr>
        <w:rFonts w:ascii="Courier New" w:hAnsi="Courier New" w:cs="Courier New" w:hint="default"/>
      </w:rPr>
    </w:lvl>
    <w:lvl w:ilvl="2" w:tplc="0C090005" w:tentative="1">
      <w:start w:val="1"/>
      <w:numFmt w:val="bullet"/>
      <w:lvlText w:val=""/>
      <w:lvlJc w:val="left"/>
      <w:pPr>
        <w:tabs>
          <w:tab w:val="num" w:pos="2520"/>
        </w:tabs>
        <w:ind w:left="2520" w:hanging="360"/>
      </w:pPr>
      <w:rPr>
        <w:rFonts w:ascii="Wingdings" w:hAnsi="Wingdings" w:hint="default"/>
      </w:rPr>
    </w:lvl>
    <w:lvl w:ilvl="3" w:tplc="0C090001" w:tentative="1">
      <w:start w:val="1"/>
      <w:numFmt w:val="bullet"/>
      <w:lvlText w:val=""/>
      <w:lvlJc w:val="left"/>
      <w:pPr>
        <w:tabs>
          <w:tab w:val="num" w:pos="3240"/>
        </w:tabs>
        <w:ind w:left="3240" w:hanging="360"/>
      </w:pPr>
      <w:rPr>
        <w:rFonts w:ascii="Symbol" w:hAnsi="Symbol" w:hint="default"/>
      </w:rPr>
    </w:lvl>
    <w:lvl w:ilvl="4" w:tplc="0C090003" w:tentative="1">
      <w:start w:val="1"/>
      <w:numFmt w:val="bullet"/>
      <w:lvlText w:val="o"/>
      <w:lvlJc w:val="left"/>
      <w:pPr>
        <w:tabs>
          <w:tab w:val="num" w:pos="3960"/>
        </w:tabs>
        <w:ind w:left="3960" w:hanging="360"/>
      </w:pPr>
      <w:rPr>
        <w:rFonts w:ascii="Courier New" w:hAnsi="Courier New" w:cs="Courier New" w:hint="default"/>
      </w:rPr>
    </w:lvl>
    <w:lvl w:ilvl="5" w:tplc="0C090005" w:tentative="1">
      <w:start w:val="1"/>
      <w:numFmt w:val="bullet"/>
      <w:lvlText w:val=""/>
      <w:lvlJc w:val="left"/>
      <w:pPr>
        <w:tabs>
          <w:tab w:val="num" w:pos="4680"/>
        </w:tabs>
        <w:ind w:left="4680" w:hanging="360"/>
      </w:pPr>
      <w:rPr>
        <w:rFonts w:ascii="Wingdings" w:hAnsi="Wingdings" w:hint="default"/>
      </w:rPr>
    </w:lvl>
    <w:lvl w:ilvl="6" w:tplc="0C090001" w:tentative="1">
      <w:start w:val="1"/>
      <w:numFmt w:val="bullet"/>
      <w:lvlText w:val=""/>
      <w:lvlJc w:val="left"/>
      <w:pPr>
        <w:tabs>
          <w:tab w:val="num" w:pos="5400"/>
        </w:tabs>
        <w:ind w:left="5400" w:hanging="360"/>
      </w:pPr>
      <w:rPr>
        <w:rFonts w:ascii="Symbol" w:hAnsi="Symbol" w:hint="default"/>
      </w:rPr>
    </w:lvl>
    <w:lvl w:ilvl="7" w:tplc="0C090003" w:tentative="1">
      <w:start w:val="1"/>
      <w:numFmt w:val="bullet"/>
      <w:lvlText w:val="o"/>
      <w:lvlJc w:val="left"/>
      <w:pPr>
        <w:tabs>
          <w:tab w:val="num" w:pos="6120"/>
        </w:tabs>
        <w:ind w:left="6120" w:hanging="360"/>
      </w:pPr>
      <w:rPr>
        <w:rFonts w:ascii="Courier New" w:hAnsi="Courier New" w:cs="Courier New" w:hint="default"/>
      </w:rPr>
    </w:lvl>
    <w:lvl w:ilvl="8" w:tplc="0C090005" w:tentative="1">
      <w:start w:val="1"/>
      <w:numFmt w:val="bullet"/>
      <w:lvlText w:val=""/>
      <w:lvlJc w:val="left"/>
      <w:pPr>
        <w:tabs>
          <w:tab w:val="num" w:pos="6840"/>
        </w:tabs>
        <w:ind w:left="6840" w:hanging="360"/>
      </w:pPr>
      <w:rPr>
        <w:rFonts w:ascii="Wingdings" w:hAnsi="Wingdings" w:hint="default"/>
      </w:rPr>
    </w:lvl>
  </w:abstractNum>
  <w:abstractNum w:abstractNumId="29">
    <w:nsid w:val="5FB86377"/>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0">
    <w:nsid w:val="5FE94304"/>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1">
    <w:nsid w:val="64E04048"/>
    <w:multiLevelType w:val="hybridMultilevel"/>
    <w:tmpl w:val="4AB0A1CA"/>
    <w:lvl w:ilvl="0" w:tplc="38D6BECC">
      <w:start w:val="1"/>
      <w:numFmt w:val="decimal"/>
      <w:lvlText w:val="(%1)"/>
      <w:lvlJc w:val="left"/>
      <w:pPr>
        <w:ind w:left="72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2">
    <w:nsid w:val="680C57D6"/>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3">
    <w:nsid w:val="69813F79"/>
    <w:multiLevelType w:val="hybridMultilevel"/>
    <w:tmpl w:val="7222E010"/>
    <w:lvl w:ilvl="0" w:tplc="0C090001">
      <w:start w:val="1"/>
      <w:numFmt w:val="bullet"/>
      <w:lvlText w:val=""/>
      <w:lvlJc w:val="left"/>
      <w:pPr>
        <w:ind w:left="1080" w:hanging="360"/>
      </w:pPr>
      <w:rPr>
        <w:rFonts w:ascii="Symbol" w:hAnsi="Symbol" w:hint="default"/>
      </w:rPr>
    </w:lvl>
    <w:lvl w:ilvl="1" w:tplc="0C090019">
      <w:start w:val="1"/>
      <w:numFmt w:val="decimal"/>
      <w:lvlText w:val="%2."/>
      <w:lvlJc w:val="left"/>
      <w:pPr>
        <w:tabs>
          <w:tab w:val="num" w:pos="1800"/>
        </w:tabs>
        <w:ind w:left="1800" w:hanging="360"/>
      </w:pPr>
    </w:lvl>
    <w:lvl w:ilvl="2" w:tplc="0C09001B">
      <w:start w:val="1"/>
      <w:numFmt w:val="decimal"/>
      <w:lvlText w:val="%3."/>
      <w:lvlJc w:val="left"/>
      <w:pPr>
        <w:tabs>
          <w:tab w:val="num" w:pos="2520"/>
        </w:tabs>
        <w:ind w:left="2520" w:hanging="360"/>
      </w:pPr>
    </w:lvl>
    <w:lvl w:ilvl="3" w:tplc="0C09000F">
      <w:start w:val="1"/>
      <w:numFmt w:val="decimal"/>
      <w:lvlText w:val="%4."/>
      <w:lvlJc w:val="left"/>
      <w:pPr>
        <w:tabs>
          <w:tab w:val="num" w:pos="3240"/>
        </w:tabs>
        <w:ind w:left="3240" w:hanging="360"/>
      </w:pPr>
    </w:lvl>
    <w:lvl w:ilvl="4" w:tplc="0C090019">
      <w:start w:val="1"/>
      <w:numFmt w:val="decimal"/>
      <w:lvlText w:val="%5."/>
      <w:lvlJc w:val="left"/>
      <w:pPr>
        <w:tabs>
          <w:tab w:val="num" w:pos="3960"/>
        </w:tabs>
        <w:ind w:left="3960" w:hanging="360"/>
      </w:pPr>
    </w:lvl>
    <w:lvl w:ilvl="5" w:tplc="0C09001B">
      <w:start w:val="1"/>
      <w:numFmt w:val="decimal"/>
      <w:lvlText w:val="%6."/>
      <w:lvlJc w:val="left"/>
      <w:pPr>
        <w:tabs>
          <w:tab w:val="num" w:pos="4680"/>
        </w:tabs>
        <w:ind w:left="4680" w:hanging="360"/>
      </w:pPr>
    </w:lvl>
    <w:lvl w:ilvl="6" w:tplc="0C09000F">
      <w:start w:val="1"/>
      <w:numFmt w:val="decimal"/>
      <w:lvlText w:val="%7."/>
      <w:lvlJc w:val="left"/>
      <w:pPr>
        <w:tabs>
          <w:tab w:val="num" w:pos="5400"/>
        </w:tabs>
        <w:ind w:left="5400" w:hanging="360"/>
      </w:pPr>
    </w:lvl>
    <w:lvl w:ilvl="7" w:tplc="0C090019">
      <w:start w:val="1"/>
      <w:numFmt w:val="decimal"/>
      <w:lvlText w:val="%8."/>
      <w:lvlJc w:val="left"/>
      <w:pPr>
        <w:tabs>
          <w:tab w:val="num" w:pos="6120"/>
        </w:tabs>
        <w:ind w:left="6120" w:hanging="360"/>
      </w:pPr>
    </w:lvl>
    <w:lvl w:ilvl="8" w:tplc="0C09001B">
      <w:start w:val="1"/>
      <w:numFmt w:val="decimal"/>
      <w:lvlText w:val="%9."/>
      <w:lvlJc w:val="left"/>
      <w:pPr>
        <w:tabs>
          <w:tab w:val="num" w:pos="6840"/>
        </w:tabs>
        <w:ind w:left="6840" w:hanging="360"/>
      </w:pPr>
    </w:lvl>
  </w:abstractNum>
  <w:abstractNum w:abstractNumId="34">
    <w:nsid w:val="6A5B7352"/>
    <w:multiLevelType w:val="hybridMultilevel"/>
    <w:tmpl w:val="B43276DA"/>
    <w:lvl w:ilvl="0" w:tplc="0C090017">
      <w:start w:val="1"/>
      <w:numFmt w:val="lowerLetter"/>
      <w:lvlText w:val="%1)"/>
      <w:lvlJc w:val="left"/>
      <w:pPr>
        <w:ind w:left="720" w:hanging="360"/>
      </w:p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5">
    <w:nsid w:val="6B003227"/>
    <w:multiLevelType w:val="hybridMultilevel"/>
    <w:tmpl w:val="8026A54A"/>
    <w:lvl w:ilvl="0" w:tplc="2B5CF6D8">
      <w:start w:val="1"/>
      <w:numFmt w:val="bullet"/>
      <w:lvlText w:val=""/>
      <w:lvlJc w:val="left"/>
      <w:pPr>
        <w:tabs>
          <w:tab w:val="num" w:pos="720"/>
        </w:tabs>
        <w:ind w:left="720" w:hanging="360"/>
      </w:pPr>
      <w:rPr>
        <w:rFonts w:ascii="Symbol" w:hAnsi="Symbol" w:hint="default"/>
        <w:sz w:val="22"/>
      </w:rPr>
    </w:lvl>
    <w:lvl w:ilvl="1" w:tplc="0C090003" w:tentative="1">
      <w:start w:val="1"/>
      <w:numFmt w:val="bullet"/>
      <w:lvlText w:val="o"/>
      <w:lvlJc w:val="left"/>
      <w:pPr>
        <w:tabs>
          <w:tab w:val="num" w:pos="1440"/>
        </w:tabs>
        <w:ind w:left="1440" w:hanging="360"/>
      </w:pPr>
      <w:rPr>
        <w:rFonts w:ascii="Courier New" w:hAnsi="Courier New" w:cs="Courier New" w:hint="default"/>
      </w:rPr>
    </w:lvl>
    <w:lvl w:ilvl="2" w:tplc="0C090005" w:tentative="1">
      <w:start w:val="1"/>
      <w:numFmt w:val="bullet"/>
      <w:lvlText w:val=""/>
      <w:lvlJc w:val="left"/>
      <w:pPr>
        <w:tabs>
          <w:tab w:val="num" w:pos="2160"/>
        </w:tabs>
        <w:ind w:left="2160" w:hanging="360"/>
      </w:pPr>
      <w:rPr>
        <w:rFonts w:ascii="Wingdings" w:hAnsi="Wingdings" w:hint="default"/>
      </w:rPr>
    </w:lvl>
    <w:lvl w:ilvl="3" w:tplc="0C090001" w:tentative="1">
      <w:start w:val="1"/>
      <w:numFmt w:val="bullet"/>
      <w:lvlText w:val=""/>
      <w:lvlJc w:val="left"/>
      <w:pPr>
        <w:tabs>
          <w:tab w:val="num" w:pos="2880"/>
        </w:tabs>
        <w:ind w:left="2880" w:hanging="360"/>
      </w:pPr>
      <w:rPr>
        <w:rFonts w:ascii="Symbol" w:hAnsi="Symbol" w:hint="default"/>
      </w:rPr>
    </w:lvl>
    <w:lvl w:ilvl="4" w:tplc="0C090003" w:tentative="1">
      <w:start w:val="1"/>
      <w:numFmt w:val="bullet"/>
      <w:lvlText w:val="o"/>
      <w:lvlJc w:val="left"/>
      <w:pPr>
        <w:tabs>
          <w:tab w:val="num" w:pos="3600"/>
        </w:tabs>
        <w:ind w:left="3600" w:hanging="360"/>
      </w:pPr>
      <w:rPr>
        <w:rFonts w:ascii="Courier New" w:hAnsi="Courier New" w:cs="Courier New" w:hint="default"/>
      </w:rPr>
    </w:lvl>
    <w:lvl w:ilvl="5" w:tplc="0C090005" w:tentative="1">
      <w:start w:val="1"/>
      <w:numFmt w:val="bullet"/>
      <w:lvlText w:val=""/>
      <w:lvlJc w:val="left"/>
      <w:pPr>
        <w:tabs>
          <w:tab w:val="num" w:pos="4320"/>
        </w:tabs>
        <w:ind w:left="4320" w:hanging="360"/>
      </w:pPr>
      <w:rPr>
        <w:rFonts w:ascii="Wingdings" w:hAnsi="Wingdings" w:hint="default"/>
      </w:rPr>
    </w:lvl>
    <w:lvl w:ilvl="6" w:tplc="0C090001" w:tentative="1">
      <w:start w:val="1"/>
      <w:numFmt w:val="bullet"/>
      <w:lvlText w:val=""/>
      <w:lvlJc w:val="left"/>
      <w:pPr>
        <w:tabs>
          <w:tab w:val="num" w:pos="5040"/>
        </w:tabs>
        <w:ind w:left="5040" w:hanging="360"/>
      </w:pPr>
      <w:rPr>
        <w:rFonts w:ascii="Symbol" w:hAnsi="Symbol" w:hint="default"/>
      </w:rPr>
    </w:lvl>
    <w:lvl w:ilvl="7" w:tplc="0C090003" w:tentative="1">
      <w:start w:val="1"/>
      <w:numFmt w:val="bullet"/>
      <w:lvlText w:val="o"/>
      <w:lvlJc w:val="left"/>
      <w:pPr>
        <w:tabs>
          <w:tab w:val="num" w:pos="5760"/>
        </w:tabs>
        <w:ind w:left="5760" w:hanging="360"/>
      </w:pPr>
      <w:rPr>
        <w:rFonts w:ascii="Courier New" w:hAnsi="Courier New" w:cs="Courier New" w:hint="default"/>
      </w:rPr>
    </w:lvl>
    <w:lvl w:ilvl="8" w:tplc="0C090005" w:tentative="1">
      <w:start w:val="1"/>
      <w:numFmt w:val="bullet"/>
      <w:lvlText w:val=""/>
      <w:lvlJc w:val="left"/>
      <w:pPr>
        <w:tabs>
          <w:tab w:val="num" w:pos="6480"/>
        </w:tabs>
        <w:ind w:left="6480" w:hanging="360"/>
      </w:pPr>
      <w:rPr>
        <w:rFonts w:ascii="Wingdings" w:hAnsi="Wingdings" w:hint="default"/>
      </w:rPr>
    </w:lvl>
  </w:abstractNum>
  <w:abstractNum w:abstractNumId="36">
    <w:nsid w:val="730902E1"/>
    <w:multiLevelType w:val="hybridMultilevel"/>
    <w:tmpl w:val="3024390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7">
    <w:nsid w:val="73B3700E"/>
    <w:multiLevelType w:val="hybridMultilevel"/>
    <w:tmpl w:val="35D6D380"/>
    <w:lvl w:ilvl="0" w:tplc="9C54C006">
      <w:numFmt w:val="bullet"/>
      <w:lvlText w:val="-"/>
      <w:lvlJc w:val="left"/>
      <w:pPr>
        <w:ind w:left="720" w:hanging="360"/>
      </w:pPr>
      <w:rPr>
        <w:rFonts w:ascii="Calibri" w:eastAsiaTheme="minorHAnsi" w:hAnsi="Calibri"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8">
    <w:nsid w:val="76DA6AB5"/>
    <w:multiLevelType w:val="hybridMultilevel"/>
    <w:tmpl w:val="E42045F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9">
    <w:nsid w:val="78424646"/>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40">
    <w:nsid w:val="7C5221AF"/>
    <w:multiLevelType w:val="hybridMultilevel"/>
    <w:tmpl w:val="811C6C8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1">
    <w:nsid w:val="7C813D7A"/>
    <w:multiLevelType w:val="hybridMultilevel"/>
    <w:tmpl w:val="70FCE34C"/>
    <w:lvl w:ilvl="0" w:tplc="E4EE1DE6">
      <w:start w:val="1"/>
      <w:numFmt w:val="lowerLetter"/>
      <w:lvlText w:val="(%1)"/>
      <w:lvlJc w:val="left"/>
      <w:pPr>
        <w:ind w:left="1074" w:hanging="360"/>
      </w:pPr>
      <w:rPr>
        <w:rFonts w:hint="default"/>
      </w:rPr>
    </w:lvl>
    <w:lvl w:ilvl="1" w:tplc="0C090019" w:tentative="1">
      <w:start w:val="1"/>
      <w:numFmt w:val="lowerLetter"/>
      <w:lvlText w:val="%2."/>
      <w:lvlJc w:val="left"/>
      <w:pPr>
        <w:ind w:left="1794" w:hanging="360"/>
      </w:pPr>
    </w:lvl>
    <w:lvl w:ilvl="2" w:tplc="0C09001B" w:tentative="1">
      <w:start w:val="1"/>
      <w:numFmt w:val="lowerRoman"/>
      <w:lvlText w:val="%3."/>
      <w:lvlJc w:val="right"/>
      <w:pPr>
        <w:ind w:left="2514" w:hanging="180"/>
      </w:pPr>
    </w:lvl>
    <w:lvl w:ilvl="3" w:tplc="0C09000F" w:tentative="1">
      <w:start w:val="1"/>
      <w:numFmt w:val="decimal"/>
      <w:lvlText w:val="%4."/>
      <w:lvlJc w:val="left"/>
      <w:pPr>
        <w:ind w:left="3234" w:hanging="360"/>
      </w:pPr>
    </w:lvl>
    <w:lvl w:ilvl="4" w:tplc="0C090019" w:tentative="1">
      <w:start w:val="1"/>
      <w:numFmt w:val="lowerLetter"/>
      <w:lvlText w:val="%5."/>
      <w:lvlJc w:val="left"/>
      <w:pPr>
        <w:ind w:left="3954" w:hanging="360"/>
      </w:pPr>
    </w:lvl>
    <w:lvl w:ilvl="5" w:tplc="0C09001B" w:tentative="1">
      <w:start w:val="1"/>
      <w:numFmt w:val="lowerRoman"/>
      <w:lvlText w:val="%6."/>
      <w:lvlJc w:val="right"/>
      <w:pPr>
        <w:ind w:left="4674" w:hanging="180"/>
      </w:pPr>
    </w:lvl>
    <w:lvl w:ilvl="6" w:tplc="0C09000F" w:tentative="1">
      <w:start w:val="1"/>
      <w:numFmt w:val="decimal"/>
      <w:lvlText w:val="%7."/>
      <w:lvlJc w:val="left"/>
      <w:pPr>
        <w:ind w:left="5394" w:hanging="360"/>
      </w:pPr>
    </w:lvl>
    <w:lvl w:ilvl="7" w:tplc="0C090019" w:tentative="1">
      <w:start w:val="1"/>
      <w:numFmt w:val="lowerLetter"/>
      <w:lvlText w:val="%8."/>
      <w:lvlJc w:val="left"/>
      <w:pPr>
        <w:ind w:left="6114" w:hanging="360"/>
      </w:pPr>
    </w:lvl>
    <w:lvl w:ilvl="8" w:tplc="0C09001B" w:tentative="1">
      <w:start w:val="1"/>
      <w:numFmt w:val="lowerRoman"/>
      <w:lvlText w:val="%9."/>
      <w:lvlJc w:val="right"/>
      <w:pPr>
        <w:ind w:left="6834" w:hanging="180"/>
      </w:pPr>
    </w:lvl>
  </w:abstractNum>
  <w:abstractNum w:abstractNumId="42">
    <w:nsid w:val="7DDC30B9"/>
    <w:multiLevelType w:val="hybridMultilevel"/>
    <w:tmpl w:val="C9766350"/>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 w:numId="2">
    <w:abstractNumId w:val="8"/>
  </w:num>
  <w:num w:numId="3">
    <w:abstractNumId w:val="30"/>
  </w:num>
  <w:num w:numId="4">
    <w:abstractNumId w:val="7"/>
  </w:num>
  <w:num w:numId="5">
    <w:abstractNumId w:val="27"/>
  </w:num>
  <w:num w:numId="6">
    <w:abstractNumId w:val="2"/>
  </w:num>
  <w:num w:numId="7">
    <w:abstractNumId w:val="18"/>
  </w:num>
  <w:num w:numId="8">
    <w:abstractNumId w:val="29"/>
  </w:num>
  <w:num w:numId="9">
    <w:abstractNumId w:val="32"/>
  </w:num>
  <w:num w:numId="10">
    <w:abstractNumId w:val="39"/>
  </w:num>
  <w:num w:numId="11">
    <w:abstractNumId w:val="14"/>
  </w:num>
  <w:num w:numId="12">
    <w:abstractNumId w:val="5"/>
  </w:num>
  <w:num w:numId="13">
    <w:abstractNumId w:val="22"/>
  </w:num>
  <w:num w:numId="14">
    <w:abstractNumId w:val="35"/>
  </w:num>
  <w:num w:numId="15">
    <w:abstractNumId w:val="28"/>
  </w:num>
  <w:num w:numId="16">
    <w:abstractNumId w:val="1"/>
    <w:lvlOverride w:ilvl="0">
      <w:lvl w:ilvl="0">
        <w:numFmt w:val="bullet"/>
        <w:lvlText w:val=""/>
        <w:legacy w:legacy="1" w:legacySpace="0" w:legacyIndent="0"/>
        <w:lvlJc w:val="left"/>
        <w:rPr>
          <w:rFonts w:ascii="Symbol" w:hAnsi="Symbol" w:hint="default"/>
        </w:rPr>
      </w:lvl>
    </w:lvlOverride>
  </w:num>
  <w:num w:numId="17">
    <w:abstractNumId w:val="9"/>
  </w:num>
  <w:num w:numId="18">
    <w:abstractNumId w:val="17"/>
  </w:num>
  <w:num w:numId="19">
    <w:abstractNumId w:val="2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1"/>
  </w:num>
  <w:num w:numId="24">
    <w:abstractNumId w:val="38"/>
  </w:num>
  <w:num w:numId="25">
    <w:abstractNumId w:val="12"/>
  </w:num>
  <w:num w:numId="26">
    <w:abstractNumId w:val="4"/>
  </w:num>
  <w:num w:numId="27">
    <w:abstractNumId w:val="37"/>
  </w:num>
  <w:num w:numId="28">
    <w:abstractNumId w:val="26"/>
  </w:num>
  <w:num w:numId="29">
    <w:abstractNumId w:val="19"/>
  </w:num>
  <w:num w:numId="30">
    <w:abstractNumId w:val="6"/>
  </w:num>
  <w:num w:numId="31">
    <w:abstractNumId w:val="3"/>
  </w:num>
  <w:num w:numId="32">
    <w:abstractNumId w:val="34"/>
  </w:num>
  <w:num w:numId="33">
    <w:abstractNumId w:val="24"/>
  </w:num>
  <w:num w:numId="34">
    <w:abstractNumId w:val="23"/>
  </w:num>
  <w:num w:numId="35">
    <w:abstractNumId w:val="16"/>
  </w:num>
  <w:num w:numId="36">
    <w:abstractNumId w:val="21"/>
  </w:num>
  <w:num w:numId="37">
    <w:abstractNumId w:val="20"/>
  </w:num>
  <w:num w:numId="38">
    <w:abstractNumId w:val="40"/>
  </w:num>
  <w:num w:numId="39">
    <w:abstractNumId w:val="31"/>
  </w:num>
  <w:num w:numId="40">
    <w:abstractNumId w:val="41"/>
  </w:num>
  <w:num w:numId="41">
    <w:abstractNumId w:val="31"/>
    <w:lvlOverride w:ilvl="0">
      <w:lvl w:ilvl="0" w:tplc="38D6BECC">
        <w:start w:val="1"/>
        <w:numFmt w:val="decimal"/>
        <w:lvlText w:val="(%1)"/>
        <w:lvlJc w:val="left"/>
        <w:pPr>
          <w:ind w:left="720" w:hanging="360"/>
        </w:pPr>
        <w:rPr>
          <w:rFonts w:hint="default"/>
        </w:rPr>
      </w:lvl>
    </w:lvlOverride>
    <w:lvlOverride w:ilvl="1">
      <w:lvl w:ilvl="1" w:tplc="0C090019" w:tentative="1">
        <w:start w:val="1"/>
        <w:numFmt w:val="lowerLetter"/>
        <w:lvlText w:val="%2."/>
        <w:lvlJc w:val="left"/>
        <w:pPr>
          <w:ind w:left="1440" w:hanging="360"/>
        </w:pPr>
      </w:lvl>
    </w:lvlOverride>
    <w:lvlOverride w:ilvl="2">
      <w:lvl w:ilvl="2" w:tplc="0C09001B" w:tentative="1">
        <w:start w:val="1"/>
        <w:numFmt w:val="lowerRoman"/>
        <w:lvlText w:val="%3."/>
        <w:lvlJc w:val="right"/>
        <w:pPr>
          <w:ind w:left="2160" w:hanging="180"/>
        </w:pPr>
      </w:lvl>
    </w:lvlOverride>
    <w:lvlOverride w:ilvl="3">
      <w:lvl w:ilvl="3" w:tplc="0C09000F" w:tentative="1">
        <w:start w:val="1"/>
        <w:numFmt w:val="decimal"/>
        <w:lvlText w:val="%4."/>
        <w:lvlJc w:val="left"/>
        <w:pPr>
          <w:ind w:left="2880" w:hanging="360"/>
        </w:pPr>
      </w:lvl>
    </w:lvlOverride>
    <w:lvlOverride w:ilvl="4">
      <w:lvl w:ilvl="4" w:tplc="0C090019" w:tentative="1">
        <w:start w:val="1"/>
        <w:numFmt w:val="lowerLetter"/>
        <w:lvlText w:val="%5."/>
        <w:lvlJc w:val="left"/>
        <w:pPr>
          <w:ind w:left="3600" w:hanging="360"/>
        </w:pPr>
      </w:lvl>
    </w:lvlOverride>
    <w:lvlOverride w:ilvl="5">
      <w:lvl w:ilvl="5" w:tplc="0C09001B" w:tentative="1">
        <w:start w:val="1"/>
        <w:numFmt w:val="lowerRoman"/>
        <w:lvlText w:val="%6."/>
        <w:lvlJc w:val="right"/>
        <w:pPr>
          <w:ind w:left="4320" w:hanging="180"/>
        </w:pPr>
      </w:lvl>
    </w:lvlOverride>
    <w:lvlOverride w:ilvl="6">
      <w:lvl w:ilvl="6" w:tplc="0C09000F" w:tentative="1">
        <w:start w:val="1"/>
        <w:numFmt w:val="decimal"/>
        <w:lvlText w:val="%7."/>
        <w:lvlJc w:val="left"/>
        <w:pPr>
          <w:ind w:left="5040" w:hanging="360"/>
        </w:pPr>
      </w:lvl>
    </w:lvlOverride>
    <w:lvlOverride w:ilvl="7">
      <w:lvl w:ilvl="7" w:tplc="0C090019" w:tentative="1">
        <w:start w:val="1"/>
        <w:numFmt w:val="lowerLetter"/>
        <w:lvlText w:val="%8."/>
        <w:lvlJc w:val="left"/>
        <w:pPr>
          <w:ind w:left="5760" w:hanging="360"/>
        </w:pPr>
      </w:lvl>
    </w:lvlOverride>
    <w:lvlOverride w:ilvl="8">
      <w:lvl w:ilvl="8" w:tplc="0C09001B" w:tentative="1">
        <w:start w:val="1"/>
        <w:numFmt w:val="lowerRoman"/>
        <w:lvlText w:val="%9."/>
        <w:lvlJc w:val="right"/>
        <w:pPr>
          <w:ind w:left="6480" w:hanging="180"/>
        </w:pPr>
      </w:lvl>
    </w:lvlOverride>
  </w:num>
  <w:num w:numId="42">
    <w:abstractNumId w:val="42"/>
  </w:num>
  <w:num w:numId="43">
    <w:abstractNumId w:val="36"/>
  </w:num>
  <w:num w:numId="44">
    <w:abstractNumId w:val="15"/>
  </w:num>
  <w:num w:numId="4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00E8"/>
    <w:rsid w:val="00017B8C"/>
    <w:rsid w:val="00021C53"/>
    <w:rsid w:val="00026035"/>
    <w:rsid w:val="00031575"/>
    <w:rsid w:val="000435EE"/>
    <w:rsid w:val="00044008"/>
    <w:rsid w:val="00046648"/>
    <w:rsid w:val="00053377"/>
    <w:rsid w:val="00053F5F"/>
    <w:rsid w:val="00056ED7"/>
    <w:rsid w:val="00063934"/>
    <w:rsid w:val="0007536F"/>
    <w:rsid w:val="00080C9F"/>
    <w:rsid w:val="000B5887"/>
    <w:rsid w:val="000D3138"/>
    <w:rsid w:val="000D5932"/>
    <w:rsid w:val="000E62FA"/>
    <w:rsid w:val="000F6CA7"/>
    <w:rsid w:val="000F7599"/>
    <w:rsid w:val="00106A5B"/>
    <w:rsid w:val="00116445"/>
    <w:rsid w:val="001172A8"/>
    <w:rsid w:val="0012612F"/>
    <w:rsid w:val="0014454A"/>
    <w:rsid w:val="00173960"/>
    <w:rsid w:val="0018305B"/>
    <w:rsid w:val="001840A3"/>
    <w:rsid w:val="001B1F81"/>
    <w:rsid w:val="001B2B99"/>
    <w:rsid w:val="001B67EF"/>
    <w:rsid w:val="001B6D1A"/>
    <w:rsid w:val="001C05C7"/>
    <w:rsid w:val="001C5F3C"/>
    <w:rsid w:val="001C6AE9"/>
    <w:rsid w:val="001C7EFF"/>
    <w:rsid w:val="001D5A7B"/>
    <w:rsid w:val="001D7959"/>
    <w:rsid w:val="001E75D8"/>
    <w:rsid w:val="001F7B2D"/>
    <w:rsid w:val="0020338B"/>
    <w:rsid w:val="002102FC"/>
    <w:rsid w:val="0021254F"/>
    <w:rsid w:val="00214E5D"/>
    <w:rsid w:val="00217DF4"/>
    <w:rsid w:val="00232EB9"/>
    <w:rsid w:val="002343DD"/>
    <w:rsid w:val="002356F3"/>
    <w:rsid w:val="00242D77"/>
    <w:rsid w:val="002452DC"/>
    <w:rsid w:val="00247AE7"/>
    <w:rsid w:val="00254F0B"/>
    <w:rsid w:val="00263C47"/>
    <w:rsid w:val="00265430"/>
    <w:rsid w:val="00267284"/>
    <w:rsid w:val="0027018D"/>
    <w:rsid w:val="002755D0"/>
    <w:rsid w:val="00297F62"/>
    <w:rsid w:val="002A60A2"/>
    <w:rsid w:val="002C6FC7"/>
    <w:rsid w:val="002D1338"/>
    <w:rsid w:val="002D7756"/>
    <w:rsid w:val="002F02BB"/>
    <w:rsid w:val="002F20DB"/>
    <w:rsid w:val="00300ACC"/>
    <w:rsid w:val="003155BC"/>
    <w:rsid w:val="003244ED"/>
    <w:rsid w:val="00332669"/>
    <w:rsid w:val="00336823"/>
    <w:rsid w:val="00340DEB"/>
    <w:rsid w:val="00342CCD"/>
    <w:rsid w:val="003441FA"/>
    <w:rsid w:val="00347320"/>
    <w:rsid w:val="00357CEF"/>
    <w:rsid w:val="00363DEA"/>
    <w:rsid w:val="00363E8A"/>
    <w:rsid w:val="003706B5"/>
    <w:rsid w:val="00371521"/>
    <w:rsid w:val="00372CBA"/>
    <w:rsid w:val="00387329"/>
    <w:rsid w:val="00394435"/>
    <w:rsid w:val="003B1AB1"/>
    <w:rsid w:val="003B725C"/>
    <w:rsid w:val="003D2ECE"/>
    <w:rsid w:val="003D52F6"/>
    <w:rsid w:val="003D72C0"/>
    <w:rsid w:val="003E0007"/>
    <w:rsid w:val="003E02D6"/>
    <w:rsid w:val="003E25FD"/>
    <w:rsid w:val="003F2BB3"/>
    <w:rsid w:val="004005BD"/>
    <w:rsid w:val="00404872"/>
    <w:rsid w:val="00422E06"/>
    <w:rsid w:val="0043063D"/>
    <w:rsid w:val="00436BB6"/>
    <w:rsid w:val="004409E0"/>
    <w:rsid w:val="00446551"/>
    <w:rsid w:val="00462E9B"/>
    <w:rsid w:val="004642E5"/>
    <w:rsid w:val="00464619"/>
    <w:rsid w:val="0046487C"/>
    <w:rsid w:val="00485181"/>
    <w:rsid w:val="00492AF3"/>
    <w:rsid w:val="004946C3"/>
    <w:rsid w:val="004A63AD"/>
    <w:rsid w:val="004A67E0"/>
    <w:rsid w:val="004B3486"/>
    <w:rsid w:val="004B7C7C"/>
    <w:rsid w:val="004C226E"/>
    <w:rsid w:val="004C62D2"/>
    <w:rsid w:val="004D06C9"/>
    <w:rsid w:val="004D1082"/>
    <w:rsid w:val="004D4859"/>
    <w:rsid w:val="004D624B"/>
    <w:rsid w:val="004E5404"/>
    <w:rsid w:val="004F062A"/>
    <w:rsid w:val="0050427A"/>
    <w:rsid w:val="00511A14"/>
    <w:rsid w:val="00520B4E"/>
    <w:rsid w:val="005264FD"/>
    <w:rsid w:val="005400E8"/>
    <w:rsid w:val="005635EB"/>
    <w:rsid w:val="00563C8F"/>
    <w:rsid w:val="00581937"/>
    <w:rsid w:val="00584539"/>
    <w:rsid w:val="00584DEA"/>
    <w:rsid w:val="00590A35"/>
    <w:rsid w:val="00591885"/>
    <w:rsid w:val="00595B6C"/>
    <w:rsid w:val="005A048D"/>
    <w:rsid w:val="005B3050"/>
    <w:rsid w:val="005B50D4"/>
    <w:rsid w:val="005C11CA"/>
    <w:rsid w:val="005D54DA"/>
    <w:rsid w:val="005E77CB"/>
    <w:rsid w:val="005F70C1"/>
    <w:rsid w:val="00604209"/>
    <w:rsid w:val="0061318D"/>
    <w:rsid w:val="006166AA"/>
    <w:rsid w:val="00621294"/>
    <w:rsid w:val="00622ED1"/>
    <w:rsid w:val="00635EB8"/>
    <w:rsid w:val="006369A1"/>
    <w:rsid w:val="006378D8"/>
    <w:rsid w:val="00641145"/>
    <w:rsid w:val="0064712E"/>
    <w:rsid w:val="00661E0F"/>
    <w:rsid w:val="00663A5A"/>
    <w:rsid w:val="006854E4"/>
    <w:rsid w:val="0068772A"/>
    <w:rsid w:val="0069248E"/>
    <w:rsid w:val="0069794A"/>
    <w:rsid w:val="006A03B9"/>
    <w:rsid w:val="006A46D2"/>
    <w:rsid w:val="006C6A78"/>
    <w:rsid w:val="006E5C06"/>
    <w:rsid w:val="006E7019"/>
    <w:rsid w:val="006E7B75"/>
    <w:rsid w:val="0070434C"/>
    <w:rsid w:val="00707AF4"/>
    <w:rsid w:val="007207CD"/>
    <w:rsid w:val="00721D67"/>
    <w:rsid w:val="0073228A"/>
    <w:rsid w:val="007463CD"/>
    <w:rsid w:val="00757109"/>
    <w:rsid w:val="00763127"/>
    <w:rsid w:val="007731AF"/>
    <w:rsid w:val="00773993"/>
    <w:rsid w:val="007754D5"/>
    <w:rsid w:val="00777A72"/>
    <w:rsid w:val="00786AD1"/>
    <w:rsid w:val="00790537"/>
    <w:rsid w:val="0079379A"/>
    <w:rsid w:val="007A3F97"/>
    <w:rsid w:val="007A6383"/>
    <w:rsid w:val="007B0BE8"/>
    <w:rsid w:val="007B5D21"/>
    <w:rsid w:val="007E66A6"/>
    <w:rsid w:val="007E6840"/>
    <w:rsid w:val="007F2132"/>
    <w:rsid w:val="00806DF4"/>
    <w:rsid w:val="00813751"/>
    <w:rsid w:val="00815A1B"/>
    <w:rsid w:val="008164DE"/>
    <w:rsid w:val="00826EA7"/>
    <w:rsid w:val="00833325"/>
    <w:rsid w:val="0083502C"/>
    <w:rsid w:val="0084358A"/>
    <w:rsid w:val="0084533E"/>
    <w:rsid w:val="00864FB5"/>
    <w:rsid w:val="00865FD9"/>
    <w:rsid w:val="00882CAA"/>
    <w:rsid w:val="00887A33"/>
    <w:rsid w:val="008A17BC"/>
    <w:rsid w:val="008A3D9C"/>
    <w:rsid w:val="008B1601"/>
    <w:rsid w:val="008B39BD"/>
    <w:rsid w:val="008C122B"/>
    <w:rsid w:val="008C7916"/>
    <w:rsid w:val="008D291B"/>
    <w:rsid w:val="008D789B"/>
    <w:rsid w:val="008E4B1D"/>
    <w:rsid w:val="008E504A"/>
    <w:rsid w:val="008F12DC"/>
    <w:rsid w:val="008F5986"/>
    <w:rsid w:val="008F6ABA"/>
    <w:rsid w:val="00912079"/>
    <w:rsid w:val="0092072A"/>
    <w:rsid w:val="00921F16"/>
    <w:rsid w:val="00922245"/>
    <w:rsid w:val="009257CA"/>
    <w:rsid w:val="00936181"/>
    <w:rsid w:val="00940063"/>
    <w:rsid w:val="00956615"/>
    <w:rsid w:val="009619CD"/>
    <w:rsid w:val="00963D2B"/>
    <w:rsid w:val="009643B9"/>
    <w:rsid w:val="00965B92"/>
    <w:rsid w:val="00967F9F"/>
    <w:rsid w:val="00971027"/>
    <w:rsid w:val="00976345"/>
    <w:rsid w:val="00976AFA"/>
    <w:rsid w:val="009932BA"/>
    <w:rsid w:val="009A638C"/>
    <w:rsid w:val="009A6D44"/>
    <w:rsid w:val="009B5954"/>
    <w:rsid w:val="009C0A36"/>
    <w:rsid w:val="009C5B30"/>
    <w:rsid w:val="009D4C97"/>
    <w:rsid w:val="009D6391"/>
    <w:rsid w:val="009E3C0D"/>
    <w:rsid w:val="009E60CF"/>
    <w:rsid w:val="009F5946"/>
    <w:rsid w:val="00A10047"/>
    <w:rsid w:val="00A245FE"/>
    <w:rsid w:val="00A271B0"/>
    <w:rsid w:val="00A34470"/>
    <w:rsid w:val="00A376A3"/>
    <w:rsid w:val="00A40C6B"/>
    <w:rsid w:val="00A41CE7"/>
    <w:rsid w:val="00A45554"/>
    <w:rsid w:val="00A610D6"/>
    <w:rsid w:val="00A86132"/>
    <w:rsid w:val="00A907D5"/>
    <w:rsid w:val="00A91B3D"/>
    <w:rsid w:val="00A97F42"/>
    <w:rsid w:val="00AB062D"/>
    <w:rsid w:val="00AC69F4"/>
    <w:rsid w:val="00AD52D6"/>
    <w:rsid w:val="00AD5525"/>
    <w:rsid w:val="00AD7FD7"/>
    <w:rsid w:val="00AF192F"/>
    <w:rsid w:val="00AF4FE6"/>
    <w:rsid w:val="00B00285"/>
    <w:rsid w:val="00B12B86"/>
    <w:rsid w:val="00B14A00"/>
    <w:rsid w:val="00B21D0B"/>
    <w:rsid w:val="00B36297"/>
    <w:rsid w:val="00B3650E"/>
    <w:rsid w:val="00B3691D"/>
    <w:rsid w:val="00B42342"/>
    <w:rsid w:val="00B45C87"/>
    <w:rsid w:val="00B5359A"/>
    <w:rsid w:val="00B65313"/>
    <w:rsid w:val="00B7008B"/>
    <w:rsid w:val="00B72B99"/>
    <w:rsid w:val="00B819C2"/>
    <w:rsid w:val="00B8334D"/>
    <w:rsid w:val="00B937B4"/>
    <w:rsid w:val="00B9433D"/>
    <w:rsid w:val="00BA55DD"/>
    <w:rsid w:val="00BB1B0E"/>
    <w:rsid w:val="00BB41EE"/>
    <w:rsid w:val="00BB6523"/>
    <w:rsid w:val="00BB6E73"/>
    <w:rsid w:val="00BC5CCD"/>
    <w:rsid w:val="00BD7160"/>
    <w:rsid w:val="00BD760C"/>
    <w:rsid w:val="00BE2014"/>
    <w:rsid w:val="00BE33DA"/>
    <w:rsid w:val="00C018BB"/>
    <w:rsid w:val="00C16571"/>
    <w:rsid w:val="00C16D0E"/>
    <w:rsid w:val="00C16EAB"/>
    <w:rsid w:val="00C2315A"/>
    <w:rsid w:val="00C24D27"/>
    <w:rsid w:val="00C272BA"/>
    <w:rsid w:val="00C276E0"/>
    <w:rsid w:val="00C30503"/>
    <w:rsid w:val="00C31B67"/>
    <w:rsid w:val="00C35F6C"/>
    <w:rsid w:val="00C73598"/>
    <w:rsid w:val="00C877E6"/>
    <w:rsid w:val="00CA6A34"/>
    <w:rsid w:val="00CB6840"/>
    <w:rsid w:val="00CC0A2D"/>
    <w:rsid w:val="00CC1335"/>
    <w:rsid w:val="00CC177B"/>
    <w:rsid w:val="00CC5CFB"/>
    <w:rsid w:val="00CE184A"/>
    <w:rsid w:val="00CE3940"/>
    <w:rsid w:val="00CE5A2F"/>
    <w:rsid w:val="00CF01A7"/>
    <w:rsid w:val="00CF0C4C"/>
    <w:rsid w:val="00CF28D9"/>
    <w:rsid w:val="00CF5566"/>
    <w:rsid w:val="00D06638"/>
    <w:rsid w:val="00D1179B"/>
    <w:rsid w:val="00D159E4"/>
    <w:rsid w:val="00D23B48"/>
    <w:rsid w:val="00D41D53"/>
    <w:rsid w:val="00D50A3B"/>
    <w:rsid w:val="00D61E9A"/>
    <w:rsid w:val="00D706E9"/>
    <w:rsid w:val="00D8068C"/>
    <w:rsid w:val="00DA2E5D"/>
    <w:rsid w:val="00DB48E5"/>
    <w:rsid w:val="00DD4A21"/>
    <w:rsid w:val="00DE456D"/>
    <w:rsid w:val="00DE7331"/>
    <w:rsid w:val="00DF4186"/>
    <w:rsid w:val="00DF6EAD"/>
    <w:rsid w:val="00E02DFE"/>
    <w:rsid w:val="00E0425B"/>
    <w:rsid w:val="00E1406C"/>
    <w:rsid w:val="00E151A7"/>
    <w:rsid w:val="00E22E3A"/>
    <w:rsid w:val="00E27DCB"/>
    <w:rsid w:val="00E3398A"/>
    <w:rsid w:val="00E40DBD"/>
    <w:rsid w:val="00E5021E"/>
    <w:rsid w:val="00E57487"/>
    <w:rsid w:val="00E60791"/>
    <w:rsid w:val="00E61851"/>
    <w:rsid w:val="00E61E03"/>
    <w:rsid w:val="00E66006"/>
    <w:rsid w:val="00E8349A"/>
    <w:rsid w:val="00E9076A"/>
    <w:rsid w:val="00E9632C"/>
    <w:rsid w:val="00EB6FA0"/>
    <w:rsid w:val="00EC3F79"/>
    <w:rsid w:val="00EC7338"/>
    <w:rsid w:val="00ED1448"/>
    <w:rsid w:val="00EE6E85"/>
    <w:rsid w:val="00EF5B6D"/>
    <w:rsid w:val="00F10A31"/>
    <w:rsid w:val="00F150DC"/>
    <w:rsid w:val="00F21D5B"/>
    <w:rsid w:val="00F243BB"/>
    <w:rsid w:val="00F261E5"/>
    <w:rsid w:val="00F329BB"/>
    <w:rsid w:val="00F402AF"/>
    <w:rsid w:val="00F40BCE"/>
    <w:rsid w:val="00F44BF6"/>
    <w:rsid w:val="00F47292"/>
    <w:rsid w:val="00F508D7"/>
    <w:rsid w:val="00F55BC3"/>
    <w:rsid w:val="00F6226C"/>
    <w:rsid w:val="00F63E96"/>
    <w:rsid w:val="00F7094D"/>
    <w:rsid w:val="00F72F2F"/>
    <w:rsid w:val="00F77A1C"/>
    <w:rsid w:val="00F8151E"/>
    <w:rsid w:val="00F82BF5"/>
    <w:rsid w:val="00F8721E"/>
    <w:rsid w:val="00F938B8"/>
    <w:rsid w:val="00FA155F"/>
    <w:rsid w:val="00FB07D5"/>
    <w:rsid w:val="00FC5741"/>
    <w:rsid w:val="00FD2BEE"/>
    <w:rsid w:val="00FE0251"/>
    <w:rsid w:val="00FE72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place"/>
  <w:shapeDefaults>
    <o:shapedefaults v:ext="edit" spidmax="819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6A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CA6A34"/>
    <w:pPr>
      <w:spacing w:after="340" w:line="340" w:lineRule="exact"/>
      <w:jc w:val="both"/>
    </w:pPr>
    <w:rPr>
      <w:sz w:val="23"/>
    </w:rPr>
  </w:style>
  <w:style w:type="paragraph" w:styleId="ListBullet">
    <w:name w:val="List Bullet"/>
    <w:basedOn w:val="Normal"/>
    <w:autoRedefine/>
    <w:rsid w:val="00CA6A34"/>
    <w:pPr>
      <w:numPr>
        <w:numId w:val="2"/>
      </w:numPr>
      <w:spacing w:after="120" w:line="280" w:lineRule="exact"/>
      <w:jc w:val="both"/>
    </w:pPr>
    <w:rPr>
      <w:rFonts w:ascii="Arial" w:hAnsi="Arial"/>
      <w:sz w:val="22"/>
    </w:rPr>
  </w:style>
  <w:style w:type="character" w:customStyle="1" w:styleId="Heading">
    <w:name w:val="Heading"/>
    <w:basedOn w:val="DefaultParagraphFont"/>
    <w:rsid w:val="00CA6A34"/>
    <w:rPr>
      <w:rFonts w:ascii="Arial" w:hAnsi="Arial"/>
      <w:b/>
      <w:caps/>
      <w:sz w:val="19"/>
    </w:rPr>
  </w:style>
  <w:style w:type="character" w:customStyle="1" w:styleId="Subheading">
    <w:name w:val="Subheading"/>
    <w:basedOn w:val="DefaultParagraphFont"/>
    <w:rsid w:val="00CA6A34"/>
    <w:rPr>
      <w:rFonts w:ascii="Arial" w:hAnsi="Arial"/>
      <w:b/>
      <w:sz w:val="19"/>
    </w:rPr>
  </w:style>
  <w:style w:type="paragraph" w:styleId="Header">
    <w:name w:val="header"/>
    <w:basedOn w:val="Normal"/>
    <w:rsid w:val="00CA6A34"/>
    <w:pPr>
      <w:tabs>
        <w:tab w:val="center" w:pos="4153"/>
        <w:tab w:val="right" w:pos="8306"/>
      </w:tabs>
    </w:pPr>
  </w:style>
  <w:style w:type="character" w:styleId="PageNumber">
    <w:name w:val="page number"/>
    <w:basedOn w:val="DefaultParagraphFont"/>
    <w:rsid w:val="00CA6A34"/>
  </w:style>
  <w:style w:type="paragraph" w:styleId="Footer">
    <w:name w:val="footer"/>
    <w:basedOn w:val="Normal"/>
    <w:rsid w:val="00CA6A34"/>
    <w:pPr>
      <w:tabs>
        <w:tab w:val="center" w:pos="4153"/>
        <w:tab w:val="right" w:pos="8306"/>
      </w:tabs>
    </w:pPr>
  </w:style>
  <w:style w:type="character" w:styleId="Hyperlink">
    <w:name w:val="Hyperlink"/>
    <w:basedOn w:val="DefaultParagraphFont"/>
    <w:rsid w:val="009A6D44"/>
    <w:rPr>
      <w:color w:val="0000FF"/>
      <w:u w:val="single"/>
    </w:rPr>
  </w:style>
  <w:style w:type="character" w:styleId="CommentReference">
    <w:name w:val="annotation reference"/>
    <w:basedOn w:val="DefaultParagraphFont"/>
    <w:uiPriority w:val="99"/>
    <w:semiHidden/>
    <w:rsid w:val="00B72B99"/>
    <w:rPr>
      <w:sz w:val="16"/>
      <w:szCs w:val="16"/>
    </w:rPr>
  </w:style>
  <w:style w:type="paragraph" w:styleId="CommentText">
    <w:name w:val="annotation text"/>
    <w:basedOn w:val="Normal"/>
    <w:link w:val="CommentTextChar"/>
    <w:uiPriority w:val="99"/>
    <w:semiHidden/>
    <w:rsid w:val="00B72B99"/>
  </w:style>
  <w:style w:type="paragraph" w:styleId="CommentSubject">
    <w:name w:val="annotation subject"/>
    <w:basedOn w:val="CommentText"/>
    <w:next w:val="CommentText"/>
    <w:semiHidden/>
    <w:rsid w:val="00B72B99"/>
    <w:rPr>
      <w:b/>
      <w:bCs/>
    </w:rPr>
  </w:style>
  <w:style w:type="paragraph" w:styleId="BalloonText">
    <w:name w:val="Balloon Text"/>
    <w:basedOn w:val="Normal"/>
    <w:semiHidden/>
    <w:rsid w:val="00B72B99"/>
    <w:rPr>
      <w:rFonts w:ascii="Tahoma" w:hAnsi="Tahoma" w:cs="Tahoma"/>
      <w:sz w:val="16"/>
      <w:szCs w:val="16"/>
    </w:rPr>
  </w:style>
  <w:style w:type="paragraph" w:styleId="FootnoteText">
    <w:name w:val="footnote text"/>
    <w:basedOn w:val="Normal"/>
    <w:link w:val="FootnoteTextChar"/>
    <w:uiPriority w:val="99"/>
    <w:semiHidden/>
    <w:rsid w:val="00B72B99"/>
  </w:style>
  <w:style w:type="character" w:styleId="FootnoteReference">
    <w:name w:val="footnote reference"/>
    <w:basedOn w:val="DefaultParagraphFont"/>
    <w:uiPriority w:val="99"/>
    <w:semiHidden/>
    <w:rsid w:val="00B72B99"/>
    <w:rPr>
      <w:vertAlign w:val="superscript"/>
    </w:rPr>
  </w:style>
  <w:style w:type="paragraph" w:styleId="ListParagraph">
    <w:name w:val="List Paragraph"/>
    <w:basedOn w:val="Normal"/>
    <w:uiPriority w:val="34"/>
    <w:qFormat/>
    <w:rsid w:val="0027018D"/>
    <w:pPr>
      <w:ind w:left="720"/>
    </w:pPr>
    <w:rPr>
      <w:rFonts w:ascii="Calibri" w:hAnsi="Calibri"/>
      <w:sz w:val="22"/>
      <w:szCs w:val="22"/>
      <w:lang w:eastAsia="en-US"/>
    </w:rPr>
  </w:style>
  <w:style w:type="character" w:customStyle="1" w:styleId="BodyTextChar">
    <w:name w:val="Body Text Char"/>
    <w:basedOn w:val="DefaultParagraphFont"/>
    <w:link w:val="BodyText"/>
    <w:rsid w:val="00CE5A2F"/>
    <w:rPr>
      <w:sz w:val="23"/>
    </w:rPr>
  </w:style>
  <w:style w:type="paragraph" w:styleId="EndnoteText">
    <w:name w:val="endnote text"/>
    <w:basedOn w:val="Normal"/>
    <w:link w:val="EndnoteTextChar"/>
    <w:rsid w:val="008E4B1D"/>
  </w:style>
  <w:style w:type="character" w:customStyle="1" w:styleId="EndnoteTextChar">
    <w:name w:val="Endnote Text Char"/>
    <w:basedOn w:val="DefaultParagraphFont"/>
    <w:link w:val="EndnoteText"/>
    <w:rsid w:val="008E4B1D"/>
  </w:style>
  <w:style w:type="character" w:styleId="EndnoteReference">
    <w:name w:val="endnote reference"/>
    <w:basedOn w:val="DefaultParagraphFont"/>
    <w:rsid w:val="008E4B1D"/>
    <w:rPr>
      <w:vertAlign w:val="superscript"/>
    </w:rPr>
  </w:style>
  <w:style w:type="table" w:styleId="TableGrid">
    <w:name w:val="Table Grid"/>
    <w:basedOn w:val="TableNormal"/>
    <w:uiPriority w:val="59"/>
    <w:rsid w:val="00E9632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3155BC"/>
    <w:rPr>
      <w:color w:val="800080" w:themeColor="followedHyperlink"/>
      <w:u w:val="single"/>
    </w:rPr>
  </w:style>
  <w:style w:type="paragraph" w:customStyle="1" w:styleId="Default">
    <w:name w:val="Default"/>
    <w:rsid w:val="002755D0"/>
    <w:pPr>
      <w:autoSpaceDE w:val="0"/>
      <w:autoSpaceDN w:val="0"/>
      <w:adjustRightInd w:val="0"/>
    </w:pPr>
    <w:rPr>
      <w:rFonts w:ascii="Palatino Linotype" w:eastAsiaTheme="minorHAnsi" w:hAnsi="Palatino Linotype" w:cs="Palatino Linotype"/>
      <w:color w:val="000000"/>
      <w:sz w:val="24"/>
      <w:szCs w:val="24"/>
      <w:lang w:eastAsia="en-US"/>
    </w:rPr>
  </w:style>
  <w:style w:type="character" w:customStyle="1" w:styleId="CommentTextChar">
    <w:name w:val="Comment Text Char"/>
    <w:basedOn w:val="DefaultParagraphFont"/>
    <w:link w:val="CommentText"/>
    <w:uiPriority w:val="99"/>
    <w:semiHidden/>
    <w:rsid w:val="00C018BB"/>
  </w:style>
  <w:style w:type="character" w:customStyle="1" w:styleId="FootnoteTextChar">
    <w:name w:val="Footnote Text Char"/>
    <w:basedOn w:val="DefaultParagraphFont"/>
    <w:link w:val="FootnoteText"/>
    <w:uiPriority w:val="99"/>
    <w:semiHidden/>
    <w:rsid w:val="00C018BB"/>
  </w:style>
  <w:style w:type="paragraph" w:styleId="Revision">
    <w:name w:val="Revision"/>
    <w:hidden/>
    <w:uiPriority w:val="99"/>
    <w:semiHidden/>
    <w:rsid w:val="00661E0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annotation text" w:uiPriority="99"/>
    <w:lsdException w:name="caption" w:semiHidden="1" w:unhideWhenUsed="1" w:qFormat="1"/>
    <w:lsdException w:name="footnote reference" w:uiPriority="99"/>
    <w:lsdException w:name="annotation reference" w:uiPriority="99"/>
    <w:lsdException w:name="Title" w:qFormat="1"/>
    <w:lsdException w:name="Subtitle" w:qFormat="1"/>
    <w:lsdException w:name="Strong" w:qFormat="1"/>
    <w:lsdException w:name="Emphasis" w:qFormat="1"/>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CA6A3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rsid w:val="00CA6A34"/>
    <w:pPr>
      <w:spacing w:after="340" w:line="340" w:lineRule="exact"/>
      <w:jc w:val="both"/>
    </w:pPr>
    <w:rPr>
      <w:sz w:val="23"/>
    </w:rPr>
  </w:style>
  <w:style w:type="paragraph" w:styleId="ListBullet">
    <w:name w:val="List Bullet"/>
    <w:basedOn w:val="Normal"/>
    <w:autoRedefine/>
    <w:rsid w:val="00CA6A34"/>
    <w:pPr>
      <w:numPr>
        <w:numId w:val="2"/>
      </w:numPr>
      <w:spacing w:after="120" w:line="280" w:lineRule="exact"/>
      <w:jc w:val="both"/>
    </w:pPr>
    <w:rPr>
      <w:rFonts w:ascii="Arial" w:hAnsi="Arial"/>
      <w:sz w:val="22"/>
    </w:rPr>
  </w:style>
  <w:style w:type="character" w:customStyle="1" w:styleId="Heading">
    <w:name w:val="Heading"/>
    <w:basedOn w:val="DefaultParagraphFont"/>
    <w:rsid w:val="00CA6A34"/>
    <w:rPr>
      <w:rFonts w:ascii="Arial" w:hAnsi="Arial"/>
      <w:b/>
      <w:caps/>
      <w:sz w:val="19"/>
    </w:rPr>
  </w:style>
  <w:style w:type="character" w:customStyle="1" w:styleId="Subheading">
    <w:name w:val="Subheading"/>
    <w:basedOn w:val="DefaultParagraphFont"/>
    <w:rsid w:val="00CA6A34"/>
    <w:rPr>
      <w:rFonts w:ascii="Arial" w:hAnsi="Arial"/>
      <w:b/>
      <w:sz w:val="19"/>
    </w:rPr>
  </w:style>
  <w:style w:type="paragraph" w:styleId="Header">
    <w:name w:val="header"/>
    <w:basedOn w:val="Normal"/>
    <w:rsid w:val="00CA6A34"/>
    <w:pPr>
      <w:tabs>
        <w:tab w:val="center" w:pos="4153"/>
        <w:tab w:val="right" w:pos="8306"/>
      </w:tabs>
    </w:pPr>
  </w:style>
  <w:style w:type="character" w:styleId="PageNumber">
    <w:name w:val="page number"/>
    <w:basedOn w:val="DefaultParagraphFont"/>
    <w:rsid w:val="00CA6A34"/>
  </w:style>
  <w:style w:type="paragraph" w:styleId="Footer">
    <w:name w:val="footer"/>
    <w:basedOn w:val="Normal"/>
    <w:rsid w:val="00CA6A34"/>
    <w:pPr>
      <w:tabs>
        <w:tab w:val="center" w:pos="4153"/>
        <w:tab w:val="right" w:pos="8306"/>
      </w:tabs>
    </w:pPr>
  </w:style>
  <w:style w:type="character" w:styleId="Hyperlink">
    <w:name w:val="Hyperlink"/>
    <w:basedOn w:val="DefaultParagraphFont"/>
    <w:rsid w:val="009A6D44"/>
    <w:rPr>
      <w:color w:val="0000FF"/>
      <w:u w:val="single"/>
    </w:rPr>
  </w:style>
  <w:style w:type="character" w:styleId="CommentReference">
    <w:name w:val="annotation reference"/>
    <w:basedOn w:val="DefaultParagraphFont"/>
    <w:uiPriority w:val="99"/>
    <w:semiHidden/>
    <w:rsid w:val="00B72B99"/>
    <w:rPr>
      <w:sz w:val="16"/>
      <w:szCs w:val="16"/>
    </w:rPr>
  </w:style>
  <w:style w:type="paragraph" w:styleId="CommentText">
    <w:name w:val="annotation text"/>
    <w:basedOn w:val="Normal"/>
    <w:link w:val="CommentTextChar"/>
    <w:uiPriority w:val="99"/>
    <w:semiHidden/>
    <w:rsid w:val="00B72B99"/>
  </w:style>
  <w:style w:type="paragraph" w:styleId="CommentSubject">
    <w:name w:val="annotation subject"/>
    <w:basedOn w:val="CommentText"/>
    <w:next w:val="CommentText"/>
    <w:semiHidden/>
    <w:rsid w:val="00B72B99"/>
    <w:rPr>
      <w:b/>
      <w:bCs/>
    </w:rPr>
  </w:style>
  <w:style w:type="paragraph" w:styleId="BalloonText">
    <w:name w:val="Balloon Text"/>
    <w:basedOn w:val="Normal"/>
    <w:semiHidden/>
    <w:rsid w:val="00B72B99"/>
    <w:rPr>
      <w:rFonts w:ascii="Tahoma" w:hAnsi="Tahoma" w:cs="Tahoma"/>
      <w:sz w:val="16"/>
      <w:szCs w:val="16"/>
    </w:rPr>
  </w:style>
  <w:style w:type="paragraph" w:styleId="FootnoteText">
    <w:name w:val="footnote text"/>
    <w:basedOn w:val="Normal"/>
    <w:link w:val="FootnoteTextChar"/>
    <w:uiPriority w:val="99"/>
    <w:semiHidden/>
    <w:rsid w:val="00B72B99"/>
  </w:style>
  <w:style w:type="character" w:styleId="FootnoteReference">
    <w:name w:val="footnote reference"/>
    <w:basedOn w:val="DefaultParagraphFont"/>
    <w:uiPriority w:val="99"/>
    <w:semiHidden/>
    <w:rsid w:val="00B72B99"/>
    <w:rPr>
      <w:vertAlign w:val="superscript"/>
    </w:rPr>
  </w:style>
  <w:style w:type="paragraph" w:styleId="ListParagraph">
    <w:name w:val="List Paragraph"/>
    <w:basedOn w:val="Normal"/>
    <w:uiPriority w:val="34"/>
    <w:qFormat/>
    <w:rsid w:val="0027018D"/>
    <w:pPr>
      <w:ind w:left="720"/>
    </w:pPr>
    <w:rPr>
      <w:rFonts w:ascii="Calibri" w:hAnsi="Calibri"/>
      <w:sz w:val="22"/>
      <w:szCs w:val="22"/>
      <w:lang w:eastAsia="en-US"/>
    </w:rPr>
  </w:style>
  <w:style w:type="character" w:customStyle="1" w:styleId="BodyTextChar">
    <w:name w:val="Body Text Char"/>
    <w:basedOn w:val="DefaultParagraphFont"/>
    <w:link w:val="BodyText"/>
    <w:rsid w:val="00CE5A2F"/>
    <w:rPr>
      <w:sz w:val="23"/>
    </w:rPr>
  </w:style>
  <w:style w:type="paragraph" w:styleId="EndnoteText">
    <w:name w:val="endnote text"/>
    <w:basedOn w:val="Normal"/>
    <w:link w:val="EndnoteTextChar"/>
    <w:rsid w:val="008E4B1D"/>
  </w:style>
  <w:style w:type="character" w:customStyle="1" w:styleId="EndnoteTextChar">
    <w:name w:val="Endnote Text Char"/>
    <w:basedOn w:val="DefaultParagraphFont"/>
    <w:link w:val="EndnoteText"/>
    <w:rsid w:val="008E4B1D"/>
  </w:style>
  <w:style w:type="character" w:styleId="EndnoteReference">
    <w:name w:val="endnote reference"/>
    <w:basedOn w:val="DefaultParagraphFont"/>
    <w:rsid w:val="008E4B1D"/>
    <w:rPr>
      <w:vertAlign w:val="superscript"/>
    </w:rPr>
  </w:style>
  <w:style w:type="table" w:styleId="TableGrid">
    <w:name w:val="Table Grid"/>
    <w:basedOn w:val="TableNormal"/>
    <w:uiPriority w:val="59"/>
    <w:rsid w:val="00E9632C"/>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rsid w:val="003155BC"/>
    <w:rPr>
      <w:color w:val="800080" w:themeColor="followedHyperlink"/>
      <w:u w:val="single"/>
    </w:rPr>
  </w:style>
  <w:style w:type="paragraph" w:customStyle="1" w:styleId="Default">
    <w:name w:val="Default"/>
    <w:rsid w:val="002755D0"/>
    <w:pPr>
      <w:autoSpaceDE w:val="0"/>
      <w:autoSpaceDN w:val="0"/>
      <w:adjustRightInd w:val="0"/>
    </w:pPr>
    <w:rPr>
      <w:rFonts w:ascii="Palatino Linotype" w:eastAsiaTheme="minorHAnsi" w:hAnsi="Palatino Linotype" w:cs="Palatino Linotype"/>
      <w:color w:val="000000"/>
      <w:sz w:val="24"/>
      <w:szCs w:val="24"/>
      <w:lang w:eastAsia="en-US"/>
    </w:rPr>
  </w:style>
  <w:style w:type="character" w:customStyle="1" w:styleId="CommentTextChar">
    <w:name w:val="Comment Text Char"/>
    <w:basedOn w:val="DefaultParagraphFont"/>
    <w:link w:val="CommentText"/>
    <w:uiPriority w:val="99"/>
    <w:semiHidden/>
    <w:rsid w:val="00C018BB"/>
  </w:style>
  <w:style w:type="character" w:customStyle="1" w:styleId="FootnoteTextChar">
    <w:name w:val="Footnote Text Char"/>
    <w:basedOn w:val="DefaultParagraphFont"/>
    <w:link w:val="FootnoteText"/>
    <w:uiPriority w:val="99"/>
    <w:semiHidden/>
    <w:rsid w:val="00C018BB"/>
  </w:style>
  <w:style w:type="paragraph" w:styleId="Revision">
    <w:name w:val="Revision"/>
    <w:hidden/>
    <w:uiPriority w:val="99"/>
    <w:semiHidden/>
    <w:rsid w:val="00661E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0260116">
      <w:bodyDiv w:val="1"/>
      <w:marLeft w:val="0"/>
      <w:marRight w:val="0"/>
      <w:marTop w:val="0"/>
      <w:marBottom w:val="0"/>
      <w:divBdr>
        <w:top w:val="none" w:sz="0" w:space="0" w:color="auto"/>
        <w:left w:val="none" w:sz="0" w:space="0" w:color="auto"/>
        <w:bottom w:val="none" w:sz="0" w:space="0" w:color="auto"/>
        <w:right w:val="none" w:sz="0" w:space="0" w:color="auto"/>
      </w:divBdr>
    </w:div>
    <w:div w:id="800464946">
      <w:bodyDiv w:val="1"/>
      <w:marLeft w:val="0"/>
      <w:marRight w:val="0"/>
      <w:marTop w:val="0"/>
      <w:marBottom w:val="0"/>
      <w:divBdr>
        <w:top w:val="none" w:sz="0" w:space="0" w:color="auto"/>
        <w:left w:val="none" w:sz="0" w:space="0" w:color="auto"/>
        <w:bottom w:val="none" w:sz="0" w:space="0" w:color="auto"/>
        <w:right w:val="none" w:sz="0" w:space="0" w:color="auto"/>
      </w:divBdr>
    </w:div>
    <w:div w:id="893271065">
      <w:bodyDiv w:val="1"/>
      <w:marLeft w:val="0"/>
      <w:marRight w:val="0"/>
      <w:marTop w:val="0"/>
      <w:marBottom w:val="0"/>
      <w:divBdr>
        <w:top w:val="none" w:sz="0" w:space="0" w:color="auto"/>
        <w:left w:val="none" w:sz="0" w:space="0" w:color="auto"/>
        <w:bottom w:val="none" w:sz="0" w:space="0" w:color="auto"/>
        <w:right w:val="none" w:sz="0" w:space="0" w:color="auto"/>
      </w:divBdr>
    </w:div>
    <w:div w:id="1719091279">
      <w:bodyDiv w:val="1"/>
      <w:marLeft w:val="0"/>
      <w:marRight w:val="0"/>
      <w:marTop w:val="0"/>
      <w:marBottom w:val="0"/>
      <w:divBdr>
        <w:top w:val="none" w:sz="0" w:space="0" w:color="auto"/>
        <w:left w:val="none" w:sz="0" w:space="0" w:color="auto"/>
        <w:bottom w:val="none" w:sz="0" w:space="0" w:color="auto"/>
        <w:right w:val="none" w:sz="0" w:space="0" w:color="auto"/>
      </w:divBdr>
    </w:div>
    <w:div w:id="17806813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pysubmissions@rba.gov.au" TargetMode="External"/><Relationship Id="rId5" Type="http://schemas.openxmlformats.org/officeDocument/2006/relationships/settings" Target="settings.xml"/><Relationship Id="rId15" Type="http://schemas.openxmlformats.org/officeDocument/2006/relationships/footer" Target="footer2.xml"/><Relationship Id="rId10" Type="http://schemas.openxmlformats.org/officeDocument/2006/relationships/hyperlink" Target="mailto:woodward@cba.com.au"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08FB70-1B06-4027-BC2D-90E1A978147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C1D31B4D.dotm</Template>
  <TotalTime>0</TotalTime>
  <Pages>6</Pages>
  <Words>2624</Words>
  <Characters>14987</Characters>
  <Application>Microsoft Office Word</Application>
  <DocSecurity>0</DocSecurity>
  <Lines>124</Lines>
  <Paragraphs>35</Paragraphs>
  <ScaleCrop>false</ScaleCrop>
  <Company/>
  <LinksUpToDate>false</LinksUpToDate>
  <CharactersWithSpaces>17576</CharactersWithSpaces>
  <SharedDoc>false</SharedDoc>
  <HLinks>
    <vt:vector size="12" baseType="variant">
      <vt:variant>
        <vt:i4>4522041</vt:i4>
      </vt:variant>
      <vt:variant>
        <vt:i4>0</vt:i4>
      </vt:variant>
      <vt:variant>
        <vt:i4>0</vt:i4>
      </vt:variant>
      <vt:variant>
        <vt:i4>5</vt:i4>
      </vt:variant>
      <vt:variant>
        <vt:lpwstr>mailto:adjudication@accc.gov.au</vt:lpwstr>
      </vt:variant>
      <vt:variant>
        <vt:lpwstr/>
      </vt:variant>
      <vt:variant>
        <vt:i4>6553643</vt:i4>
      </vt:variant>
      <vt:variant>
        <vt:i4>0</vt:i4>
      </vt:variant>
      <vt:variant>
        <vt:i4>0</vt:i4>
      </vt:variant>
      <vt:variant>
        <vt:i4>5</vt:i4>
      </vt:variant>
      <vt:variant>
        <vt:lpwstr>http://personal.macquarie.com.au/personal/products/credit_cards/platinum_card.htm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2016-02-08T02:50:00Z</dcterms:created>
  <dcterms:modified xsi:type="dcterms:W3CDTF">2016-02-08T02:50:00Z</dcterms:modified>
</cp:coreProperties>
</file>