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1A11" w:rsidRPr="008C3A8B" w:rsidRDefault="000140D9" w:rsidP="00B72875">
      <w:pPr>
        <w:spacing w:line="276" w:lineRule="auto"/>
        <w:ind w:right="-96"/>
        <w:rPr>
          <w:rFonts w:ascii="Arial" w:hAnsi="Arial" w:cs="Arial"/>
          <w:sz w:val="22"/>
          <w:szCs w:val="22"/>
        </w:rPr>
      </w:pPr>
      <w:bookmarkStart w:id="0" w:name="_GoBack"/>
      <w:bookmarkEnd w:id="0"/>
      <w:r>
        <w:rPr>
          <w:rFonts w:ascii="Arial" w:hAnsi="Arial" w:cs="Arial"/>
          <w:noProof/>
          <w:sz w:val="22"/>
          <w:szCs w:val="22"/>
        </w:rPr>
        <w:drawing>
          <wp:anchor distT="0" distB="0" distL="114300" distR="114300" simplePos="0" relativeHeight="251658752" behindDoc="0" locked="0" layoutInCell="1" allowOverlap="1" wp14:anchorId="512D0167" wp14:editId="469BB278">
            <wp:simplePos x="0" y="0"/>
            <wp:positionH relativeFrom="column">
              <wp:posOffset>-72390</wp:posOffset>
            </wp:positionH>
            <wp:positionV relativeFrom="paragraph">
              <wp:posOffset>-400050</wp:posOffset>
            </wp:positionV>
            <wp:extent cx="1666875" cy="647700"/>
            <wp:effectExtent l="19050" t="0" r="9525" b="0"/>
            <wp:wrapSquare wrapText="bothSides"/>
            <wp:docPr id="13" name="Picture 1" descr="\\tserver2\data\OFFICE_MANAGEMENT\Office_Templates\Logos and Artwork\Hoyne - CALC logo and stationery masters\CALC logo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server2\data\OFFICE_MANAGEMENT\Office_Templates\Logos and Artwork\Hoyne - CALC logo and stationery masters\CALC logo jpeg.jpg"/>
                    <pic:cNvPicPr>
                      <a:picLocks noChangeAspect="1" noChangeArrowheads="1"/>
                    </pic:cNvPicPr>
                  </pic:nvPicPr>
                  <pic:blipFill>
                    <a:blip r:embed="rId9" cstate="print"/>
                    <a:srcRect/>
                    <a:stretch>
                      <a:fillRect/>
                    </a:stretch>
                  </pic:blipFill>
                  <pic:spPr bwMode="auto">
                    <a:xfrm>
                      <a:off x="0" y="0"/>
                      <a:ext cx="1666875" cy="647700"/>
                    </a:xfrm>
                    <a:prstGeom prst="rect">
                      <a:avLst/>
                    </a:prstGeom>
                    <a:noFill/>
                    <a:ln w="9525">
                      <a:noFill/>
                      <a:miter lim="800000"/>
                      <a:headEnd/>
                      <a:tailEnd/>
                    </a:ln>
                  </pic:spPr>
                </pic:pic>
              </a:graphicData>
            </a:graphic>
          </wp:anchor>
        </w:drawing>
      </w:r>
    </w:p>
    <w:p w:rsidR="00312829" w:rsidRPr="008C3A8B" w:rsidRDefault="00312829" w:rsidP="00B72875">
      <w:pPr>
        <w:spacing w:line="276" w:lineRule="auto"/>
        <w:ind w:right="-96"/>
        <w:rPr>
          <w:rFonts w:ascii="Arial" w:hAnsi="Arial" w:cs="Arial"/>
          <w:sz w:val="22"/>
          <w:szCs w:val="22"/>
        </w:rPr>
      </w:pPr>
    </w:p>
    <w:p w:rsidR="00312829" w:rsidRPr="008C3A8B" w:rsidRDefault="00312829" w:rsidP="00B72875">
      <w:pPr>
        <w:spacing w:line="276" w:lineRule="auto"/>
        <w:ind w:right="-96"/>
        <w:rPr>
          <w:rFonts w:ascii="Arial" w:hAnsi="Arial" w:cs="Arial"/>
          <w:sz w:val="22"/>
          <w:szCs w:val="22"/>
        </w:rPr>
      </w:pPr>
    </w:p>
    <w:p w:rsidR="00D94D16" w:rsidRDefault="00D94D16" w:rsidP="00AF32F8">
      <w:pPr>
        <w:spacing w:line="276" w:lineRule="auto"/>
        <w:ind w:left="7200" w:right="-96"/>
        <w:rPr>
          <w:rFonts w:ascii="Arial" w:hAnsi="Arial" w:cs="Arial"/>
          <w:sz w:val="22"/>
          <w:szCs w:val="22"/>
        </w:rPr>
      </w:pPr>
    </w:p>
    <w:p w:rsidR="00D94D16" w:rsidRDefault="00D94D16" w:rsidP="00AF32F8">
      <w:pPr>
        <w:spacing w:line="276" w:lineRule="auto"/>
        <w:ind w:left="7200" w:right="-96"/>
        <w:rPr>
          <w:rFonts w:ascii="Arial" w:hAnsi="Arial" w:cs="Arial"/>
          <w:sz w:val="22"/>
          <w:szCs w:val="22"/>
        </w:rPr>
      </w:pPr>
    </w:p>
    <w:p w:rsidR="00312829" w:rsidRPr="008C3A8B" w:rsidRDefault="00987922" w:rsidP="00D94D16">
      <w:pPr>
        <w:spacing w:line="276" w:lineRule="auto"/>
        <w:ind w:right="-96"/>
        <w:rPr>
          <w:rFonts w:ascii="Arial" w:hAnsi="Arial" w:cs="Arial"/>
          <w:sz w:val="22"/>
          <w:szCs w:val="22"/>
        </w:rPr>
      </w:pPr>
      <w:r>
        <w:rPr>
          <w:rFonts w:ascii="Arial" w:hAnsi="Arial" w:cs="Arial"/>
          <w:sz w:val="22"/>
          <w:szCs w:val="22"/>
        </w:rPr>
        <w:t>3</w:t>
      </w:r>
      <w:r w:rsidR="00163189">
        <w:rPr>
          <w:rFonts w:ascii="Arial" w:hAnsi="Arial" w:cs="Arial"/>
          <w:sz w:val="22"/>
          <w:szCs w:val="22"/>
        </w:rPr>
        <w:t xml:space="preserve"> February 2016</w:t>
      </w:r>
    </w:p>
    <w:p w:rsidR="00312829" w:rsidRPr="008C3A8B" w:rsidRDefault="00312829" w:rsidP="00B72875">
      <w:pPr>
        <w:spacing w:line="276" w:lineRule="auto"/>
        <w:ind w:right="-96"/>
        <w:rPr>
          <w:rFonts w:ascii="Arial" w:hAnsi="Arial" w:cs="Arial"/>
          <w:sz w:val="22"/>
          <w:szCs w:val="22"/>
        </w:rPr>
      </w:pPr>
    </w:p>
    <w:p w:rsidR="00163189" w:rsidRDefault="00312829" w:rsidP="00B72875">
      <w:pPr>
        <w:spacing w:line="276" w:lineRule="auto"/>
        <w:ind w:right="-96"/>
        <w:rPr>
          <w:rFonts w:ascii="Arial" w:hAnsi="Arial" w:cs="Arial"/>
          <w:b/>
          <w:sz w:val="22"/>
          <w:szCs w:val="22"/>
        </w:rPr>
      </w:pPr>
      <w:r w:rsidRPr="008C3A8B">
        <w:rPr>
          <w:rFonts w:ascii="Arial" w:hAnsi="Arial" w:cs="Arial"/>
          <w:b/>
          <w:sz w:val="22"/>
          <w:szCs w:val="22"/>
        </w:rPr>
        <w:t>By email:</w:t>
      </w:r>
      <w:r w:rsidR="00B72875">
        <w:rPr>
          <w:rFonts w:ascii="Arial" w:hAnsi="Arial" w:cs="Arial"/>
          <w:b/>
          <w:sz w:val="22"/>
          <w:szCs w:val="22"/>
        </w:rPr>
        <w:t xml:space="preserve"> </w:t>
      </w:r>
      <w:hyperlink r:id="rId10" w:history="1">
        <w:r w:rsidR="00163189" w:rsidRPr="0096148E">
          <w:rPr>
            <w:rStyle w:val="Hyperlink"/>
            <w:rFonts w:ascii="Arial" w:hAnsi="Arial" w:cs="Arial"/>
            <w:b/>
            <w:sz w:val="22"/>
            <w:szCs w:val="22"/>
          </w:rPr>
          <w:t>pysubmissions@rba.gov.au</w:t>
        </w:r>
      </w:hyperlink>
    </w:p>
    <w:p w:rsidR="00312829" w:rsidRPr="008C3A8B" w:rsidRDefault="001336EB" w:rsidP="00B72875">
      <w:pPr>
        <w:spacing w:line="276" w:lineRule="auto"/>
        <w:ind w:right="-96"/>
        <w:rPr>
          <w:rFonts w:ascii="Arial" w:hAnsi="Arial" w:cs="Arial"/>
          <w:b/>
          <w:sz w:val="22"/>
          <w:szCs w:val="22"/>
        </w:rPr>
      </w:pPr>
      <w:hyperlink r:id="rId11" w:history="1"/>
      <w:r w:rsidR="00B72875">
        <w:rPr>
          <w:rFonts w:ascii="Arial" w:hAnsi="Arial" w:cs="Arial"/>
          <w:b/>
          <w:sz w:val="22"/>
          <w:szCs w:val="22"/>
        </w:rPr>
        <w:t xml:space="preserve"> </w:t>
      </w:r>
    </w:p>
    <w:p w:rsidR="00B72875" w:rsidRDefault="00163189" w:rsidP="00B72875">
      <w:pPr>
        <w:spacing w:line="276" w:lineRule="auto"/>
        <w:ind w:right="-96"/>
        <w:rPr>
          <w:rFonts w:ascii="Arial" w:hAnsi="Arial" w:cs="Arial"/>
          <w:sz w:val="22"/>
          <w:szCs w:val="22"/>
          <w:lang w:val="en-US"/>
        </w:rPr>
      </w:pPr>
      <w:proofErr w:type="spellStart"/>
      <w:r>
        <w:rPr>
          <w:rFonts w:ascii="Arial" w:hAnsi="Arial" w:cs="Arial"/>
          <w:sz w:val="22"/>
          <w:szCs w:val="22"/>
          <w:lang w:val="en-US"/>
        </w:rPr>
        <w:t>Dr</w:t>
      </w:r>
      <w:proofErr w:type="spellEnd"/>
      <w:r>
        <w:rPr>
          <w:rFonts w:ascii="Arial" w:hAnsi="Arial" w:cs="Arial"/>
          <w:sz w:val="22"/>
          <w:szCs w:val="22"/>
          <w:lang w:val="en-US"/>
        </w:rPr>
        <w:t xml:space="preserve"> Anthony Richards</w:t>
      </w:r>
    </w:p>
    <w:p w:rsidR="0004205D" w:rsidRDefault="00163189" w:rsidP="00B72875">
      <w:pPr>
        <w:spacing w:line="276" w:lineRule="auto"/>
        <w:ind w:right="-96"/>
        <w:rPr>
          <w:rFonts w:ascii="Arial" w:hAnsi="Arial" w:cs="Arial"/>
          <w:sz w:val="22"/>
          <w:szCs w:val="22"/>
          <w:lang w:val="en-US"/>
        </w:rPr>
      </w:pPr>
      <w:r>
        <w:rPr>
          <w:rFonts w:ascii="Arial" w:hAnsi="Arial" w:cs="Arial"/>
          <w:sz w:val="22"/>
          <w:szCs w:val="22"/>
          <w:lang w:val="en-US"/>
        </w:rPr>
        <w:t>Head of Payments Policy Department</w:t>
      </w:r>
    </w:p>
    <w:p w:rsidR="00B72875" w:rsidRDefault="00163189" w:rsidP="00B72875">
      <w:pPr>
        <w:spacing w:line="276" w:lineRule="auto"/>
        <w:ind w:right="-96"/>
        <w:rPr>
          <w:rFonts w:ascii="Arial" w:hAnsi="Arial" w:cs="Arial"/>
          <w:sz w:val="22"/>
          <w:szCs w:val="22"/>
          <w:lang w:val="en-US"/>
        </w:rPr>
      </w:pPr>
      <w:r>
        <w:rPr>
          <w:rFonts w:ascii="Arial" w:hAnsi="Arial" w:cs="Arial"/>
          <w:sz w:val="22"/>
          <w:szCs w:val="22"/>
          <w:lang w:val="en-US"/>
        </w:rPr>
        <w:t>Reserve Bank of Australia</w:t>
      </w:r>
    </w:p>
    <w:p w:rsidR="00B72875" w:rsidRDefault="00163189" w:rsidP="00B72875">
      <w:pPr>
        <w:spacing w:line="276" w:lineRule="auto"/>
        <w:ind w:right="-96"/>
        <w:rPr>
          <w:rFonts w:ascii="Arial" w:hAnsi="Arial" w:cs="Arial"/>
          <w:sz w:val="22"/>
          <w:szCs w:val="22"/>
          <w:lang w:val="en-US"/>
        </w:rPr>
      </w:pPr>
      <w:r>
        <w:rPr>
          <w:rFonts w:ascii="Arial" w:hAnsi="Arial" w:cs="Arial"/>
          <w:sz w:val="22"/>
          <w:szCs w:val="22"/>
          <w:lang w:val="en-US"/>
        </w:rPr>
        <w:t>GPO Box 3947</w:t>
      </w:r>
    </w:p>
    <w:p w:rsidR="00B72875" w:rsidRDefault="00B72875" w:rsidP="00B72875">
      <w:pPr>
        <w:spacing w:line="276" w:lineRule="auto"/>
        <w:ind w:right="-96"/>
        <w:rPr>
          <w:rFonts w:ascii="Arial" w:hAnsi="Arial" w:cs="Arial"/>
          <w:sz w:val="22"/>
          <w:szCs w:val="22"/>
          <w:lang w:val="en-US"/>
        </w:rPr>
      </w:pPr>
      <w:r>
        <w:rPr>
          <w:rFonts w:ascii="Arial" w:hAnsi="Arial" w:cs="Arial"/>
          <w:sz w:val="22"/>
          <w:szCs w:val="22"/>
          <w:lang w:val="en-US"/>
        </w:rPr>
        <w:t>SYDNEY NSW 2001</w:t>
      </w:r>
    </w:p>
    <w:p w:rsidR="00BC2F81" w:rsidRDefault="00BC2F81" w:rsidP="00B72875">
      <w:pPr>
        <w:spacing w:line="276" w:lineRule="auto"/>
        <w:ind w:right="-96"/>
        <w:rPr>
          <w:rFonts w:ascii="Arial" w:hAnsi="Arial" w:cs="Arial"/>
          <w:b/>
          <w:sz w:val="22"/>
          <w:szCs w:val="22"/>
        </w:rPr>
      </w:pPr>
    </w:p>
    <w:p w:rsidR="006062E6" w:rsidRPr="006062E6" w:rsidRDefault="006062E6" w:rsidP="00B72875">
      <w:pPr>
        <w:spacing w:line="276" w:lineRule="auto"/>
        <w:ind w:right="-96"/>
        <w:rPr>
          <w:rFonts w:ascii="Arial" w:hAnsi="Arial" w:cs="Arial"/>
          <w:sz w:val="22"/>
          <w:szCs w:val="22"/>
          <w:lang w:val="en-US"/>
        </w:rPr>
      </w:pPr>
    </w:p>
    <w:p w:rsidR="00312829" w:rsidRPr="008C3A8B" w:rsidRDefault="00B72875" w:rsidP="00B72875">
      <w:pPr>
        <w:spacing w:line="276" w:lineRule="auto"/>
        <w:ind w:right="-96"/>
        <w:rPr>
          <w:rFonts w:ascii="Arial" w:hAnsi="Arial" w:cs="Arial"/>
          <w:sz w:val="22"/>
          <w:szCs w:val="22"/>
        </w:rPr>
      </w:pPr>
      <w:r>
        <w:rPr>
          <w:rFonts w:ascii="Arial" w:hAnsi="Arial" w:cs="Arial"/>
          <w:sz w:val="22"/>
          <w:szCs w:val="22"/>
        </w:rPr>
        <w:t xml:space="preserve">Dear </w:t>
      </w:r>
      <w:r w:rsidR="00163189">
        <w:rPr>
          <w:rFonts w:ascii="Arial" w:hAnsi="Arial" w:cs="Arial"/>
          <w:sz w:val="22"/>
          <w:szCs w:val="22"/>
        </w:rPr>
        <w:t>Dr Richards</w:t>
      </w:r>
      <w:r w:rsidR="0004205D">
        <w:rPr>
          <w:rFonts w:ascii="Arial" w:hAnsi="Arial" w:cs="Arial"/>
          <w:sz w:val="22"/>
          <w:szCs w:val="22"/>
        </w:rPr>
        <w:t>,</w:t>
      </w:r>
    </w:p>
    <w:p w:rsidR="00312829" w:rsidRPr="008C3A8B" w:rsidRDefault="00312829" w:rsidP="00B72875">
      <w:pPr>
        <w:spacing w:line="276" w:lineRule="auto"/>
        <w:ind w:right="-96"/>
        <w:rPr>
          <w:rFonts w:ascii="Arial" w:hAnsi="Arial" w:cs="Arial"/>
          <w:sz w:val="22"/>
          <w:szCs w:val="22"/>
        </w:rPr>
      </w:pPr>
    </w:p>
    <w:p w:rsidR="00312829" w:rsidRPr="008C3A8B" w:rsidRDefault="00163189" w:rsidP="00B72875">
      <w:pPr>
        <w:spacing w:line="276" w:lineRule="auto"/>
        <w:ind w:right="-96"/>
        <w:rPr>
          <w:rFonts w:ascii="Arial" w:hAnsi="Arial" w:cs="Arial"/>
          <w:sz w:val="22"/>
          <w:szCs w:val="22"/>
        </w:rPr>
      </w:pPr>
      <w:r>
        <w:rPr>
          <w:rFonts w:ascii="Arial" w:hAnsi="Arial" w:cs="Arial"/>
          <w:b/>
          <w:sz w:val="22"/>
          <w:szCs w:val="22"/>
        </w:rPr>
        <w:t xml:space="preserve">Review of Card Payments Regulation – Consultation Paper </w:t>
      </w:r>
    </w:p>
    <w:p w:rsidR="00312829" w:rsidRPr="008C3A8B" w:rsidRDefault="00312829" w:rsidP="00B72875">
      <w:pPr>
        <w:spacing w:line="276" w:lineRule="auto"/>
        <w:ind w:right="-96"/>
        <w:rPr>
          <w:rFonts w:ascii="Arial" w:hAnsi="Arial" w:cs="Arial"/>
          <w:sz w:val="22"/>
          <w:szCs w:val="22"/>
        </w:rPr>
      </w:pPr>
    </w:p>
    <w:p w:rsidR="008C0882" w:rsidRDefault="0004205D" w:rsidP="00B72875">
      <w:pPr>
        <w:spacing w:line="276" w:lineRule="auto"/>
        <w:ind w:right="-96"/>
        <w:jc w:val="both"/>
        <w:rPr>
          <w:rFonts w:ascii="Arial" w:hAnsi="Arial" w:cs="Arial"/>
          <w:sz w:val="22"/>
          <w:szCs w:val="22"/>
        </w:rPr>
      </w:pPr>
      <w:r>
        <w:rPr>
          <w:rFonts w:ascii="Arial" w:hAnsi="Arial" w:cs="Arial"/>
          <w:sz w:val="22"/>
          <w:szCs w:val="22"/>
        </w:rPr>
        <w:t xml:space="preserve">Thankyou for the opportunity to provide comment on the </w:t>
      </w:r>
      <w:r w:rsidR="00163189">
        <w:rPr>
          <w:rFonts w:ascii="Arial" w:hAnsi="Arial" w:cs="Arial"/>
          <w:sz w:val="22"/>
          <w:szCs w:val="22"/>
        </w:rPr>
        <w:t>reforms proposed by the Reserve Bank of Australia (</w:t>
      </w:r>
      <w:r w:rsidR="00163189" w:rsidRPr="00163189">
        <w:rPr>
          <w:rFonts w:ascii="Arial" w:hAnsi="Arial" w:cs="Arial"/>
          <w:b/>
          <w:sz w:val="22"/>
          <w:szCs w:val="22"/>
        </w:rPr>
        <w:t>RBA</w:t>
      </w:r>
      <w:r w:rsidR="00163189">
        <w:rPr>
          <w:rFonts w:ascii="Arial" w:hAnsi="Arial" w:cs="Arial"/>
          <w:sz w:val="22"/>
          <w:szCs w:val="22"/>
        </w:rPr>
        <w:t>) in the Review of Card Payments Regulation Consultation Paper (</w:t>
      </w:r>
      <w:r w:rsidR="00163189" w:rsidRPr="00163189">
        <w:rPr>
          <w:rFonts w:ascii="Arial" w:hAnsi="Arial" w:cs="Arial"/>
          <w:b/>
          <w:sz w:val="22"/>
          <w:szCs w:val="22"/>
        </w:rPr>
        <w:t>Consultation Paper</w:t>
      </w:r>
      <w:r w:rsidR="00163189">
        <w:rPr>
          <w:rFonts w:ascii="Arial" w:hAnsi="Arial" w:cs="Arial"/>
          <w:sz w:val="22"/>
          <w:szCs w:val="22"/>
        </w:rPr>
        <w:t xml:space="preserve">), released in December 2015. </w:t>
      </w:r>
    </w:p>
    <w:p w:rsidR="0004205D" w:rsidRDefault="0004205D" w:rsidP="00B72875">
      <w:pPr>
        <w:spacing w:line="276" w:lineRule="auto"/>
        <w:ind w:right="-96"/>
        <w:jc w:val="both"/>
        <w:rPr>
          <w:rFonts w:ascii="Arial" w:hAnsi="Arial" w:cs="Arial"/>
          <w:sz w:val="22"/>
          <w:szCs w:val="22"/>
        </w:rPr>
      </w:pPr>
    </w:p>
    <w:p w:rsidR="00163189" w:rsidRDefault="00163189" w:rsidP="00B72875">
      <w:pPr>
        <w:spacing w:line="276" w:lineRule="auto"/>
        <w:ind w:right="-96"/>
        <w:jc w:val="both"/>
        <w:rPr>
          <w:rFonts w:ascii="Arial" w:hAnsi="Arial" w:cs="Arial"/>
          <w:sz w:val="22"/>
          <w:szCs w:val="22"/>
        </w:rPr>
      </w:pPr>
      <w:r>
        <w:rPr>
          <w:rFonts w:ascii="Arial" w:hAnsi="Arial" w:cs="Arial"/>
          <w:sz w:val="22"/>
          <w:szCs w:val="22"/>
        </w:rPr>
        <w:t xml:space="preserve">Consumer Action has had the benefit of reviewing CHOICE’s submission to the Consultation Paper </w:t>
      </w:r>
      <w:r w:rsidR="00132B35">
        <w:rPr>
          <w:rFonts w:ascii="Arial" w:hAnsi="Arial" w:cs="Arial"/>
          <w:sz w:val="22"/>
          <w:szCs w:val="22"/>
        </w:rPr>
        <w:t xml:space="preserve">and </w:t>
      </w:r>
      <w:r w:rsidR="00343C41">
        <w:rPr>
          <w:rFonts w:ascii="Arial" w:hAnsi="Arial" w:cs="Arial"/>
          <w:sz w:val="22"/>
          <w:szCs w:val="22"/>
        </w:rPr>
        <w:t xml:space="preserve">largely </w:t>
      </w:r>
      <w:r w:rsidR="00132B35">
        <w:rPr>
          <w:rFonts w:ascii="Arial" w:hAnsi="Arial" w:cs="Arial"/>
          <w:sz w:val="22"/>
          <w:szCs w:val="22"/>
        </w:rPr>
        <w:t>concurs with the views expressed by CHOICE in that submission. Consumer Action represents a narrower segment of the consumer base than CHOICE, as we are particularly focused on the needs of disadvantaged, vulnerable and low-income consumers. Accordingly, we have restricted our comments to the issues which we perceive as most important to tho</w:t>
      </w:r>
      <w:r w:rsidR="00844EFC">
        <w:rPr>
          <w:rFonts w:ascii="Arial" w:hAnsi="Arial" w:cs="Arial"/>
          <w:sz w:val="22"/>
          <w:szCs w:val="22"/>
        </w:rPr>
        <w:t>se we represent—</w:t>
      </w:r>
      <w:r w:rsidR="00132B35">
        <w:rPr>
          <w:rFonts w:ascii="Arial" w:hAnsi="Arial" w:cs="Arial"/>
          <w:sz w:val="22"/>
          <w:szCs w:val="22"/>
        </w:rPr>
        <w:t xml:space="preserve">namely </w:t>
      </w:r>
      <w:r w:rsidR="0062053A">
        <w:rPr>
          <w:rFonts w:ascii="Arial" w:hAnsi="Arial" w:cs="Arial"/>
          <w:sz w:val="22"/>
          <w:szCs w:val="22"/>
        </w:rPr>
        <w:t xml:space="preserve">excessive </w:t>
      </w:r>
      <w:r w:rsidR="00132B35">
        <w:rPr>
          <w:rFonts w:ascii="Arial" w:hAnsi="Arial" w:cs="Arial"/>
          <w:sz w:val="22"/>
          <w:szCs w:val="22"/>
        </w:rPr>
        <w:t xml:space="preserve">surcharges, and interchange fees. On other matters raised in the Consultation Paper which we do not directly address, we support the views expressed by CHOICE. </w:t>
      </w:r>
    </w:p>
    <w:p w:rsidR="00132B35" w:rsidRDefault="00132B35" w:rsidP="00B72875">
      <w:pPr>
        <w:spacing w:line="276" w:lineRule="auto"/>
        <w:ind w:right="-96"/>
        <w:jc w:val="both"/>
        <w:rPr>
          <w:rFonts w:ascii="Arial" w:hAnsi="Arial" w:cs="Arial"/>
          <w:sz w:val="22"/>
          <w:szCs w:val="22"/>
        </w:rPr>
      </w:pPr>
    </w:p>
    <w:p w:rsidR="005E08F3" w:rsidRDefault="005E08F3" w:rsidP="00B72875">
      <w:pPr>
        <w:spacing w:line="276" w:lineRule="auto"/>
        <w:ind w:right="-96"/>
        <w:jc w:val="both"/>
        <w:rPr>
          <w:rFonts w:ascii="Arial" w:hAnsi="Arial" w:cs="Arial"/>
          <w:sz w:val="22"/>
          <w:szCs w:val="22"/>
        </w:rPr>
      </w:pPr>
      <w:r>
        <w:rPr>
          <w:rFonts w:ascii="Arial" w:hAnsi="Arial" w:cs="Arial"/>
          <w:sz w:val="22"/>
          <w:szCs w:val="22"/>
        </w:rPr>
        <w:t xml:space="preserve">Our comments are detailed </w:t>
      </w:r>
      <w:r w:rsidR="00CB4B88">
        <w:rPr>
          <w:rFonts w:ascii="Arial" w:hAnsi="Arial" w:cs="Arial"/>
          <w:sz w:val="22"/>
          <w:szCs w:val="22"/>
        </w:rPr>
        <w:t xml:space="preserve">more fully </w:t>
      </w:r>
      <w:r>
        <w:rPr>
          <w:rFonts w:ascii="Arial" w:hAnsi="Arial" w:cs="Arial"/>
          <w:sz w:val="22"/>
          <w:szCs w:val="22"/>
        </w:rPr>
        <w:t>below.</w:t>
      </w:r>
    </w:p>
    <w:p w:rsidR="00654E2B" w:rsidRPr="008C3A8B" w:rsidRDefault="00654E2B" w:rsidP="00B72875">
      <w:pPr>
        <w:spacing w:line="276" w:lineRule="auto"/>
        <w:ind w:right="-96"/>
        <w:jc w:val="both"/>
        <w:rPr>
          <w:rFonts w:ascii="Arial" w:hAnsi="Arial" w:cs="Arial"/>
          <w:sz w:val="22"/>
          <w:szCs w:val="22"/>
        </w:rPr>
      </w:pPr>
    </w:p>
    <w:p w:rsidR="00654E2B" w:rsidRPr="008C3A8B" w:rsidRDefault="00227741" w:rsidP="00B72875">
      <w:pPr>
        <w:spacing w:line="276" w:lineRule="auto"/>
        <w:ind w:right="-96"/>
        <w:jc w:val="both"/>
        <w:rPr>
          <w:rFonts w:ascii="Arial" w:hAnsi="Arial" w:cs="Arial"/>
          <w:b/>
          <w:sz w:val="22"/>
          <w:szCs w:val="22"/>
        </w:rPr>
      </w:pPr>
      <w:r>
        <w:rPr>
          <w:rFonts w:ascii="Arial" w:hAnsi="Arial" w:cs="Arial"/>
          <w:b/>
          <w:sz w:val="22"/>
          <w:szCs w:val="22"/>
        </w:rPr>
        <w:t>About Consumer Action</w:t>
      </w:r>
    </w:p>
    <w:p w:rsidR="004C163E" w:rsidRPr="00D71D55" w:rsidRDefault="004C163E" w:rsidP="00B72875">
      <w:pPr>
        <w:spacing w:line="276" w:lineRule="auto"/>
        <w:ind w:right="-96"/>
        <w:jc w:val="both"/>
        <w:rPr>
          <w:rFonts w:ascii="Arial" w:hAnsi="Arial" w:cs="Arial"/>
          <w:sz w:val="22"/>
          <w:szCs w:val="22"/>
        </w:rPr>
      </w:pPr>
    </w:p>
    <w:p w:rsidR="00D71D55" w:rsidRPr="004D5587" w:rsidRDefault="004D5587" w:rsidP="00B72875">
      <w:pPr>
        <w:spacing w:line="276" w:lineRule="auto"/>
        <w:ind w:right="-96"/>
        <w:jc w:val="both"/>
        <w:rPr>
          <w:rFonts w:ascii="Arial" w:hAnsi="Arial" w:cs="Arial"/>
          <w:sz w:val="22"/>
          <w:szCs w:val="22"/>
        </w:rPr>
      </w:pPr>
      <w:r w:rsidRPr="004D5587">
        <w:rPr>
          <w:rFonts w:ascii="Arial" w:hAnsi="Arial" w:cs="Arial"/>
          <w:sz w:val="22"/>
          <w:szCs w:val="22"/>
        </w:rPr>
        <w:t>Consumer Action Law Centre is an independent, not-for profit consumer organisation based in Melbourne. We work to advance fairness in consumer markets, particularly for disadvantaged and vulnerable consumers, through financial counselling, legal advice and representation, and policy work and campaigns. Delivering assistance services to Victorian consumers, we have a national reach through our deep expertise in consumer law and policy and direct knowledge of the consumer experience of modern markets.</w:t>
      </w:r>
    </w:p>
    <w:p w:rsidR="004D5587" w:rsidRPr="004D5587" w:rsidRDefault="004D5587" w:rsidP="00B72875">
      <w:pPr>
        <w:spacing w:line="276" w:lineRule="auto"/>
        <w:ind w:right="-96"/>
        <w:jc w:val="both"/>
        <w:rPr>
          <w:rFonts w:ascii="Arial" w:hAnsi="Arial" w:cs="Arial"/>
          <w:b/>
          <w:bCs/>
          <w:sz w:val="22"/>
          <w:szCs w:val="22"/>
          <w:lang w:val="en-US" w:eastAsia="en-US"/>
        </w:rPr>
      </w:pPr>
    </w:p>
    <w:p w:rsidR="00BC2F81" w:rsidRDefault="004070DB" w:rsidP="00844EFC">
      <w:pPr>
        <w:keepNext/>
        <w:spacing w:line="276" w:lineRule="auto"/>
        <w:ind w:right="-96"/>
        <w:jc w:val="both"/>
        <w:rPr>
          <w:rFonts w:ascii="Arial" w:hAnsi="Arial" w:cs="Arial"/>
          <w:b/>
          <w:bCs/>
          <w:sz w:val="22"/>
          <w:szCs w:val="22"/>
          <w:lang w:val="en-US" w:eastAsia="en-US"/>
        </w:rPr>
      </w:pPr>
      <w:r>
        <w:rPr>
          <w:rFonts w:ascii="Arial" w:hAnsi="Arial" w:cs="Arial"/>
          <w:b/>
          <w:bCs/>
          <w:sz w:val="22"/>
          <w:szCs w:val="22"/>
          <w:lang w:val="en-US" w:eastAsia="en-US"/>
        </w:rPr>
        <w:lastRenderedPageBreak/>
        <w:t>Surcharges</w:t>
      </w:r>
    </w:p>
    <w:p w:rsidR="004027CA" w:rsidRDefault="004027CA" w:rsidP="00844EFC">
      <w:pPr>
        <w:keepNext/>
        <w:spacing w:line="276" w:lineRule="auto"/>
        <w:ind w:right="-96"/>
        <w:jc w:val="both"/>
        <w:rPr>
          <w:rFonts w:ascii="Arial" w:hAnsi="Arial" w:cs="Arial"/>
          <w:bCs/>
          <w:sz w:val="22"/>
          <w:szCs w:val="22"/>
          <w:lang w:val="en-US" w:eastAsia="en-US"/>
        </w:rPr>
      </w:pPr>
    </w:p>
    <w:p w:rsidR="004070DB" w:rsidRDefault="00DF456B" w:rsidP="00B72875">
      <w:pPr>
        <w:spacing w:line="276" w:lineRule="auto"/>
        <w:ind w:right="-96"/>
        <w:jc w:val="both"/>
        <w:rPr>
          <w:rFonts w:ascii="Arial" w:hAnsi="Arial" w:cs="Arial"/>
          <w:bCs/>
          <w:sz w:val="22"/>
          <w:szCs w:val="22"/>
          <w:lang w:val="en-US" w:eastAsia="en-US"/>
        </w:rPr>
      </w:pPr>
      <w:r>
        <w:rPr>
          <w:rFonts w:ascii="Arial" w:hAnsi="Arial" w:cs="Arial"/>
          <w:bCs/>
          <w:sz w:val="22"/>
          <w:szCs w:val="22"/>
          <w:lang w:val="en-US" w:eastAsia="en-US"/>
        </w:rPr>
        <w:t xml:space="preserve">Consumer Action has consistently advocated for tighter controls on credit card surcharging, which in certain </w:t>
      </w:r>
      <w:r w:rsidR="001E19FF">
        <w:rPr>
          <w:rFonts w:ascii="Arial" w:hAnsi="Arial" w:cs="Arial"/>
          <w:bCs/>
          <w:sz w:val="22"/>
          <w:szCs w:val="22"/>
          <w:lang w:val="en-US" w:eastAsia="en-US"/>
        </w:rPr>
        <w:t>industries</w:t>
      </w:r>
      <w:r>
        <w:rPr>
          <w:rFonts w:ascii="Arial" w:hAnsi="Arial" w:cs="Arial"/>
          <w:bCs/>
          <w:sz w:val="22"/>
          <w:szCs w:val="22"/>
          <w:lang w:val="en-US" w:eastAsia="en-US"/>
        </w:rPr>
        <w:t xml:space="preserve"> </w:t>
      </w:r>
      <w:r w:rsidR="001E19FF">
        <w:rPr>
          <w:rFonts w:ascii="Arial" w:hAnsi="Arial" w:cs="Arial"/>
          <w:bCs/>
          <w:sz w:val="22"/>
          <w:szCs w:val="22"/>
          <w:lang w:val="en-US" w:eastAsia="en-US"/>
        </w:rPr>
        <w:t xml:space="preserve">have been used excessively and effectively amount to price gouging. </w:t>
      </w:r>
      <w:r w:rsidR="00451CED">
        <w:rPr>
          <w:rFonts w:ascii="Arial" w:hAnsi="Arial" w:cs="Arial"/>
          <w:bCs/>
          <w:sz w:val="22"/>
          <w:szCs w:val="22"/>
          <w:lang w:val="en-US" w:eastAsia="en-US"/>
        </w:rPr>
        <w:t xml:space="preserve">This has a negative impact on consumer confidence, and </w:t>
      </w:r>
      <w:r w:rsidR="0062053A">
        <w:rPr>
          <w:rFonts w:ascii="Arial" w:hAnsi="Arial" w:cs="Arial"/>
          <w:bCs/>
          <w:sz w:val="22"/>
          <w:szCs w:val="22"/>
          <w:lang w:val="en-US" w:eastAsia="en-US"/>
        </w:rPr>
        <w:t xml:space="preserve">particularly impacts on low-income consumers who are poorly placed to absorb the additional, unjustified cost. </w:t>
      </w:r>
      <w:r w:rsidR="001E19FF">
        <w:rPr>
          <w:rFonts w:ascii="Arial" w:hAnsi="Arial" w:cs="Arial"/>
          <w:bCs/>
          <w:sz w:val="22"/>
          <w:szCs w:val="22"/>
          <w:lang w:val="en-US" w:eastAsia="en-US"/>
        </w:rPr>
        <w:t>While we</w:t>
      </w:r>
      <w:r w:rsidR="00844EFC">
        <w:rPr>
          <w:rFonts w:ascii="Arial" w:hAnsi="Arial" w:cs="Arial"/>
          <w:bCs/>
          <w:sz w:val="22"/>
          <w:szCs w:val="22"/>
          <w:lang w:val="en-US" w:eastAsia="en-US"/>
        </w:rPr>
        <w:t xml:space="preserve"> broadly</w:t>
      </w:r>
      <w:r w:rsidR="001E19FF">
        <w:rPr>
          <w:rFonts w:ascii="Arial" w:hAnsi="Arial" w:cs="Arial"/>
          <w:bCs/>
          <w:sz w:val="22"/>
          <w:szCs w:val="22"/>
          <w:lang w:val="en-US" w:eastAsia="en-US"/>
        </w:rPr>
        <w:t xml:space="preserve"> concur with CHOICE that a “no surcharge” system would shift costs from those choosing a certain payment type to all consumers, there is a clear need for tighter price controls on t</w:t>
      </w:r>
      <w:r w:rsidR="00844EFC">
        <w:rPr>
          <w:rFonts w:ascii="Arial" w:hAnsi="Arial" w:cs="Arial"/>
          <w:bCs/>
          <w:sz w:val="22"/>
          <w:szCs w:val="22"/>
          <w:lang w:val="en-US" w:eastAsia="en-US"/>
        </w:rPr>
        <w:t>hose who do charge surcharges—</w:t>
      </w:r>
      <w:r w:rsidR="001E19FF">
        <w:rPr>
          <w:rFonts w:ascii="Arial" w:hAnsi="Arial" w:cs="Arial"/>
          <w:bCs/>
          <w:sz w:val="22"/>
          <w:szCs w:val="22"/>
          <w:lang w:val="en-US" w:eastAsia="en-US"/>
        </w:rPr>
        <w:t xml:space="preserve">so that </w:t>
      </w:r>
      <w:r w:rsidR="00D64777">
        <w:rPr>
          <w:rFonts w:ascii="Arial" w:hAnsi="Arial" w:cs="Arial"/>
          <w:bCs/>
          <w:sz w:val="22"/>
          <w:szCs w:val="22"/>
          <w:lang w:val="en-US" w:eastAsia="en-US"/>
        </w:rPr>
        <w:t xml:space="preserve">allowable </w:t>
      </w:r>
      <w:r w:rsidR="001E19FF">
        <w:rPr>
          <w:rFonts w:ascii="Arial" w:hAnsi="Arial" w:cs="Arial"/>
          <w:bCs/>
          <w:sz w:val="22"/>
          <w:szCs w:val="22"/>
          <w:lang w:val="en-US" w:eastAsia="en-US"/>
        </w:rPr>
        <w:t>surcharge</w:t>
      </w:r>
      <w:r w:rsidR="00D64777">
        <w:rPr>
          <w:rFonts w:ascii="Arial" w:hAnsi="Arial" w:cs="Arial"/>
          <w:bCs/>
          <w:sz w:val="22"/>
          <w:szCs w:val="22"/>
          <w:lang w:val="en-US" w:eastAsia="en-US"/>
        </w:rPr>
        <w:t>s</w:t>
      </w:r>
      <w:r w:rsidR="001E19FF">
        <w:rPr>
          <w:rFonts w:ascii="Arial" w:hAnsi="Arial" w:cs="Arial"/>
          <w:bCs/>
          <w:sz w:val="22"/>
          <w:szCs w:val="22"/>
          <w:lang w:val="en-US" w:eastAsia="en-US"/>
        </w:rPr>
        <w:t xml:space="preserve"> fairly reflect the cost incurred for receiving the payment, and do not simply amount to an arbitrary “add on” cost</w:t>
      </w:r>
      <w:r w:rsidR="00D64777">
        <w:rPr>
          <w:rFonts w:ascii="Arial" w:hAnsi="Arial" w:cs="Arial"/>
          <w:bCs/>
          <w:sz w:val="22"/>
          <w:szCs w:val="22"/>
          <w:lang w:val="en-US" w:eastAsia="en-US"/>
        </w:rPr>
        <w:t>s</w:t>
      </w:r>
      <w:r w:rsidR="001E19FF">
        <w:rPr>
          <w:rFonts w:ascii="Arial" w:hAnsi="Arial" w:cs="Arial"/>
          <w:bCs/>
          <w:sz w:val="22"/>
          <w:szCs w:val="22"/>
          <w:lang w:val="en-US" w:eastAsia="en-US"/>
        </w:rPr>
        <w:t xml:space="preserve"> </w:t>
      </w:r>
      <w:r w:rsidR="00D64777">
        <w:rPr>
          <w:rFonts w:ascii="Arial" w:hAnsi="Arial" w:cs="Arial"/>
          <w:bCs/>
          <w:sz w:val="22"/>
          <w:szCs w:val="22"/>
          <w:lang w:val="en-US" w:eastAsia="en-US"/>
        </w:rPr>
        <w:t>for</w:t>
      </w:r>
      <w:r w:rsidR="001E19FF">
        <w:rPr>
          <w:rFonts w:ascii="Arial" w:hAnsi="Arial" w:cs="Arial"/>
          <w:bCs/>
          <w:sz w:val="22"/>
          <w:szCs w:val="22"/>
          <w:lang w:val="en-US" w:eastAsia="en-US"/>
        </w:rPr>
        <w:t xml:space="preserve"> the consumer. </w:t>
      </w:r>
    </w:p>
    <w:p w:rsidR="002512CA" w:rsidRDefault="002512CA" w:rsidP="00B72875">
      <w:pPr>
        <w:spacing w:line="276" w:lineRule="auto"/>
        <w:ind w:right="-96"/>
        <w:jc w:val="both"/>
        <w:rPr>
          <w:rFonts w:ascii="Arial" w:hAnsi="Arial" w:cs="Arial"/>
          <w:bCs/>
          <w:sz w:val="22"/>
          <w:szCs w:val="22"/>
          <w:lang w:val="en-US" w:eastAsia="en-US"/>
        </w:rPr>
      </w:pPr>
    </w:p>
    <w:p w:rsidR="005F52CE" w:rsidRDefault="00D64777" w:rsidP="00B81B36">
      <w:pPr>
        <w:spacing w:line="276" w:lineRule="auto"/>
        <w:ind w:right="-96"/>
        <w:jc w:val="both"/>
        <w:rPr>
          <w:rFonts w:ascii="Arial" w:hAnsi="Arial" w:cs="Arial"/>
          <w:bCs/>
          <w:sz w:val="22"/>
          <w:szCs w:val="22"/>
          <w:lang w:val="en-US" w:eastAsia="en-US"/>
        </w:rPr>
      </w:pPr>
      <w:r>
        <w:rPr>
          <w:rFonts w:ascii="Arial" w:hAnsi="Arial" w:cs="Arial"/>
          <w:bCs/>
          <w:sz w:val="22"/>
          <w:szCs w:val="22"/>
          <w:lang w:val="en-US" w:eastAsia="en-US"/>
        </w:rPr>
        <w:t>In Consumer Action’s view, “Option 3: Modifications to the cost acceptance framework”</w:t>
      </w:r>
      <w:r w:rsidR="00451CED">
        <w:rPr>
          <w:rStyle w:val="FootnoteReference"/>
          <w:rFonts w:ascii="Arial" w:hAnsi="Arial" w:cs="Arial"/>
          <w:bCs/>
          <w:sz w:val="22"/>
          <w:szCs w:val="22"/>
          <w:lang w:val="en-US" w:eastAsia="en-US"/>
        </w:rPr>
        <w:footnoteReference w:id="1"/>
      </w:r>
      <w:r>
        <w:rPr>
          <w:rFonts w:ascii="Arial" w:hAnsi="Arial" w:cs="Arial"/>
          <w:bCs/>
          <w:sz w:val="22"/>
          <w:szCs w:val="22"/>
          <w:lang w:val="en-US" w:eastAsia="en-US"/>
        </w:rPr>
        <w:t xml:space="preserve"> strikes the most ap</w:t>
      </w:r>
      <w:r w:rsidR="0062053A">
        <w:rPr>
          <w:rFonts w:ascii="Arial" w:hAnsi="Arial" w:cs="Arial"/>
          <w:bCs/>
          <w:sz w:val="22"/>
          <w:szCs w:val="22"/>
          <w:lang w:val="en-US" w:eastAsia="en-US"/>
        </w:rPr>
        <w:t>p</w:t>
      </w:r>
      <w:r w:rsidR="00844EFC">
        <w:rPr>
          <w:rFonts w:ascii="Arial" w:hAnsi="Arial" w:cs="Arial"/>
          <w:bCs/>
          <w:sz w:val="22"/>
          <w:szCs w:val="22"/>
          <w:lang w:val="en-US" w:eastAsia="en-US"/>
        </w:rPr>
        <w:t>ropriate balance for consumers—</w:t>
      </w:r>
      <w:r>
        <w:rPr>
          <w:rFonts w:ascii="Arial" w:hAnsi="Arial" w:cs="Arial"/>
          <w:bCs/>
          <w:sz w:val="22"/>
          <w:szCs w:val="22"/>
          <w:lang w:val="en-US" w:eastAsia="en-US"/>
        </w:rPr>
        <w:t xml:space="preserve">particularly as Option 3 </w:t>
      </w:r>
      <w:r w:rsidR="00451CED">
        <w:rPr>
          <w:rFonts w:ascii="Arial" w:hAnsi="Arial" w:cs="Arial"/>
          <w:bCs/>
          <w:sz w:val="22"/>
          <w:szCs w:val="22"/>
          <w:lang w:val="en-US" w:eastAsia="en-US"/>
        </w:rPr>
        <w:t xml:space="preserve">adopts a narrow definition of ‘card acceptance costs’, limiting the definition to the fees paid by the merchant to their acquirer (or payment facilitator). Importantly, Option 3 also requires card acceptance costs to be provided to merchants by their acquirer or payment facilitator, and to be expressed in percentage terms rather than as a dollar figure. </w:t>
      </w:r>
      <w:r w:rsidR="0062053A">
        <w:rPr>
          <w:rFonts w:ascii="Arial" w:hAnsi="Arial" w:cs="Arial"/>
          <w:bCs/>
          <w:sz w:val="22"/>
          <w:szCs w:val="22"/>
          <w:lang w:val="en-US" w:eastAsia="en-US"/>
        </w:rPr>
        <w:t>As the Consultation Paper notes, fixed dollar surcharging (which is particularly common in the airline industry) has received considerable negative publicit</w:t>
      </w:r>
      <w:r w:rsidR="003B6AA0">
        <w:rPr>
          <w:rFonts w:ascii="Arial" w:hAnsi="Arial" w:cs="Arial"/>
          <w:bCs/>
          <w:sz w:val="22"/>
          <w:szCs w:val="22"/>
          <w:lang w:val="en-US" w:eastAsia="en-US"/>
        </w:rPr>
        <w:t xml:space="preserve">y. Charging the same fixed dollar surcharge for transactions of significantly varying value </w:t>
      </w:r>
      <w:r w:rsidR="005F52CE">
        <w:rPr>
          <w:rFonts w:ascii="Arial" w:hAnsi="Arial" w:cs="Arial"/>
          <w:bCs/>
          <w:sz w:val="22"/>
          <w:szCs w:val="22"/>
          <w:lang w:val="en-US" w:eastAsia="en-US"/>
        </w:rPr>
        <w:t>shows that current surcharges frequently bear</w:t>
      </w:r>
      <w:r w:rsidR="0062053A">
        <w:rPr>
          <w:rFonts w:ascii="Arial" w:hAnsi="Arial" w:cs="Arial"/>
          <w:bCs/>
          <w:sz w:val="22"/>
          <w:szCs w:val="22"/>
          <w:lang w:val="en-US" w:eastAsia="en-US"/>
        </w:rPr>
        <w:t xml:space="preserve"> little or no relation to the actual cost incurred by the airline.</w:t>
      </w:r>
      <w:r w:rsidR="005F52CE">
        <w:rPr>
          <w:rStyle w:val="FootnoteReference"/>
          <w:rFonts w:ascii="Arial" w:hAnsi="Arial" w:cs="Arial"/>
          <w:bCs/>
          <w:sz w:val="22"/>
          <w:szCs w:val="22"/>
          <w:lang w:val="en-US" w:eastAsia="en-US"/>
        </w:rPr>
        <w:footnoteReference w:id="2"/>
      </w:r>
      <w:r w:rsidR="0062053A">
        <w:rPr>
          <w:rFonts w:ascii="Arial" w:hAnsi="Arial" w:cs="Arial"/>
          <w:bCs/>
          <w:sz w:val="22"/>
          <w:szCs w:val="22"/>
          <w:lang w:val="en-US" w:eastAsia="en-US"/>
        </w:rPr>
        <w:t xml:space="preserve"> </w:t>
      </w:r>
    </w:p>
    <w:p w:rsidR="005F52CE" w:rsidRDefault="005F52CE" w:rsidP="00B81B36">
      <w:pPr>
        <w:spacing w:line="276" w:lineRule="auto"/>
        <w:ind w:right="-96"/>
        <w:jc w:val="both"/>
        <w:rPr>
          <w:rFonts w:ascii="Arial" w:hAnsi="Arial" w:cs="Arial"/>
          <w:bCs/>
          <w:sz w:val="22"/>
          <w:szCs w:val="22"/>
          <w:lang w:val="en-US" w:eastAsia="en-US"/>
        </w:rPr>
      </w:pPr>
    </w:p>
    <w:p w:rsidR="00D64777" w:rsidRDefault="00451CED" w:rsidP="00B81B36">
      <w:pPr>
        <w:spacing w:line="276" w:lineRule="auto"/>
        <w:ind w:right="-96"/>
        <w:jc w:val="both"/>
        <w:rPr>
          <w:rFonts w:ascii="Arial" w:hAnsi="Arial" w:cs="Arial"/>
          <w:bCs/>
          <w:sz w:val="22"/>
          <w:szCs w:val="22"/>
          <w:lang w:val="en-US" w:eastAsia="en-US"/>
        </w:rPr>
      </w:pPr>
      <w:r>
        <w:rPr>
          <w:rFonts w:ascii="Arial" w:hAnsi="Arial" w:cs="Arial"/>
          <w:bCs/>
          <w:sz w:val="22"/>
          <w:szCs w:val="22"/>
          <w:lang w:val="en-US" w:eastAsia="en-US"/>
        </w:rPr>
        <w:t>In their totality, the measures proposed under Option 3 should work to ensure that surcharges paid by consumers for utilizing card payment systems fairly reflect th</w:t>
      </w:r>
      <w:r w:rsidR="0062053A">
        <w:rPr>
          <w:rFonts w:ascii="Arial" w:hAnsi="Arial" w:cs="Arial"/>
          <w:bCs/>
          <w:sz w:val="22"/>
          <w:szCs w:val="22"/>
          <w:lang w:val="en-US" w:eastAsia="en-US"/>
        </w:rPr>
        <w:t>e cost incurred by the merchant.</w:t>
      </w:r>
      <w:r w:rsidR="00B81B36">
        <w:rPr>
          <w:rFonts w:ascii="Arial" w:hAnsi="Arial" w:cs="Arial"/>
          <w:bCs/>
          <w:sz w:val="22"/>
          <w:szCs w:val="22"/>
          <w:lang w:val="en-US" w:eastAsia="en-US"/>
        </w:rPr>
        <w:t xml:space="preserve"> We are particularly supportive of measures to limit merchants evading limits on surcharges by describing their fees as something else, for example, a ‘booking and service fee’</w:t>
      </w:r>
      <w:r w:rsidR="005F52CE">
        <w:rPr>
          <w:rFonts w:ascii="Arial" w:hAnsi="Arial" w:cs="Arial"/>
          <w:bCs/>
          <w:sz w:val="22"/>
          <w:szCs w:val="22"/>
          <w:lang w:val="en-US" w:eastAsia="en-US"/>
        </w:rPr>
        <w:t>. T</w:t>
      </w:r>
      <w:r w:rsidR="00B81B36">
        <w:rPr>
          <w:rFonts w:ascii="Arial" w:hAnsi="Arial" w:cs="Arial"/>
          <w:bCs/>
          <w:sz w:val="22"/>
          <w:szCs w:val="22"/>
          <w:lang w:val="en-US" w:eastAsia="en-US"/>
        </w:rPr>
        <w:t>his</w:t>
      </w:r>
      <w:r w:rsidR="005F52CE">
        <w:rPr>
          <w:rFonts w:ascii="Arial" w:hAnsi="Arial" w:cs="Arial"/>
          <w:bCs/>
          <w:sz w:val="22"/>
          <w:szCs w:val="22"/>
          <w:lang w:val="en-US" w:eastAsia="en-US"/>
        </w:rPr>
        <w:t xml:space="preserve"> kind of avoidance</w:t>
      </w:r>
      <w:r w:rsidR="00B81B36">
        <w:rPr>
          <w:rFonts w:ascii="Arial" w:hAnsi="Arial" w:cs="Arial"/>
          <w:bCs/>
          <w:sz w:val="22"/>
          <w:szCs w:val="22"/>
          <w:lang w:val="en-US" w:eastAsia="en-US"/>
        </w:rPr>
        <w:t xml:space="preserve"> is a likely response from</w:t>
      </w:r>
      <w:r w:rsidR="005F52CE">
        <w:rPr>
          <w:rFonts w:ascii="Arial" w:hAnsi="Arial" w:cs="Arial"/>
          <w:bCs/>
          <w:sz w:val="22"/>
          <w:szCs w:val="22"/>
          <w:lang w:val="en-US" w:eastAsia="en-US"/>
        </w:rPr>
        <w:t xml:space="preserve"> some</w:t>
      </w:r>
      <w:r w:rsidR="00B81B36">
        <w:rPr>
          <w:rFonts w:ascii="Arial" w:hAnsi="Arial" w:cs="Arial"/>
          <w:bCs/>
          <w:sz w:val="22"/>
          <w:szCs w:val="22"/>
          <w:lang w:val="en-US" w:eastAsia="en-US"/>
        </w:rPr>
        <w:t xml:space="preserve"> market segments, so it is important that the </w:t>
      </w:r>
      <w:r w:rsidR="005F52CE">
        <w:rPr>
          <w:rFonts w:ascii="Arial" w:hAnsi="Arial" w:cs="Arial"/>
          <w:bCs/>
          <w:sz w:val="22"/>
          <w:szCs w:val="22"/>
          <w:lang w:val="en-US" w:eastAsia="en-US"/>
        </w:rPr>
        <w:t xml:space="preserve">new </w:t>
      </w:r>
      <w:r w:rsidR="00B81B36">
        <w:rPr>
          <w:rFonts w:ascii="Arial" w:hAnsi="Arial" w:cs="Arial"/>
          <w:bCs/>
          <w:sz w:val="22"/>
          <w:szCs w:val="22"/>
          <w:lang w:val="en-US" w:eastAsia="en-US"/>
        </w:rPr>
        <w:t xml:space="preserve">system </w:t>
      </w:r>
      <w:r w:rsidR="005F52CE">
        <w:rPr>
          <w:rFonts w:ascii="Arial" w:hAnsi="Arial" w:cs="Arial"/>
          <w:bCs/>
          <w:sz w:val="22"/>
          <w:szCs w:val="22"/>
          <w:lang w:val="en-US" w:eastAsia="en-US"/>
        </w:rPr>
        <w:t>anticipates that</w:t>
      </w:r>
      <w:r w:rsidR="00B81B36">
        <w:rPr>
          <w:rFonts w:ascii="Arial" w:hAnsi="Arial" w:cs="Arial"/>
          <w:bCs/>
          <w:sz w:val="22"/>
          <w:szCs w:val="22"/>
          <w:lang w:val="en-US" w:eastAsia="en-US"/>
        </w:rPr>
        <w:t xml:space="preserve">. </w:t>
      </w:r>
      <w:r w:rsidR="005F52CE">
        <w:rPr>
          <w:rFonts w:ascii="Arial" w:hAnsi="Arial" w:cs="Arial"/>
          <w:bCs/>
          <w:sz w:val="22"/>
          <w:szCs w:val="22"/>
          <w:lang w:val="en-US" w:eastAsia="en-US"/>
        </w:rPr>
        <w:t>As it stands, the</w:t>
      </w:r>
      <w:r w:rsidR="0062053A">
        <w:rPr>
          <w:rFonts w:ascii="Arial" w:hAnsi="Arial" w:cs="Arial"/>
          <w:bCs/>
          <w:sz w:val="22"/>
          <w:szCs w:val="22"/>
          <w:lang w:val="en-US" w:eastAsia="en-US"/>
        </w:rPr>
        <w:t xml:space="preserve"> </w:t>
      </w:r>
      <w:r w:rsidR="005F52CE">
        <w:rPr>
          <w:rFonts w:ascii="Arial" w:hAnsi="Arial" w:cs="Arial"/>
          <w:bCs/>
          <w:sz w:val="22"/>
          <w:szCs w:val="22"/>
          <w:lang w:val="en-US" w:eastAsia="en-US"/>
        </w:rPr>
        <w:t xml:space="preserve">proposed </w:t>
      </w:r>
      <w:r w:rsidR="0062053A">
        <w:rPr>
          <w:rFonts w:ascii="Arial" w:hAnsi="Arial" w:cs="Arial"/>
          <w:bCs/>
          <w:sz w:val="22"/>
          <w:szCs w:val="22"/>
          <w:lang w:val="en-US" w:eastAsia="en-US"/>
        </w:rPr>
        <w:t xml:space="preserve">system will be far more transparent and much fairer than current arrangements. </w:t>
      </w:r>
      <w:r>
        <w:rPr>
          <w:rFonts w:ascii="Arial" w:hAnsi="Arial" w:cs="Arial"/>
          <w:bCs/>
          <w:sz w:val="22"/>
          <w:szCs w:val="22"/>
          <w:lang w:val="en-US" w:eastAsia="en-US"/>
        </w:rPr>
        <w:t xml:space="preserve"> </w:t>
      </w:r>
    </w:p>
    <w:p w:rsidR="00B81B36" w:rsidRDefault="00B81B36" w:rsidP="00B81B36">
      <w:pPr>
        <w:spacing w:line="276" w:lineRule="auto"/>
        <w:ind w:right="-96"/>
        <w:jc w:val="both"/>
        <w:rPr>
          <w:rFonts w:ascii="Arial" w:hAnsi="Arial" w:cs="Arial"/>
          <w:bCs/>
          <w:sz w:val="22"/>
          <w:szCs w:val="22"/>
          <w:lang w:val="en-US" w:eastAsia="en-US"/>
        </w:rPr>
      </w:pPr>
    </w:p>
    <w:p w:rsidR="00B81B36" w:rsidRDefault="005F52CE" w:rsidP="00B81B36">
      <w:pPr>
        <w:spacing w:line="276" w:lineRule="auto"/>
        <w:ind w:right="-96"/>
        <w:jc w:val="both"/>
        <w:rPr>
          <w:rFonts w:ascii="Arial" w:hAnsi="Arial" w:cs="Arial"/>
          <w:bCs/>
          <w:sz w:val="22"/>
          <w:szCs w:val="22"/>
          <w:lang w:val="en-US" w:eastAsia="en-US"/>
        </w:rPr>
      </w:pPr>
      <w:r>
        <w:rPr>
          <w:rFonts w:ascii="Arial" w:hAnsi="Arial" w:cs="Arial"/>
          <w:bCs/>
          <w:sz w:val="22"/>
          <w:szCs w:val="22"/>
          <w:lang w:val="en-US" w:eastAsia="en-US"/>
        </w:rPr>
        <w:t>We do note though, that d</w:t>
      </w:r>
      <w:r w:rsidR="003B6AA0">
        <w:rPr>
          <w:rFonts w:ascii="Arial" w:hAnsi="Arial" w:cs="Arial"/>
          <w:bCs/>
          <w:sz w:val="22"/>
          <w:szCs w:val="22"/>
          <w:lang w:val="en-US" w:eastAsia="en-US"/>
        </w:rPr>
        <w:t>espite supporting O</w:t>
      </w:r>
      <w:r w:rsidR="00B81B36">
        <w:rPr>
          <w:rFonts w:ascii="Arial" w:hAnsi="Arial" w:cs="Arial"/>
          <w:bCs/>
          <w:sz w:val="22"/>
          <w:szCs w:val="22"/>
          <w:lang w:val="en-US" w:eastAsia="en-US"/>
        </w:rPr>
        <w:t xml:space="preserve">ption 3, </w:t>
      </w:r>
      <w:r>
        <w:rPr>
          <w:rFonts w:ascii="Arial" w:hAnsi="Arial" w:cs="Arial"/>
          <w:bCs/>
          <w:sz w:val="22"/>
          <w:szCs w:val="22"/>
          <w:lang w:val="en-US" w:eastAsia="en-US"/>
        </w:rPr>
        <w:t>we are opposed</w:t>
      </w:r>
      <w:r w:rsidR="00B81B36">
        <w:rPr>
          <w:rFonts w:ascii="Arial" w:hAnsi="Arial" w:cs="Arial"/>
          <w:bCs/>
          <w:sz w:val="22"/>
          <w:szCs w:val="22"/>
          <w:lang w:val="en-US" w:eastAsia="en-US"/>
        </w:rPr>
        <w:t xml:space="preserve"> to surcharging for lower cost payment methods such as debit cards or </w:t>
      </w:r>
      <w:proofErr w:type="spellStart"/>
      <w:r w:rsidR="00B81B36">
        <w:rPr>
          <w:rFonts w:ascii="Arial" w:hAnsi="Arial" w:cs="Arial"/>
          <w:bCs/>
          <w:sz w:val="22"/>
          <w:szCs w:val="22"/>
          <w:lang w:val="en-US" w:eastAsia="en-US"/>
        </w:rPr>
        <w:t>eftpos</w:t>
      </w:r>
      <w:proofErr w:type="spellEnd"/>
      <w:r w:rsidR="00B81B36">
        <w:rPr>
          <w:rFonts w:ascii="Arial" w:hAnsi="Arial" w:cs="Arial"/>
          <w:bCs/>
          <w:sz w:val="22"/>
          <w:szCs w:val="22"/>
          <w:lang w:val="en-US" w:eastAsia="en-US"/>
        </w:rPr>
        <w:t>. We maintain that it is not fair for consumers to be surcharged for access to their own funds.</w:t>
      </w:r>
    </w:p>
    <w:p w:rsidR="00451CED" w:rsidRDefault="00451CED" w:rsidP="00B72875">
      <w:pPr>
        <w:spacing w:line="276" w:lineRule="auto"/>
        <w:ind w:right="-96"/>
        <w:jc w:val="both"/>
        <w:rPr>
          <w:rFonts w:ascii="Arial" w:hAnsi="Arial" w:cs="Arial"/>
          <w:bCs/>
          <w:sz w:val="22"/>
          <w:szCs w:val="22"/>
          <w:lang w:val="en-US" w:eastAsia="en-US"/>
        </w:rPr>
      </w:pPr>
    </w:p>
    <w:p w:rsidR="00AA5B68" w:rsidRDefault="00AA5B68" w:rsidP="00B72875">
      <w:pPr>
        <w:spacing w:line="276" w:lineRule="auto"/>
        <w:ind w:right="-96"/>
        <w:jc w:val="both"/>
        <w:rPr>
          <w:rFonts w:ascii="Arial" w:hAnsi="Arial" w:cs="Arial"/>
          <w:sz w:val="22"/>
          <w:szCs w:val="22"/>
        </w:rPr>
      </w:pPr>
      <w:r>
        <w:rPr>
          <w:rFonts w:ascii="Arial" w:hAnsi="Arial" w:cs="Arial"/>
          <w:bCs/>
          <w:sz w:val="22"/>
          <w:szCs w:val="22"/>
          <w:lang w:val="en-US" w:eastAsia="en-US"/>
        </w:rPr>
        <w:t xml:space="preserve">Consumer Action </w:t>
      </w:r>
      <w:r w:rsidR="00451CED">
        <w:rPr>
          <w:rFonts w:ascii="Arial" w:hAnsi="Arial" w:cs="Arial"/>
          <w:bCs/>
          <w:sz w:val="22"/>
          <w:szCs w:val="22"/>
          <w:lang w:val="en-US" w:eastAsia="en-US"/>
        </w:rPr>
        <w:t xml:space="preserve">also </w:t>
      </w:r>
      <w:r>
        <w:rPr>
          <w:rFonts w:ascii="Arial" w:hAnsi="Arial" w:cs="Arial"/>
          <w:bCs/>
          <w:sz w:val="22"/>
          <w:szCs w:val="22"/>
          <w:lang w:val="en-US" w:eastAsia="en-US"/>
        </w:rPr>
        <w:t xml:space="preserve">notes the </w:t>
      </w:r>
      <w:r w:rsidRPr="00AA5B68">
        <w:rPr>
          <w:rFonts w:ascii="Arial" w:hAnsi="Arial" w:cs="Arial"/>
          <w:i/>
          <w:sz w:val="22"/>
          <w:szCs w:val="22"/>
        </w:rPr>
        <w:t xml:space="preserve">Competition and Consumer Amendment (Payment Surcharges) Bill 2015 </w:t>
      </w:r>
      <w:r>
        <w:rPr>
          <w:rFonts w:ascii="Arial" w:hAnsi="Arial" w:cs="Arial"/>
          <w:sz w:val="22"/>
          <w:szCs w:val="22"/>
        </w:rPr>
        <w:t>which was introduced to Federal House of Representatives in December 2015 and is expected to be enacted early this year. This legislation will empower the Australian Competition and Consumer Commission (</w:t>
      </w:r>
      <w:r w:rsidRPr="00AA5B68">
        <w:rPr>
          <w:rFonts w:ascii="Arial" w:hAnsi="Arial" w:cs="Arial"/>
          <w:b/>
          <w:sz w:val="22"/>
          <w:szCs w:val="22"/>
        </w:rPr>
        <w:t>ACCC</w:t>
      </w:r>
      <w:r>
        <w:rPr>
          <w:rFonts w:ascii="Arial" w:hAnsi="Arial" w:cs="Arial"/>
          <w:sz w:val="22"/>
          <w:szCs w:val="22"/>
        </w:rPr>
        <w:t xml:space="preserve">) to enforce the limits </w:t>
      </w:r>
      <w:r w:rsidR="00D64777">
        <w:rPr>
          <w:rFonts w:ascii="Arial" w:hAnsi="Arial" w:cs="Arial"/>
          <w:sz w:val="22"/>
          <w:szCs w:val="22"/>
        </w:rPr>
        <w:t>set</w:t>
      </w:r>
      <w:r>
        <w:rPr>
          <w:rFonts w:ascii="Arial" w:hAnsi="Arial" w:cs="Arial"/>
          <w:sz w:val="22"/>
          <w:szCs w:val="22"/>
        </w:rPr>
        <w:t xml:space="preserve"> by the RBA </w:t>
      </w:r>
      <w:r w:rsidR="00D64777">
        <w:rPr>
          <w:rFonts w:ascii="Arial" w:hAnsi="Arial" w:cs="Arial"/>
          <w:sz w:val="22"/>
          <w:szCs w:val="22"/>
        </w:rPr>
        <w:t xml:space="preserve">(as proposed </w:t>
      </w:r>
      <w:r>
        <w:rPr>
          <w:rFonts w:ascii="Arial" w:hAnsi="Arial" w:cs="Arial"/>
          <w:sz w:val="22"/>
          <w:szCs w:val="22"/>
        </w:rPr>
        <w:t>in the Consultation Paper</w:t>
      </w:r>
      <w:r w:rsidR="00D64777">
        <w:rPr>
          <w:rFonts w:ascii="Arial" w:hAnsi="Arial" w:cs="Arial"/>
          <w:sz w:val="22"/>
          <w:szCs w:val="22"/>
        </w:rPr>
        <w:t>)</w:t>
      </w:r>
      <w:r>
        <w:rPr>
          <w:rFonts w:ascii="Arial" w:hAnsi="Arial" w:cs="Arial"/>
          <w:sz w:val="22"/>
          <w:szCs w:val="22"/>
        </w:rPr>
        <w:t xml:space="preserve">, and to that end Consumer Action supports CHOICE’s </w:t>
      </w:r>
      <w:r w:rsidR="00D64777">
        <w:rPr>
          <w:rFonts w:ascii="Arial" w:hAnsi="Arial" w:cs="Arial"/>
          <w:sz w:val="22"/>
          <w:szCs w:val="22"/>
        </w:rPr>
        <w:t>recommendation that consideration be given to how consumer</w:t>
      </w:r>
      <w:r w:rsidR="00B81B36">
        <w:rPr>
          <w:rFonts w:ascii="Arial" w:hAnsi="Arial" w:cs="Arial"/>
          <w:sz w:val="22"/>
          <w:szCs w:val="22"/>
        </w:rPr>
        <w:t>s</w:t>
      </w:r>
      <w:r w:rsidR="00D64777">
        <w:rPr>
          <w:rFonts w:ascii="Arial" w:hAnsi="Arial" w:cs="Arial"/>
          <w:sz w:val="22"/>
          <w:szCs w:val="22"/>
        </w:rPr>
        <w:t xml:space="preserve"> may bes</w:t>
      </w:r>
      <w:r w:rsidR="00B81B36">
        <w:rPr>
          <w:rFonts w:ascii="Arial" w:hAnsi="Arial" w:cs="Arial"/>
          <w:sz w:val="22"/>
          <w:szCs w:val="22"/>
        </w:rPr>
        <w:t>t report excessive surcharging</w:t>
      </w:r>
      <w:r w:rsidR="00D64777">
        <w:rPr>
          <w:rFonts w:ascii="Arial" w:hAnsi="Arial" w:cs="Arial"/>
          <w:sz w:val="22"/>
          <w:szCs w:val="22"/>
        </w:rPr>
        <w:t xml:space="preserve"> so that it may be effectively enforced. Consumer Action would be happy to participate in any consultation regarding effective reporting and enforcement of the new limits.</w:t>
      </w:r>
    </w:p>
    <w:p w:rsidR="00AA5B68" w:rsidRDefault="00AA5B68" w:rsidP="00B72875">
      <w:pPr>
        <w:spacing w:line="276" w:lineRule="auto"/>
        <w:ind w:right="-96"/>
        <w:jc w:val="both"/>
        <w:rPr>
          <w:rFonts w:ascii="Arial" w:hAnsi="Arial" w:cs="Arial"/>
          <w:bCs/>
          <w:sz w:val="22"/>
          <w:szCs w:val="22"/>
          <w:lang w:val="en-US" w:eastAsia="en-US"/>
        </w:rPr>
      </w:pPr>
    </w:p>
    <w:p w:rsidR="005F52CE" w:rsidRDefault="005F52CE" w:rsidP="00B72875">
      <w:pPr>
        <w:spacing w:line="276" w:lineRule="auto"/>
        <w:ind w:right="-96"/>
        <w:jc w:val="both"/>
        <w:rPr>
          <w:rFonts w:ascii="Arial" w:hAnsi="Arial" w:cs="Arial"/>
          <w:bCs/>
          <w:sz w:val="22"/>
          <w:szCs w:val="22"/>
          <w:lang w:val="en-US" w:eastAsia="en-US"/>
        </w:rPr>
      </w:pPr>
    </w:p>
    <w:p w:rsidR="005F52CE" w:rsidRPr="00AA5B68" w:rsidRDefault="005F52CE" w:rsidP="00B72875">
      <w:pPr>
        <w:spacing w:line="276" w:lineRule="auto"/>
        <w:ind w:right="-96"/>
        <w:jc w:val="both"/>
        <w:rPr>
          <w:rFonts w:ascii="Arial" w:hAnsi="Arial" w:cs="Arial"/>
          <w:bCs/>
          <w:sz w:val="22"/>
          <w:szCs w:val="22"/>
          <w:lang w:val="en-US" w:eastAsia="en-US"/>
        </w:rPr>
      </w:pPr>
    </w:p>
    <w:p w:rsidR="002512CA" w:rsidRPr="002512CA" w:rsidRDefault="004070DB" w:rsidP="00B72875">
      <w:pPr>
        <w:spacing w:line="276" w:lineRule="auto"/>
        <w:ind w:right="-96"/>
        <w:jc w:val="both"/>
        <w:rPr>
          <w:rFonts w:ascii="Arial" w:hAnsi="Arial" w:cs="Arial"/>
          <w:b/>
          <w:bCs/>
          <w:sz w:val="22"/>
          <w:szCs w:val="22"/>
          <w:lang w:val="en-US" w:eastAsia="en-US"/>
        </w:rPr>
      </w:pPr>
      <w:r>
        <w:rPr>
          <w:rFonts w:ascii="Arial" w:hAnsi="Arial" w:cs="Arial"/>
          <w:b/>
          <w:bCs/>
          <w:sz w:val="22"/>
          <w:szCs w:val="22"/>
          <w:lang w:val="en-US" w:eastAsia="en-US"/>
        </w:rPr>
        <w:t>Interchange fees</w:t>
      </w:r>
    </w:p>
    <w:p w:rsidR="00B310AC" w:rsidRDefault="00B310AC" w:rsidP="00B72875">
      <w:pPr>
        <w:spacing w:line="276" w:lineRule="auto"/>
        <w:ind w:right="-96"/>
        <w:jc w:val="both"/>
        <w:rPr>
          <w:rFonts w:ascii="Arial" w:hAnsi="Arial" w:cs="Arial"/>
          <w:bCs/>
          <w:sz w:val="22"/>
          <w:szCs w:val="22"/>
          <w:lang w:val="en-US" w:eastAsia="en-US"/>
        </w:rPr>
      </w:pPr>
    </w:p>
    <w:p w:rsidR="00BD08A3" w:rsidRPr="00524CBB" w:rsidRDefault="0062053A" w:rsidP="00B72875">
      <w:pPr>
        <w:spacing w:line="276" w:lineRule="auto"/>
        <w:ind w:right="-96"/>
        <w:jc w:val="both"/>
        <w:rPr>
          <w:rFonts w:ascii="Arial" w:hAnsi="Arial" w:cs="Arial"/>
          <w:bCs/>
          <w:sz w:val="22"/>
          <w:szCs w:val="22"/>
          <w:lang w:val="en-US" w:eastAsia="en-US"/>
        </w:rPr>
      </w:pPr>
      <w:r>
        <w:rPr>
          <w:rFonts w:ascii="Arial" w:hAnsi="Arial" w:cs="Arial"/>
          <w:bCs/>
          <w:sz w:val="22"/>
          <w:szCs w:val="22"/>
          <w:lang w:val="en-US" w:eastAsia="en-US"/>
        </w:rPr>
        <w:t xml:space="preserve">Consumer Action supports CHOICE’s view that </w:t>
      </w:r>
      <w:r w:rsidR="0002189D">
        <w:rPr>
          <w:rFonts w:ascii="Arial" w:hAnsi="Arial" w:cs="Arial"/>
          <w:bCs/>
          <w:sz w:val="22"/>
          <w:szCs w:val="22"/>
          <w:lang w:val="en-US" w:eastAsia="en-US"/>
        </w:rPr>
        <w:t xml:space="preserve">credit card </w:t>
      </w:r>
      <w:r>
        <w:rPr>
          <w:rFonts w:ascii="Arial" w:hAnsi="Arial" w:cs="Arial"/>
          <w:bCs/>
          <w:sz w:val="22"/>
          <w:szCs w:val="22"/>
          <w:lang w:val="en-US" w:eastAsia="en-US"/>
        </w:rPr>
        <w:t xml:space="preserve">interchange fees </w:t>
      </w:r>
      <w:r w:rsidR="00343C41">
        <w:rPr>
          <w:rFonts w:ascii="Arial" w:hAnsi="Arial" w:cs="Arial"/>
          <w:bCs/>
          <w:sz w:val="22"/>
          <w:szCs w:val="22"/>
          <w:lang w:val="en-US" w:eastAsia="en-US"/>
        </w:rPr>
        <w:t xml:space="preserve">need to be lowered, although we believe </w:t>
      </w:r>
      <w:r w:rsidR="00614BF0">
        <w:rPr>
          <w:rFonts w:ascii="Arial" w:hAnsi="Arial" w:cs="Arial"/>
          <w:bCs/>
          <w:sz w:val="22"/>
          <w:szCs w:val="22"/>
          <w:lang w:val="en-US" w:eastAsia="en-US"/>
        </w:rPr>
        <w:t>this should be achieved through the implementat</w:t>
      </w:r>
      <w:r w:rsidR="00143E72">
        <w:rPr>
          <w:rFonts w:ascii="Arial" w:hAnsi="Arial" w:cs="Arial"/>
          <w:bCs/>
          <w:sz w:val="22"/>
          <w:szCs w:val="22"/>
          <w:lang w:val="en-US" w:eastAsia="en-US"/>
        </w:rPr>
        <w:t>ion of a hard cap, or ceiling—</w:t>
      </w:r>
      <w:r w:rsidR="00614BF0">
        <w:rPr>
          <w:rFonts w:ascii="Arial" w:hAnsi="Arial" w:cs="Arial"/>
          <w:bCs/>
          <w:sz w:val="22"/>
          <w:szCs w:val="22"/>
          <w:lang w:val="en-US" w:eastAsia="en-US"/>
        </w:rPr>
        <w:t xml:space="preserve">rather than a weighted benchmark. </w:t>
      </w:r>
      <w:r w:rsidR="00BD08A3" w:rsidRPr="00524CBB">
        <w:rPr>
          <w:rFonts w:ascii="Arial" w:hAnsi="Arial" w:cs="Arial"/>
          <w:bCs/>
          <w:sz w:val="22"/>
          <w:szCs w:val="22"/>
          <w:lang w:val="en-US" w:eastAsia="en-US"/>
        </w:rPr>
        <w:t>Consumer Action notes that the recent Financial System Inquiry (</w:t>
      </w:r>
      <w:r w:rsidR="00BD08A3" w:rsidRPr="00524CBB">
        <w:rPr>
          <w:rFonts w:ascii="Arial" w:hAnsi="Arial" w:cs="Arial"/>
          <w:b/>
          <w:bCs/>
          <w:sz w:val="22"/>
          <w:szCs w:val="22"/>
          <w:lang w:val="en-US" w:eastAsia="en-US"/>
        </w:rPr>
        <w:t>FSI</w:t>
      </w:r>
      <w:r w:rsidR="00BD08A3" w:rsidRPr="00524CBB">
        <w:rPr>
          <w:rFonts w:ascii="Arial" w:hAnsi="Arial" w:cs="Arial"/>
          <w:bCs/>
          <w:sz w:val="22"/>
          <w:szCs w:val="22"/>
          <w:lang w:val="en-US" w:eastAsia="en-US"/>
        </w:rPr>
        <w:t xml:space="preserve">) commissioned by Federal Treasury </w:t>
      </w:r>
      <w:r w:rsidR="00B26032" w:rsidRPr="00524CBB">
        <w:rPr>
          <w:rFonts w:ascii="Arial" w:hAnsi="Arial" w:cs="Arial"/>
          <w:bCs/>
          <w:sz w:val="22"/>
          <w:szCs w:val="22"/>
          <w:lang w:val="en-US" w:eastAsia="en-US"/>
        </w:rPr>
        <w:t xml:space="preserve">also </w:t>
      </w:r>
      <w:r w:rsidR="00BD08A3" w:rsidRPr="00524CBB">
        <w:rPr>
          <w:rFonts w:ascii="Arial" w:hAnsi="Arial" w:cs="Arial"/>
          <w:bCs/>
          <w:sz w:val="22"/>
          <w:szCs w:val="22"/>
          <w:lang w:val="en-US" w:eastAsia="en-US"/>
        </w:rPr>
        <w:t>recommended the implementation of hard caps for interchange fees, in its final report.</w:t>
      </w:r>
      <w:r w:rsidR="00BD08A3" w:rsidRPr="00524CBB">
        <w:rPr>
          <w:rStyle w:val="FootnoteReference"/>
          <w:rFonts w:ascii="Arial" w:hAnsi="Arial" w:cs="Arial"/>
          <w:bCs/>
          <w:sz w:val="22"/>
          <w:szCs w:val="22"/>
          <w:lang w:val="en-US" w:eastAsia="en-US"/>
        </w:rPr>
        <w:footnoteReference w:id="3"/>
      </w:r>
      <w:r w:rsidR="00BD08A3" w:rsidRPr="00524CBB">
        <w:rPr>
          <w:rFonts w:ascii="Arial" w:hAnsi="Arial" w:cs="Arial"/>
          <w:bCs/>
          <w:sz w:val="22"/>
          <w:szCs w:val="22"/>
          <w:lang w:val="en-US" w:eastAsia="en-US"/>
        </w:rPr>
        <w:t xml:space="preserve"> The FSI Final Report framed the issue in terms of market competition, making reference to the fact that large merchants are currently able to negotiate lower merchant service fees, giving them an unfair advantage against smaller businesses</w:t>
      </w:r>
      <w:r w:rsidR="00B26032" w:rsidRPr="00524CBB">
        <w:rPr>
          <w:rFonts w:ascii="Arial" w:hAnsi="Arial" w:cs="Arial"/>
          <w:bCs/>
          <w:sz w:val="22"/>
          <w:szCs w:val="22"/>
          <w:lang w:val="en-US" w:eastAsia="en-US"/>
        </w:rPr>
        <w:t xml:space="preserve">. The FSI Final Report recommended: </w:t>
      </w:r>
    </w:p>
    <w:p w:rsidR="00BD08A3" w:rsidRPr="00524CBB" w:rsidRDefault="00BD08A3" w:rsidP="00B72875">
      <w:pPr>
        <w:spacing w:line="276" w:lineRule="auto"/>
        <w:ind w:right="-96"/>
        <w:jc w:val="both"/>
        <w:rPr>
          <w:rFonts w:ascii="Arial" w:hAnsi="Arial" w:cs="Arial"/>
          <w:bCs/>
          <w:sz w:val="22"/>
          <w:szCs w:val="22"/>
          <w:lang w:val="en-US" w:eastAsia="en-US"/>
        </w:rPr>
      </w:pPr>
    </w:p>
    <w:p w:rsidR="00BD08A3" w:rsidRPr="00524CBB" w:rsidRDefault="00BD08A3" w:rsidP="00BD08A3">
      <w:pPr>
        <w:spacing w:line="276" w:lineRule="auto"/>
        <w:ind w:left="720" w:right="-96"/>
        <w:jc w:val="both"/>
        <w:rPr>
          <w:rFonts w:ascii="Arial" w:hAnsi="Arial" w:cs="Arial"/>
          <w:bCs/>
          <w:i/>
          <w:sz w:val="22"/>
          <w:szCs w:val="22"/>
          <w:lang w:val="en-US" w:eastAsia="en-US"/>
        </w:rPr>
      </w:pPr>
      <w:r w:rsidRPr="00524CBB">
        <w:rPr>
          <w:rFonts w:ascii="Arial" w:hAnsi="Arial" w:cs="Arial"/>
          <w:i/>
          <w:sz w:val="22"/>
          <w:szCs w:val="22"/>
        </w:rPr>
        <w:t>“Replacing three-year weighted-average caps with hard caps, so every interchange fee falls below the interchange fee caps. This would also reduce differences in fees paid by small and large merchants”</w:t>
      </w:r>
      <w:r w:rsidR="00B26032" w:rsidRPr="00524CBB">
        <w:rPr>
          <w:rStyle w:val="FootnoteReference"/>
          <w:rFonts w:ascii="Arial" w:hAnsi="Arial" w:cs="Arial"/>
          <w:i/>
          <w:sz w:val="22"/>
          <w:szCs w:val="22"/>
        </w:rPr>
        <w:footnoteReference w:id="4"/>
      </w:r>
    </w:p>
    <w:p w:rsidR="00BD08A3" w:rsidRPr="00524CBB" w:rsidRDefault="00BD08A3" w:rsidP="00B72875">
      <w:pPr>
        <w:spacing w:line="276" w:lineRule="auto"/>
        <w:ind w:right="-96"/>
        <w:jc w:val="both"/>
        <w:rPr>
          <w:rFonts w:ascii="Arial" w:hAnsi="Arial" w:cs="Arial"/>
          <w:bCs/>
          <w:sz w:val="22"/>
          <w:szCs w:val="22"/>
          <w:lang w:val="en-US" w:eastAsia="en-US"/>
        </w:rPr>
      </w:pPr>
    </w:p>
    <w:p w:rsidR="0004412C" w:rsidRDefault="00B26032" w:rsidP="00B72875">
      <w:pPr>
        <w:spacing w:line="276" w:lineRule="auto"/>
        <w:ind w:right="-96"/>
        <w:jc w:val="both"/>
        <w:rPr>
          <w:rFonts w:ascii="Arial" w:hAnsi="Arial" w:cs="Arial"/>
          <w:bCs/>
          <w:sz w:val="22"/>
          <w:szCs w:val="22"/>
          <w:lang w:val="en-US" w:eastAsia="en-US"/>
        </w:rPr>
      </w:pPr>
      <w:r w:rsidRPr="00524CBB">
        <w:rPr>
          <w:rFonts w:ascii="Arial" w:hAnsi="Arial" w:cs="Arial"/>
          <w:bCs/>
          <w:sz w:val="22"/>
          <w:szCs w:val="22"/>
          <w:lang w:val="en-US" w:eastAsia="en-US"/>
        </w:rPr>
        <w:t xml:space="preserve">In Consumer Action’s view, a more even playing field between large and small businesses would </w:t>
      </w:r>
      <w:r w:rsidR="00A32369" w:rsidRPr="00524CBB">
        <w:rPr>
          <w:rFonts w:ascii="Arial" w:hAnsi="Arial" w:cs="Arial"/>
          <w:bCs/>
          <w:sz w:val="22"/>
          <w:szCs w:val="22"/>
          <w:lang w:val="en-US" w:eastAsia="en-US"/>
        </w:rPr>
        <w:t>benefit</w:t>
      </w:r>
      <w:r w:rsidRPr="00524CBB">
        <w:rPr>
          <w:rFonts w:ascii="Arial" w:hAnsi="Arial" w:cs="Arial"/>
          <w:bCs/>
          <w:sz w:val="22"/>
          <w:szCs w:val="22"/>
          <w:lang w:val="en-US" w:eastAsia="en-US"/>
        </w:rPr>
        <w:t xml:space="preserve"> consumers.</w:t>
      </w:r>
      <w:r>
        <w:rPr>
          <w:rFonts w:ascii="Arial" w:hAnsi="Arial" w:cs="Arial"/>
          <w:bCs/>
          <w:sz w:val="22"/>
          <w:szCs w:val="22"/>
          <w:lang w:val="en-US" w:eastAsia="en-US"/>
        </w:rPr>
        <w:t xml:space="preserve"> We recommend that the</w:t>
      </w:r>
      <w:r w:rsidR="00614BF0">
        <w:rPr>
          <w:rFonts w:ascii="Arial" w:hAnsi="Arial" w:cs="Arial"/>
          <w:bCs/>
          <w:sz w:val="22"/>
          <w:szCs w:val="22"/>
          <w:lang w:val="en-US" w:eastAsia="en-US"/>
        </w:rPr>
        <w:t xml:space="preserve"> proposed weighted benchmark </w:t>
      </w:r>
      <w:r w:rsidR="00143E72">
        <w:rPr>
          <w:rFonts w:ascii="Arial" w:hAnsi="Arial" w:cs="Arial"/>
          <w:bCs/>
          <w:sz w:val="22"/>
          <w:szCs w:val="22"/>
          <w:lang w:val="en-US" w:eastAsia="en-US"/>
        </w:rPr>
        <w:t>of 0.3% be implemented as a cap—</w:t>
      </w:r>
      <w:r>
        <w:rPr>
          <w:rFonts w:ascii="Arial" w:hAnsi="Arial" w:cs="Arial"/>
          <w:bCs/>
          <w:sz w:val="22"/>
          <w:szCs w:val="22"/>
          <w:lang w:val="en-US" w:eastAsia="en-US"/>
        </w:rPr>
        <w:t xml:space="preserve">which we note is </w:t>
      </w:r>
      <w:r w:rsidR="0062053A">
        <w:rPr>
          <w:rFonts w:ascii="Arial" w:hAnsi="Arial" w:cs="Arial"/>
          <w:bCs/>
          <w:sz w:val="22"/>
          <w:szCs w:val="22"/>
          <w:lang w:val="en-US" w:eastAsia="en-US"/>
        </w:rPr>
        <w:t xml:space="preserve">considerably lower than the 0.8% </w:t>
      </w:r>
      <w:r w:rsidR="00614BF0">
        <w:rPr>
          <w:rFonts w:ascii="Arial" w:hAnsi="Arial" w:cs="Arial"/>
          <w:bCs/>
          <w:sz w:val="22"/>
          <w:szCs w:val="22"/>
          <w:lang w:val="en-US" w:eastAsia="en-US"/>
        </w:rPr>
        <w:t xml:space="preserve">cap </w:t>
      </w:r>
      <w:r w:rsidR="0062053A">
        <w:rPr>
          <w:rFonts w:ascii="Arial" w:hAnsi="Arial" w:cs="Arial"/>
          <w:bCs/>
          <w:sz w:val="22"/>
          <w:szCs w:val="22"/>
          <w:lang w:val="en-US" w:eastAsia="en-US"/>
        </w:rPr>
        <w:t xml:space="preserve">proposed by the Consultation Paper. </w:t>
      </w:r>
      <w:r w:rsidR="0062053A" w:rsidRPr="00BD08A3">
        <w:rPr>
          <w:rFonts w:ascii="Arial" w:hAnsi="Arial" w:cs="Arial"/>
          <w:bCs/>
          <w:sz w:val="22"/>
          <w:szCs w:val="22"/>
          <w:lang w:val="en-US" w:eastAsia="en-US"/>
        </w:rPr>
        <w:t xml:space="preserve">Creeping interchange fees have been detrimental for consumers, </w:t>
      </w:r>
      <w:r w:rsidR="0002189D" w:rsidRPr="00BD08A3">
        <w:rPr>
          <w:rFonts w:ascii="Arial" w:hAnsi="Arial" w:cs="Arial"/>
          <w:bCs/>
          <w:sz w:val="22"/>
          <w:szCs w:val="22"/>
          <w:lang w:val="en-US" w:eastAsia="en-US"/>
        </w:rPr>
        <w:t xml:space="preserve">as they generally lead to an increase in retail prices, </w:t>
      </w:r>
      <w:r w:rsidR="0062053A" w:rsidRPr="00BD08A3">
        <w:rPr>
          <w:rFonts w:ascii="Arial" w:hAnsi="Arial" w:cs="Arial"/>
          <w:bCs/>
          <w:sz w:val="22"/>
          <w:szCs w:val="22"/>
          <w:lang w:val="en-US" w:eastAsia="en-US"/>
        </w:rPr>
        <w:t xml:space="preserve">as merchants pass </w:t>
      </w:r>
      <w:r w:rsidR="0002189D" w:rsidRPr="00BD08A3">
        <w:rPr>
          <w:rFonts w:ascii="Arial" w:hAnsi="Arial" w:cs="Arial"/>
          <w:bCs/>
          <w:sz w:val="22"/>
          <w:szCs w:val="22"/>
          <w:lang w:val="en-US" w:eastAsia="en-US"/>
        </w:rPr>
        <w:t>on the cost</w:t>
      </w:r>
      <w:r w:rsidR="0062053A" w:rsidRPr="00BD08A3">
        <w:rPr>
          <w:rFonts w:ascii="Arial" w:hAnsi="Arial" w:cs="Arial"/>
          <w:bCs/>
          <w:sz w:val="22"/>
          <w:szCs w:val="22"/>
          <w:lang w:val="en-US" w:eastAsia="en-US"/>
        </w:rPr>
        <w:t>.</w:t>
      </w:r>
      <w:r w:rsidR="0062053A">
        <w:rPr>
          <w:rFonts w:ascii="Arial" w:hAnsi="Arial" w:cs="Arial"/>
          <w:bCs/>
          <w:sz w:val="22"/>
          <w:szCs w:val="22"/>
          <w:lang w:val="en-US" w:eastAsia="en-US"/>
        </w:rPr>
        <w:t xml:space="preserve"> </w:t>
      </w:r>
    </w:p>
    <w:p w:rsidR="0002189D" w:rsidRDefault="0002189D" w:rsidP="00B72875">
      <w:pPr>
        <w:spacing w:line="276" w:lineRule="auto"/>
        <w:ind w:right="-96"/>
        <w:jc w:val="both"/>
        <w:rPr>
          <w:rFonts w:ascii="Arial" w:hAnsi="Arial" w:cs="Arial"/>
          <w:bCs/>
          <w:sz w:val="22"/>
          <w:szCs w:val="22"/>
          <w:lang w:val="en-US" w:eastAsia="en-US"/>
        </w:rPr>
      </w:pPr>
    </w:p>
    <w:p w:rsidR="002B7250" w:rsidRDefault="0002189D" w:rsidP="00B72875">
      <w:pPr>
        <w:spacing w:line="276" w:lineRule="auto"/>
        <w:ind w:right="-96"/>
        <w:jc w:val="both"/>
        <w:rPr>
          <w:rFonts w:ascii="Arial" w:hAnsi="Arial" w:cs="Arial"/>
          <w:bCs/>
          <w:sz w:val="22"/>
          <w:szCs w:val="22"/>
          <w:lang w:val="en-US" w:eastAsia="en-US"/>
        </w:rPr>
      </w:pPr>
      <w:r>
        <w:rPr>
          <w:rFonts w:ascii="Arial" w:hAnsi="Arial" w:cs="Arial"/>
          <w:bCs/>
          <w:sz w:val="22"/>
          <w:szCs w:val="22"/>
          <w:lang w:val="en-US" w:eastAsia="en-US"/>
        </w:rPr>
        <w:t xml:space="preserve">We </w:t>
      </w:r>
      <w:r w:rsidR="00614BF0">
        <w:rPr>
          <w:rFonts w:ascii="Arial" w:hAnsi="Arial" w:cs="Arial"/>
          <w:bCs/>
          <w:sz w:val="22"/>
          <w:szCs w:val="22"/>
          <w:lang w:val="en-US" w:eastAsia="en-US"/>
        </w:rPr>
        <w:t xml:space="preserve">are also of the </w:t>
      </w:r>
      <w:r>
        <w:rPr>
          <w:rFonts w:ascii="Arial" w:hAnsi="Arial" w:cs="Arial"/>
          <w:bCs/>
          <w:sz w:val="22"/>
          <w:szCs w:val="22"/>
          <w:lang w:val="en-US" w:eastAsia="en-US"/>
        </w:rPr>
        <w:t xml:space="preserve">view that a hard cap of five cents per transaction should be applied to interchange fees for debit card transactions. </w:t>
      </w:r>
      <w:r w:rsidR="002B7250">
        <w:rPr>
          <w:rFonts w:ascii="Arial" w:hAnsi="Arial" w:cs="Arial"/>
          <w:bCs/>
          <w:sz w:val="22"/>
          <w:szCs w:val="22"/>
          <w:lang w:val="en-US" w:eastAsia="en-US"/>
        </w:rPr>
        <w:t>Consumer Action notes that this is considerably lower than the fifteen cents currently proposed in Clause 4.1 of Draft Standard No.2 in the Consultation Paper.</w:t>
      </w:r>
      <w:r w:rsidR="002B7250">
        <w:rPr>
          <w:rStyle w:val="FootnoteReference"/>
          <w:rFonts w:ascii="Arial" w:hAnsi="Arial" w:cs="Arial"/>
          <w:bCs/>
          <w:sz w:val="22"/>
          <w:szCs w:val="22"/>
          <w:lang w:val="en-US" w:eastAsia="en-US"/>
        </w:rPr>
        <w:footnoteReference w:id="5"/>
      </w:r>
    </w:p>
    <w:p w:rsidR="0002189D" w:rsidRDefault="0002189D" w:rsidP="00B72875">
      <w:pPr>
        <w:spacing w:line="276" w:lineRule="auto"/>
        <w:ind w:right="-96"/>
        <w:jc w:val="both"/>
        <w:rPr>
          <w:rFonts w:ascii="Arial" w:hAnsi="Arial" w:cs="Arial"/>
          <w:bCs/>
          <w:sz w:val="22"/>
          <w:szCs w:val="22"/>
          <w:lang w:val="en-US" w:eastAsia="en-US"/>
        </w:rPr>
      </w:pPr>
    </w:p>
    <w:p w:rsidR="00B26032" w:rsidRDefault="0002189D" w:rsidP="00B72875">
      <w:pPr>
        <w:spacing w:line="276" w:lineRule="auto"/>
        <w:ind w:right="-96"/>
        <w:jc w:val="both"/>
        <w:rPr>
          <w:rFonts w:ascii="Arial" w:hAnsi="Arial" w:cs="Arial"/>
          <w:bCs/>
          <w:sz w:val="22"/>
          <w:szCs w:val="22"/>
          <w:lang w:val="en-US" w:eastAsia="en-US"/>
        </w:rPr>
      </w:pPr>
      <w:r>
        <w:rPr>
          <w:rFonts w:ascii="Arial" w:hAnsi="Arial" w:cs="Arial"/>
          <w:bCs/>
          <w:sz w:val="22"/>
          <w:szCs w:val="22"/>
          <w:lang w:val="en-US" w:eastAsia="en-US"/>
        </w:rPr>
        <w:t xml:space="preserve">Consumer Action refutes the arguments commonly raised against a reduction in interchange fees. </w:t>
      </w:r>
      <w:r w:rsidR="00C95414" w:rsidRPr="00BD08A3">
        <w:rPr>
          <w:rFonts w:ascii="Arial" w:hAnsi="Arial" w:cs="Arial"/>
          <w:bCs/>
          <w:sz w:val="22"/>
          <w:szCs w:val="22"/>
          <w:lang w:val="en-US" w:eastAsia="en-US"/>
        </w:rPr>
        <w:t>Common industry criticisms are that a reduction in interchange fees will not result in lower costs for consumers (as merchants will retain the difference),</w:t>
      </w:r>
      <w:r w:rsidR="00C95414">
        <w:rPr>
          <w:rFonts w:ascii="Arial" w:hAnsi="Arial" w:cs="Arial"/>
          <w:bCs/>
          <w:sz w:val="22"/>
          <w:szCs w:val="22"/>
          <w:lang w:val="en-US" w:eastAsia="en-US"/>
        </w:rPr>
        <w:t xml:space="preserve"> that a lowering of fees will negatively impact the value of rewards programs, and that annual card fees will rise to account for the shortfall in fee revenue, and that some card providers will be unable to offer low rate credit cards. In our view, these arguments </w:t>
      </w:r>
      <w:r w:rsidR="00F9199F">
        <w:rPr>
          <w:rFonts w:ascii="Arial" w:hAnsi="Arial" w:cs="Arial"/>
          <w:bCs/>
          <w:sz w:val="22"/>
          <w:szCs w:val="22"/>
          <w:lang w:val="en-US" w:eastAsia="en-US"/>
        </w:rPr>
        <w:t>all</w:t>
      </w:r>
      <w:r w:rsidR="00C95414">
        <w:rPr>
          <w:rFonts w:ascii="Arial" w:hAnsi="Arial" w:cs="Arial"/>
          <w:bCs/>
          <w:sz w:val="22"/>
          <w:szCs w:val="22"/>
          <w:lang w:val="en-US" w:eastAsia="en-US"/>
        </w:rPr>
        <w:t xml:space="preserve"> ignore the role of healthy competition in a consumer economy. Interchange fees as they currently stand are </w:t>
      </w:r>
      <w:r w:rsidR="00F9199F">
        <w:rPr>
          <w:rFonts w:ascii="Arial" w:hAnsi="Arial" w:cs="Arial"/>
          <w:bCs/>
          <w:sz w:val="22"/>
          <w:szCs w:val="22"/>
          <w:lang w:val="en-US" w:eastAsia="en-US"/>
        </w:rPr>
        <w:t xml:space="preserve">too lightly regulated, </w:t>
      </w:r>
      <w:r w:rsidR="00C95414">
        <w:rPr>
          <w:rFonts w:ascii="Arial" w:hAnsi="Arial" w:cs="Arial"/>
          <w:bCs/>
          <w:sz w:val="22"/>
          <w:szCs w:val="22"/>
          <w:lang w:val="en-US" w:eastAsia="en-US"/>
        </w:rPr>
        <w:t xml:space="preserve">opaque and </w:t>
      </w:r>
      <w:r w:rsidR="00F9199F">
        <w:rPr>
          <w:rFonts w:ascii="Arial" w:hAnsi="Arial" w:cs="Arial"/>
          <w:bCs/>
          <w:sz w:val="22"/>
          <w:szCs w:val="22"/>
          <w:lang w:val="en-US" w:eastAsia="en-US"/>
        </w:rPr>
        <w:t xml:space="preserve">amount to a hidden business to business cost that most consumers are unaware they are bearing. </w:t>
      </w:r>
    </w:p>
    <w:p w:rsidR="00B26032" w:rsidRDefault="00B26032" w:rsidP="00B72875">
      <w:pPr>
        <w:spacing w:line="276" w:lineRule="auto"/>
        <w:ind w:right="-96"/>
        <w:jc w:val="both"/>
        <w:rPr>
          <w:rFonts w:ascii="Arial" w:hAnsi="Arial" w:cs="Arial"/>
          <w:bCs/>
          <w:sz w:val="22"/>
          <w:szCs w:val="22"/>
          <w:lang w:val="en-US" w:eastAsia="en-US"/>
        </w:rPr>
      </w:pPr>
    </w:p>
    <w:p w:rsidR="0002189D" w:rsidRDefault="00F9199F" w:rsidP="00B72875">
      <w:pPr>
        <w:spacing w:line="276" w:lineRule="auto"/>
        <w:ind w:right="-96"/>
        <w:jc w:val="both"/>
        <w:rPr>
          <w:rFonts w:ascii="Arial" w:hAnsi="Arial" w:cs="Arial"/>
          <w:bCs/>
          <w:sz w:val="22"/>
          <w:szCs w:val="22"/>
          <w:lang w:val="en-US" w:eastAsia="en-US"/>
        </w:rPr>
      </w:pPr>
      <w:r>
        <w:rPr>
          <w:rFonts w:ascii="Arial" w:hAnsi="Arial" w:cs="Arial"/>
          <w:bCs/>
          <w:sz w:val="22"/>
          <w:szCs w:val="22"/>
          <w:lang w:val="en-US" w:eastAsia="en-US"/>
        </w:rPr>
        <w:t>In terms of profitability, Australia’s retail banking sector is arguably the healthiest in the developed world.</w:t>
      </w:r>
      <w:r w:rsidR="00614BF0">
        <w:rPr>
          <w:rStyle w:val="FootnoteReference"/>
          <w:rFonts w:ascii="Arial" w:hAnsi="Arial" w:cs="Arial"/>
          <w:bCs/>
          <w:sz w:val="22"/>
          <w:szCs w:val="22"/>
          <w:lang w:val="en-US" w:eastAsia="en-US"/>
        </w:rPr>
        <w:footnoteReference w:id="6"/>
      </w:r>
      <w:r>
        <w:rPr>
          <w:rFonts w:ascii="Arial" w:hAnsi="Arial" w:cs="Arial"/>
          <w:bCs/>
          <w:sz w:val="22"/>
          <w:szCs w:val="22"/>
          <w:lang w:val="en-US" w:eastAsia="en-US"/>
        </w:rPr>
        <w:t xml:space="preserve"> To suggest that a lowering of interchange fees will result in negative outcomes for consumers misrepresents the capacity of the ind</w:t>
      </w:r>
      <w:r w:rsidR="00B26032">
        <w:rPr>
          <w:rFonts w:ascii="Arial" w:hAnsi="Arial" w:cs="Arial"/>
          <w:bCs/>
          <w:sz w:val="22"/>
          <w:szCs w:val="22"/>
          <w:lang w:val="en-US" w:eastAsia="en-US"/>
        </w:rPr>
        <w:t>ustry to absorb fair regulation</w:t>
      </w:r>
      <w:r>
        <w:rPr>
          <w:rFonts w:ascii="Arial" w:hAnsi="Arial" w:cs="Arial"/>
          <w:bCs/>
          <w:sz w:val="22"/>
          <w:szCs w:val="22"/>
          <w:lang w:val="en-US" w:eastAsia="en-US"/>
        </w:rPr>
        <w:t xml:space="preserve"> and respond </w:t>
      </w:r>
      <w:r>
        <w:rPr>
          <w:rFonts w:ascii="Arial" w:hAnsi="Arial" w:cs="Arial"/>
          <w:bCs/>
          <w:sz w:val="22"/>
          <w:szCs w:val="22"/>
          <w:lang w:val="en-US" w:eastAsia="en-US"/>
        </w:rPr>
        <w:lastRenderedPageBreak/>
        <w:t>competitively</w:t>
      </w:r>
      <w:r w:rsidR="00FF13A8">
        <w:rPr>
          <w:rFonts w:ascii="Arial" w:hAnsi="Arial" w:cs="Arial"/>
          <w:bCs/>
          <w:sz w:val="22"/>
          <w:szCs w:val="22"/>
          <w:lang w:val="en-US" w:eastAsia="en-US"/>
        </w:rPr>
        <w:t xml:space="preserve"> with strong product offerings, </w:t>
      </w:r>
      <w:r w:rsidR="00614BF0">
        <w:rPr>
          <w:rFonts w:ascii="Arial" w:hAnsi="Arial" w:cs="Arial"/>
          <w:bCs/>
          <w:sz w:val="22"/>
          <w:szCs w:val="22"/>
          <w:lang w:val="en-US" w:eastAsia="en-US"/>
        </w:rPr>
        <w:t xml:space="preserve">which are </w:t>
      </w:r>
      <w:r w:rsidR="00FF13A8">
        <w:rPr>
          <w:rFonts w:ascii="Arial" w:hAnsi="Arial" w:cs="Arial"/>
          <w:bCs/>
          <w:sz w:val="22"/>
          <w:szCs w:val="22"/>
          <w:lang w:val="en-US" w:eastAsia="en-US"/>
        </w:rPr>
        <w:t>not reliant on unjustified fee based revenue</w:t>
      </w:r>
      <w:r>
        <w:rPr>
          <w:rFonts w:ascii="Arial" w:hAnsi="Arial" w:cs="Arial"/>
          <w:bCs/>
          <w:sz w:val="22"/>
          <w:szCs w:val="22"/>
          <w:lang w:val="en-US" w:eastAsia="en-US"/>
        </w:rPr>
        <w:t xml:space="preserve">.  </w:t>
      </w:r>
    </w:p>
    <w:p w:rsidR="009F10B6" w:rsidRDefault="009F10B6" w:rsidP="00B72875">
      <w:pPr>
        <w:spacing w:line="276" w:lineRule="auto"/>
        <w:ind w:right="-96"/>
        <w:jc w:val="both"/>
        <w:rPr>
          <w:rFonts w:ascii="Arial" w:hAnsi="Arial" w:cs="Arial"/>
          <w:sz w:val="22"/>
          <w:szCs w:val="22"/>
        </w:rPr>
      </w:pPr>
    </w:p>
    <w:p w:rsidR="00B26032" w:rsidRDefault="00B26032" w:rsidP="00B72875">
      <w:pPr>
        <w:spacing w:line="276" w:lineRule="auto"/>
        <w:ind w:right="-96"/>
        <w:jc w:val="both"/>
        <w:rPr>
          <w:rFonts w:ascii="Arial" w:hAnsi="Arial" w:cs="Arial"/>
          <w:sz w:val="22"/>
          <w:szCs w:val="22"/>
        </w:rPr>
      </w:pPr>
    </w:p>
    <w:p w:rsidR="004070DB" w:rsidRPr="00BC2F81" w:rsidRDefault="004070DB" w:rsidP="004070DB">
      <w:pPr>
        <w:spacing w:line="276" w:lineRule="auto"/>
        <w:ind w:right="-96"/>
        <w:jc w:val="both"/>
        <w:rPr>
          <w:rFonts w:ascii="Arial" w:hAnsi="Arial" w:cs="Arial"/>
          <w:sz w:val="22"/>
          <w:szCs w:val="22"/>
        </w:rPr>
      </w:pPr>
      <w:r>
        <w:rPr>
          <w:rFonts w:ascii="Arial" w:hAnsi="Arial" w:cs="Arial"/>
          <w:sz w:val="22"/>
          <w:szCs w:val="22"/>
        </w:rPr>
        <w:t>Please contact Zac Gillam, Senior Policy Officer on 03 9670 5088 or at zac@consumeraction.org.au if you have any questions about this submission.</w:t>
      </w:r>
    </w:p>
    <w:p w:rsidR="00BC2F81" w:rsidRDefault="00BC2F81" w:rsidP="00B72875">
      <w:pPr>
        <w:spacing w:line="276" w:lineRule="auto"/>
        <w:ind w:right="-96"/>
        <w:jc w:val="both"/>
        <w:rPr>
          <w:rFonts w:ascii="Arial" w:hAnsi="Arial" w:cs="Arial"/>
          <w:sz w:val="22"/>
          <w:szCs w:val="22"/>
        </w:rPr>
      </w:pPr>
    </w:p>
    <w:p w:rsidR="00132B35" w:rsidRDefault="00132B35" w:rsidP="00132B35">
      <w:pPr>
        <w:spacing w:line="276" w:lineRule="auto"/>
        <w:ind w:right="-96"/>
        <w:jc w:val="both"/>
        <w:rPr>
          <w:rFonts w:ascii="Arial" w:hAnsi="Arial" w:cs="Arial"/>
          <w:sz w:val="22"/>
          <w:szCs w:val="22"/>
        </w:rPr>
      </w:pPr>
    </w:p>
    <w:p w:rsidR="00132B35" w:rsidRDefault="00132B35" w:rsidP="00132B35">
      <w:pPr>
        <w:keepNext/>
        <w:spacing w:line="276" w:lineRule="auto"/>
        <w:ind w:right="-96"/>
        <w:jc w:val="both"/>
        <w:rPr>
          <w:rFonts w:ascii="Arial" w:hAnsi="Arial" w:cs="Arial"/>
          <w:sz w:val="22"/>
          <w:szCs w:val="22"/>
        </w:rPr>
      </w:pPr>
      <w:r w:rsidRPr="0082731D">
        <w:rPr>
          <w:rFonts w:ascii="Arial" w:hAnsi="Arial" w:cs="Arial"/>
          <w:sz w:val="22"/>
          <w:szCs w:val="22"/>
        </w:rPr>
        <w:t>Yours sincerely</w:t>
      </w:r>
    </w:p>
    <w:p w:rsidR="00132B35" w:rsidRPr="0082731D" w:rsidRDefault="00132B35" w:rsidP="00132B35">
      <w:pPr>
        <w:keepNext/>
        <w:spacing w:line="276" w:lineRule="auto"/>
        <w:ind w:right="-96"/>
        <w:jc w:val="both"/>
        <w:rPr>
          <w:rFonts w:ascii="Arial" w:hAnsi="Arial" w:cs="Arial"/>
          <w:b/>
          <w:sz w:val="22"/>
          <w:szCs w:val="22"/>
        </w:rPr>
      </w:pPr>
      <w:r w:rsidRPr="0082731D">
        <w:rPr>
          <w:rFonts w:ascii="Arial" w:hAnsi="Arial" w:cs="Arial"/>
          <w:b/>
          <w:sz w:val="22"/>
          <w:szCs w:val="22"/>
        </w:rPr>
        <w:t>CONSUMER ACTION LAW CENTRE</w:t>
      </w:r>
    </w:p>
    <w:p w:rsidR="00132B35" w:rsidRPr="00532664" w:rsidRDefault="00132B35" w:rsidP="00132B35">
      <w:pPr>
        <w:spacing w:line="276" w:lineRule="auto"/>
        <w:ind w:right="-96"/>
        <w:jc w:val="both"/>
        <w:rPr>
          <w:rFonts w:ascii="Arial" w:hAnsi="Arial" w:cs="Arial"/>
          <w:sz w:val="22"/>
          <w:szCs w:val="22"/>
        </w:rPr>
      </w:pPr>
    </w:p>
    <w:p w:rsidR="00132B35" w:rsidRDefault="00132B35" w:rsidP="00132B35">
      <w:pPr>
        <w:spacing w:line="276" w:lineRule="auto"/>
        <w:ind w:right="-96"/>
        <w:rPr>
          <w:rFonts w:ascii="Arial" w:hAnsi="Arial" w:cs="Arial"/>
          <w:sz w:val="22"/>
          <w:szCs w:val="22"/>
          <w:lang w:val="en-US"/>
        </w:rPr>
      </w:pPr>
    </w:p>
    <w:p w:rsidR="00132B35" w:rsidRPr="00532664" w:rsidRDefault="00132B35" w:rsidP="00132B35">
      <w:pPr>
        <w:spacing w:line="276" w:lineRule="auto"/>
        <w:ind w:right="-96"/>
        <w:rPr>
          <w:rFonts w:ascii="Arial" w:hAnsi="Arial" w:cs="Arial"/>
          <w:sz w:val="22"/>
          <w:szCs w:val="22"/>
          <w:lang w:val="en-US"/>
        </w:rPr>
      </w:pPr>
      <w:r w:rsidRPr="003830CA">
        <w:rPr>
          <w:rFonts w:ascii="Arial" w:hAnsi="Arial" w:cs="Arial"/>
          <w:noProof/>
          <w:sz w:val="22"/>
          <w:szCs w:val="22"/>
        </w:rPr>
        <w:drawing>
          <wp:inline distT="0" distB="0" distL="0" distR="0" wp14:anchorId="5E1A8E91" wp14:editId="3BDC3CDF">
            <wp:extent cx="1875559" cy="723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1881379" cy="726146"/>
                    </a:xfrm>
                    <a:prstGeom prst="rect">
                      <a:avLst/>
                    </a:prstGeom>
                    <a:noFill/>
                    <a:ln w="9525">
                      <a:noFill/>
                      <a:miter lim="800000"/>
                      <a:headEnd/>
                      <a:tailEnd/>
                    </a:ln>
                  </pic:spPr>
                </pic:pic>
              </a:graphicData>
            </a:graphic>
          </wp:inline>
        </w:drawing>
      </w:r>
      <w:r>
        <w:rPr>
          <w:rFonts w:ascii="Arial" w:hAnsi="Arial" w:cs="Arial"/>
          <w:sz w:val="22"/>
          <w:szCs w:val="22"/>
          <w:lang w:val="en-US"/>
        </w:rPr>
        <w:tab/>
        <w:t xml:space="preserve">       </w:t>
      </w:r>
      <w:r w:rsidRPr="003830CA">
        <w:rPr>
          <w:rFonts w:ascii="Arial" w:hAnsi="Arial" w:cs="Arial"/>
          <w:noProof/>
          <w:sz w:val="22"/>
          <w:szCs w:val="22"/>
        </w:rPr>
        <w:drawing>
          <wp:inline distT="0" distB="0" distL="0" distR="0" wp14:anchorId="0B181BF2" wp14:editId="36F4B9BA">
            <wp:extent cx="1771650" cy="665264"/>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14121" cy="681212"/>
                    </a:xfrm>
                    <a:prstGeom prst="rect">
                      <a:avLst/>
                    </a:prstGeom>
                    <a:noFill/>
                    <a:ln>
                      <a:noFill/>
                    </a:ln>
                  </pic:spPr>
                </pic:pic>
              </a:graphicData>
            </a:graphic>
          </wp:inline>
        </w:drawing>
      </w:r>
    </w:p>
    <w:p w:rsidR="00132B35" w:rsidRPr="00532664" w:rsidRDefault="00132B35" w:rsidP="00132B35">
      <w:pPr>
        <w:spacing w:line="276" w:lineRule="auto"/>
        <w:ind w:right="-96"/>
        <w:rPr>
          <w:rFonts w:ascii="Arial" w:hAnsi="Arial" w:cs="Arial"/>
          <w:sz w:val="22"/>
          <w:szCs w:val="22"/>
          <w:lang w:val="en-US"/>
        </w:rPr>
      </w:pPr>
    </w:p>
    <w:p w:rsidR="00132B35" w:rsidRPr="00532664" w:rsidRDefault="00132B35" w:rsidP="00132B35">
      <w:pPr>
        <w:spacing w:line="276" w:lineRule="auto"/>
        <w:ind w:right="-96"/>
        <w:rPr>
          <w:rFonts w:ascii="Arial" w:hAnsi="Arial" w:cs="Arial"/>
          <w:sz w:val="22"/>
          <w:szCs w:val="22"/>
          <w:lang w:val="en-US"/>
        </w:rPr>
      </w:pPr>
      <w:r>
        <w:rPr>
          <w:rFonts w:ascii="Arial" w:hAnsi="Arial" w:cs="Arial"/>
          <w:sz w:val="22"/>
          <w:szCs w:val="22"/>
          <w:lang w:val="en-US"/>
        </w:rPr>
        <w:t>Gerard Brody</w:t>
      </w:r>
      <w:r>
        <w:rPr>
          <w:rFonts w:ascii="Arial" w:hAnsi="Arial" w:cs="Arial"/>
          <w:sz w:val="22"/>
          <w:szCs w:val="22"/>
          <w:lang w:val="en-US"/>
        </w:rPr>
        <w:tab/>
      </w:r>
      <w:r>
        <w:rPr>
          <w:rFonts w:ascii="Arial" w:hAnsi="Arial" w:cs="Arial"/>
          <w:sz w:val="22"/>
          <w:szCs w:val="22"/>
          <w:lang w:val="en-US"/>
        </w:rPr>
        <w:tab/>
      </w:r>
      <w:r>
        <w:rPr>
          <w:rFonts w:ascii="Arial" w:hAnsi="Arial" w:cs="Arial"/>
          <w:sz w:val="22"/>
          <w:szCs w:val="22"/>
          <w:lang w:val="en-US"/>
        </w:rPr>
        <w:tab/>
      </w:r>
      <w:r>
        <w:rPr>
          <w:rFonts w:ascii="Arial" w:hAnsi="Arial" w:cs="Arial"/>
          <w:sz w:val="22"/>
          <w:szCs w:val="22"/>
          <w:lang w:val="en-US"/>
        </w:rPr>
        <w:tab/>
      </w:r>
      <w:r>
        <w:rPr>
          <w:rFonts w:ascii="Arial" w:hAnsi="Arial" w:cs="Arial"/>
          <w:sz w:val="22"/>
          <w:szCs w:val="22"/>
          <w:lang w:val="en-US"/>
        </w:rPr>
        <w:tab/>
        <w:t>Zac Gillam</w:t>
      </w:r>
    </w:p>
    <w:p w:rsidR="00132B35" w:rsidRPr="00532664" w:rsidRDefault="00132B35" w:rsidP="00132B35">
      <w:pPr>
        <w:spacing w:line="276" w:lineRule="auto"/>
        <w:ind w:right="-96"/>
        <w:rPr>
          <w:rFonts w:ascii="Arial" w:hAnsi="Arial" w:cs="Arial"/>
          <w:sz w:val="22"/>
          <w:szCs w:val="22"/>
          <w:lang w:val="en-US"/>
        </w:rPr>
      </w:pPr>
      <w:r>
        <w:rPr>
          <w:rFonts w:ascii="Arial" w:hAnsi="Arial" w:cs="Arial"/>
          <w:sz w:val="22"/>
          <w:szCs w:val="22"/>
          <w:lang w:val="en-US"/>
        </w:rPr>
        <w:t>Chief Executive Officer</w:t>
      </w:r>
      <w:r>
        <w:rPr>
          <w:rFonts w:ascii="Arial" w:hAnsi="Arial" w:cs="Arial"/>
          <w:sz w:val="22"/>
          <w:szCs w:val="22"/>
          <w:lang w:val="en-US"/>
        </w:rPr>
        <w:tab/>
      </w:r>
      <w:r>
        <w:rPr>
          <w:rFonts w:ascii="Arial" w:hAnsi="Arial" w:cs="Arial"/>
          <w:sz w:val="22"/>
          <w:szCs w:val="22"/>
          <w:lang w:val="en-US"/>
        </w:rPr>
        <w:tab/>
      </w:r>
      <w:r>
        <w:rPr>
          <w:rFonts w:ascii="Arial" w:hAnsi="Arial" w:cs="Arial"/>
          <w:sz w:val="22"/>
          <w:szCs w:val="22"/>
          <w:lang w:val="en-US"/>
        </w:rPr>
        <w:tab/>
        <w:t xml:space="preserve">Senior Policy Officer </w:t>
      </w:r>
    </w:p>
    <w:p w:rsidR="00E00C3D" w:rsidRPr="00532664" w:rsidRDefault="00E00C3D" w:rsidP="00132B35">
      <w:pPr>
        <w:keepNext/>
        <w:spacing w:line="276" w:lineRule="auto"/>
        <w:ind w:right="-96"/>
        <w:jc w:val="both"/>
        <w:rPr>
          <w:rFonts w:ascii="Arial" w:hAnsi="Arial" w:cs="Arial"/>
          <w:sz w:val="20"/>
          <w:szCs w:val="20"/>
          <w:lang w:val="en-US"/>
        </w:rPr>
      </w:pPr>
    </w:p>
    <w:sectPr w:rsidR="00E00C3D" w:rsidRPr="00532664" w:rsidSect="00443F58">
      <w:headerReference w:type="even" r:id="rId14"/>
      <w:headerReference w:type="default" r:id="rId15"/>
      <w:footerReference w:type="even" r:id="rId16"/>
      <w:footerReference w:type="default" r:id="rId17"/>
      <w:headerReference w:type="first" r:id="rId18"/>
      <w:footerReference w:type="first" r:id="rId19"/>
      <w:pgSz w:w="11906" w:h="16838"/>
      <w:pgMar w:top="1440" w:right="1416" w:bottom="1440" w:left="1134" w:header="709" w:footer="44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65E6" w:rsidRDefault="001365E6">
      <w:r>
        <w:separator/>
      </w:r>
    </w:p>
  </w:endnote>
  <w:endnote w:type="continuationSeparator" w:id="0">
    <w:p w:rsidR="001365E6" w:rsidRDefault="001365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6EB" w:rsidRDefault="001336E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440" w:rsidRPr="000E7C5D" w:rsidRDefault="00424440">
    <w:pPr>
      <w:pStyle w:val="Footer"/>
      <w:jc w:val="right"/>
      <w:rPr>
        <w:rFonts w:ascii="Arial" w:hAnsi="Arial" w:cs="Arial"/>
        <w:sz w:val="22"/>
        <w:szCs w:val="22"/>
      </w:rPr>
    </w:pPr>
    <w:r w:rsidRPr="000E7C5D">
      <w:rPr>
        <w:rFonts w:ascii="Arial" w:hAnsi="Arial" w:cs="Arial"/>
        <w:sz w:val="22"/>
        <w:szCs w:val="22"/>
      </w:rPr>
      <w:fldChar w:fldCharType="begin"/>
    </w:r>
    <w:r w:rsidRPr="000E7C5D">
      <w:rPr>
        <w:rFonts w:ascii="Arial" w:hAnsi="Arial" w:cs="Arial"/>
        <w:sz w:val="22"/>
        <w:szCs w:val="22"/>
      </w:rPr>
      <w:instrText xml:space="preserve"> PAGE   \* MERGEFORMAT </w:instrText>
    </w:r>
    <w:r w:rsidRPr="000E7C5D">
      <w:rPr>
        <w:rFonts w:ascii="Arial" w:hAnsi="Arial" w:cs="Arial"/>
        <w:sz w:val="22"/>
        <w:szCs w:val="22"/>
      </w:rPr>
      <w:fldChar w:fldCharType="separate"/>
    </w:r>
    <w:r w:rsidR="001336EB">
      <w:rPr>
        <w:rFonts w:ascii="Arial" w:hAnsi="Arial" w:cs="Arial"/>
        <w:noProof/>
        <w:sz w:val="22"/>
        <w:szCs w:val="22"/>
      </w:rPr>
      <w:t>4</w:t>
    </w:r>
    <w:r w:rsidRPr="000E7C5D">
      <w:rPr>
        <w:rFonts w:ascii="Arial" w:hAnsi="Arial" w:cs="Arial"/>
        <w:sz w:val="22"/>
        <w:szCs w:val="22"/>
      </w:rPr>
      <w:fldChar w:fldCharType="end"/>
    </w:r>
  </w:p>
  <w:p w:rsidR="00424440" w:rsidRPr="000E7C5D" w:rsidRDefault="00424440">
    <w:pPr>
      <w:pStyle w:val="Footer"/>
      <w:rPr>
        <w:rFonts w:ascii="Arial" w:hAnsi="Arial" w:cs="Arial"/>
        <w:sz w:val="22"/>
        <w:szCs w:val="2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4EFC" w:rsidRDefault="00844EFC" w:rsidP="00E960FE">
    <w:pPr>
      <w:pStyle w:val="Footer"/>
      <w:tabs>
        <w:tab w:val="clear" w:pos="8306"/>
      </w:tabs>
      <w:rPr>
        <w:rFonts w:ascii="Arial" w:hAnsi="Arial" w:cs="Arial"/>
        <w:b/>
        <w:color w:val="808080"/>
        <w:sz w:val="20"/>
        <w:szCs w:val="20"/>
        <w:lang w:val="en-US"/>
      </w:rPr>
    </w:pPr>
  </w:p>
  <w:p w:rsidR="00424440" w:rsidRPr="00411DCF" w:rsidRDefault="00424440" w:rsidP="00E960FE">
    <w:pPr>
      <w:pStyle w:val="Footer"/>
      <w:tabs>
        <w:tab w:val="clear" w:pos="8306"/>
      </w:tabs>
      <w:rPr>
        <w:rFonts w:ascii="Arial" w:hAnsi="Arial" w:cs="Arial"/>
        <w:b/>
        <w:color w:val="808080"/>
        <w:sz w:val="20"/>
        <w:szCs w:val="20"/>
        <w:lang w:val="en-US"/>
      </w:rPr>
    </w:pPr>
    <w:r w:rsidRPr="00411DCF">
      <w:rPr>
        <w:rFonts w:ascii="Arial" w:hAnsi="Arial" w:cs="Arial"/>
        <w:b/>
        <w:color w:val="808080"/>
        <w:sz w:val="20"/>
        <w:szCs w:val="20"/>
        <w:lang w:val="en-US"/>
      </w:rPr>
      <w:t>Consumer Action Law Centre</w:t>
    </w:r>
  </w:p>
  <w:p w:rsidR="00424440" w:rsidRPr="00411DCF" w:rsidRDefault="00424440" w:rsidP="00E960FE">
    <w:pPr>
      <w:pStyle w:val="Footer"/>
      <w:tabs>
        <w:tab w:val="clear" w:pos="4153"/>
        <w:tab w:val="clear" w:pos="8306"/>
        <w:tab w:val="left" w:pos="2835"/>
        <w:tab w:val="left" w:pos="3600"/>
        <w:tab w:val="left" w:pos="5954"/>
      </w:tabs>
      <w:ind w:right="-335"/>
      <w:rPr>
        <w:rFonts w:ascii="Arial" w:hAnsi="Arial" w:cs="Arial"/>
        <w:color w:val="808080"/>
        <w:sz w:val="20"/>
        <w:szCs w:val="20"/>
        <w:lang w:val="en-US" w:eastAsia="en-US"/>
      </w:rPr>
    </w:pPr>
    <w:r w:rsidRPr="00411DCF">
      <w:rPr>
        <w:rFonts w:ascii="Arial" w:hAnsi="Arial" w:cs="Arial"/>
        <w:color w:val="808080"/>
        <w:sz w:val="20"/>
        <w:szCs w:val="20"/>
        <w:lang w:val="en-US" w:eastAsia="en-US"/>
      </w:rPr>
      <w:t>Level 7, 459 Little Collin</w:t>
    </w:r>
    <w:r>
      <w:rPr>
        <w:rFonts w:ascii="Arial" w:hAnsi="Arial" w:cs="Arial"/>
        <w:color w:val="808080"/>
        <w:sz w:val="20"/>
        <w:szCs w:val="20"/>
        <w:lang w:val="en-US" w:eastAsia="en-US"/>
      </w:rPr>
      <w:t>s Street</w:t>
    </w:r>
    <w:r>
      <w:rPr>
        <w:rFonts w:ascii="Arial" w:hAnsi="Arial" w:cs="Arial"/>
        <w:color w:val="808080"/>
        <w:sz w:val="20"/>
        <w:szCs w:val="20"/>
        <w:lang w:val="en-US" w:eastAsia="en-US"/>
      </w:rPr>
      <w:tab/>
      <w:t>Telephone 03 9670 5088</w:t>
    </w:r>
    <w:r>
      <w:rPr>
        <w:rFonts w:ascii="Arial" w:hAnsi="Arial" w:cs="Arial"/>
        <w:color w:val="808080"/>
        <w:sz w:val="20"/>
        <w:szCs w:val="20"/>
        <w:lang w:val="en-US" w:eastAsia="en-US"/>
      </w:rPr>
      <w:tab/>
    </w:r>
    <w:hyperlink r:id="rId1" w:history="1">
      <w:r w:rsidRPr="00411DCF">
        <w:rPr>
          <w:rFonts w:ascii="Arial" w:hAnsi="Arial" w:cs="Arial"/>
          <w:color w:val="808080"/>
          <w:sz w:val="20"/>
          <w:szCs w:val="20"/>
          <w:lang w:val="en-US" w:eastAsia="en-US"/>
        </w:rPr>
        <w:t>info@consumeraction.org.au</w:t>
      </w:r>
    </w:hyperlink>
  </w:p>
  <w:p w:rsidR="00424440" w:rsidRPr="00411DCF" w:rsidRDefault="00424440" w:rsidP="00E960FE">
    <w:pPr>
      <w:pStyle w:val="Footer"/>
      <w:tabs>
        <w:tab w:val="clear" w:pos="4153"/>
        <w:tab w:val="clear" w:pos="8306"/>
        <w:tab w:val="left" w:pos="2835"/>
        <w:tab w:val="left" w:pos="3600"/>
        <w:tab w:val="left" w:pos="5954"/>
      </w:tabs>
      <w:ind w:right="-335"/>
      <w:rPr>
        <w:rFonts w:ascii="Arial" w:hAnsi="Arial" w:cs="Arial"/>
        <w:color w:val="808080"/>
        <w:sz w:val="20"/>
        <w:szCs w:val="20"/>
        <w:lang w:val="en-US" w:eastAsia="en-US"/>
      </w:rPr>
    </w:pPr>
    <w:r w:rsidRPr="00411DCF">
      <w:rPr>
        <w:rFonts w:ascii="Arial" w:hAnsi="Arial" w:cs="Arial"/>
        <w:color w:val="808080"/>
        <w:sz w:val="20"/>
        <w:szCs w:val="20"/>
        <w:lang w:val="en-US" w:eastAsia="en-US"/>
      </w:rPr>
      <w:t>Melbourne Victoria</w:t>
    </w:r>
    <w:r>
      <w:rPr>
        <w:rFonts w:ascii="Arial" w:hAnsi="Arial" w:cs="Arial"/>
        <w:color w:val="808080"/>
        <w:sz w:val="20"/>
        <w:szCs w:val="20"/>
        <w:lang w:val="en-US" w:eastAsia="en-US"/>
      </w:rPr>
      <w:t xml:space="preserve"> 3000 </w:t>
    </w:r>
    <w:r>
      <w:rPr>
        <w:rFonts w:ascii="Arial" w:hAnsi="Arial" w:cs="Arial"/>
        <w:color w:val="808080"/>
        <w:sz w:val="20"/>
        <w:szCs w:val="20"/>
        <w:lang w:val="en-US" w:eastAsia="en-US"/>
      </w:rPr>
      <w:tab/>
      <w:t xml:space="preserve">Facsimile   </w:t>
    </w:r>
    <w:r w:rsidRPr="00411DCF">
      <w:rPr>
        <w:rFonts w:ascii="Arial" w:hAnsi="Arial" w:cs="Arial"/>
        <w:color w:val="808080"/>
        <w:sz w:val="20"/>
        <w:szCs w:val="20"/>
        <w:lang w:val="en-US" w:eastAsia="en-US"/>
      </w:rPr>
      <w:t>03 9629 6898</w:t>
    </w:r>
    <w:r w:rsidRPr="00411DCF">
      <w:rPr>
        <w:rFonts w:ascii="Arial" w:hAnsi="Arial" w:cs="Arial"/>
        <w:color w:val="808080"/>
        <w:sz w:val="20"/>
        <w:szCs w:val="20"/>
        <w:lang w:val="en-US" w:eastAsia="en-US"/>
      </w:rPr>
      <w:tab/>
      <w:t>www.consumeraction.org.au</w:t>
    </w:r>
  </w:p>
  <w:p w:rsidR="00424440" w:rsidRPr="00411DCF" w:rsidRDefault="00424440" w:rsidP="00E960FE">
    <w:pPr>
      <w:pStyle w:val="Footer"/>
      <w:tabs>
        <w:tab w:val="clear" w:pos="4153"/>
        <w:tab w:val="clear" w:pos="8306"/>
        <w:tab w:val="left" w:pos="3960"/>
        <w:tab w:val="left" w:pos="5040"/>
        <w:tab w:val="left" w:pos="6840"/>
      </w:tabs>
      <w:rPr>
        <w:rFonts w:ascii="Arial" w:hAnsi="Arial" w:cs="Arial"/>
        <w:color w:val="808080"/>
        <w:sz w:val="20"/>
        <w:szCs w:val="20"/>
        <w:lang w:val="en-US"/>
      </w:rPr>
    </w:pPr>
  </w:p>
  <w:p w:rsidR="00424440" w:rsidRPr="00411DCF" w:rsidRDefault="00424440" w:rsidP="00E960FE">
    <w:pPr>
      <w:pStyle w:val="Footer"/>
      <w:tabs>
        <w:tab w:val="clear" w:pos="4153"/>
        <w:tab w:val="clear" w:pos="8306"/>
        <w:tab w:val="left" w:pos="3960"/>
        <w:tab w:val="left" w:pos="5040"/>
        <w:tab w:val="left" w:pos="6840"/>
      </w:tabs>
      <w:rPr>
        <w:color w:val="808080"/>
      </w:rPr>
    </w:pPr>
    <w:r w:rsidRPr="00411DCF">
      <w:rPr>
        <w:rFonts w:ascii="Arial" w:hAnsi="Arial" w:cs="Arial"/>
        <w:color w:val="808080"/>
        <w:sz w:val="16"/>
        <w:szCs w:val="16"/>
        <w:lang w:val="en-US"/>
      </w:rPr>
      <w:t>ABN 37 120 056 484    ACN 120 056 484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65E6" w:rsidRDefault="001365E6">
      <w:r>
        <w:separator/>
      </w:r>
    </w:p>
  </w:footnote>
  <w:footnote w:type="continuationSeparator" w:id="0">
    <w:p w:rsidR="001365E6" w:rsidRDefault="001365E6">
      <w:r>
        <w:continuationSeparator/>
      </w:r>
    </w:p>
  </w:footnote>
  <w:footnote w:id="1">
    <w:p w:rsidR="00451CED" w:rsidRDefault="00451CED" w:rsidP="00451CED">
      <w:pPr>
        <w:pStyle w:val="FootnoteText"/>
      </w:pPr>
      <w:r>
        <w:rPr>
          <w:rStyle w:val="FootnoteReference"/>
        </w:rPr>
        <w:footnoteRef/>
      </w:r>
      <w:r>
        <w:t xml:space="preserve"> Reserve Bank of Australia, ‘Review of Card Payments Regulation – Consultation Paper’ December 2015, p 29. </w:t>
      </w:r>
    </w:p>
  </w:footnote>
  <w:footnote w:id="2">
    <w:p w:rsidR="005F52CE" w:rsidRDefault="005F52CE" w:rsidP="005F52CE">
      <w:pPr>
        <w:pStyle w:val="FootnoteText"/>
      </w:pPr>
      <w:r>
        <w:rPr>
          <w:rStyle w:val="FootnoteReference"/>
        </w:rPr>
        <w:footnoteRef/>
      </w:r>
      <w:r>
        <w:t xml:space="preserve"> Reserve Bank of Australia, ‘Review of Card Payments Regulation – Consultation Paper’ December 2015, p 34. </w:t>
      </w:r>
    </w:p>
    <w:p w:rsidR="005F52CE" w:rsidRDefault="005F52CE">
      <w:pPr>
        <w:pStyle w:val="FootnoteText"/>
      </w:pPr>
    </w:p>
  </w:footnote>
  <w:footnote w:id="3">
    <w:p w:rsidR="00BD08A3" w:rsidRDefault="00BD08A3">
      <w:pPr>
        <w:pStyle w:val="FootnoteText"/>
      </w:pPr>
      <w:r>
        <w:rPr>
          <w:rStyle w:val="FootnoteReference"/>
        </w:rPr>
        <w:footnoteRef/>
      </w:r>
      <w:r w:rsidR="0012021A">
        <w:t>Financial System Inquiry Committee, ‘Financial System Inquiry – Final Report’, November 2014, p 168</w:t>
      </w:r>
      <w:r>
        <w:t xml:space="preserve"> </w:t>
      </w:r>
      <w:r w:rsidR="0012021A">
        <w:t>(</w:t>
      </w:r>
      <w:r w:rsidRPr="00BD08A3">
        <w:t>http://fsi.gov.au/publications/final-report/chapter-3/interchange-fees/</w:t>
      </w:r>
      <w:r w:rsidR="0012021A">
        <w:t>)</w:t>
      </w:r>
    </w:p>
  </w:footnote>
  <w:footnote w:id="4">
    <w:p w:rsidR="00B26032" w:rsidRDefault="00B26032">
      <w:pPr>
        <w:pStyle w:val="FootnoteText"/>
      </w:pPr>
      <w:r>
        <w:rPr>
          <w:rStyle w:val="FootnoteReference"/>
        </w:rPr>
        <w:footnoteRef/>
      </w:r>
      <w:r>
        <w:t xml:space="preserve"> </w:t>
      </w:r>
      <w:r w:rsidR="0012021A">
        <w:t>Financial System Inquiry Committee, ‘Financial System Inquiry – Final Report’, November 2014, p 168 (</w:t>
      </w:r>
      <w:r w:rsidRPr="00BD08A3">
        <w:t>http://fsi.gov.au/publications/final-report/chapter-3/interchange-fees/</w:t>
      </w:r>
      <w:r w:rsidR="0012021A">
        <w:t>)</w:t>
      </w:r>
    </w:p>
  </w:footnote>
  <w:footnote w:id="5">
    <w:p w:rsidR="002B7250" w:rsidRDefault="002B7250">
      <w:pPr>
        <w:pStyle w:val="FootnoteText"/>
      </w:pPr>
      <w:r>
        <w:rPr>
          <w:rStyle w:val="FootnoteReference"/>
        </w:rPr>
        <w:footnoteRef/>
      </w:r>
      <w:r>
        <w:t xml:space="preserve"> Reserve Bank of Australia, ‘Review of Card Payments Regulation – Consultation Paper’ December 2015, p 54.</w:t>
      </w:r>
    </w:p>
  </w:footnote>
  <w:footnote w:id="6">
    <w:p w:rsidR="00614BF0" w:rsidRDefault="00614BF0" w:rsidP="00614BF0">
      <w:pPr>
        <w:pStyle w:val="FootnoteText"/>
      </w:pPr>
      <w:r>
        <w:rPr>
          <w:rStyle w:val="FootnoteReference"/>
        </w:rPr>
        <w:footnoteRef/>
      </w:r>
      <w:r>
        <w:t xml:space="preserve"> </w:t>
      </w:r>
      <w:proofErr w:type="spellStart"/>
      <w:r w:rsidR="0012021A">
        <w:t>Yeates</w:t>
      </w:r>
      <w:proofErr w:type="spellEnd"/>
      <w:r w:rsidR="0012021A">
        <w:t>, Clancy ‘Big four banks most profitable in developed world: BIS’ Sydney Morning Herald, June 28 2015 (</w:t>
      </w:r>
      <w:hyperlink r:id="rId1" w:history="1">
        <w:r w:rsidRPr="0096148E">
          <w:rPr>
            <w:rStyle w:val="Hyperlink"/>
          </w:rPr>
          <w:t>http://www.smh.com.au/business/banking-and-finance/big-four-most-profitable-in-developed-world-bis-20150626-ghyriu.html</w:t>
        </w:r>
      </w:hyperlink>
      <w:r w:rsidR="0012021A">
        <w:rPr>
          <w:rStyle w:val="Hyperlink"/>
        </w:rPr>
        <w:t>)</w:t>
      </w:r>
    </w:p>
    <w:p w:rsidR="00614BF0" w:rsidRDefault="00614BF0" w:rsidP="00614BF0">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6EB" w:rsidRDefault="001336E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6EB" w:rsidRDefault="001336E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6EB" w:rsidRDefault="001336E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43CD9"/>
    <w:multiLevelType w:val="hybridMultilevel"/>
    <w:tmpl w:val="250467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4433CD3"/>
    <w:multiLevelType w:val="hybridMultilevel"/>
    <w:tmpl w:val="404CF0A6"/>
    <w:lvl w:ilvl="0" w:tplc="3FEE16A0">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0F34655D"/>
    <w:multiLevelType w:val="hybridMultilevel"/>
    <w:tmpl w:val="1CF071BE"/>
    <w:lvl w:ilvl="0" w:tplc="DC46F672">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DB72ED1"/>
    <w:multiLevelType w:val="hybridMultilevel"/>
    <w:tmpl w:val="9396459A"/>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
    <w:nsid w:val="2F8B1275"/>
    <w:multiLevelType w:val="hybridMultilevel"/>
    <w:tmpl w:val="61BE3F9A"/>
    <w:lvl w:ilvl="0" w:tplc="D07A7268">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3687190B"/>
    <w:multiLevelType w:val="hybridMultilevel"/>
    <w:tmpl w:val="4ACC0492"/>
    <w:lvl w:ilvl="0" w:tplc="0FEE956E">
      <w:start w:val="13"/>
      <w:numFmt w:val="bullet"/>
      <w:lvlText w:val="-"/>
      <w:lvlJc w:val="left"/>
      <w:pPr>
        <w:tabs>
          <w:tab w:val="num" w:pos="720"/>
        </w:tabs>
        <w:ind w:left="720" w:hanging="360"/>
      </w:pPr>
      <w:rPr>
        <w:rFonts w:ascii="Arial" w:eastAsia="Times New Roman" w:hAnsi="Arial" w:cs="Aria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6">
    <w:nsid w:val="3FFD0320"/>
    <w:multiLevelType w:val="hybridMultilevel"/>
    <w:tmpl w:val="966638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3501254"/>
    <w:multiLevelType w:val="hybridMultilevel"/>
    <w:tmpl w:val="2886032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8">
    <w:nsid w:val="442E5474"/>
    <w:multiLevelType w:val="hybridMultilevel"/>
    <w:tmpl w:val="82E2B09C"/>
    <w:lvl w:ilvl="0" w:tplc="0A12CB6C">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9">
    <w:nsid w:val="659857D9"/>
    <w:multiLevelType w:val="hybridMultilevel"/>
    <w:tmpl w:val="C54448A8"/>
    <w:lvl w:ilvl="0" w:tplc="7A30F9FC">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0">
    <w:nsid w:val="6F45790A"/>
    <w:multiLevelType w:val="hybridMultilevel"/>
    <w:tmpl w:val="A2AE9E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714B115C"/>
    <w:multiLevelType w:val="hybridMultilevel"/>
    <w:tmpl w:val="6A6051AC"/>
    <w:lvl w:ilvl="0" w:tplc="7B0257DE">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7E876136"/>
    <w:multiLevelType w:val="hybridMultilevel"/>
    <w:tmpl w:val="C54448A8"/>
    <w:lvl w:ilvl="0" w:tplc="7A30F9FC">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num w:numId="1">
    <w:abstractNumId w:val="7"/>
  </w:num>
  <w:num w:numId="2">
    <w:abstractNumId w:val="3"/>
  </w:num>
  <w:num w:numId="3">
    <w:abstractNumId w:val="5"/>
  </w:num>
  <w:num w:numId="4">
    <w:abstractNumId w:val="11"/>
  </w:num>
  <w:num w:numId="5">
    <w:abstractNumId w:val="8"/>
  </w:num>
  <w:num w:numId="6">
    <w:abstractNumId w:val="1"/>
  </w:num>
  <w:num w:numId="7">
    <w:abstractNumId w:val="4"/>
  </w:num>
  <w:num w:numId="8">
    <w:abstractNumId w:val="2"/>
  </w:num>
  <w:num w:numId="9">
    <w:abstractNumId w:val="6"/>
  </w:num>
  <w:num w:numId="10">
    <w:abstractNumId w:val="10"/>
  </w:num>
  <w:num w:numId="11">
    <w:abstractNumId w:val="0"/>
  </w:num>
  <w:num w:numId="12">
    <w:abstractNumId w:val="1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875"/>
    <w:rsid w:val="000117E8"/>
    <w:rsid w:val="000140D9"/>
    <w:rsid w:val="00016D25"/>
    <w:rsid w:val="0001700F"/>
    <w:rsid w:val="00017FC3"/>
    <w:rsid w:val="00021874"/>
    <w:rsid w:val="0002189D"/>
    <w:rsid w:val="00024300"/>
    <w:rsid w:val="00024694"/>
    <w:rsid w:val="000274AC"/>
    <w:rsid w:val="00034FEB"/>
    <w:rsid w:val="00041FA7"/>
    <w:rsid w:val="0004205D"/>
    <w:rsid w:val="0004412C"/>
    <w:rsid w:val="0004441F"/>
    <w:rsid w:val="00052AC1"/>
    <w:rsid w:val="00061B32"/>
    <w:rsid w:val="000661FD"/>
    <w:rsid w:val="00071C72"/>
    <w:rsid w:val="00077DAC"/>
    <w:rsid w:val="0008652F"/>
    <w:rsid w:val="00087EA9"/>
    <w:rsid w:val="00090473"/>
    <w:rsid w:val="00091481"/>
    <w:rsid w:val="00092E10"/>
    <w:rsid w:val="000A079C"/>
    <w:rsid w:val="000A0FFE"/>
    <w:rsid w:val="000A18A3"/>
    <w:rsid w:val="000A329A"/>
    <w:rsid w:val="000A64C9"/>
    <w:rsid w:val="000B0AA6"/>
    <w:rsid w:val="000B7E77"/>
    <w:rsid w:val="000C28D3"/>
    <w:rsid w:val="000C30AA"/>
    <w:rsid w:val="000C7AF8"/>
    <w:rsid w:val="000D262D"/>
    <w:rsid w:val="000D2CD3"/>
    <w:rsid w:val="000D5E27"/>
    <w:rsid w:val="000D61BF"/>
    <w:rsid w:val="000E01D3"/>
    <w:rsid w:val="000E08F0"/>
    <w:rsid w:val="000E63CF"/>
    <w:rsid w:val="000E6C46"/>
    <w:rsid w:val="000E7C5D"/>
    <w:rsid w:val="000F5CD9"/>
    <w:rsid w:val="001054BD"/>
    <w:rsid w:val="00106FBD"/>
    <w:rsid w:val="001136AD"/>
    <w:rsid w:val="00113A14"/>
    <w:rsid w:val="00115DAB"/>
    <w:rsid w:val="0012021A"/>
    <w:rsid w:val="0013007F"/>
    <w:rsid w:val="00132558"/>
    <w:rsid w:val="00132B35"/>
    <w:rsid w:val="001336EB"/>
    <w:rsid w:val="001347AF"/>
    <w:rsid w:val="001365E6"/>
    <w:rsid w:val="00142CB8"/>
    <w:rsid w:val="00143E72"/>
    <w:rsid w:val="0015080D"/>
    <w:rsid w:val="00153563"/>
    <w:rsid w:val="00160324"/>
    <w:rsid w:val="00163189"/>
    <w:rsid w:val="00164210"/>
    <w:rsid w:val="00164932"/>
    <w:rsid w:val="00165973"/>
    <w:rsid w:val="00165FD7"/>
    <w:rsid w:val="00170969"/>
    <w:rsid w:val="00172D88"/>
    <w:rsid w:val="00174B4E"/>
    <w:rsid w:val="001844C2"/>
    <w:rsid w:val="0019263F"/>
    <w:rsid w:val="00195873"/>
    <w:rsid w:val="00196844"/>
    <w:rsid w:val="001A122D"/>
    <w:rsid w:val="001A7037"/>
    <w:rsid w:val="001A79AF"/>
    <w:rsid w:val="001B2543"/>
    <w:rsid w:val="001B25DD"/>
    <w:rsid w:val="001C3E82"/>
    <w:rsid w:val="001D14EE"/>
    <w:rsid w:val="001D4CF7"/>
    <w:rsid w:val="001E19FF"/>
    <w:rsid w:val="001E2206"/>
    <w:rsid w:val="001E4D23"/>
    <w:rsid w:val="001E6485"/>
    <w:rsid w:val="001E69CE"/>
    <w:rsid w:val="001E6EC5"/>
    <w:rsid w:val="001E7080"/>
    <w:rsid w:val="001F4361"/>
    <w:rsid w:val="001F56AB"/>
    <w:rsid w:val="00206757"/>
    <w:rsid w:val="002104D1"/>
    <w:rsid w:val="00210F56"/>
    <w:rsid w:val="002135CB"/>
    <w:rsid w:val="00217B85"/>
    <w:rsid w:val="00222ACB"/>
    <w:rsid w:val="00227741"/>
    <w:rsid w:val="002351B6"/>
    <w:rsid w:val="00236D21"/>
    <w:rsid w:val="00242515"/>
    <w:rsid w:val="00243A46"/>
    <w:rsid w:val="00246202"/>
    <w:rsid w:val="00246828"/>
    <w:rsid w:val="00247746"/>
    <w:rsid w:val="002512CA"/>
    <w:rsid w:val="002517C5"/>
    <w:rsid w:val="00252F79"/>
    <w:rsid w:val="00256ACF"/>
    <w:rsid w:val="002575E5"/>
    <w:rsid w:val="00260E92"/>
    <w:rsid w:val="00261C7B"/>
    <w:rsid w:val="002636A1"/>
    <w:rsid w:val="00263847"/>
    <w:rsid w:val="002640E7"/>
    <w:rsid w:val="002657F9"/>
    <w:rsid w:val="002663A1"/>
    <w:rsid w:val="00276419"/>
    <w:rsid w:val="00281928"/>
    <w:rsid w:val="00284A64"/>
    <w:rsid w:val="002874A0"/>
    <w:rsid w:val="002A21A4"/>
    <w:rsid w:val="002A6D11"/>
    <w:rsid w:val="002B7250"/>
    <w:rsid w:val="002C0327"/>
    <w:rsid w:val="002D49D0"/>
    <w:rsid w:val="002D5FDD"/>
    <w:rsid w:val="002E09D0"/>
    <w:rsid w:val="002E18E7"/>
    <w:rsid w:val="002E39AB"/>
    <w:rsid w:val="002E5B1C"/>
    <w:rsid w:val="002F0330"/>
    <w:rsid w:val="002F088A"/>
    <w:rsid w:val="002F1EEE"/>
    <w:rsid w:val="002F5F13"/>
    <w:rsid w:val="00306839"/>
    <w:rsid w:val="0030728D"/>
    <w:rsid w:val="00312829"/>
    <w:rsid w:val="00315986"/>
    <w:rsid w:val="00323152"/>
    <w:rsid w:val="00327591"/>
    <w:rsid w:val="003313E5"/>
    <w:rsid w:val="00332A55"/>
    <w:rsid w:val="00335B26"/>
    <w:rsid w:val="00340C86"/>
    <w:rsid w:val="00343C41"/>
    <w:rsid w:val="00350262"/>
    <w:rsid w:val="0036356E"/>
    <w:rsid w:val="0036745D"/>
    <w:rsid w:val="0037145F"/>
    <w:rsid w:val="00372985"/>
    <w:rsid w:val="00376F51"/>
    <w:rsid w:val="00381997"/>
    <w:rsid w:val="00382D02"/>
    <w:rsid w:val="003839AB"/>
    <w:rsid w:val="00384314"/>
    <w:rsid w:val="00384B4A"/>
    <w:rsid w:val="003903D4"/>
    <w:rsid w:val="003A395D"/>
    <w:rsid w:val="003A713F"/>
    <w:rsid w:val="003B453D"/>
    <w:rsid w:val="003B6AA0"/>
    <w:rsid w:val="003C1792"/>
    <w:rsid w:val="003C2D71"/>
    <w:rsid w:val="003C387E"/>
    <w:rsid w:val="003D49D8"/>
    <w:rsid w:val="003D6DDF"/>
    <w:rsid w:val="003E019E"/>
    <w:rsid w:val="003F2CD5"/>
    <w:rsid w:val="003F4B31"/>
    <w:rsid w:val="003F6E61"/>
    <w:rsid w:val="004027CA"/>
    <w:rsid w:val="004034BF"/>
    <w:rsid w:val="00403C49"/>
    <w:rsid w:val="004048CD"/>
    <w:rsid w:val="004070DB"/>
    <w:rsid w:val="00411DCF"/>
    <w:rsid w:val="00413AAB"/>
    <w:rsid w:val="00424440"/>
    <w:rsid w:val="00425A40"/>
    <w:rsid w:val="00426831"/>
    <w:rsid w:val="00432970"/>
    <w:rsid w:val="0043392B"/>
    <w:rsid w:val="004360CE"/>
    <w:rsid w:val="00443F58"/>
    <w:rsid w:val="00444B65"/>
    <w:rsid w:val="004464DA"/>
    <w:rsid w:val="00446585"/>
    <w:rsid w:val="0045033C"/>
    <w:rsid w:val="00451CD1"/>
    <w:rsid w:val="00451CED"/>
    <w:rsid w:val="00455EC2"/>
    <w:rsid w:val="00461DA4"/>
    <w:rsid w:val="004620C6"/>
    <w:rsid w:val="00477800"/>
    <w:rsid w:val="00490DB1"/>
    <w:rsid w:val="00490F8D"/>
    <w:rsid w:val="00491D61"/>
    <w:rsid w:val="004A1453"/>
    <w:rsid w:val="004A2BCA"/>
    <w:rsid w:val="004A2DFD"/>
    <w:rsid w:val="004A4A5C"/>
    <w:rsid w:val="004A5C8A"/>
    <w:rsid w:val="004A7294"/>
    <w:rsid w:val="004A73D7"/>
    <w:rsid w:val="004B4E4C"/>
    <w:rsid w:val="004C0D02"/>
    <w:rsid w:val="004C163E"/>
    <w:rsid w:val="004C5048"/>
    <w:rsid w:val="004D1772"/>
    <w:rsid w:val="004D38B0"/>
    <w:rsid w:val="004D5587"/>
    <w:rsid w:val="004D7FD6"/>
    <w:rsid w:val="004F6053"/>
    <w:rsid w:val="004F68D1"/>
    <w:rsid w:val="004F7F24"/>
    <w:rsid w:val="00506432"/>
    <w:rsid w:val="00513456"/>
    <w:rsid w:val="005135EA"/>
    <w:rsid w:val="00513B29"/>
    <w:rsid w:val="00513E45"/>
    <w:rsid w:val="00520C9F"/>
    <w:rsid w:val="00522C5D"/>
    <w:rsid w:val="00524CBB"/>
    <w:rsid w:val="00524F5B"/>
    <w:rsid w:val="005276EE"/>
    <w:rsid w:val="00532664"/>
    <w:rsid w:val="00533BF5"/>
    <w:rsid w:val="00543FDB"/>
    <w:rsid w:val="00552504"/>
    <w:rsid w:val="00557582"/>
    <w:rsid w:val="00557B1B"/>
    <w:rsid w:val="00562E92"/>
    <w:rsid w:val="005630F7"/>
    <w:rsid w:val="00565DF2"/>
    <w:rsid w:val="00573359"/>
    <w:rsid w:val="005742A1"/>
    <w:rsid w:val="00574392"/>
    <w:rsid w:val="00574A5F"/>
    <w:rsid w:val="0057589A"/>
    <w:rsid w:val="0058005B"/>
    <w:rsid w:val="00581049"/>
    <w:rsid w:val="0058184F"/>
    <w:rsid w:val="00585516"/>
    <w:rsid w:val="005860DD"/>
    <w:rsid w:val="00587F5A"/>
    <w:rsid w:val="00590FBD"/>
    <w:rsid w:val="00595F9E"/>
    <w:rsid w:val="00597069"/>
    <w:rsid w:val="00597574"/>
    <w:rsid w:val="005A578A"/>
    <w:rsid w:val="005B0CD4"/>
    <w:rsid w:val="005B2537"/>
    <w:rsid w:val="005B4338"/>
    <w:rsid w:val="005C6283"/>
    <w:rsid w:val="005D098D"/>
    <w:rsid w:val="005D24B5"/>
    <w:rsid w:val="005D53DC"/>
    <w:rsid w:val="005D6FDC"/>
    <w:rsid w:val="005E08F3"/>
    <w:rsid w:val="005F40E6"/>
    <w:rsid w:val="005F52CE"/>
    <w:rsid w:val="0060466C"/>
    <w:rsid w:val="006062E6"/>
    <w:rsid w:val="006115FB"/>
    <w:rsid w:val="00614BF0"/>
    <w:rsid w:val="0062053A"/>
    <w:rsid w:val="006221CE"/>
    <w:rsid w:val="00632DC6"/>
    <w:rsid w:val="006356D4"/>
    <w:rsid w:val="00640696"/>
    <w:rsid w:val="00640C67"/>
    <w:rsid w:val="00646A7D"/>
    <w:rsid w:val="00647726"/>
    <w:rsid w:val="00651561"/>
    <w:rsid w:val="006539D7"/>
    <w:rsid w:val="00654E2B"/>
    <w:rsid w:val="00654FAB"/>
    <w:rsid w:val="0066462A"/>
    <w:rsid w:val="00671923"/>
    <w:rsid w:val="006737F1"/>
    <w:rsid w:val="00674F8C"/>
    <w:rsid w:val="00677073"/>
    <w:rsid w:val="00680AE2"/>
    <w:rsid w:val="006819C9"/>
    <w:rsid w:val="00681E9A"/>
    <w:rsid w:val="006849B4"/>
    <w:rsid w:val="00694BAE"/>
    <w:rsid w:val="00697C48"/>
    <w:rsid w:val="00697F9D"/>
    <w:rsid w:val="006A26B7"/>
    <w:rsid w:val="006A2F63"/>
    <w:rsid w:val="006B0614"/>
    <w:rsid w:val="006B2481"/>
    <w:rsid w:val="006B4224"/>
    <w:rsid w:val="006B582B"/>
    <w:rsid w:val="006C1DE9"/>
    <w:rsid w:val="006E0437"/>
    <w:rsid w:val="006E4E0E"/>
    <w:rsid w:val="006F0261"/>
    <w:rsid w:val="007101FE"/>
    <w:rsid w:val="0071104F"/>
    <w:rsid w:val="007111D7"/>
    <w:rsid w:val="00715C49"/>
    <w:rsid w:val="007216D4"/>
    <w:rsid w:val="00725861"/>
    <w:rsid w:val="00730619"/>
    <w:rsid w:val="0073064E"/>
    <w:rsid w:val="00736F0E"/>
    <w:rsid w:val="00752C16"/>
    <w:rsid w:val="00756193"/>
    <w:rsid w:val="007570CA"/>
    <w:rsid w:val="00764F1F"/>
    <w:rsid w:val="00770ACA"/>
    <w:rsid w:val="00772CEE"/>
    <w:rsid w:val="00774013"/>
    <w:rsid w:val="007753EB"/>
    <w:rsid w:val="007765A6"/>
    <w:rsid w:val="0077686F"/>
    <w:rsid w:val="007810BD"/>
    <w:rsid w:val="00785A11"/>
    <w:rsid w:val="00786388"/>
    <w:rsid w:val="007942D3"/>
    <w:rsid w:val="00794DD4"/>
    <w:rsid w:val="007A1939"/>
    <w:rsid w:val="007A2CE4"/>
    <w:rsid w:val="007A46FF"/>
    <w:rsid w:val="007A67DF"/>
    <w:rsid w:val="007B1419"/>
    <w:rsid w:val="007B4C60"/>
    <w:rsid w:val="007B58D4"/>
    <w:rsid w:val="007B5D6A"/>
    <w:rsid w:val="007B6676"/>
    <w:rsid w:val="007C224C"/>
    <w:rsid w:val="007C3990"/>
    <w:rsid w:val="007D4EB9"/>
    <w:rsid w:val="007E2305"/>
    <w:rsid w:val="007E5452"/>
    <w:rsid w:val="007E67CD"/>
    <w:rsid w:val="007F2DD3"/>
    <w:rsid w:val="007F7BC3"/>
    <w:rsid w:val="00801EBD"/>
    <w:rsid w:val="00802182"/>
    <w:rsid w:val="008051E8"/>
    <w:rsid w:val="0080532B"/>
    <w:rsid w:val="00805ACB"/>
    <w:rsid w:val="00806CAF"/>
    <w:rsid w:val="008264CA"/>
    <w:rsid w:val="00826726"/>
    <w:rsid w:val="0082731D"/>
    <w:rsid w:val="00836C40"/>
    <w:rsid w:val="00837A9B"/>
    <w:rsid w:val="008418CA"/>
    <w:rsid w:val="0084190B"/>
    <w:rsid w:val="00844EFC"/>
    <w:rsid w:val="0085695C"/>
    <w:rsid w:val="00857F88"/>
    <w:rsid w:val="00862D89"/>
    <w:rsid w:val="00862E5F"/>
    <w:rsid w:val="00864B33"/>
    <w:rsid w:val="0086563B"/>
    <w:rsid w:val="00874244"/>
    <w:rsid w:val="008763F6"/>
    <w:rsid w:val="0089060B"/>
    <w:rsid w:val="00895860"/>
    <w:rsid w:val="008962EA"/>
    <w:rsid w:val="0089648B"/>
    <w:rsid w:val="008A05AA"/>
    <w:rsid w:val="008A30A5"/>
    <w:rsid w:val="008A3333"/>
    <w:rsid w:val="008A7039"/>
    <w:rsid w:val="008B1AD5"/>
    <w:rsid w:val="008C0882"/>
    <w:rsid w:val="008C24A5"/>
    <w:rsid w:val="008C3A8B"/>
    <w:rsid w:val="008D75E6"/>
    <w:rsid w:val="008E3296"/>
    <w:rsid w:val="008F1922"/>
    <w:rsid w:val="008F7210"/>
    <w:rsid w:val="0090010E"/>
    <w:rsid w:val="00906CB8"/>
    <w:rsid w:val="0091543E"/>
    <w:rsid w:val="0091663E"/>
    <w:rsid w:val="00916CD4"/>
    <w:rsid w:val="00921A6A"/>
    <w:rsid w:val="0092240B"/>
    <w:rsid w:val="00923BFA"/>
    <w:rsid w:val="00931D78"/>
    <w:rsid w:val="0093661F"/>
    <w:rsid w:val="00936B25"/>
    <w:rsid w:val="00940D3E"/>
    <w:rsid w:val="0095103D"/>
    <w:rsid w:val="00951D7F"/>
    <w:rsid w:val="00956140"/>
    <w:rsid w:val="00962973"/>
    <w:rsid w:val="00965346"/>
    <w:rsid w:val="00972739"/>
    <w:rsid w:val="00977F37"/>
    <w:rsid w:val="00981833"/>
    <w:rsid w:val="009834F5"/>
    <w:rsid w:val="00984D70"/>
    <w:rsid w:val="00987922"/>
    <w:rsid w:val="009934AB"/>
    <w:rsid w:val="009B35F1"/>
    <w:rsid w:val="009B3CDC"/>
    <w:rsid w:val="009B757F"/>
    <w:rsid w:val="009C1B26"/>
    <w:rsid w:val="009C1F6A"/>
    <w:rsid w:val="009C293B"/>
    <w:rsid w:val="009C495E"/>
    <w:rsid w:val="009D1247"/>
    <w:rsid w:val="009D1F07"/>
    <w:rsid w:val="009D21EC"/>
    <w:rsid w:val="009E35D2"/>
    <w:rsid w:val="009E70EB"/>
    <w:rsid w:val="009F10B6"/>
    <w:rsid w:val="00A143AA"/>
    <w:rsid w:val="00A15F47"/>
    <w:rsid w:val="00A21F0C"/>
    <w:rsid w:val="00A26F1C"/>
    <w:rsid w:val="00A32369"/>
    <w:rsid w:val="00A33331"/>
    <w:rsid w:val="00A53909"/>
    <w:rsid w:val="00A55705"/>
    <w:rsid w:val="00A56178"/>
    <w:rsid w:val="00A565DF"/>
    <w:rsid w:val="00A57BFF"/>
    <w:rsid w:val="00A60278"/>
    <w:rsid w:val="00A602E4"/>
    <w:rsid w:val="00A650E0"/>
    <w:rsid w:val="00A67926"/>
    <w:rsid w:val="00A778BA"/>
    <w:rsid w:val="00A82290"/>
    <w:rsid w:val="00A85330"/>
    <w:rsid w:val="00AA2201"/>
    <w:rsid w:val="00AA5B68"/>
    <w:rsid w:val="00AA6680"/>
    <w:rsid w:val="00AB2107"/>
    <w:rsid w:val="00AB6D2E"/>
    <w:rsid w:val="00AB7069"/>
    <w:rsid w:val="00AB7097"/>
    <w:rsid w:val="00AB7CFB"/>
    <w:rsid w:val="00AC318F"/>
    <w:rsid w:val="00AC321E"/>
    <w:rsid w:val="00AD1FAB"/>
    <w:rsid w:val="00AD2231"/>
    <w:rsid w:val="00AD45FB"/>
    <w:rsid w:val="00AD5743"/>
    <w:rsid w:val="00AD5EDF"/>
    <w:rsid w:val="00AD6C69"/>
    <w:rsid w:val="00AE0442"/>
    <w:rsid w:val="00AE281E"/>
    <w:rsid w:val="00AF0615"/>
    <w:rsid w:val="00AF32F8"/>
    <w:rsid w:val="00AF5F58"/>
    <w:rsid w:val="00B0255A"/>
    <w:rsid w:val="00B02C7B"/>
    <w:rsid w:val="00B038E7"/>
    <w:rsid w:val="00B0402A"/>
    <w:rsid w:val="00B2559C"/>
    <w:rsid w:val="00B26032"/>
    <w:rsid w:val="00B310AC"/>
    <w:rsid w:val="00B32DB5"/>
    <w:rsid w:val="00B40738"/>
    <w:rsid w:val="00B47174"/>
    <w:rsid w:val="00B52997"/>
    <w:rsid w:val="00B52C3D"/>
    <w:rsid w:val="00B56859"/>
    <w:rsid w:val="00B648BD"/>
    <w:rsid w:val="00B677F3"/>
    <w:rsid w:val="00B72875"/>
    <w:rsid w:val="00B8095E"/>
    <w:rsid w:val="00B81B36"/>
    <w:rsid w:val="00B85B5D"/>
    <w:rsid w:val="00B86EEF"/>
    <w:rsid w:val="00B973A7"/>
    <w:rsid w:val="00BA0FBA"/>
    <w:rsid w:val="00BB36CF"/>
    <w:rsid w:val="00BB4884"/>
    <w:rsid w:val="00BB6C04"/>
    <w:rsid w:val="00BC2F81"/>
    <w:rsid w:val="00BC3BD4"/>
    <w:rsid w:val="00BC3F56"/>
    <w:rsid w:val="00BC600A"/>
    <w:rsid w:val="00BD08A3"/>
    <w:rsid w:val="00BD29E8"/>
    <w:rsid w:val="00BD366A"/>
    <w:rsid w:val="00BD6BE9"/>
    <w:rsid w:val="00BD7988"/>
    <w:rsid w:val="00BE0BA0"/>
    <w:rsid w:val="00BE52C5"/>
    <w:rsid w:val="00BE5447"/>
    <w:rsid w:val="00BE5F48"/>
    <w:rsid w:val="00BF1293"/>
    <w:rsid w:val="00BF434A"/>
    <w:rsid w:val="00C134A6"/>
    <w:rsid w:val="00C16C94"/>
    <w:rsid w:val="00C2075F"/>
    <w:rsid w:val="00C20AE8"/>
    <w:rsid w:val="00C22635"/>
    <w:rsid w:val="00C22B6A"/>
    <w:rsid w:val="00C236A9"/>
    <w:rsid w:val="00C23774"/>
    <w:rsid w:val="00C27FF7"/>
    <w:rsid w:val="00C34085"/>
    <w:rsid w:val="00C36F62"/>
    <w:rsid w:val="00C45A5C"/>
    <w:rsid w:val="00C52B62"/>
    <w:rsid w:val="00C55745"/>
    <w:rsid w:val="00C60F7A"/>
    <w:rsid w:val="00C65AE1"/>
    <w:rsid w:val="00C74563"/>
    <w:rsid w:val="00C74BBF"/>
    <w:rsid w:val="00C82686"/>
    <w:rsid w:val="00C85687"/>
    <w:rsid w:val="00C85891"/>
    <w:rsid w:val="00C91E0E"/>
    <w:rsid w:val="00C95414"/>
    <w:rsid w:val="00CA44FC"/>
    <w:rsid w:val="00CB3554"/>
    <w:rsid w:val="00CB4A08"/>
    <w:rsid w:val="00CB4B88"/>
    <w:rsid w:val="00CB7C77"/>
    <w:rsid w:val="00CC5BAB"/>
    <w:rsid w:val="00CC7116"/>
    <w:rsid w:val="00CD525C"/>
    <w:rsid w:val="00CE2FC4"/>
    <w:rsid w:val="00CE53B4"/>
    <w:rsid w:val="00CF4F08"/>
    <w:rsid w:val="00CF7C8F"/>
    <w:rsid w:val="00D04AE7"/>
    <w:rsid w:val="00D13B2F"/>
    <w:rsid w:val="00D15BC7"/>
    <w:rsid w:val="00D20036"/>
    <w:rsid w:val="00D219AE"/>
    <w:rsid w:val="00D224DC"/>
    <w:rsid w:val="00D2422E"/>
    <w:rsid w:val="00D27C88"/>
    <w:rsid w:val="00D45570"/>
    <w:rsid w:val="00D5522D"/>
    <w:rsid w:val="00D605F5"/>
    <w:rsid w:val="00D623B0"/>
    <w:rsid w:val="00D64777"/>
    <w:rsid w:val="00D65D64"/>
    <w:rsid w:val="00D66CA0"/>
    <w:rsid w:val="00D66DFE"/>
    <w:rsid w:val="00D670FB"/>
    <w:rsid w:val="00D71D55"/>
    <w:rsid w:val="00D74F87"/>
    <w:rsid w:val="00D818E0"/>
    <w:rsid w:val="00D82C65"/>
    <w:rsid w:val="00D94D16"/>
    <w:rsid w:val="00D9597B"/>
    <w:rsid w:val="00DB1558"/>
    <w:rsid w:val="00DB31C1"/>
    <w:rsid w:val="00DB4051"/>
    <w:rsid w:val="00DB7828"/>
    <w:rsid w:val="00DC1D21"/>
    <w:rsid w:val="00DC20E4"/>
    <w:rsid w:val="00DC24D9"/>
    <w:rsid w:val="00DC2FA6"/>
    <w:rsid w:val="00DC5F0B"/>
    <w:rsid w:val="00DD0358"/>
    <w:rsid w:val="00DD1A1D"/>
    <w:rsid w:val="00DD2897"/>
    <w:rsid w:val="00DD7C84"/>
    <w:rsid w:val="00DE3855"/>
    <w:rsid w:val="00DF1353"/>
    <w:rsid w:val="00DF456B"/>
    <w:rsid w:val="00E00C3D"/>
    <w:rsid w:val="00E00E83"/>
    <w:rsid w:val="00E0636E"/>
    <w:rsid w:val="00E06AB2"/>
    <w:rsid w:val="00E10D17"/>
    <w:rsid w:val="00E14EC6"/>
    <w:rsid w:val="00E16B97"/>
    <w:rsid w:val="00E22B4D"/>
    <w:rsid w:val="00E23EA7"/>
    <w:rsid w:val="00E244F4"/>
    <w:rsid w:val="00E26959"/>
    <w:rsid w:val="00E31D64"/>
    <w:rsid w:val="00E3215F"/>
    <w:rsid w:val="00E32AEE"/>
    <w:rsid w:val="00E33440"/>
    <w:rsid w:val="00E42B29"/>
    <w:rsid w:val="00E52DB0"/>
    <w:rsid w:val="00E567A2"/>
    <w:rsid w:val="00E644D1"/>
    <w:rsid w:val="00E807DC"/>
    <w:rsid w:val="00E808FB"/>
    <w:rsid w:val="00E84AB4"/>
    <w:rsid w:val="00E95285"/>
    <w:rsid w:val="00E960FE"/>
    <w:rsid w:val="00EB38A4"/>
    <w:rsid w:val="00EB688F"/>
    <w:rsid w:val="00EC01B6"/>
    <w:rsid w:val="00EC616E"/>
    <w:rsid w:val="00EC6EB6"/>
    <w:rsid w:val="00ED5B6F"/>
    <w:rsid w:val="00EF1A11"/>
    <w:rsid w:val="00EF1B16"/>
    <w:rsid w:val="00EF66DC"/>
    <w:rsid w:val="00EF6BB6"/>
    <w:rsid w:val="00EF7814"/>
    <w:rsid w:val="00F05D75"/>
    <w:rsid w:val="00F1110F"/>
    <w:rsid w:val="00F11FAA"/>
    <w:rsid w:val="00F21106"/>
    <w:rsid w:val="00F31474"/>
    <w:rsid w:val="00F35315"/>
    <w:rsid w:val="00F357C3"/>
    <w:rsid w:val="00F36409"/>
    <w:rsid w:val="00F5370E"/>
    <w:rsid w:val="00F5413E"/>
    <w:rsid w:val="00F628AA"/>
    <w:rsid w:val="00F64E15"/>
    <w:rsid w:val="00F64E97"/>
    <w:rsid w:val="00F65D6B"/>
    <w:rsid w:val="00F660DD"/>
    <w:rsid w:val="00F755A0"/>
    <w:rsid w:val="00F76A61"/>
    <w:rsid w:val="00F81F8C"/>
    <w:rsid w:val="00F83711"/>
    <w:rsid w:val="00F9199F"/>
    <w:rsid w:val="00FA453F"/>
    <w:rsid w:val="00FA5878"/>
    <w:rsid w:val="00FA6DC8"/>
    <w:rsid w:val="00FB0F68"/>
    <w:rsid w:val="00FB26CE"/>
    <w:rsid w:val="00FB606C"/>
    <w:rsid w:val="00FC4CB1"/>
    <w:rsid w:val="00FC4F47"/>
    <w:rsid w:val="00FC6BB8"/>
    <w:rsid w:val="00FD025F"/>
    <w:rsid w:val="00FD0340"/>
    <w:rsid w:val="00FD3189"/>
    <w:rsid w:val="00FD5B46"/>
    <w:rsid w:val="00FE15A8"/>
    <w:rsid w:val="00FE55F6"/>
    <w:rsid w:val="00FE7776"/>
    <w:rsid w:val="00FE7EA0"/>
    <w:rsid w:val="00FF075F"/>
    <w:rsid w:val="00FF07F1"/>
    <w:rsid w:val="00FF13A8"/>
    <w:rsid w:val="00FF2FE6"/>
    <w:rsid w:val="00FF6F08"/>
    <w:rsid w:val="00FF716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6680"/>
    <w:rPr>
      <w:sz w:val="24"/>
      <w:szCs w:val="24"/>
    </w:rPr>
  </w:style>
  <w:style w:type="paragraph" w:styleId="Heading2">
    <w:name w:val="heading 2"/>
    <w:basedOn w:val="Normal"/>
    <w:next w:val="Normal"/>
    <w:link w:val="Heading2Char"/>
    <w:qFormat/>
    <w:rsid w:val="006062E6"/>
    <w:pPr>
      <w:keepNext/>
      <w:outlineLvl w:val="1"/>
    </w:pPr>
    <w:rPr>
      <w:b/>
      <w:bCs/>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12829"/>
    <w:rPr>
      <w:color w:val="0000FF"/>
      <w:u w:val="single"/>
    </w:rPr>
  </w:style>
  <w:style w:type="paragraph" w:styleId="FootnoteText">
    <w:name w:val="footnote text"/>
    <w:basedOn w:val="Normal"/>
    <w:link w:val="FootnoteTextChar"/>
    <w:uiPriority w:val="99"/>
    <w:semiHidden/>
    <w:rsid w:val="008A05AA"/>
    <w:rPr>
      <w:sz w:val="20"/>
      <w:szCs w:val="20"/>
    </w:rPr>
  </w:style>
  <w:style w:type="character" w:styleId="FootnoteReference">
    <w:name w:val="footnote reference"/>
    <w:basedOn w:val="DefaultParagraphFont"/>
    <w:uiPriority w:val="99"/>
    <w:semiHidden/>
    <w:rsid w:val="008A05AA"/>
    <w:rPr>
      <w:vertAlign w:val="superscript"/>
    </w:rPr>
  </w:style>
  <w:style w:type="character" w:styleId="CommentReference">
    <w:name w:val="annotation reference"/>
    <w:basedOn w:val="DefaultParagraphFont"/>
    <w:semiHidden/>
    <w:rsid w:val="006356D4"/>
    <w:rPr>
      <w:sz w:val="16"/>
      <w:szCs w:val="16"/>
    </w:rPr>
  </w:style>
  <w:style w:type="paragraph" w:styleId="CommentText">
    <w:name w:val="annotation text"/>
    <w:basedOn w:val="Normal"/>
    <w:semiHidden/>
    <w:rsid w:val="006356D4"/>
    <w:rPr>
      <w:sz w:val="20"/>
      <w:szCs w:val="20"/>
    </w:rPr>
  </w:style>
  <w:style w:type="paragraph" w:styleId="CommentSubject">
    <w:name w:val="annotation subject"/>
    <w:basedOn w:val="CommentText"/>
    <w:next w:val="CommentText"/>
    <w:semiHidden/>
    <w:rsid w:val="006356D4"/>
    <w:rPr>
      <w:b/>
      <w:bCs/>
    </w:rPr>
  </w:style>
  <w:style w:type="paragraph" w:styleId="BalloonText">
    <w:name w:val="Balloon Text"/>
    <w:basedOn w:val="Normal"/>
    <w:semiHidden/>
    <w:rsid w:val="006356D4"/>
    <w:rPr>
      <w:rFonts w:ascii="Tahoma" w:hAnsi="Tahoma" w:cs="Tahoma"/>
      <w:sz w:val="16"/>
      <w:szCs w:val="16"/>
    </w:rPr>
  </w:style>
  <w:style w:type="paragraph" w:styleId="Header">
    <w:name w:val="header"/>
    <w:basedOn w:val="Normal"/>
    <w:rsid w:val="00801EBD"/>
    <w:pPr>
      <w:tabs>
        <w:tab w:val="center" w:pos="4153"/>
        <w:tab w:val="right" w:pos="8306"/>
      </w:tabs>
    </w:pPr>
  </w:style>
  <w:style w:type="paragraph" w:styleId="Footer">
    <w:name w:val="footer"/>
    <w:basedOn w:val="Normal"/>
    <w:link w:val="FooterChar"/>
    <w:uiPriority w:val="99"/>
    <w:rsid w:val="00801EBD"/>
    <w:pPr>
      <w:tabs>
        <w:tab w:val="center" w:pos="4153"/>
        <w:tab w:val="right" w:pos="8306"/>
      </w:tabs>
    </w:pPr>
  </w:style>
  <w:style w:type="character" w:customStyle="1" w:styleId="FooterChar">
    <w:name w:val="Footer Char"/>
    <w:basedOn w:val="DefaultParagraphFont"/>
    <w:link w:val="Footer"/>
    <w:uiPriority w:val="99"/>
    <w:rsid w:val="004620C6"/>
    <w:rPr>
      <w:sz w:val="24"/>
      <w:szCs w:val="24"/>
    </w:rPr>
  </w:style>
  <w:style w:type="character" w:customStyle="1" w:styleId="Heading2Char">
    <w:name w:val="Heading 2 Char"/>
    <w:basedOn w:val="DefaultParagraphFont"/>
    <w:link w:val="Heading2"/>
    <w:rsid w:val="006062E6"/>
    <w:rPr>
      <w:b/>
      <w:bCs/>
      <w:sz w:val="24"/>
      <w:szCs w:val="24"/>
      <w:lang w:val="en-US" w:eastAsia="en-US"/>
    </w:rPr>
  </w:style>
  <w:style w:type="paragraph" w:styleId="EndnoteText">
    <w:name w:val="endnote text"/>
    <w:basedOn w:val="Normal"/>
    <w:link w:val="EndnoteTextChar"/>
    <w:uiPriority w:val="99"/>
    <w:semiHidden/>
    <w:unhideWhenUsed/>
    <w:rsid w:val="00403C49"/>
    <w:rPr>
      <w:sz w:val="20"/>
      <w:szCs w:val="20"/>
    </w:rPr>
  </w:style>
  <w:style w:type="character" w:customStyle="1" w:styleId="EndnoteTextChar">
    <w:name w:val="Endnote Text Char"/>
    <w:basedOn w:val="DefaultParagraphFont"/>
    <w:link w:val="EndnoteText"/>
    <w:uiPriority w:val="99"/>
    <w:semiHidden/>
    <w:rsid w:val="00403C49"/>
  </w:style>
  <w:style w:type="character" w:styleId="EndnoteReference">
    <w:name w:val="endnote reference"/>
    <w:basedOn w:val="DefaultParagraphFont"/>
    <w:uiPriority w:val="99"/>
    <w:semiHidden/>
    <w:unhideWhenUsed/>
    <w:rsid w:val="00403C49"/>
    <w:rPr>
      <w:vertAlign w:val="superscript"/>
    </w:rPr>
  </w:style>
  <w:style w:type="paragraph" w:styleId="ListParagraph">
    <w:name w:val="List Paragraph"/>
    <w:basedOn w:val="Normal"/>
    <w:uiPriority w:val="34"/>
    <w:qFormat/>
    <w:rsid w:val="0030728D"/>
    <w:pPr>
      <w:ind w:left="720"/>
      <w:contextualSpacing/>
    </w:pPr>
  </w:style>
  <w:style w:type="character" w:styleId="FollowedHyperlink">
    <w:name w:val="FollowedHyperlink"/>
    <w:basedOn w:val="DefaultParagraphFont"/>
    <w:uiPriority w:val="99"/>
    <w:semiHidden/>
    <w:unhideWhenUsed/>
    <w:rsid w:val="00281928"/>
    <w:rPr>
      <w:color w:val="800080" w:themeColor="followedHyperlink"/>
      <w:u w:val="single"/>
    </w:rPr>
  </w:style>
  <w:style w:type="character" w:customStyle="1" w:styleId="FootnoteTextChar">
    <w:name w:val="Footnote Text Char"/>
    <w:basedOn w:val="DefaultParagraphFont"/>
    <w:link w:val="FootnoteText"/>
    <w:uiPriority w:val="99"/>
    <w:semiHidden/>
    <w:rsid w:val="00E00C3D"/>
  </w:style>
  <w:style w:type="paragraph" w:customStyle="1" w:styleId="Default">
    <w:name w:val="Default"/>
    <w:rsid w:val="00D94D16"/>
    <w:pPr>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6680"/>
    <w:rPr>
      <w:sz w:val="24"/>
      <w:szCs w:val="24"/>
    </w:rPr>
  </w:style>
  <w:style w:type="paragraph" w:styleId="Heading2">
    <w:name w:val="heading 2"/>
    <w:basedOn w:val="Normal"/>
    <w:next w:val="Normal"/>
    <w:link w:val="Heading2Char"/>
    <w:qFormat/>
    <w:rsid w:val="006062E6"/>
    <w:pPr>
      <w:keepNext/>
      <w:outlineLvl w:val="1"/>
    </w:pPr>
    <w:rPr>
      <w:b/>
      <w:bCs/>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12829"/>
    <w:rPr>
      <w:color w:val="0000FF"/>
      <w:u w:val="single"/>
    </w:rPr>
  </w:style>
  <w:style w:type="paragraph" w:styleId="FootnoteText">
    <w:name w:val="footnote text"/>
    <w:basedOn w:val="Normal"/>
    <w:link w:val="FootnoteTextChar"/>
    <w:uiPriority w:val="99"/>
    <w:semiHidden/>
    <w:rsid w:val="008A05AA"/>
    <w:rPr>
      <w:sz w:val="20"/>
      <w:szCs w:val="20"/>
    </w:rPr>
  </w:style>
  <w:style w:type="character" w:styleId="FootnoteReference">
    <w:name w:val="footnote reference"/>
    <w:basedOn w:val="DefaultParagraphFont"/>
    <w:uiPriority w:val="99"/>
    <w:semiHidden/>
    <w:rsid w:val="008A05AA"/>
    <w:rPr>
      <w:vertAlign w:val="superscript"/>
    </w:rPr>
  </w:style>
  <w:style w:type="character" w:styleId="CommentReference">
    <w:name w:val="annotation reference"/>
    <w:basedOn w:val="DefaultParagraphFont"/>
    <w:semiHidden/>
    <w:rsid w:val="006356D4"/>
    <w:rPr>
      <w:sz w:val="16"/>
      <w:szCs w:val="16"/>
    </w:rPr>
  </w:style>
  <w:style w:type="paragraph" w:styleId="CommentText">
    <w:name w:val="annotation text"/>
    <w:basedOn w:val="Normal"/>
    <w:semiHidden/>
    <w:rsid w:val="006356D4"/>
    <w:rPr>
      <w:sz w:val="20"/>
      <w:szCs w:val="20"/>
    </w:rPr>
  </w:style>
  <w:style w:type="paragraph" w:styleId="CommentSubject">
    <w:name w:val="annotation subject"/>
    <w:basedOn w:val="CommentText"/>
    <w:next w:val="CommentText"/>
    <w:semiHidden/>
    <w:rsid w:val="006356D4"/>
    <w:rPr>
      <w:b/>
      <w:bCs/>
    </w:rPr>
  </w:style>
  <w:style w:type="paragraph" w:styleId="BalloonText">
    <w:name w:val="Balloon Text"/>
    <w:basedOn w:val="Normal"/>
    <w:semiHidden/>
    <w:rsid w:val="006356D4"/>
    <w:rPr>
      <w:rFonts w:ascii="Tahoma" w:hAnsi="Tahoma" w:cs="Tahoma"/>
      <w:sz w:val="16"/>
      <w:szCs w:val="16"/>
    </w:rPr>
  </w:style>
  <w:style w:type="paragraph" w:styleId="Header">
    <w:name w:val="header"/>
    <w:basedOn w:val="Normal"/>
    <w:rsid w:val="00801EBD"/>
    <w:pPr>
      <w:tabs>
        <w:tab w:val="center" w:pos="4153"/>
        <w:tab w:val="right" w:pos="8306"/>
      </w:tabs>
    </w:pPr>
  </w:style>
  <w:style w:type="paragraph" w:styleId="Footer">
    <w:name w:val="footer"/>
    <w:basedOn w:val="Normal"/>
    <w:link w:val="FooterChar"/>
    <w:uiPriority w:val="99"/>
    <w:rsid w:val="00801EBD"/>
    <w:pPr>
      <w:tabs>
        <w:tab w:val="center" w:pos="4153"/>
        <w:tab w:val="right" w:pos="8306"/>
      </w:tabs>
    </w:pPr>
  </w:style>
  <w:style w:type="character" w:customStyle="1" w:styleId="FooterChar">
    <w:name w:val="Footer Char"/>
    <w:basedOn w:val="DefaultParagraphFont"/>
    <w:link w:val="Footer"/>
    <w:uiPriority w:val="99"/>
    <w:rsid w:val="004620C6"/>
    <w:rPr>
      <w:sz w:val="24"/>
      <w:szCs w:val="24"/>
    </w:rPr>
  </w:style>
  <w:style w:type="character" w:customStyle="1" w:styleId="Heading2Char">
    <w:name w:val="Heading 2 Char"/>
    <w:basedOn w:val="DefaultParagraphFont"/>
    <w:link w:val="Heading2"/>
    <w:rsid w:val="006062E6"/>
    <w:rPr>
      <w:b/>
      <w:bCs/>
      <w:sz w:val="24"/>
      <w:szCs w:val="24"/>
      <w:lang w:val="en-US" w:eastAsia="en-US"/>
    </w:rPr>
  </w:style>
  <w:style w:type="paragraph" w:styleId="EndnoteText">
    <w:name w:val="endnote text"/>
    <w:basedOn w:val="Normal"/>
    <w:link w:val="EndnoteTextChar"/>
    <w:uiPriority w:val="99"/>
    <w:semiHidden/>
    <w:unhideWhenUsed/>
    <w:rsid w:val="00403C49"/>
    <w:rPr>
      <w:sz w:val="20"/>
      <w:szCs w:val="20"/>
    </w:rPr>
  </w:style>
  <w:style w:type="character" w:customStyle="1" w:styleId="EndnoteTextChar">
    <w:name w:val="Endnote Text Char"/>
    <w:basedOn w:val="DefaultParagraphFont"/>
    <w:link w:val="EndnoteText"/>
    <w:uiPriority w:val="99"/>
    <w:semiHidden/>
    <w:rsid w:val="00403C49"/>
  </w:style>
  <w:style w:type="character" w:styleId="EndnoteReference">
    <w:name w:val="endnote reference"/>
    <w:basedOn w:val="DefaultParagraphFont"/>
    <w:uiPriority w:val="99"/>
    <w:semiHidden/>
    <w:unhideWhenUsed/>
    <w:rsid w:val="00403C49"/>
    <w:rPr>
      <w:vertAlign w:val="superscript"/>
    </w:rPr>
  </w:style>
  <w:style w:type="paragraph" w:styleId="ListParagraph">
    <w:name w:val="List Paragraph"/>
    <w:basedOn w:val="Normal"/>
    <w:uiPriority w:val="34"/>
    <w:qFormat/>
    <w:rsid w:val="0030728D"/>
    <w:pPr>
      <w:ind w:left="720"/>
      <w:contextualSpacing/>
    </w:pPr>
  </w:style>
  <w:style w:type="character" w:styleId="FollowedHyperlink">
    <w:name w:val="FollowedHyperlink"/>
    <w:basedOn w:val="DefaultParagraphFont"/>
    <w:uiPriority w:val="99"/>
    <w:semiHidden/>
    <w:unhideWhenUsed/>
    <w:rsid w:val="00281928"/>
    <w:rPr>
      <w:color w:val="800080" w:themeColor="followedHyperlink"/>
      <w:u w:val="single"/>
    </w:rPr>
  </w:style>
  <w:style w:type="character" w:customStyle="1" w:styleId="FootnoteTextChar">
    <w:name w:val="Footnote Text Char"/>
    <w:basedOn w:val="DefaultParagraphFont"/>
    <w:link w:val="FootnoteText"/>
    <w:uiPriority w:val="99"/>
    <w:semiHidden/>
    <w:rsid w:val="00E00C3D"/>
  </w:style>
  <w:style w:type="paragraph" w:customStyle="1" w:styleId="Default">
    <w:name w:val="Default"/>
    <w:rsid w:val="00D94D16"/>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4369458">
      <w:bodyDiv w:val="1"/>
      <w:marLeft w:val="0"/>
      <w:marRight w:val="0"/>
      <w:marTop w:val="0"/>
      <w:marBottom w:val="0"/>
      <w:divBdr>
        <w:top w:val="none" w:sz="0" w:space="0" w:color="auto"/>
        <w:left w:val="none" w:sz="0" w:space="0" w:color="auto"/>
        <w:bottom w:val="none" w:sz="0" w:space="0" w:color="auto"/>
        <w:right w:val="none" w:sz="0" w:space="0" w:color="auto"/>
      </w:divBdr>
    </w:div>
    <w:div w:id="1608922364">
      <w:bodyDiv w:val="1"/>
      <w:marLeft w:val="0"/>
      <w:marRight w:val="0"/>
      <w:marTop w:val="0"/>
      <w:marBottom w:val="0"/>
      <w:divBdr>
        <w:top w:val="none" w:sz="0" w:space="0" w:color="auto"/>
        <w:left w:val="none" w:sz="0" w:space="0" w:color="auto"/>
        <w:bottom w:val="none" w:sz="0" w:space="0" w:color="auto"/>
        <w:right w:val="none" w:sz="0" w:space="0" w:color="auto"/>
      </w:divBdr>
      <w:divsChild>
        <w:div w:id="1257323764">
          <w:marLeft w:val="0"/>
          <w:marRight w:val="0"/>
          <w:marTop w:val="0"/>
          <w:marBottom w:val="0"/>
          <w:divBdr>
            <w:top w:val="none" w:sz="0" w:space="0" w:color="auto"/>
            <w:left w:val="none" w:sz="0" w:space="0" w:color="auto"/>
            <w:bottom w:val="none" w:sz="0" w:space="0" w:color="auto"/>
            <w:right w:val="none" w:sz="0" w:space="0" w:color="auto"/>
          </w:divBdr>
        </w:div>
        <w:div w:id="130370731">
          <w:marLeft w:val="0"/>
          <w:marRight w:val="0"/>
          <w:marTop w:val="0"/>
          <w:marBottom w:val="0"/>
          <w:divBdr>
            <w:top w:val="none" w:sz="0" w:space="0" w:color="auto"/>
            <w:left w:val="none" w:sz="0" w:space="0" w:color="auto"/>
            <w:bottom w:val="none" w:sz="0" w:space="0" w:color="auto"/>
            <w:right w:val="none" w:sz="0" w:space="0" w:color="auto"/>
          </w:divBdr>
        </w:div>
        <w:div w:id="1738627677">
          <w:marLeft w:val="0"/>
          <w:marRight w:val="0"/>
          <w:marTop w:val="0"/>
          <w:marBottom w:val="0"/>
          <w:divBdr>
            <w:top w:val="none" w:sz="0" w:space="0" w:color="auto"/>
            <w:left w:val="none" w:sz="0" w:space="0" w:color="auto"/>
            <w:bottom w:val="none" w:sz="0" w:space="0" w:color="auto"/>
            <w:right w:val="none" w:sz="0" w:space="0" w:color="auto"/>
          </w:divBdr>
        </w:div>
        <w:div w:id="964655387">
          <w:marLeft w:val="0"/>
          <w:marRight w:val="0"/>
          <w:marTop w:val="0"/>
          <w:marBottom w:val="0"/>
          <w:divBdr>
            <w:top w:val="none" w:sz="0" w:space="0" w:color="auto"/>
            <w:left w:val="none" w:sz="0" w:space="0" w:color="auto"/>
            <w:bottom w:val="none" w:sz="0" w:space="0" w:color="auto"/>
            <w:right w:val="none" w:sz="0" w:space="0" w:color="auto"/>
          </w:divBdr>
        </w:div>
        <w:div w:id="1019428451">
          <w:marLeft w:val="0"/>
          <w:marRight w:val="0"/>
          <w:marTop w:val="0"/>
          <w:marBottom w:val="0"/>
          <w:divBdr>
            <w:top w:val="none" w:sz="0" w:space="0" w:color="auto"/>
            <w:left w:val="none" w:sz="0" w:space="0" w:color="auto"/>
            <w:bottom w:val="none" w:sz="0" w:space="0" w:color="auto"/>
            <w:right w:val="none" w:sz="0" w:space="0" w:color="auto"/>
          </w:divBdr>
        </w:div>
        <w:div w:id="1953316901">
          <w:marLeft w:val="0"/>
          <w:marRight w:val="0"/>
          <w:marTop w:val="0"/>
          <w:marBottom w:val="0"/>
          <w:divBdr>
            <w:top w:val="none" w:sz="0" w:space="0" w:color="auto"/>
            <w:left w:val="none" w:sz="0" w:space="0" w:color="auto"/>
            <w:bottom w:val="none" w:sz="0" w:space="0" w:color="auto"/>
            <w:right w:val="none" w:sz="0" w:space="0" w:color="auto"/>
          </w:divBdr>
        </w:div>
        <w:div w:id="1633167883">
          <w:marLeft w:val="0"/>
          <w:marRight w:val="0"/>
          <w:marTop w:val="0"/>
          <w:marBottom w:val="0"/>
          <w:divBdr>
            <w:top w:val="none" w:sz="0" w:space="0" w:color="auto"/>
            <w:left w:val="none" w:sz="0" w:space="0" w:color="auto"/>
            <w:bottom w:val="none" w:sz="0" w:space="0" w:color="auto"/>
            <w:right w:val="none" w:sz="0" w:space="0" w:color="auto"/>
          </w:divBdr>
        </w:div>
        <w:div w:id="1840730513">
          <w:marLeft w:val="0"/>
          <w:marRight w:val="0"/>
          <w:marTop w:val="0"/>
          <w:marBottom w:val="0"/>
          <w:divBdr>
            <w:top w:val="none" w:sz="0" w:space="0" w:color="auto"/>
            <w:left w:val="none" w:sz="0" w:space="0" w:color="auto"/>
            <w:bottom w:val="none" w:sz="0" w:space="0" w:color="auto"/>
            <w:right w:val="none" w:sz="0" w:space="0" w:color="auto"/>
          </w:divBdr>
        </w:div>
        <w:div w:id="1323511777">
          <w:marLeft w:val="0"/>
          <w:marRight w:val="0"/>
          <w:marTop w:val="0"/>
          <w:marBottom w:val="0"/>
          <w:divBdr>
            <w:top w:val="none" w:sz="0" w:space="0" w:color="auto"/>
            <w:left w:val="none" w:sz="0" w:space="0" w:color="auto"/>
            <w:bottom w:val="none" w:sz="0" w:space="0" w:color="auto"/>
            <w:right w:val="none" w:sz="0" w:space="0" w:color="auto"/>
          </w:divBdr>
        </w:div>
        <w:div w:id="1684281751">
          <w:marLeft w:val="0"/>
          <w:marRight w:val="0"/>
          <w:marTop w:val="0"/>
          <w:marBottom w:val="0"/>
          <w:divBdr>
            <w:top w:val="none" w:sz="0" w:space="0" w:color="auto"/>
            <w:left w:val="none" w:sz="0" w:space="0" w:color="auto"/>
            <w:bottom w:val="none" w:sz="0" w:space="0" w:color="auto"/>
            <w:right w:val="none" w:sz="0" w:space="0" w:color="auto"/>
          </w:divBdr>
        </w:div>
        <w:div w:id="1479687363">
          <w:marLeft w:val="0"/>
          <w:marRight w:val="0"/>
          <w:marTop w:val="0"/>
          <w:marBottom w:val="0"/>
          <w:divBdr>
            <w:top w:val="none" w:sz="0" w:space="0" w:color="auto"/>
            <w:left w:val="none" w:sz="0" w:space="0" w:color="auto"/>
            <w:bottom w:val="none" w:sz="0" w:space="0" w:color="auto"/>
            <w:right w:val="none" w:sz="0" w:space="0" w:color="auto"/>
          </w:divBdr>
        </w:div>
        <w:div w:id="822309138">
          <w:marLeft w:val="0"/>
          <w:marRight w:val="0"/>
          <w:marTop w:val="0"/>
          <w:marBottom w:val="0"/>
          <w:divBdr>
            <w:top w:val="none" w:sz="0" w:space="0" w:color="auto"/>
            <w:left w:val="none" w:sz="0" w:space="0" w:color="auto"/>
            <w:bottom w:val="none" w:sz="0" w:space="0" w:color="auto"/>
            <w:right w:val="none" w:sz="0" w:space="0" w:color="auto"/>
          </w:divBdr>
        </w:div>
        <w:div w:id="2059547009">
          <w:marLeft w:val="0"/>
          <w:marRight w:val="0"/>
          <w:marTop w:val="0"/>
          <w:marBottom w:val="0"/>
          <w:divBdr>
            <w:top w:val="none" w:sz="0" w:space="0" w:color="auto"/>
            <w:left w:val="none" w:sz="0" w:space="0" w:color="auto"/>
            <w:bottom w:val="none" w:sz="0" w:space="0" w:color="auto"/>
            <w:right w:val="none" w:sz="0" w:space="0" w:color="auto"/>
          </w:divBdr>
        </w:div>
        <w:div w:id="888882660">
          <w:marLeft w:val="0"/>
          <w:marRight w:val="0"/>
          <w:marTop w:val="0"/>
          <w:marBottom w:val="0"/>
          <w:divBdr>
            <w:top w:val="none" w:sz="0" w:space="0" w:color="auto"/>
            <w:left w:val="none" w:sz="0" w:space="0" w:color="auto"/>
            <w:bottom w:val="none" w:sz="0" w:space="0" w:color="auto"/>
            <w:right w:val="none" w:sz="0" w:space="0" w:color="auto"/>
          </w:divBdr>
        </w:div>
      </w:divsChild>
    </w:div>
    <w:div w:id="2040274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PaymentsCode@asic.gov.au"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mailto:pysubmissions@rba.gov.au" TargetMode="External"/><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_rels/footer3.xml.rels><?xml version="1.0" encoding="UTF-8" standalone="yes"?>
<Relationships xmlns="http://schemas.openxmlformats.org/package/2006/relationships"><Relationship Id="rId1" Type="http://schemas.openxmlformats.org/officeDocument/2006/relationships/hyperlink" Target="mailto:info@consumeraction.org.au"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mh.com.au/business/banking-and-finance/big-four-most-profitable-in-developed-world-bis-20150626-ghyriu.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23EFD3-1EB2-44CD-A6CD-9C1EE6243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C1D31B4D.dotm</Template>
  <TotalTime>0</TotalTime>
  <Pages>4</Pages>
  <Words>1212</Words>
  <Characters>6859</Characters>
  <Application>Microsoft Office Word</Application>
  <DocSecurity>0</DocSecurity>
  <Lines>57</Lines>
  <Paragraphs>16</Paragraphs>
  <ScaleCrop>false</ScaleCrop>
  <Company/>
  <LinksUpToDate>false</LinksUpToDate>
  <CharactersWithSpaces>8055</CharactersWithSpaces>
  <SharedDoc>false</SharedDoc>
  <HLinks>
    <vt:vector size="6" baseType="variant">
      <vt:variant>
        <vt:i4>2293854</vt:i4>
      </vt:variant>
      <vt:variant>
        <vt:i4>3</vt:i4>
      </vt:variant>
      <vt:variant>
        <vt:i4>0</vt:i4>
      </vt:variant>
      <vt:variant>
        <vt:i4>5</vt:i4>
      </vt:variant>
      <vt:variant>
        <vt:lpwstr>mailto:info@consumeraction.org.au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2016-02-08T02:50:00Z</dcterms:created>
  <dcterms:modified xsi:type="dcterms:W3CDTF">2016-02-08T02:50:00Z</dcterms:modified>
</cp:coreProperties>
</file>