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AC82F9" w14:textId="77777777" w:rsidR="00420CF6" w:rsidRDefault="00420CF6" w:rsidP="00D12D15">
      <w:pPr>
        <w:spacing w:after="0"/>
        <w:contextualSpacing/>
        <w:rPr>
          <w:rFonts w:ascii="Verdana" w:hAnsi="Verdana"/>
          <w:sz w:val="20"/>
          <w:szCs w:val="20"/>
          <w:lang w:val="en-US"/>
        </w:rPr>
      </w:pPr>
      <w:bookmarkStart w:id="0" w:name="_GoBack"/>
      <w:bookmarkEnd w:id="0"/>
    </w:p>
    <w:p w14:paraId="5729657E" w14:textId="77777777" w:rsidR="00864042" w:rsidRDefault="00864042" w:rsidP="00D12D15">
      <w:pPr>
        <w:spacing w:after="0"/>
        <w:contextualSpacing/>
        <w:rPr>
          <w:rFonts w:ascii="Verdana" w:hAnsi="Verdana"/>
          <w:sz w:val="20"/>
          <w:szCs w:val="20"/>
          <w:lang w:val="en-US"/>
        </w:rPr>
      </w:pPr>
    </w:p>
    <w:p w14:paraId="6A278736" w14:textId="77777777" w:rsidR="00024DC5" w:rsidRPr="00742DA0" w:rsidRDefault="00024DC5" w:rsidP="00024DC5">
      <w:pPr>
        <w:spacing w:after="0"/>
        <w:rPr>
          <w:rFonts w:ascii="Verdana" w:hAnsi="Verdana"/>
          <w:sz w:val="20"/>
          <w:szCs w:val="20"/>
          <w:lang w:val="en-US"/>
        </w:rPr>
      </w:pPr>
      <w:r w:rsidRPr="00742DA0">
        <w:rPr>
          <w:rFonts w:ascii="Verdana" w:hAnsi="Verdana"/>
          <w:sz w:val="20"/>
          <w:szCs w:val="20"/>
          <w:lang w:val="en-US"/>
        </w:rPr>
        <w:t>3 February 2016</w:t>
      </w:r>
    </w:p>
    <w:p w14:paraId="097B06CD" w14:textId="77777777" w:rsidR="00024DC5" w:rsidRPr="00742DA0" w:rsidRDefault="00024DC5" w:rsidP="00024DC5">
      <w:pPr>
        <w:spacing w:after="0"/>
        <w:rPr>
          <w:rFonts w:ascii="Verdana" w:hAnsi="Verdana"/>
          <w:sz w:val="20"/>
          <w:szCs w:val="20"/>
          <w:lang w:val="en-US"/>
        </w:rPr>
      </w:pPr>
    </w:p>
    <w:p w14:paraId="4FC09454" w14:textId="77777777" w:rsidR="00024DC5" w:rsidRPr="00742DA0" w:rsidRDefault="00024DC5" w:rsidP="00024DC5">
      <w:pPr>
        <w:spacing w:after="0"/>
        <w:outlineLvl w:val="0"/>
        <w:rPr>
          <w:rFonts w:ascii="Verdana" w:hAnsi="Verdana"/>
          <w:sz w:val="20"/>
          <w:szCs w:val="20"/>
          <w:lang w:val="en-US"/>
        </w:rPr>
      </w:pPr>
    </w:p>
    <w:p w14:paraId="2A073AA6" w14:textId="77777777" w:rsidR="00024DC5" w:rsidRPr="00742DA0" w:rsidRDefault="00024DC5" w:rsidP="00024DC5">
      <w:pPr>
        <w:spacing w:after="0"/>
        <w:outlineLvl w:val="0"/>
        <w:rPr>
          <w:rFonts w:ascii="Verdana" w:hAnsi="Verdana"/>
          <w:sz w:val="20"/>
          <w:szCs w:val="20"/>
          <w:lang w:val="en-US"/>
        </w:rPr>
      </w:pPr>
      <w:proofErr w:type="spellStart"/>
      <w:r w:rsidRPr="00742DA0">
        <w:rPr>
          <w:rFonts w:ascii="Verdana" w:hAnsi="Verdana"/>
          <w:sz w:val="20"/>
          <w:szCs w:val="20"/>
          <w:lang w:val="en-US"/>
        </w:rPr>
        <w:t>Mr</w:t>
      </w:r>
      <w:proofErr w:type="spellEnd"/>
      <w:r w:rsidRPr="00742DA0">
        <w:rPr>
          <w:rFonts w:ascii="Verdana" w:hAnsi="Verdana"/>
          <w:sz w:val="20"/>
          <w:szCs w:val="20"/>
          <w:lang w:val="en-US"/>
        </w:rPr>
        <w:t xml:space="preserve"> Tony Richards</w:t>
      </w:r>
      <w:r w:rsidRPr="00742DA0">
        <w:rPr>
          <w:rFonts w:ascii="MS Gothic" w:eastAsia="MS Gothic" w:hAnsi="MS Gothic" w:cs="MS Gothic" w:hint="eastAsia"/>
          <w:sz w:val="20"/>
          <w:szCs w:val="20"/>
          <w:lang w:val="en-US"/>
        </w:rPr>
        <w:t> </w:t>
      </w:r>
    </w:p>
    <w:p w14:paraId="7261CDDD" w14:textId="77777777" w:rsidR="00024DC5" w:rsidRPr="00742DA0" w:rsidRDefault="00024DC5" w:rsidP="00024DC5">
      <w:pPr>
        <w:spacing w:after="0"/>
        <w:rPr>
          <w:rFonts w:ascii="Verdana" w:hAnsi="Verdana"/>
          <w:sz w:val="20"/>
          <w:szCs w:val="20"/>
          <w:lang w:val="en-US"/>
        </w:rPr>
      </w:pPr>
      <w:r w:rsidRPr="00742DA0">
        <w:rPr>
          <w:rFonts w:ascii="Verdana" w:hAnsi="Verdana"/>
          <w:sz w:val="20"/>
          <w:szCs w:val="20"/>
          <w:lang w:val="en-US"/>
        </w:rPr>
        <w:t xml:space="preserve">Head of Payments Policy Department </w:t>
      </w:r>
    </w:p>
    <w:p w14:paraId="2D239624" w14:textId="77777777" w:rsidR="00024DC5" w:rsidRPr="00742DA0" w:rsidRDefault="00024DC5" w:rsidP="00024DC5">
      <w:pPr>
        <w:spacing w:after="0"/>
        <w:rPr>
          <w:rFonts w:ascii="Verdana" w:hAnsi="Verdana"/>
          <w:sz w:val="20"/>
          <w:szCs w:val="20"/>
          <w:lang w:val="en-US"/>
        </w:rPr>
      </w:pPr>
      <w:r w:rsidRPr="00742DA0">
        <w:rPr>
          <w:rFonts w:ascii="Verdana" w:hAnsi="Verdana"/>
          <w:sz w:val="20"/>
          <w:szCs w:val="20"/>
          <w:lang w:val="en-US"/>
        </w:rPr>
        <w:t>Reserve Bank of Australia</w:t>
      </w:r>
      <w:r w:rsidRPr="00742DA0">
        <w:rPr>
          <w:rFonts w:ascii="MS Gothic" w:eastAsia="MS Gothic" w:hAnsi="MS Gothic" w:cs="MS Gothic" w:hint="eastAsia"/>
          <w:sz w:val="20"/>
          <w:szCs w:val="20"/>
          <w:lang w:val="en-US"/>
        </w:rPr>
        <w:t> </w:t>
      </w:r>
    </w:p>
    <w:p w14:paraId="4943AA7C" w14:textId="77777777" w:rsidR="00024DC5" w:rsidRPr="00742DA0" w:rsidRDefault="00024DC5" w:rsidP="00024DC5">
      <w:pPr>
        <w:spacing w:after="0"/>
        <w:rPr>
          <w:rFonts w:ascii="Verdana" w:hAnsi="Verdana"/>
          <w:sz w:val="20"/>
          <w:szCs w:val="20"/>
          <w:lang w:val="en-US"/>
        </w:rPr>
      </w:pPr>
      <w:r w:rsidRPr="00742DA0">
        <w:rPr>
          <w:rFonts w:ascii="Verdana" w:hAnsi="Verdana"/>
          <w:sz w:val="20"/>
          <w:szCs w:val="20"/>
          <w:lang w:val="en-US"/>
        </w:rPr>
        <w:t>GPO Box 3947</w:t>
      </w:r>
      <w:r w:rsidRPr="00742DA0">
        <w:rPr>
          <w:rFonts w:ascii="MS Gothic" w:eastAsia="MS Gothic" w:hAnsi="MS Gothic" w:cs="MS Gothic" w:hint="eastAsia"/>
          <w:sz w:val="20"/>
          <w:szCs w:val="20"/>
          <w:lang w:val="en-US"/>
        </w:rPr>
        <w:t> </w:t>
      </w:r>
    </w:p>
    <w:p w14:paraId="43F034DB" w14:textId="77777777" w:rsidR="00024DC5" w:rsidRPr="00742DA0" w:rsidRDefault="00024DC5" w:rsidP="00F64FC5">
      <w:pPr>
        <w:spacing w:after="120"/>
        <w:rPr>
          <w:rFonts w:ascii="Verdana" w:hAnsi="Verdana"/>
          <w:sz w:val="20"/>
          <w:szCs w:val="20"/>
          <w:lang w:val="en-US"/>
        </w:rPr>
      </w:pPr>
      <w:r w:rsidRPr="00742DA0">
        <w:rPr>
          <w:rFonts w:ascii="Verdana" w:hAnsi="Verdana"/>
          <w:sz w:val="20"/>
          <w:szCs w:val="20"/>
          <w:lang w:val="en-US"/>
        </w:rPr>
        <w:t xml:space="preserve">Sydney NSW 2001 </w:t>
      </w:r>
    </w:p>
    <w:p w14:paraId="3E73724F" w14:textId="77777777" w:rsidR="00024DC5" w:rsidRPr="00742DA0" w:rsidRDefault="00024DC5" w:rsidP="00024DC5">
      <w:pPr>
        <w:widowControl w:val="0"/>
        <w:autoSpaceDE w:val="0"/>
        <w:autoSpaceDN w:val="0"/>
        <w:adjustRightInd w:val="0"/>
        <w:spacing w:after="240"/>
        <w:rPr>
          <w:rFonts w:ascii="Verdana" w:hAnsi="Verdana" w:cs="Arial"/>
          <w:sz w:val="20"/>
          <w:szCs w:val="20"/>
          <w:lang w:val="en-US"/>
        </w:rPr>
      </w:pPr>
      <w:r w:rsidRPr="00742DA0">
        <w:rPr>
          <w:rFonts w:ascii="Verdana" w:hAnsi="Verdana" w:cs="Arial"/>
          <w:sz w:val="20"/>
          <w:szCs w:val="20"/>
          <w:lang w:val="en-US"/>
        </w:rPr>
        <w:t xml:space="preserve">By email: </w:t>
      </w:r>
      <w:hyperlink r:id="rId8" w:history="1">
        <w:r w:rsidRPr="00742DA0">
          <w:rPr>
            <w:rStyle w:val="Hyperlink"/>
            <w:rFonts w:cs="Arial"/>
            <w:sz w:val="20"/>
            <w:szCs w:val="20"/>
            <w:lang w:val="en-US"/>
          </w:rPr>
          <w:t>mailto:pysubmissions@rba.gov.au</w:t>
        </w:r>
      </w:hyperlink>
    </w:p>
    <w:p w14:paraId="0D79A285" w14:textId="77777777" w:rsidR="00F64FC5" w:rsidRDefault="00F64FC5" w:rsidP="00742DA0">
      <w:pPr>
        <w:jc w:val="both"/>
        <w:rPr>
          <w:rFonts w:ascii="Verdana" w:hAnsi="Verdana"/>
          <w:sz w:val="20"/>
          <w:szCs w:val="20"/>
        </w:rPr>
      </w:pPr>
    </w:p>
    <w:p w14:paraId="7049E351" w14:textId="77777777" w:rsidR="00024DC5" w:rsidRPr="00742DA0" w:rsidRDefault="00024DC5" w:rsidP="00742DA0">
      <w:pPr>
        <w:jc w:val="both"/>
        <w:rPr>
          <w:rFonts w:ascii="Verdana" w:hAnsi="Verdana"/>
          <w:sz w:val="20"/>
          <w:szCs w:val="20"/>
        </w:rPr>
      </w:pPr>
      <w:r w:rsidRPr="00742DA0">
        <w:rPr>
          <w:rFonts w:ascii="Verdana" w:hAnsi="Verdana"/>
          <w:sz w:val="20"/>
          <w:szCs w:val="20"/>
        </w:rPr>
        <w:t>Dear</w:t>
      </w:r>
      <w:r w:rsidRPr="00742DA0">
        <w:rPr>
          <w:rFonts w:ascii="Verdana" w:hAnsi="Verdana"/>
          <w:sz w:val="20"/>
          <w:szCs w:val="20"/>
          <w:lang w:val="en-US"/>
        </w:rPr>
        <w:t xml:space="preserve"> </w:t>
      </w:r>
      <w:proofErr w:type="spellStart"/>
      <w:r w:rsidRPr="00742DA0">
        <w:rPr>
          <w:rFonts w:ascii="Verdana" w:hAnsi="Verdana"/>
          <w:sz w:val="20"/>
          <w:szCs w:val="20"/>
          <w:lang w:val="en-US"/>
        </w:rPr>
        <w:t>Mr</w:t>
      </w:r>
      <w:proofErr w:type="spellEnd"/>
      <w:r w:rsidRPr="00742DA0">
        <w:rPr>
          <w:rFonts w:ascii="Verdana" w:hAnsi="Verdana"/>
          <w:sz w:val="20"/>
          <w:szCs w:val="20"/>
          <w:lang w:val="en-US"/>
        </w:rPr>
        <w:t xml:space="preserve"> Richards</w:t>
      </w:r>
    </w:p>
    <w:p w14:paraId="5DA29921" w14:textId="77777777" w:rsidR="00024DC5" w:rsidRPr="00447BE9" w:rsidRDefault="00024DC5" w:rsidP="00742DA0">
      <w:pPr>
        <w:jc w:val="both"/>
        <w:outlineLvl w:val="0"/>
        <w:rPr>
          <w:rFonts w:ascii="Verdana" w:hAnsi="Verdana"/>
          <w:b/>
          <w:sz w:val="22"/>
          <w:szCs w:val="22"/>
        </w:rPr>
      </w:pPr>
      <w:r w:rsidRPr="00447BE9">
        <w:rPr>
          <w:rFonts w:ascii="Verdana" w:hAnsi="Verdana"/>
          <w:b/>
          <w:sz w:val="22"/>
          <w:szCs w:val="22"/>
          <w:lang w:val="en-US"/>
        </w:rPr>
        <w:t>Response to Review of Card Payments Regulation – Consultation Paper</w:t>
      </w:r>
    </w:p>
    <w:p w14:paraId="41D966D2" w14:textId="77777777" w:rsidR="00024DC5" w:rsidRPr="00742DA0" w:rsidRDefault="00024DC5" w:rsidP="00742DA0">
      <w:pPr>
        <w:jc w:val="both"/>
        <w:rPr>
          <w:rFonts w:ascii="Verdana" w:hAnsi="Verdana"/>
          <w:sz w:val="20"/>
          <w:szCs w:val="20"/>
          <w:lang w:val="en-US"/>
        </w:rPr>
      </w:pPr>
      <w:proofErr w:type="spellStart"/>
      <w:r w:rsidRPr="00742DA0">
        <w:rPr>
          <w:rFonts w:ascii="Verdana" w:hAnsi="Verdana"/>
          <w:sz w:val="20"/>
          <w:szCs w:val="20"/>
        </w:rPr>
        <w:t>Cuscal</w:t>
      </w:r>
      <w:proofErr w:type="spellEnd"/>
      <w:r w:rsidRPr="00742DA0">
        <w:rPr>
          <w:rFonts w:ascii="Verdana" w:hAnsi="Verdana"/>
          <w:sz w:val="20"/>
          <w:szCs w:val="20"/>
        </w:rPr>
        <w:t xml:space="preserve"> appreciates the opportunity to respond to the Reserve Bank Australia’s (RBA) December 2015 </w:t>
      </w:r>
      <w:r w:rsidRPr="00742DA0">
        <w:rPr>
          <w:rFonts w:ascii="Verdana" w:hAnsi="Verdana"/>
          <w:i/>
          <w:sz w:val="20"/>
          <w:szCs w:val="20"/>
          <w:lang w:val="en-US"/>
        </w:rPr>
        <w:t>Review of Card Payments Regulation – Consultation Paper.</w:t>
      </w:r>
    </w:p>
    <w:p w14:paraId="4C4A6C57" w14:textId="77777777" w:rsidR="00024DC5" w:rsidRPr="00742DA0" w:rsidRDefault="00024DC5" w:rsidP="00742DA0">
      <w:pPr>
        <w:jc w:val="both"/>
        <w:rPr>
          <w:rFonts w:ascii="Verdana" w:hAnsi="Verdana"/>
          <w:sz w:val="20"/>
          <w:szCs w:val="20"/>
          <w:lang w:val="en-US"/>
        </w:rPr>
      </w:pPr>
      <w:proofErr w:type="spellStart"/>
      <w:r w:rsidRPr="00742DA0">
        <w:rPr>
          <w:rFonts w:ascii="Verdana" w:hAnsi="Verdana"/>
          <w:sz w:val="20"/>
          <w:szCs w:val="20"/>
        </w:rPr>
        <w:t>Cuscal</w:t>
      </w:r>
      <w:proofErr w:type="spellEnd"/>
      <w:r w:rsidRPr="00742DA0">
        <w:rPr>
          <w:rFonts w:ascii="Verdana" w:hAnsi="Verdana"/>
          <w:sz w:val="20"/>
          <w:szCs w:val="20"/>
        </w:rPr>
        <w:t xml:space="preserve"> is an </w:t>
      </w:r>
      <w:r w:rsidRPr="00742DA0">
        <w:rPr>
          <w:rFonts w:ascii="Verdana" w:hAnsi="Verdana"/>
          <w:sz w:val="20"/>
          <w:szCs w:val="20"/>
          <w:lang w:val="en-US"/>
        </w:rPr>
        <w:t xml:space="preserve">end-to-end payments provider that services more than 100 established and challenger brand clients with access to Australia's financial system and payments landscape.  In providing services to our clients </w:t>
      </w:r>
      <w:proofErr w:type="spellStart"/>
      <w:r w:rsidRPr="00742DA0">
        <w:rPr>
          <w:rFonts w:ascii="Verdana" w:hAnsi="Verdana"/>
          <w:sz w:val="20"/>
          <w:szCs w:val="20"/>
          <w:lang w:val="en-US"/>
        </w:rPr>
        <w:t>Cuscal</w:t>
      </w:r>
      <w:proofErr w:type="spellEnd"/>
      <w:r w:rsidRPr="00742DA0">
        <w:rPr>
          <w:rFonts w:ascii="Verdana" w:hAnsi="Verdana"/>
          <w:sz w:val="20"/>
          <w:szCs w:val="20"/>
          <w:lang w:val="en-US"/>
        </w:rPr>
        <w:t xml:space="preserve"> acts in the capacity of a third party payment processor, card Issuer and card Acquirer.</w:t>
      </w:r>
    </w:p>
    <w:p w14:paraId="5E2B2E94" w14:textId="77777777" w:rsidR="00024DC5" w:rsidRPr="00742DA0" w:rsidRDefault="00024DC5" w:rsidP="00742DA0">
      <w:pPr>
        <w:jc w:val="both"/>
        <w:rPr>
          <w:rFonts w:ascii="Verdana" w:hAnsi="Verdana"/>
          <w:sz w:val="20"/>
          <w:szCs w:val="20"/>
          <w:lang w:val="en-US"/>
        </w:rPr>
      </w:pPr>
      <w:r w:rsidRPr="00742DA0">
        <w:rPr>
          <w:rFonts w:ascii="Verdana" w:hAnsi="Verdana"/>
          <w:sz w:val="20"/>
          <w:szCs w:val="20"/>
          <w:lang w:val="en-US"/>
        </w:rPr>
        <w:t>Our response reflects our views from each of the above capacities in which we act and provides specific comment in the following areas:</w:t>
      </w:r>
    </w:p>
    <w:p w14:paraId="39A6CFF6" w14:textId="77777777" w:rsidR="00024DC5" w:rsidRPr="00742DA0" w:rsidRDefault="00024DC5" w:rsidP="00742DA0">
      <w:pPr>
        <w:pStyle w:val="ListParagraph"/>
        <w:numPr>
          <w:ilvl w:val="0"/>
          <w:numId w:val="32"/>
        </w:numPr>
        <w:jc w:val="both"/>
        <w:rPr>
          <w:rFonts w:ascii="Verdana" w:hAnsi="Verdana"/>
          <w:sz w:val="20"/>
          <w:szCs w:val="20"/>
          <w:lang w:val="en-US"/>
        </w:rPr>
      </w:pPr>
      <w:r w:rsidRPr="00742DA0">
        <w:rPr>
          <w:rFonts w:ascii="Verdana" w:hAnsi="Verdana"/>
          <w:sz w:val="20"/>
          <w:szCs w:val="20"/>
          <w:lang w:val="en-US"/>
        </w:rPr>
        <w:t>Interchange benchmarks and ceilings;</w:t>
      </w:r>
    </w:p>
    <w:p w14:paraId="4F84F54C" w14:textId="77777777" w:rsidR="00024DC5" w:rsidRPr="00742DA0" w:rsidRDefault="00024DC5" w:rsidP="00742DA0">
      <w:pPr>
        <w:pStyle w:val="ListParagraph"/>
        <w:numPr>
          <w:ilvl w:val="0"/>
          <w:numId w:val="32"/>
        </w:numPr>
        <w:jc w:val="both"/>
        <w:rPr>
          <w:rFonts w:ascii="Verdana" w:hAnsi="Verdana"/>
          <w:sz w:val="20"/>
          <w:szCs w:val="20"/>
          <w:lang w:val="en-US"/>
        </w:rPr>
      </w:pPr>
      <w:r w:rsidRPr="00742DA0">
        <w:rPr>
          <w:rFonts w:ascii="Verdana" w:hAnsi="Verdana"/>
          <w:sz w:val="20"/>
          <w:szCs w:val="20"/>
          <w:lang w:val="en-US"/>
        </w:rPr>
        <w:t xml:space="preserve">Surcharging; </w:t>
      </w:r>
    </w:p>
    <w:p w14:paraId="3AC331C9" w14:textId="77777777" w:rsidR="00024DC5" w:rsidRPr="00742DA0" w:rsidRDefault="00024DC5" w:rsidP="00742DA0">
      <w:pPr>
        <w:pStyle w:val="ListParagraph"/>
        <w:numPr>
          <w:ilvl w:val="0"/>
          <w:numId w:val="32"/>
        </w:numPr>
        <w:jc w:val="both"/>
        <w:rPr>
          <w:rFonts w:ascii="Verdana" w:hAnsi="Verdana"/>
          <w:sz w:val="20"/>
          <w:szCs w:val="20"/>
          <w:lang w:val="en-US"/>
        </w:rPr>
      </w:pPr>
      <w:r w:rsidRPr="00742DA0">
        <w:rPr>
          <w:rFonts w:ascii="Verdana" w:hAnsi="Verdana"/>
          <w:sz w:val="20"/>
          <w:szCs w:val="20"/>
          <w:lang w:val="en-US"/>
        </w:rPr>
        <w:t>Scheme payments to issuers; and</w:t>
      </w:r>
    </w:p>
    <w:p w14:paraId="6D59C94E" w14:textId="77777777" w:rsidR="00024DC5" w:rsidRPr="00742DA0" w:rsidRDefault="00024DC5" w:rsidP="00742DA0">
      <w:pPr>
        <w:pStyle w:val="ListParagraph"/>
        <w:numPr>
          <w:ilvl w:val="0"/>
          <w:numId w:val="32"/>
        </w:numPr>
        <w:jc w:val="both"/>
        <w:rPr>
          <w:rFonts w:ascii="Verdana" w:hAnsi="Verdana"/>
          <w:sz w:val="20"/>
          <w:szCs w:val="20"/>
          <w:lang w:val="en-US"/>
        </w:rPr>
      </w:pPr>
      <w:r w:rsidRPr="00742DA0">
        <w:rPr>
          <w:rFonts w:ascii="Verdana" w:hAnsi="Verdana"/>
          <w:sz w:val="20"/>
          <w:szCs w:val="20"/>
          <w:lang w:val="en-US"/>
        </w:rPr>
        <w:t xml:space="preserve">Other requests for feedback. </w:t>
      </w:r>
    </w:p>
    <w:p w14:paraId="288C94A5" w14:textId="77777777" w:rsidR="00024DC5" w:rsidRPr="00742DA0" w:rsidRDefault="00024DC5" w:rsidP="00742DA0">
      <w:pPr>
        <w:jc w:val="both"/>
        <w:rPr>
          <w:rFonts w:ascii="Verdana" w:hAnsi="Verdana"/>
          <w:sz w:val="20"/>
          <w:szCs w:val="20"/>
          <w:lang w:val="en-US"/>
        </w:rPr>
      </w:pPr>
      <w:r w:rsidRPr="00742DA0">
        <w:rPr>
          <w:rFonts w:ascii="Verdana" w:hAnsi="Verdana"/>
          <w:sz w:val="20"/>
          <w:szCs w:val="20"/>
          <w:lang w:val="en-US"/>
        </w:rPr>
        <w:t>We also provide our overall conclusions of the RBA implementing the proposed draft standards covering:</w:t>
      </w:r>
    </w:p>
    <w:p w14:paraId="342F5994" w14:textId="77777777" w:rsidR="00024DC5" w:rsidRPr="00742DA0" w:rsidRDefault="00024DC5" w:rsidP="00742DA0">
      <w:pPr>
        <w:pStyle w:val="ListParagraph"/>
        <w:numPr>
          <w:ilvl w:val="0"/>
          <w:numId w:val="33"/>
        </w:numPr>
        <w:jc w:val="both"/>
        <w:rPr>
          <w:rFonts w:ascii="Verdana" w:hAnsi="Verdana"/>
          <w:sz w:val="20"/>
          <w:szCs w:val="20"/>
          <w:lang w:val="en-US"/>
        </w:rPr>
      </w:pPr>
      <w:r w:rsidRPr="00742DA0">
        <w:rPr>
          <w:rFonts w:ascii="Verdana" w:hAnsi="Verdana"/>
          <w:sz w:val="20"/>
          <w:szCs w:val="20"/>
          <w:lang w:val="en-US"/>
        </w:rPr>
        <w:t>The Setting of Interchange Fees in the Designated Credit Card Schemes and Net Payments to Issuers;</w:t>
      </w:r>
    </w:p>
    <w:p w14:paraId="178C623A" w14:textId="77777777" w:rsidR="00024DC5" w:rsidRPr="00742DA0" w:rsidRDefault="00024DC5" w:rsidP="00742DA0">
      <w:pPr>
        <w:pStyle w:val="ListParagraph"/>
        <w:numPr>
          <w:ilvl w:val="0"/>
          <w:numId w:val="33"/>
        </w:numPr>
        <w:jc w:val="both"/>
        <w:rPr>
          <w:rFonts w:ascii="Verdana" w:hAnsi="Verdana"/>
          <w:sz w:val="20"/>
          <w:szCs w:val="20"/>
          <w:lang w:val="en-US"/>
        </w:rPr>
      </w:pPr>
      <w:r w:rsidRPr="00742DA0">
        <w:rPr>
          <w:rFonts w:ascii="Verdana" w:hAnsi="Verdana"/>
          <w:sz w:val="20"/>
          <w:szCs w:val="20"/>
          <w:lang w:val="en-US"/>
        </w:rPr>
        <w:t>The Setting of Interchange Fees in the Designated Debit and Prepaid Card Schemes and Net Payments to Issuers; and</w:t>
      </w:r>
    </w:p>
    <w:p w14:paraId="7FA10E47" w14:textId="77777777" w:rsidR="00024DC5" w:rsidRPr="00742DA0" w:rsidRDefault="00024DC5" w:rsidP="00742DA0">
      <w:pPr>
        <w:pStyle w:val="ListParagraph"/>
        <w:numPr>
          <w:ilvl w:val="0"/>
          <w:numId w:val="33"/>
        </w:numPr>
        <w:jc w:val="both"/>
        <w:rPr>
          <w:rFonts w:ascii="Verdana" w:hAnsi="Verdana"/>
          <w:sz w:val="20"/>
          <w:szCs w:val="20"/>
          <w:lang w:val="en-US"/>
        </w:rPr>
      </w:pPr>
      <w:r w:rsidRPr="00742DA0">
        <w:rPr>
          <w:rFonts w:ascii="Verdana" w:hAnsi="Verdana"/>
          <w:sz w:val="20"/>
          <w:szCs w:val="20"/>
          <w:lang w:val="en-US"/>
        </w:rPr>
        <w:t>Scheme Rules Relating to Merchant Pricing for Credit, Debit and Prepaid Card Transactions.</w:t>
      </w:r>
    </w:p>
    <w:p w14:paraId="60ADB75F" w14:textId="77777777" w:rsidR="00024DC5" w:rsidRPr="00447BE9" w:rsidRDefault="00024DC5" w:rsidP="00742DA0">
      <w:pPr>
        <w:spacing w:before="200"/>
        <w:jc w:val="both"/>
        <w:outlineLvl w:val="0"/>
        <w:rPr>
          <w:rFonts w:ascii="Verdana" w:hAnsi="Verdana"/>
          <w:b/>
          <w:sz w:val="22"/>
          <w:szCs w:val="22"/>
          <w:lang w:val="en-US"/>
        </w:rPr>
      </w:pPr>
      <w:r w:rsidRPr="00447BE9">
        <w:rPr>
          <w:rFonts w:ascii="Verdana" w:hAnsi="Verdana"/>
          <w:b/>
          <w:sz w:val="22"/>
          <w:szCs w:val="22"/>
          <w:lang w:val="en-US"/>
        </w:rPr>
        <w:t>Interchange benchmarks and ceilings regulation</w:t>
      </w:r>
    </w:p>
    <w:p w14:paraId="0360A1D7" w14:textId="77777777" w:rsidR="00024DC5" w:rsidRPr="00447BE9" w:rsidRDefault="00024DC5" w:rsidP="00447BE9">
      <w:pPr>
        <w:spacing w:after="0"/>
        <w:jc w:val="both"/>
        <w:outlineLvl w:val="0"/>
        <w:rPr>
          <w:rFonts w:ascii="Verdana" w:hAnsi="Verdana"/>
          <w:b/>
          <w:sz w:val="20"/>
          <w:szCs w:val="20"/>
        </w:rPr>
      </w:pPr>
      <w:r w:rsidRPr="00447BE9">
        <w:rPr>
          <w:rFonts w:ascii="Verdana" w:hAnsi="Verdana"/>
          <w:b/>
          <w:sz w:val="20"/>
          <w:szCs w:val="20"/>
        </w:rPr>
        <w:t>Credit cards</w:t>
      </w:r>
    </w:p>
    <w:p w14:paraId="2D2D5EEB" w14:textId="77777777" w:rsidR="00024DC5" w:rsidRPr="00742DA0" w:rsidRDefault="00024DC5" w:rsidP="00742DA0">
      <w:pPr>
        <w:jc w:val="both"/>
        <w:outlineLvl w:val="0"/>
        <w:rPr>
          <w:rFonts w:ascii="Verdana" w:hAnsi="Verdana"/>
          <w:iCs/>
          <w:sz w:val="20"/>
          <w:szCs w:val="20"/>
        </w:rPr>
      </w:pPr>
      <w:proofErr w:type="spellStart"/>
      <w:r w:rsidRPr="00742DA0">
        <w:rPr>
          <w:rFonts w:ascii="Verdana" w:hAnsi="Verdana"/>
          <w:sz w:val="20"/>
          <w:szCs w:val="20"/>
          <w:lang w:val="en-US"/>
        </w:rPr>
        <w:t>Cuscal</w:t>
      </w:r>
      <w:proofErr w:type="spellEnd"/>
      <w:r w:rsidRPr="00742DA0">
        <w:rPr>
          <w:rFonts w:ascii="Verdana" w:hAnsi="Verdana"/>
          <w:sz w:val="20"/>
          <w:szCs w:val="20"/>
          <w:lang w:val="en-US"/>
        </w:rPr>
        <w:t xml:space="preserve"> supports making </w:t>
      </w:r>
      <w:r w:rsidRPr="00742DA0">
        <w:rPr>
          <w:rFonts w:ascii="Verdana" w:hAnsi="Verdana"/>
          <w:iCs/>
          <w:sz w:val="20"/>
          <w:szCs w:val="20"/>
        </w:rPr>
        <w:t>American Express companion cards subject to the same interchange fee regulation that applies to MasterCard and Visa as it is sound public policy to have competitive neutrality for like payment types that have a substantial market share.</w:t>
      </w:r>
    </w:p>
    <w:p w14:paraId="409F1E7C" w14:textId="223CE622" w:rsidR="00024DC5" w:rsidRPr="00742DA0" w:rsidRDefault="00024DC5" w:rsidP="00742DA0">
      <w:pPr>
        <w:jc w:val="both"/>
        <w:outlineLvl w:val="0"/>
        <w:rPr>
          <w:rFonts w:ascii="Verdana" w:hAnsi="Verdana"/>
          <w:iCs/>
          <w:sz w:val="20"/>
          <w:szCs w:val="20"/>
        </w:rPr>
      </w:pPr>
      <w:proofErr w:type="spellStart"/>
      <w:r w:rsidRPr="00742DA0">
        <w:rPr>
          <w:rFonts w:ascii="Verdana" w:hAnsi="Verdana"/>
          <w:iCs/>
          <w:sz w:val="20"/>
          <w:szCs w:val="20"/>
        </w:rPr>
        <w:t>Cuscal</w:t>
      </w:r>
      <w:proofErr w:type="spellEnd"/>
      <w:r w:rsidRPr="00742DA0">
        <w:rPr>
          <w:rFonts w:ascii="Verdana" w:hAnsi="Verdana"/>
          <w:iCs/>
          <w:sz w:val="20"/>
          <w:szCs w:val="20"/>
        </w:rPr>
        <w:t xml:space="preserve"> is concerned that there is still potential for the creation of a non-level playing field for American Express even with the regulation of American Express companion cards through the use of mechanism such as American Express issued co-branded cards for </w:t>
      </w:r>
      <w:r w:rsidRPr="00742DA0">
        <w:rPr>
          <w:rFonts w:ascii="Verdana" w:hAnsi="Verdana"/>
          <w:iCs/>
          <w:sz w:val="20"/>
          <w:szCs w:val="20"/>
        </w:rPr>
        <w:lastRenderedPageBreak/>
        <w:t>financial i</w:t>
      </w:r>
      <w:r w:rsidR="00742DA0">
        <w:rPr>
          <w:rFonts w:ascii="Verdana" w:hAnsi="Verdana"/>
          <w:iCs/>
          <w:sz w:val="20"/>
          <w:szCs w:val="20"/>
        </w:rPr>
        <w:t>n</w:t>
      </w:r>
      <w:r w:rsidRPr="00742DA0">
        <w:rPr>
          <w:rFonts w:ascii="Verdana" w:hAnsi="Verdana"/>
          <w:iCs/>
          <w:sz w:val="20"/>
          <w:szCs w:val="20"/>
        </w:rPr>
        <w:t xml:space="preserve">stitutions. </w:t>
      </w:r>
      <w:proofErr w:type="spellStart"/>
      <w:r w:rsidRPr="00742DA0">
        <w:rPr>
          <w:rFonts w:ascii="Verdana" w:hAnsi="Verdana"/>
          <w:iCs/>
          <w:sz w:val="20"/>
          <w:szCs w:val="20"/>
        </w:rPr>
        <w:t>Cuscal</w:t>
      </w:r>
      <w:proofErr w:type="spellEnd"/>
      <w:r w:rsidRPr="00742DA0">
        <w:rPr>
          <w:rFonts w:ascii="Verdana" w:hAnsi="Verdana"/>
          <w:iCs/>
          <w:sz w:val="20"/>
          <w:szCs w:val="20"/>
        </w:rPr>
        <w:t xml:space="preserve"> believes that the RBA needs to think through this issue more carefully to avoid situations such as this.</w:t>
      </w:r>
    </w:p>
    <w:p w14:paraId="33614EF8" w14:textId="77777777" w:rsidR="00024DC5" w:rsidRPr="00742DA0" w:rsidRDefault="00024DC5" w:rsidP="00742DA0">
      <w:pPr>
        <w:jc w:val="both"/>
        <w:outlineLvl w:val="0"/>
        <w:rPr>
          <w:rFonts w:ascii="Verdana" w:hAnsi="Verdana"/>
          <w:iCs/>
          <w:sz w:val="20"/>
          <w:szCs w:val="20"/>
        </w:rPr>
      </w:pPr>
      <w:proofErr w:type="spellStart"/>
      <w:r w:rsidRPr="00742DA0">
        <w:rPr>
          <w:rFonts w:ascii="Verdana" w:hAnsi="Verdana"/>
          <w:iCs/>
          <w:sz w:val="20"/>
          <w:szCs w:val="20"/>
        </w:rPr>
        <w:t>Cuscal</w:t>
      </w:r>
      <w:proofErr w:type="spellEnd"/>
      <w:r w:rsidRPr="00742DA0">
        <w:rPr>
          <w:rFonts w:ascii="Verdana" w:hAnsi="Verdana"/>
          <w:iCs/>
          <w:sz w:val="20"/>
          <w:szCs w:val="20"/>
        </w:rPr>
        <w:t xml:space="preserve"> also supports the RBA’s view of retaining the credit card weighted average for interchange at 0.50% as it continues to provide income certainty for issuers in a period of significant change and investment in the payments space.  </w:t>
      </w:r>
    </w:p>
    <w:p w14:paraId="371F445B" w14:textId="77777777" w:rsidR="00024DC5" w:rsidRPr="00742DA0" w:rsidRDefault="00024DC5" w:rsidP="00742DA0">
      <w:pPr>
        <w:jc w:val="both"/>
        <w:outlineLvl w:val="0"/>
        <w:rPr>
          <w:rFonts w:ascii="Verdana" w:hAnsi="Verdana"/>
          <w:iCs/>
          <w:sz w:val="20"/>
          <w:szCs w:val="20"/>
        </w:rPr>
      </w:pPr>
      <w:r w:rsidRPr="00742DA0">
        <w:rPr>
          <w:rFonts w:ascii="Verdana" w:hAnsi="Verdana"/>
          <w:iCs/>
          <w:sz w:val="20"/>
          <w:szCs w:val="20"/>
        </w:rPr>
        <w:t xml:space="preserve">As per our previous submissions to the RBA, </w:t>
      </w:r>
      <w:proofErr w:type="spellStart"/>
      <w:r w:rsidRPr="00742DA0">
        <w:rPr>
          <w:rFonts w:ascii="Verdana" w:hAnsi="Verdana"/>
          <w:iCs/>
          <w:sz w:val="20"/>
          <w:szCs w:val="20"/>
        </w:rPr>
        <w:t>Cuscal</w:t>
      </w:r>
      <w:proofErr w:type="spellEnd"/>
      <w:r w:rsidRPr="00742DA0">
        <w:rPr>
          <w:rFonts w:ascii="Verdana" w:hAnsi="Verdana"/>
          <w:iCs/>
          <w:sz w:val="20"/>
          <w:szCs w:val="20"/>
        </w:rPr>
        <w:t xml:space="preserve"> is supportive of the 0.80% as a component in restraining the upward drift of weighted-average interchange above the cap over the compliance period. We note that our views on this also align with that of APCA which </w:t>
      </w:r>
      <w:r w:rsidRPr="00742DA0">
        <w:rPr>
          <w:rFonts w:ascii="Verdana" w:hAnsi="Verdana"/>
          <w:iCs/>
          <w:sz w:val="20"/>
          <w:szCs w:val="20"/>
          <w:lang w:val="en-US"/>
        </w:rPr>
        <w:t xml:space="preserve">recommends the exploration of a cap on the highest individual interchange fee rate that a regulated scheme could offer in response to the RBA’s previous consultation paper. </w:t>
      </w:r>
    </w:p>
    <w:p w14:paraId="458E1CBE" w14:textId="77777777" w:rsidR="00024DC5" w:rsidRPr="00447BE9" w:rsidRDefault="00024DC5" w:rsidP="00447BE9">
      <w:pPr>
        <w:spacing w:after="0"/>
        <w:jc w:val="both"/>
        <w:outlineLvl w:val="0"/>
        <w:rPr>
          <w:rFonts w:ascii="Verdana" w:hAnsi="Verdana"/>
          <w:b/>
          <w:sz w:val="20"/>
          <w:szCs w:val="20"/>
        </w:rPr>
      </w:pPr>
      <w:r w:rsidRPr="00447BE9">
        <w:rPr>
          <w:rFonts w:ascii="Verdana" w:hAnsi="Verdana"/>
          <w:b/>
          <w:sz w:val="20"/>
          <w:szCs w:val="20"/>
        </w:rPr>
        <w:t xml:space="preserve">Debit cards </w:t>
      </w:r>
    </w:p>
    <w:p w14:paraId="77F17C03" w14:textId="77777777" w:rsidR="00024DC5" w:rsidRPr="00742DA0" w:rsidRDefault="00024DC5" w:rsidP="00742DA0">
      <w:pPr>
        <w:jc w:val="both"/>
        <w:outlineLvl w:val="0"/>
        <w:rPr>
          <w:rFonts w:ascii="Verdana" w:hAnsi="Verdana"/>
          <w:iCs/>
          <w:sz w:val="20"/>
          <w:szCs w:val="20"/>
        </w:rPr>
      </w:pPr>
      <w:r w:rsidRPr="00742DA0">
        <w:rPr>
          <w:rFonts w:ascii="Verdana" w:hAnsi="Verdana"/>
          <w:iCs/>
          <w:sz w:val="20"/>
          <w:szCs w:val="20"/>
        </w:rPr>
        <w:t xml:space="preserve">Although </w:t>
      </w:r>
      <w:proofErr w:type="spellStart"/>
      <w:r w:rsidRPr="00742DA0">
        <w:rPr>
          <w:rFonts w:ascii="Verdana" w:hAnsi="Verdana"/>
          <w:iCs/>
          <w:sz w:val="20"/>
          <w:szCs w:val="20"/>
        </w:rPr>
        <w:t>Cuscal</w:t>
      </w:r>
      <w:proofErr w:type="spellEnd"/>
      <w:r w:rsidRPr="00742DA0">
        <w:rPr>
          <w:rFonts w:ascii="Verdana" w:hAnsi="Verdana"/>
          <w:iCs/>
          <w:sz w:val="20"/>
          <w:szCs w:val="20"/>
        </w:rPr>
        <w:t xml:space="preserve"> supports the concept of a cap for interchange as either a fixed amount or as a percentage of transaction value, as per our reasons for credit card caps, we do not support the quanta of them (</w:t>
      </w:r>
      <w:proofErr w:type="spellStart"/>
      <w:r w:rsidRPr="00742DA0">
        <w:rPr>
          <w:rFonts w:ascii="Verdana" w:hAnsi="Verdana"/>
          <w:iCs/>
          <w:sz w:val="20"/>
          <w:szCs w:val="20"/>
        </w:rPr>
        <w:t>ie</w:t>
      </w:r>
      <w:proofErr w:type="spellEnd"/>
      <w:r w:rsidRPr="00742DA0">
        <w:rPr>
          <w:rFonts w:ascii="Verdana" w:hAnsi="Verdana"/>
          <w:iCs/>
          <w:sz w:val="20"/>
          <w:szCs w:val="20"/>
        </w:rPr>
        <w:t xml:space="preserve"> 15¢ for a fixed amount or 0.20% as a percentage amount) or the reduction of the weighted-average interchange cap from 12¢ to 8¢.</w:t>
      </w:r>
    </w:p>
    <w:p w14:paraId="062F7AE0" w14:textId="77777777" w:rsidR="00024DC5" w:rsidRPr="00742DA0" w:rsidRDefault="00024DC5" w:rsidP="00742DA0">
      <w:pPr>
        <w:jc w:val="both"/>
        <w:outlineLvl w:val="0"/>
        <w:rPr>
          <w:rFonts w:ascii="Verdana" w:hAnsi="Verdana"/>
          <w:iCs/>
          <w:sz w:val="20"/>
          <w:szCs w:val="20"/>
        </w:rPr>
      </w:pPr>
      <w:r w:rsidRPr="00742DA0">
        <w:rPr>
          <w:rFonts w:ascii="Verdana" w:hAnsi="Verdana"/>
          <w:iCs/>
          <w:sz w:val="20"/>
          <w:szCs w:val="20"/>
        </w:rPr>
        <w:t>We do not support the reduction because we think that, on balance, the RBA has not made a sufficient case to warrant a reduction and moreover by doing so it would reduce smaller issuers’ revenue. This is because smaller issuers generally have a card-base which is strongly weighted to debit cards – disproportionately to that of larger issuers who have a more balance mix of debit and credit cards - thus placing smaller issuers at a competitive disadvantage.</w:t>
      </w:r>
    </w:p>
    <w:p w14:paraId="6689998C" w14:textId="77777777" w:rsidR="00024DC5" w:rsidRPr="00447BE9" w:rsidRDefault="00024DC5" w:rsidP="00447BE9">
      <w:pPr>
        <w:spacing w:after="0"/>
        <w:jc w:val="both"/>
        <w:outlineLvl w:val="0"/>
        <w:rPr>
          <w:rFonts w:ascii="Verdana" w:hAnsi="Verdana"/>
          <w:b/>
          <w:sz w:val="20"/>
          <w:szCs w:val="20"/>
        </w:rPr>
      </w:pPr>
      <w:r w:rsidRPr="00447BE9">
        <w:rPr>
          <w:rFonts w:ascii="Verdana" w:hAnsi="Verdana"/>
          <w:b/>
          <w:sz w:val="20"/>
          <w:szCs w:val="20"/>
        </w:rPr>
        <w:t>Foreign issued cards</w:t>
      </w:r>
    </w:p>
    <w:p w14:paraId="47D47636" w14:textId="77777777" w:rsidR="00024DC5" w:rsidRPr="00742DA0" w:rsidRDefault="00024DC5" w:rsidP="00742DA0">
      <w:pPr>
        <w:jc w:val="both"/>
        <w:outlineLvl w:val="0"/>
        <w:rPr>
          <w:rFonts w:ascii="Verdana" w:hAnsi="Verdana"/>
          <w:iCs/>
          <w:sz w:val="20"/>
          <w:szCs w:val="20"/>
        </w:rPr>
      </w:pPr>
      <w:proofErr w:type="spellStart"/>
      <w:r w:rsidRPr="00742DA0">
        <w:rPr>
          <w:rFonts w:ascii="Verdana" w:hAnsi="Verdana"/>
          <w:sz w:val="20"/>
          <w:szCs w:val="20"/>
        </w:rPr>
        <w:t>Cuscal</w:t>
      </w:r>
      <w:proofErr w:type="spellEnd"/>
      <w:r w:rsidRPr="00742DA0">
        <w:rPr>
          <w:rFonts w:ascii="Verdana" w:hAnsi="Verdana"/>
          <w:sz w:val="20"/>
          <w:szCs w:val="20"/>
        </w:rPr>
        <w:t xml:space="preserve"> does not support the</w:t>
      </w:r>
      <w:r w:rsidRPr="00742DA0">
        <w:rPr>
          <w:rFonts w:ascii="Verdana" w:hAnsi="Verdana"/>
          <w:iCs/>
          <w:sz w:val="20"/>
          <w:szCs w:val="20"/>
        </w:rPr>
        <w:t xml:space="preserve"> RBA’s proposal to include foreign issued cards in the domestic card weighted-average interchange benchmark calculation as we do not believe it has made a sufficient case for its inclusion based on their current reasoning.</w:t>
      </w:r>
    </w:p>
    <w:p w14:paraId="3CC7D41A" w14:textId="77777777" w:rsidR="00024DC5" w:rsidRPr="00742DA0" w:rsidRDefault="00024DC5" w:rsidP="00742DA0">
      <w:pPr>
        <w:jc w:val="both"/>
        <w:outlineLvl w:val="0"/>
        <w:rPr>
          <w:rFonts w:ascii="Verdana" w:hAnsi="Verdana"/>
          <w:iCs/>
          <w:sz w:val="20"/>
          <w:szCs w:val="20"/>
          <w:lang w:val="en-US"/>
        </w:rPr>
      </w:pPr>
      <w:r w:rsidRPr="00742DA0">
        <w:rPr>
          <w:rFonts w:ascii="Verdana" w:hAnsi="Verdana"/>
          <w:iCs/>
          <w:sz w:val="20"/>
          <w:szCs w:val="20"/>
        </w:rPr>
        <w:t>The RBA states that “</w:t>
      </w:r>
      <w:r w:rsidRPr="00742DA0">
        <w:rPr>
          <w:rFonts w:ascii="Verdana" w:hAnsi="Verdana"/>
          <w:iCs/>
          <w:sz w:val="20"/>
          <w:szCs w:val="20"/>
          <w:lang w:val="en-US"/>
        </w:rPr>
        <w:t>The Bank’s consideration of the treatment of foreign-issued cards is mostly a reflection of an increased possibility of circumvention of the interchange standards through the use of such cards.”</w:t>
      </w:r>
    </w:p>
    <w:p w14:paraId="5920C528" w14:textId="77777777" w:rsidR="00024DC5" w:rsidRPr="00742DA0" w:rsidRDefault="00024DC5" w:rsidP="00742DA0">
      <w:pPr>
        <w:jc w:val="both"/>
        <w:outlineLvl w:val="0"/>
        <w:rPr>
          <w:rFonts w:ascii="Verdana" w:hAnsi="Verdana"/>
          <w:iCs/>
          <w:sz w:val="20"/>
          <w:szCs w:val="20"/>
        </w:rPr>
      </w:pPr>
      <w:r w:rsidRPr="00742DA0">
        <w:rPr>
          <w:rFonts w:ascii="Verdana" w:hAnsi="Verdana"/>
          <w:iCs/>
          <w:sz w:val="20"/>
          <w:szCs w:val="20"/>
          <w:lang w:val="en-US"/>
        </w:rPr>
        <w:t xml:space="preserve">It then goes on to postulate that foreign virtual cards could be marketed by offshore issuers to Australian corporates who could take advantage of the higher interchange rates to side-step the </w:t>
      </w:r>
      <w:r w:rsidRPr="00742DA0">
        <w:rPr>
          <w:rFonts w:ascii="Verdana" w:hAnsi="Verdana"/>
          <w:iCs/>
          <w:sz w:val="20"/>
          <w:szCs w:val="20"/>
        </w:rPr>
        <w:t>weighted-average interchange benchmark cap.</w:t>
      </w:r>
    </w:p>
    <w:p w14:paraId="593875F5" w14:textId="77777777" w:rsidR="00024DC5" w:rsidRPr="00742DA0" w:rsidRDefault="00024DC5" w:rsidP="00742DA0">
      <w:pPr>
        <w:jc w:val="both"/>
        <w:outlineLvl w:val="0"/>
        <w:rPr>
          <w:rFonts w:ascii="Verdana" w:hAnsi="Verdana"/>
          <w:iCs/>
          <w:sz w:val="20"/>
          <w:szCs w:val="20"/>
        </w:rPr>
      </w:pPr>
      <w:r w:rsidRPr="00742DA0">
        <w:rPr>
          <w:rFonts w:ascii="Verdana" w:hAnsi="Verdana"/>
          <w:iCs/>
          <w:sz w:val="20"/>
          <w:szCs w:val="20"/>
        </w:rPr>
        <w:t>There are two potential ways in which the RBA’s approach could be implemented by the card schemes:</w:t>
      </w:r>
    </w:p>
    <w:p w14:paraId="66121D74" w14:textId="77777777" w:rsidR="00024DC5" w:rsidRPr="00742DA0" w:rsidRDefault="00024DC5" w:rsidP="00742DA0">
      <w:pPr>
        <w:pStyle w:val="ListParagraph"/>
        <w:numPr>
          <w:ilvl w:val="0"/>
          <w:numId w:val="35"/>
        </w:numPr>
        <w:jc w:val="both"/>
        <w:outlineLvl w:val="0"/>
        <w:rPr>
          <w:rFonts w:ascii="Verdana" w:hAnsi="Verdana"/>
          <w:iCs/>
          <w:sz w:val="20"/>
          <w:szCs w:val="20"/>
        </w:rPr>
      </w:pPr>
      <w:r w:rsidRPr="00742DA0">
        <w:rPr>
          <w:rFonts w:ascii="Verdana" w:hAnsi="Verdana"/>
          <w:iCs/>
          <w:sz w:val="20"/>
          <w:szCs w:val="20"/>
        </w:rPr>
        <w:t>The first is to reduce the interchange rates for overseas issuers using the Australian cap approach. This would likely create significant administrative difficulties in complying within designated timeframes. It could also be viewed as an attempt by the RBA to regulate overseas issuers. The other is to include the higher overseas interchange rates in the calculation. This would have the effect of reducing the Australian domestic interchange revenue to issuers by, say, 2 to 4 basis points for credit cards. This is tantamount to interchange reduction by stealth.</w:t>
      </w:r>
    </w:p>
    <w:p w14:paraId="6000E918" w14:textId="77777777" w:rsidR="00024DC5" w:rsidRPr="00742DA0" w:rsidRDefault="00024DC5" w:rsidP="00742DA0">
      <w:pPr>
        <w:jc w:val="both"/>
        <w:outlineLvl w:val="0"/>
        <w:rPr>
          <w:rFonts w:ascii="Verdana" w:hAnsi="Verdana"/>
          <w:iCs/>
          <w:sz w:val="20"/>
          <w:szCs w:val="20"/>
          <w:lang w:val="en-US"/>
        </w:rPr>
      </w:pPr>
      <w:r w:rsidRPr="00742DA0">
        <w:rPr>
          <w:rFonts w:ascii="Verdana" w:hAnsi="Verdana"/>
          <w:iCs/>
          <w:sz w:val="20"/>
          <w:szCs w:val="20"/>
        </w:rPr>
        <w:lastRenderedPageBreak/>
        <w:t xml:space="preserve">A much simpler way to avoid potential circumvention would be to designate scheme rule changes to prevent </w:t>
      </w:r>
      <w:r w:rsidRPr="00742DA0">
        <w:rPr>
          <w:rFonts w:ascii="Verdana" w:hAnsi="Verdana"/>
          <w:iCs/>
          <w:sz w:val="20"/>
          <w:szCs w:val="20"/>
          <w:lang w:val="en-US"/>
        </w:rPr>
        <w:t>marketing of ‘virtual’ or other card products by offshore issuers to Australian corporates</w:t>
      </w:r>
      <w:r w:rsidRPr="00742DA0">
        <w:rPr>
          <w:rFonts w:ascii="Verdana" w:hAnsi="Verdana"/>
          <w:iCs/>
          <w:sz w:val="20"/>
          <w:szCs w:val="20"/>
        </w:rPr>
        <w:t>.</w:t>
      </w:r>
    </w:p>
    <w:p w14:paraId="1DFB2486" w14:textId="7FFEF8AC" w:rsidR="00024DC5" w:rsidRPr="00447BE9" w:rsidRDefault="00024DC5" w:rsidP="00447BE9">
      <w:pPr>
        <w:spacing w:after="0"/>
        <w:jc w:val="both"/>
        <w:outlineLvl w:val="0"/>
        <w:rPr>
          <w:rFonts w:ascii="Verdana" w:hAnsi="Verdana"/>
          <w:b/>
          <w:sz w:val="20"/>
          <w:szCs w:val="20"/>
        </w:rPr>
      </w:pPr>
      <w:r w:rsidRPr="00447BE9">
        <w:rPr>
          <w:rFonts w:ascii="Verdana" w:hAnsi="Verdana"/>
          <w:b/>
          <w:sz w:val="20"/>
          <w:szCs w:val="20"/>
        </w:rPr>
        <w:t>Benchmark compliance</w:t>
      </w:r>
    </w:p>
    <w:p w14:paraId="46B4E43F" w14:textId="77777777" w:rsidR="00024DC5" w:rsidRPr="00742DA0" w:rsidRDefault="00024DC5" w:rsidP="00742DA0">
      <w:pPr>
        <w:jc w:val="both"/>
        <w:outlineLvl w:val="0"/>
        <w:rPr>
          <w:rFonts w:ascii="Verdana" w:hAnsi="Verdana"/>
          <w:iCs/>
          <w:sz w:val="20"/>
          <w:szCs w:val="20"/>
        </w:rPr>
      </w:pPr>
      <w:proofErr w:type="spellStart"/>
      <w:r w:rsidRPr="00742DA0">
        <w:rPr>
          <w:rFonts w:ascii="Verdana" w:hAnsi="Verdana"/>
          <w:iCs/>
          <w:sz w:val="20"/>
          <w:szCs w:val="20"/>
          <w:lang w:val="en-US"/>
        </w:rPr>
        <w:t>Cuscal</w:t>
      </w:r>
      <w:proofErr w:type="spellEnd"/>
      <w:r w:rsidRPr="00742DA0">
        <w:rPr>
          <w:rFonts w:ascii="Verdana" w:hAnsi="Verdana"/>
          <w:iCs/>
          <w:sz w:val="20"/>
          <w:szCs w:val="20"/>
          <w:lang w:val="en-US"/>
        </w:rPr>
        <w:t xml:space="preserve"> supports the </w:t>
      </w:r>
      <w:r w:rsidRPr="00742DA0">
        <w:rPr>
          <w:rFonts w:ascii="Verdana" w:hAnsi="Verdana"/>
          <w:iCs/>
          <w:sz w:val="20"/>
          <w:szCs w:val="20"/>
        </w:rPr>
        <w:t xml:space="preserve">inclusion of transactions on prepaid cards with debit cards in the observance of the debit benchmark, however, we strongly disagree with the shift from three-yearly to quarterly compliance of the domestic average-weighted interchange rate within 45 days. </w:t>
      </w:r>
    </w:p>
    <w:p w14:paraId="24A52E3D" w14:textId="77777777" w:rsidR="00024DC5" w:rsidRPr="00742DA0" w:rsidRDefault="00024DC5" w:rsidP="00742DA0">
      <w:pPr>
        <w:jc w:val="both"/>
        <w:outlineLvl w:val="0"/>
        <w:rPr>
          <w:rFonts w:ascii="Verdana" w:hAnsi="Verdana"/>
          <w:iCs/>
          <w:sz w:val="20"/>
          <w:szCs w:val="20"/>
        </w:rPr>
      </w:pPr>
      <w:r w:rsidRPr="00742DA0">
        <w:rPr>
          <w:rFonts w:ascii="Verdana" w:hAnsi="Verdana"/>
          <w:iCs/>
          <w:sz w:val="20"/>
          <w:szCs w:val="20"/>
        </w:rPr>
        <w:t xml:space="preserve">As mentioned above, </w:t>
      </w:r>
      <w:proofErr w:type="spellStart"/>
      <w:r w:rsidRPr="00742DA0">
        <w:rPr>
          <w:rFonts w:ascii="Verdana" w:hAnsi="Verdana"/>
          <w:iCs/>
          <w:sz w:val="20"/>
          <w:szCs w:val="20"/>
        </w:rPr>
        <w:t>Cuscal</w:t>
      </w:r>
      <w:proofErr w:type="spellEnd"/>
      <w:r w:rsidRPr="00742DA0">
        <w:rPr>
          <w:rFonts w:ascii="Verdana" w:hAnsi="Verdana"/>
          <w:iCs/>
          <w:sz w:val="20"/>
          <w:szCs w:val="20"/>
        </w:rPr>
        <w:t xml:space="preserve"> supports the need to eliminate weighted-average interchange drift, however doing this on a quarterly basis and complying within 45 days is impracticable.</w:t>
      </w:r>
    </w:p>
    <w:p w14:paraId="6FEB9C78" w14:textId="77777777" w:rsidR="00024DC5" w:rsidRPr="00742DA0" w:rsidRDefault="00024DC5" w:rsidP="00742DA0">
      <w:pPr>
        <w:jc w:val="both"/>
        <w:outlineLvl w:val="0"/>
        <w:rPr>
          <w:rFonts w:ascii="Verdana" w:hAnsi="Verdana"/>
          <w:iCs/>
          <w:sz w:val="20"/>
          <w:szCs w:val="20"/>
        </w:rPr>
      </w:pPr>
      <w:r w:rsidRPr="00742DA0">
        <w:rPr>
          <w:rFonts w:ascii="Verdana" w:hAnsi="Verdana"/>
          <w:iCs/>
          <w:sz w:val="20"/>
          <w:szCs w:val="20"/>
        </w:rPr>
        <w:t>It is impracticable and costly because there will be insufficient time to:</w:t>
      </w:r>
    </w:p>
    <w:p w14:paraId="3CDE9E48" w14:textId="77777777" w:rsidR="00024DC5" w:rsidRPr="00742DA0" w:rsidRDefault="00024DC5" w:rsidP="00742DA0">
      <w:pPr>
        <w:pStyle w:val="ListParagraph"/>
        <w:numPr>
          <w:ilvl w:val="0"/>
          <w:numId w:val="34"/>
        </w:numPr>
        <w:jc w:val="both"/>
        <w:outlineLvl w:val="0"/>
        <w:rPr>
          <w:rFonts w:ascii="Verdana" w:hAnsi="Verdana"/>
          <w:iCs/>
          <w:sz w:val="20"/>
          <w:szCs w:val="20"/>
        </w:rPr>
      </w:pPr>
      <w:r w:rsidRPr="00742DA0">
        <w:rPr>
          <w:rFonts w:ascii="Verdana" w:hAnsi="Verdana"/>
          <w:iCs/>
          <w:sz w:val="20"/>
          <w:szCs w:val="20"/>
        </w:rPr>
        <w:t>Have schemes recalculate individual interchange rates;</w:t>
      </w:r>
    </w:p>
    <w:p w14:paraId="436AFF35" w14:textId="77777777" w:rsidR="00024DC5" w:rsidRPr="00742DA0" w:rsidRDefault="00024DC5" w:rsidP="00742DA0">
      <w:pPr>
        <w:pStyle w:val="ListParagraph"/>
        <w:numPr>
          <w:ilvl w:val="0"/>
          <w:numId w:val="34"/>
        </w:numPr>
        <w:jc w:val="both"/>
        <w:outlineLvl w:val="0"/>
        <w:rPr>
          <w:rFonts w:ascii="Verdana" w:hAnsi="Verdana"/>
          <w:iCs/>
          <w:sz w:val="20"/>
          <w:szCs w:val="20"/>
        </w:rPr>
      </w:pPr>
      <w:r w:rsidRPr="00742DA0">
        <w:rPr>
          <w:rFonts w:ascii="Verdana" w:hAnsi="Verdana"/>
          <w:iCs/>
          <w:sz w:val="20"/>
          <w:szCs w:val="20"/>
        </w:rPr>
        <w:t>Advise issuers and acquirers of the new interchange rates for each card/ transaction type</w:t>
      </w:r>
    </w:p>
    <w:p w14:paraId="7ACD5FEE" w14:textId="77777777" w:rsidR="00024DC5" w:rsidRPr="00742DA0" w:rsidRDefault="00024DC5" w:rsidP="00742DA0">
      <w:pPr>
        <w:pStyle w:val="ListParagraph"/>
        <w:numPr>
          <w:ilvl w:val="0"/>
          <w:numId w:val="34"/>
        </w:numPr>
        <w:jc w:val="both"/>
        <w:outlineLvl w:val="0"/>
        <w:rPr>
          <w:rFonts w:ascii="Verdana" w:hAnsi="Verdana"/>
          <w:iCs/>
          <w:sz w:val="20"/>
          <w:szCs w:val="20"/>
        </w:rPr>
      </w:pPr>
      <w:r w:rsidRPr="00742DA0">
        <w:rPr>
          <w:rFonts w:ascii="Verdana" w:hAnsi="Verdana"/>
          <w:iCs/>
          <w:sz w:val="20"/>
          <w:szCs w:val="20"/>
        </w:rPr>
        <w:t>Update issuing and acquiring systems with the new rates;</w:t>
      </w:r>
    </w:p>
    <w:p w14:paraId="33E618D6" w14:textId="77777777" w:rsidR="00024DC5" w:rsidRPr="00742DA0" w:rsidRDefault="00024DC5" w:rsidP="00742DA0">
      <w:pPr>
        <w:pStyle w:val="ListParagraph"/>
        <w:numPr>
          <w:ilvl w:val="0"/>
          <w:numId w:val="34"/>
        </w:numPr>
        <w:jc w:val="both"/>
        <w:outlineLvl w:val="0"/>
        <w:rPr>
          <w:rFonts w:ascii="Verdana" w:hAnsi="Verdana"/>
          <w:iCs/>
          <w:sz w:val="20"/>
          <w:szCs w:val="20"/>
        </w:rPr>
      </w:pPr>
      <w:r w:rsidRPr="00742DA0">
        <w:rPr>
          <w:rFonts w:ascii="Verdana" w:hAnsi="Verdana"/>
          <w:iCs/>
          <w:sz w:val="20"/>
          <w:szCs w:val="20"/>
        </w:rPr>
        <w:t>Reprice merchants who are on single MSF and Multiple MSF based on card groupings;</w:t>
      </w:r>
    </w:p>
    <w:p w14:paraId="1D538876" w14:textId="77777777" w:rsidR="00024DC5" w:rsidRPr="00742DA0" w:rsidRDefault="00024DC5" w:rsidP="00742DA0">
      <w:pPr>
        <w:pStyle w:val="ListParagraph"/>
        <w:numPr>
          <w:ilvl w:val="0"/>
          <w:numId w:val="34"/>
        </w:numPr>
        <w:jc w:val="both"/>
        <w:outlineLvl w:val="0"/>
        <w:rPr>
          <w:rFonts w:ascii="Verdana" w:hAnsi="Verdana"/>
          <w:iCs/>
          <w:sz w:val="20"/>
          <w:szCs w:val="20"/>
        </w:rPr>
      </w:pPr>
      <w:r w:rsidRPr="00742DA0">
        <w:rPr>
          <w:rFonts w:ascii="Verdana" w:hAnsi="Verdana"/>
          <w:iCs/>
          <w:sz w:val="20"/>
          <w:szCs w:val="20"/>
        </w:rPr>
        <w:t>Communicate to merchants their new rates and provide notice in advance; and</w:t>
      </w:r>
    </w:p>
    <w:p w14:paraId="28A6CB9E" w14:textId="77777777" w:rsidR="00024DC5" w:rsidRPr="00742DA0" w:rsidRDefault="00024DC5" w:rsidP="00742DA0">
      <w:pPr>
        <w:pStyle w:val="ListParagraph"/>
        <w:numPr>
          <w:ilvl w:val="0"/>
          <w:numId w:val="34"/>
        </w:numPr>
        <w:jc w:val="both"/>
        <w:outlineLvl w:val="0"/>
        <w:rPr>
          <w:rFonts w:ascii="Verdana" w:hAnsi="Verdana"/>
          <w:iCs/>
          <w:sz w:val="20"/>
          <w:szCs w:val="20"/>
        </w:rPr>
      </w:pPr>
      <w:r w:rsidRPr="00742DA0">
        <w:rPr>
          <w:rFonts w:ascii="Verdana" w:hAnsi="Verdana"/>
          <w:iCs/>
          <w:sz w:val="20"/>
          <w:szCs w:val="20"/>
        </w:rPr>
        <w:t>Issue and execute new contracts with merchants.</w:t>
      </w:r>
    </w:p>
    <w:p w14:paraId="21DE4172" w14:textId="77777777" w:rsidR="00024DC5" w:rsidRPr="00742DA0" w:rsidRDefault="00024DC5" w:rsidP="00742DA0">
      <w:pPr>
        <w:jc w:val="both"/>
        <w:outlineLvl w:val="0"/>
        <w:rPr>
          <w:rFonts w:ascii="Verdana" w:hAnsi="Verdana"/>
          <w:iCs/>
          <w:sz w:val="20"/>
          <w:szCs w:val="20"/>
        </w:rPr>
      </w:pPr>
      <w:r w:rsidRPr="00742DA0">
        <w:rPr>
          <w:rFonts w:ascii="Verdana" w:hAnsi="Verdana"/>
          <w:iCs/>
          <w:sz w:val="20"/>
          <w:szCs w:val="20"/>
        </w:rPr>
        <w:t xml:space="preserve">However, </w:t>
      </w:r>
      <w:proofErr w:type="spellStart"/>
      <w:r w:rsidRPr="00742DA0">
        <w:rPr>
          <w:rFonts w:ascii="Verdana" w:hAnsi="Verdana"/>
          <w:iCs/>
          <w:sz w:val="20"/>
          <w:szCs w:val="20"/>
        </w:rPr>
        <w:t>Cuscal</w:t>
      </w:r>
      <w:proofErr w:type="spellEnd"/>
      <w:r w:rsidRPr="00742DA0">
        <w:rPr>
          <w:rFonts w:ascii="Verdana" w:hAnsi="Verdana"/>
          <w:iCs/>
          <w:sz w:val="20"/>
          <w:szCs w:val="20"/>
        </w:rPr>
        <w:t xml:space="preserve"> is of the understanding that the RBA believes that the above 6 steps will be unnecessary as card schemes could create a buffer between the actual average-weighted interchange rate and its mandated cap – say for example somewhere between 5 to 10 basis points (for credit) and will rebalance individual card/transaction types less frequently.</w:t>
      </w:r>
    </w:p>
    <w:p w14:paraId="66816C1B" w14:textId="77777777" w:rsidR="00024DC5" w:rsidRPr="00742DA0" w:rsidRDefault="00024DC5" w:rsidP="00742DA0">
      <w:pPr>
        <w:jc w:val="both"/>
        <w:outlineLvl w:val="0"/>
        <w:rPr>
          <w:rFonts w:ascii="Verdana" w:hAnsi="Verdana"/>
          <w:iCs/>
          <w:sz w:val="20"/>
          <w:szCs w:val="20"/>
        </w:rPr>
      </w:pPr>
      <w:r w:rsidRPr="00742DA0">
        <w:rPr>
          <w:rFonts w:ascii="Verdana" w:hAnsi="Verdana"/>
          <w:iCs/>
          <w:sz w:val="20"/>
          <w:szCs w:val="20"/>
        </w:rPr>
        <w:t>If the above happens, we believe it will have the effect of reducing issuer interchange income and is at odds with the RBA’s own proposal not to reduce the weighted-average interchange cap for credit cards.</w:t>
      </w:r>
    </w:p>
    <w:p w14:paraId="0E1D42C5" w14:textId="77777777" w:rsidR="00024DC5" w:rsidRPr="00742DA0" w:rsidRDefault="00024DC5" w:rsidP="00742DA0">
      <w:pPr>
        <w:jc w:val="both"/>
        <w:outlineLvl w:val="0"/>
        <w:rPr>
          <w:rFonts w:ascii="Verdana" w:hAnsi="Verdana"/>
          <w:iCs/>
          <w:sz w:val="20"/>
          <w:szCs w:val="20"/>
        </w:rPr>
      </w:pPr>
      <w:r w:rsidRPr="00742DA0">
        <w:rPr>
          <w:rFonts w:ascii="Verdana" w:hAnsi="Verdana"/>
          <w:iCs/>
          <w:sz w:val="20"/>
          <w:szCs w:val="20"/>
        </w:rPr>
        <w:t>This potential decrease could be exacerbated by the need to increase the buffer to cater for seasonality.</w:t>
      </w:r>
    </w:p>
    <w:p w14:paraId="139735D1" w14:textId="77777777" w:rsidR="00024DC5" w:rsidRPr="00742DA0" w:rsidRDefault="00024DC5" w:rsidP="00742DA0">
      <w:pPr>
        <w:jc w:val="both"/>
        <w:outlineLvl w:val="0"/>
        <w:rPr>
          <w:rFonts w:ascii="Verdana" w:hAnsi="Verdana"/>
          <w:iCs/>
          <w:sz w:val="20"/>
          <w:szCs w:val="20"/>
        </w:rPr>
      </w:pPr>
      <w:r w:rsidRPr="00742DA0">
        <w:rPr>
          <w:rFonts w:ascii="Verdana" w:hAnsi="Verdana"/>
          <w:iCs/>
          <w:sz w:val="20"/>
          <w:szCs w:val="20"/>
        </w:rPr>
        <w:t xml:space="preserve">If the schemes adopt the process envisaged by the RBA it is another form of interchange reduction by stealth.  </w:t>
      </w:r>
    </w:p>
    <w:p w14:paraId="2AF859E2" w14:textId="77777777" w:rsidR="00024DC5" w:rsidRPr="00742DA0" w:rsidRDefault="00024DC5" w:rsidP="00742DA0">
      <w:pPr>
        <w:jc w:val="both"/>
        <w:outlineLvl w:val="0"/>
        <w:rPr>
          <w:rFonts w:ascii="Verdana" w:hAnsi="Verdana"/>
          <w:b/>
          <w:sz w:val="20"/>
          <w:szCs w:val="20"/>
        </w:rPr>
      </w:pPr>
      <w:proofErr w:type="spellStart"/>
      <w:r w:rsidRPr="00742DA0">
        <w:rPr>
          <w:rFonts w:ascii="Verdana" w:hAnsi="Verdana"/>
          <w:iCs/>
          <w:sz w:val="20"/>
          <w:szCs w:val="20"/>
        </w:rPr>
        <w:t>Cuscal</w:t>
      </w:r>
      <w:proofErr w:type="spellEnd"/>
      <w:r w:rsidRPr="00742DA0">
        <w:rPr>
          <w:rFonts w:ascii="Verdana" w:hAnsi="Verdana"/>
          <w:iCs/>
          <w:sz w:val="20"/>
          <w:szCs w:val="20"/>
        </w:rPr>
        <w:t xml:space="preserve"> proposes that the introduction of an annual rebalancing of average-weighted interchange, coupled with the RBA’s proposed cap of 0.80%, is a much more sensible and practical solution.</w:t>
      </w:r>
    </w:p>
    <w:p w14:paraId="149D0D78" w14:textId="77777777" w:rsidR="00024DC5" w:rsidRPr="00447BE9" w:rsidRDefault="00024DC5" w:rsidP="00447BE9">
      <w:pPr>
        <w:spacing w:after="0"/>
        <w:jc w:val="both"/>
        <w:outlineLvl w:val="0"/>
        <w:rPr>
          <w:rFonts w:ascii="Verdana" w:hAnsi="Verdana"/>
          <w:b/>
          <w:sz w:val="20"/>
          <w:szCs w:val="20"/>
        </w:rPr>
      </w:pPr>
      <w:r w:rsidRPr="00447BE9">
        <w:rPr>
          <w:rFonts w:ascii="Verdana" w:hAnsi="Verdana"/>
          <w:b/>
          <w:sz w:val="20"/>
          <w:szCs w:val="20"/>
        </w:rPr>
        <w:t>Implementation and timing considerations</w:t>
      </w:r>
    </w:p>
    <w:p w14:paraId="681A6A51" w14:textId="77777777" w:rsidR="00024DC5" w:rsidRPr="00742DA0" w:rsidRDefault="00024DC5" w:rsidP="00742DA0">
      <w:pPr>
        <w:jc w:val="both"/>
        <w:outlineLvl w:val="0"/>
        <w:rPr>
          <w:rFonts w:ascii="Verdana" w:hAnsi="Verdana"/>
          <w:iCs/>
          <w:sz w:val="20"/>
          <w:szCs w:val="20"/>
        </w:rPr>
      </w:pPr>
      <w:proofErr w:type="spellStart"/>
      <w:r w:rsidRPr="00742DA0">
        <w:rPr>
          <w:rFonts w:ascii="Verdana" w:hAnsi="Verdana"/>
          <w:iCs/>
          <w:sz w:val="20"/>
          <w:szCs w:val="20"/>
        </w:rPr>
        <w:t>Cuscal</w:t>
      </w:r>
      <w:proofErr w:type="spellEnd"/>
      <w:r w:rsidRPr="00742DA0">
        <w:rPr>
          <w:rFonts w:ascii="Verdana" w:hAnsi="Verdana"/>
          <w:iCs/>
          <w:sz w:val="20"/>
          <w:szCs w:val="20"/>
        </w:rPr>
        <w:t xml:space="preserve"> believes that, irrespective of the approach adopted, a working group of industry representatives (issuers and acquirers) should be formed to work through the issues in more detail and establish a jointly agreed, feasible, implementation timeframe. </w:t>
      </w:r>
    </w:p>
    <w:p w14:paraId="586D8854" w14:textId="77777777" w:rsidR="00024DC5" w:rsidRPr="00742DA0" w:rsidRDefault="00024DC5" w:rsidP="00742DA0">
      <w:pPr>
        <w:jc w:val="both"/>
        <w:outlineLvl w:val="0"/>
        <w:rPr>
          <w:rFonts w:ascii="Verdana" w:hAnsi="Verdana"/>
          <w:iCs/>
          <w:sz w:val="20"/>
          <w:szCs w:val="20"/>
          <w:lang w:val="en-US"/>
        </w:rPr>
      </w:pPr>
      <w:r w:rsidRPr="00742DA0">
        <w:rPr>
          <w:rFonts w:ascii="Verdana" w:hAnsi="Verdana"/>
          <w:iCs/>
          <w:sz w:val="20"/>
          <w:szCs w:val="20"/>
        </w:rPr>
        <w:t xml:space="preserve">Establishing implementation timing is also more problematic for </w:t>
      </w:r>
      <w:proofErr w:type="spellStart"/>
      <w:r w:rsidRPr="00742DA0">
        <w:rPr>
          <w:rFonts w:ascii="Verdana" w:hAnsi="Verdana"/>
          <w:iCs/>
          <w:sz w:val="20"/>
          <w:szCs w:val="20"/>
        </w:rPr>
        <w:t>Cuscal</w:t>
      </w:r>
      <w:proofErr w:type="spellEnd"/>
      <w:r w:rsidRPr="00742DA0">
        <w:rPr>
          <w:rFonts w:ascii="Verdana" w:hAnsi="Verdana"/>
          <w:iCs/>
          <w:sz w:val="20"/>
          <w:szCs w:val="20"/>
        </w:rPr>
        <w:t xml:space="preserve">, when compared to other acquirers, because our </w:t>
      </w:r>
      <w:r w:rsidRPr="00742DA0">
        <w:rPr>
          <w:rFonts w:ascii="Verdana" w:hAnsi="Verdana"/>
          <w:iCs/>
          <w:sz w:val="20"/>
          <w:szCs w:val="20"/>
          <w:lang w:val="en-US"/>
        </w:rPr>
        <w:t xml:space="preserve">acquiring business model comprises both “traditional” </w:t>
      </w:r>
      <w:r w:rsidRPr="00742DA0">
        <w:rPr>
          <w:rFonts w:ascii="Verdana" w:hAnsi="Verdana"/>
          <w:iCs/>
          <w:sz w:val="20"/>
          <w:szCs w:val="20"/>
          <w:lang w:val="en-US"/>
        </w:rPr>
        <w:lastRenderedPageBreak/>
        <w:t xml:space="preserve">acquiring and “non-traditional” acquiring where we have disaggregated aspects of the acquiring value chain. </w:t>
      </w:r>
    </w:p>
    <w:p w14:paraId="7D13F5B9" w14:textId="77777777" w:rsidR="00024DC5" w:rsidRPr="00742DA0" w:rsidRDefault="00024DC5" w:rsidP="00742DA0">
      <w:pPr>
        <w:jc w:val="both"/>
        <w:outlineLvl w:val="0"/>
        <w:rPr>
          <w:rFonts w:ascii="Verdana" w:hAnsi="Verdana"/>
          <w:iCs/>
          <w:sz w:val="20"/>
          <w:szCs w:val="20"/>
          <w:lang w:val="en-US"/>
        </w:rPr>
      </w:pPr>
      <w:r w:rsidRPr="00742DA0">
        <w:rPr>
          <w:rFonts w:ascii="Verdana" w:hAnsi="Verdana"/>
          <w:iCs/>
          <w:sz w:val="20"/>
          <w:szCs w:val="20"/>
          <w:lang w:val="en-US"/>
        </w:rPr>
        <w:t xml:space="preserve">In our “non-traditional” disaggregated value chain, </w:t>
      </w:r>
      <w:proofErr w:type="spellStart"/>
      <w:r w:rsidRPr="00742DA0">
        <w:rPr>
          <w:rFonts w:ascii="Verdana" w:hAnsi="Verdana"/>
          <w:iCs/>
          <w:sz w:val="20"/>
          <w:szCs w:val="20"/>
          <w:lang w:val="en-US"/>
        </w:rPr>
        <w:t>Cuscal</w:t>
      </w:r>
      <w:proofErr w:type="spellEnd"/>
      <w:r w:rsidRPr="00742DA0">
        <w:rPr>
          <w:rFonts w:ascii="Verdana" w:hAnsi="Verdana"/>
          <w:iCs/>
          <w:sz w:val="20"/>
          <w:szCs w:val="20"/>
          <w:lang w:val="en-US"/>
        </w:rPr>
        <w:t xml:space="preserve"> acts as the acquirer of record and provides switching and settlement services with our clients providing the remaining acquiring services in the value chain.</w:t>
      </w:r>
    </w:p>
    <w:p w14:paraId="01C6BA0A" w14:textId="1C02CE2A" w:rsidR="00024DC5" w:rsidRPr="00742DA0" w:rsidRDefault="00024DC5" w:rsidP="00742DA0">
      <w:pPr>
        <w:jc w:val="both"/>
        <w:outlineLvl w:val="0"/>
        <w:rPr>
          <w:rFonts w:ascii="Verdana" w:hAnsi="Verdana"/>
          <w:iCs/>
          <w:sz w:val="20"/>
          <w:szCs w:val="20"/>
          <w:lang w:val="en-US"/>
        </w:rPr>
      </w:pPr>
      <w:r w:rsidRPr="009D2D89">
        <w:rPr>
          <w:rFonts w:ascii="Verdana" w:hAnsi="Verdana"/>
          <w:iCs/>
          <w:sz w:val="20"/>
          <w:szCs w:val="20"/>
          <w:lang w:val="en-US"/>
        </w:rPr>
        <w:t xml:space="preserve">We process a fleet of about 27,000 "traditional" merchant terminals for a high street bank, however, the bulk of our acquiring business is in the “non-traditional” space, where we work with </w:t>
      </w:r>
      <w:r w:rsidR="009D2D89">
        <w:rPr>
          <w:rFonts w:ascii="Verdana" w:hAnsi="Verdana"/>
          <w:iCs/>
          <w:sz w:val="20"/>
          <w:szCs w:val="20"/>
          <w:lang w:val="en-US"/>
        </w:rPr>
        <w:t xml:space="preserve">a range of newer, non-traditional payment acceptance </w:t>
      </w:r>
      <w:proofErr w:type="spellStart"/>
      <w:r w:rsidR="009D2D89">
        <w:rPr>
          <w:rFonts w:ascii="Verdana" w:hAnsi="Verdana"/>
          <w:iCs/>
          <w:sz w:val="20"/>
          <w:szCs w:val="20"/>
          <w:lang w:val="en-US"/>
        </w:rPr>
        <w:t>organisations</w:t>
      </w:r>
      <w:proofErr w:type="spellEnd"/>
      <w:r w:rsidR="009D2D89">
        <w:rPr>
          <w:rFonts w:ascii="Verdana" w:hAnsi="Verdana"/>
          <w:iCs/>
          <w:sz w:val="20"/>
          <w:szCs w:val="20"/>
          <w:lang w:val="en-US"/>
        </w:rPr>
        <w:t>.</w:t>
      </w:r>
    </w:p>
    <w:p w14:paraId="3FDBC09D" w14:textId="77777777" w:rsidR="00024DC5" w:rsidRPr="00742DA0" w:rsidRDefault="00024DC5" w:rsidP="00742DA0">
      <w:pPr>
        <w:jc w:val="both"/>
        <w:outlineLvl w:val="0"/>
        <w:rPr>
          <w:rFonts w:ascii="Verdana" w:hAnsi="Verdana"/>
          <w:iCs/>
          <w:sz w:val="20"/>
          <w:szCs w:val="20"/>
          <w:lang w:val="en-US"/>
        </w:rPr>
      </w:pPr>
      <w:r w:rsidRPr="00742DA0">
        <w:rPr>
          <w:rFonts w:ascii="Verdana" w:hAnsi="Verdana"/>
          <w:iCs/>
          <w:sz w:val="20"/>
          <w:szCs w:val="20"/>
          <w:lang w:val="en-US"/>
        </w:rPr>
        <w:t xml:space="preserve">Because of the Christmas period and the short time to respond we have had insufficient time to engage with the above </w:t>
      </w:r>
      <w:proofErr w:type="spellStart"/>
      <w:r w:rsidRPr="00742DA0">
        <w:rPr>
          <w:rFonts w:ascii="Verdana" w:hAnsi="Verdana"/>
          <w:iCs/>
          <w:sz w:val="20"/>
          <w:szCs w:val="20"/>
          <w:lang w:val="en-US"/>
        </w:rPr>
        <w:t>organisations</w:t>
      </w:r>
      <w:proofErr w:type="spellEnd"/>
      <w:r w:rsidRPr="00742DA0">
        <w:rPr>
          <w:rFonts w:ascii="Verdana" w:hAnsi="Verdana"/>
          <w:iCs/>
          <w:sz w:val="20"/>
          <w:szCs w:val="20"/>
          <w:lang w:val="en-US"/>
        </w:rPr>
        <w:t xml:space="preserve"> to establish the impact on them.  </w:t>
      </w:r>
    </w:p>
    <w:p w14:paraId="6C791C9A" w14:textId="77777777" w:rsidR="00024DC5" w:rsidRPr="00742DA0" w:rsidRDefault="00024DC5" w:rsidP="00742DA0">
      <w:pPr>
        <w:jc w:val="both"/>
        <w:outlineLvl w:val="0"/>
        <w:rPr>
          <w:rFonts w:ascii="Verdana" w:hAnsi="Verdana"/>
          <w:iCs/>
          <w:sz w:val="20"/>
          <w:szCs w:val="20"/>
          <w:lang w:val="en-US"/>
        </w:rPr>
      </w:pPr>
      <w:proofErr w:type="spellStart"/>
      <w:r w:rsidRPr="00742DA0">
        <w:rPr>
          <w:rFonts w:ascii="Verdana" w:hAnsi="Verdana"/>
          <w:iCs/>
          <w:sz w:val="20"/>
          <w:szCs w:val="20"/>
          <w:lang w:val="en-US"/>
        </w:rPr>
        <w:t>Cuscal</w:t>
      </w:r>
      <w:proofErr w:type="spellEnd"/>
      <w:r w:rsidRPr="00742DA0">
        <w:rPr>
          <w:rFonts w:ascii="Verdana" w:hAnsi="Verdana"/>
          <w:iCs/>
          <w:sz w:val="20"/>
          <w:szCs w:val="20"/>
          <w:lang w:val="en-US"/>
        </w:rPr>
        <w:t xml:space="preserve"> is also not sure of the extent to which the RBA has considered the regulatory implication on “non-traditional” acquiring models. </w:t>
      </w:r>
    </w:p>
    <w:p w14:paraId="7D4B416B" w14:textId="77777777" w:rsidR="00024DC5" w:rsidRPr="00447BE9" w:rsidRDefault="00024DC5" w:rsidP="00742DA0">
      <w:pPr>
        <w:jc w:val="both"/>
        <w:outlineLvl w:val="0"/>
        <w:rPr>
          <w:rFonts w:ascii="Verdana" w:hAnsi="Verdana"/>
          <w:b/>
          <w:sz w:val="22"/>
          <w:szCs w:val="22"/>
          <w:lang w:val="en-US"/>
        </w:rPr>
      </w:pPr>
      <w:r w:rsidRPr="00447BE9">
        <w:rPr>
          <w:rFonts w:ascii="Verdana" w:hAnsi="Verdana"/>
          <w:b/>
          <w:sz w:val="22"/>
          <w:szCs w:val="22"/>
          <w:lang w:val="en-US"/>
        </w:rPr>
        <w:t>Surcharging regulation</w:t>
      </w:r>
    </w:p>
    <w:p w14:paraId="4B19A147" w14:textId="77777777" w:rsidR="00024DC5" w:rsidRPr="00447BE9" w:rsidRDefault="00024DC5" w:rsidP="00447BE9">
      <w:pPr>
        <w:spacing w:after="0"/>
        <w:jc w:val="both"/>
        <w:outlineLvl w:val="0"/>
        <w:rPr>
          <w:rFonts w:ascii="Verdana" w:hAnsi="Verdana"/>
          <w:b/>
          <w:sz w:val="20"/>
          <w:szCs w:val="20"/>
        </w:rPr>
      </w:pPr>
      <w:r w:rsidRPr="00447BE9">
        <w:rPr>
          <w:rFonts w:ascii="Verdana" w:hAnsi="Verdana"/>
          <w:b/>
          <w:sz w:val="20"/>
          <w:szCs w:val="20"/>
        </w:rPr>
        <w:t>Allowable cost definitions and calculation</w:t>
      </w:r>
    </w:p>
    <w:p w14:paraId="314D00ED" w14:textId="77777777" w:rsidR="00024DC5" w:rsidRPr="00742DA0" w:rsidRDefault="00024DC5" w:rsidP="00742DA0">
      <w:pPr>
        <w:jc w:val="both"/>
        <w:outlineLvl w:val="0"/>
        <w:rPr>
          <w:rFonts w:ascii="Verdana" w:hAnsi="Verdana"/>
          <w:sz w:val="20"/>
          <w:szCs w:val="20"/>
        </w:rPr>
      </w:pPr>
      <w:proofErr w:type="spellStart"/>
      <w:r w:rsidRPr="00742DA0">
        <w:rPr>
          <w:rFonts w:ascii="Verdana" w:hAnsi="Verdana"/>
          <w:sz w:val="20"/>
          <w:szCs w:val="20"/>
        </w:rPr>
        <w:t>Cuscal</w:t>
      </w:r>
      <w:proofErr w:type="spellEnd"/>
      <w:r w:rsidRPr="00742DA0">
        <w:rPr>
          <w:rFonts w:ascii="Verdana" w:hAnsi="Verdana"/>
          <w:sz w:val="20"/>
          <w:szCs w:val="20"/>
        </w:rPr>
        <w:t xml:space="preserve"> supports, in general, the concept of explicitly defined card acceptance costs, however, we feel that that it needs more specificity around definitions such as Payment Facilitator, to eliminate any uncertainty as to what is included or not. </w:t>
      </w:r>
    </w:p>
    <w:p w14:paraId="72295FA8" w14:textId="77777777" w:rsidR="00024DC5" w:rsidRPr="00742DA0" w:rsidRDefault="00024DC5" w:rsidP="00742DA0">
      <w:pPr>
        <w:jc w:val="both"/>
        <w:outlineLvl w:val="0"/>
        <w:rPr>
          <w:rFonts w:ascii="Verdana" w:hAnsi="Verdana"/>
          <w:sz w:val="20"/>
          <w:szCs w:val="20"/>
        </w:rPr>
      </w:pPr>
      <w:r w:rsidRPr="00742DA0">
        <w:rPr>
          <w:rFonts w:ascii="Verdana" w:hAnsi="Verdana"/>
          <w:sz w:val="20"/>
          <w:szCs w:val="20"/>
        </w:rPr>
        <w:t xml:space="preserve">The draft standards state that costs for a permitted surcharge can only be for fees charged by either an acquirer or payment facilitator and that a payment facilitator must have arrangements with acquirers.  </w:t>
      </w:r>
      <w:proofErr w:type="spellStart"/>
      <w:r w:rsidRPr="00742DA0">
        <w:rPr>
          <w:rFonts w:ascii="Verdana" w:hAnsi="Verdana"/>
          <w:sz w:val="20"/>
          <w:szCs w:val="20"/>
        </w:rPr>
        <w:t>Cuscal</w:t>
      </w:r>
      <w:proofErr w:type="spellEnd"/>
      <w:r w:rsidRPr="00742DA0">
        <w:rPr>
          <w:rFonts w:ascii="Verdana" w:hAnsi="Verdana"/>
          <w:sz w:val="20"/>
          <w:szCs w:val="20"/>
        </w:rPr>
        <w:t xml:space="preserve"> believes there are situations in the payments value chain where entities who do not have an arrangement with an acquirer have transaction costs that should be considered permissible e.g. ecommerce, fraud detection and terminal rental.  </w:t>
      </w:r>
    </w:p>
    <w:p w14:paraId="3847AEE3" w14:textId="77777777" w:rsidR="00024DC5" w:rsidRPr="00742DA0" w:rsidRDefault="00024DC5" w:rsidP="00742DA0">
      <w:pPr>
        <w:jc w:val="both"/>
        <w:outlineLvl w:val="0"/>
        <w:rPr>
          <w:rFonts w:ascii="Verdana" w:hAnsi="Verdana"/>
          <w:sz w:val="20"/>
          <w:szCs w:val="20"/>
        </w:rPr>
      </w:pPr>
      <w:r w:rsidRPr="00742DA0">
        <w:rPr>
          <w:rFonts w:ascii="Verdana" w:hAnsi="Verdana"/>
          <w:sz w:val="20"/>
          <w:szCs w:val="20"/>
        </w:rPr>
        <w:t xml:space="preserve">Also </w:t>
      </w:r>
      <w:proofErr w:type="spellStart"/>
      <w:r w:rsidRPr="00742DA0">
        <w:rPr>
          <w:rFonts w:ascii="Verdana" w:hAnsi="Verdana"/>
          <w:sz w:val="20"/>
          <w:szCs w:val="20"/>
        </w:rPr>
        <w:t>Cuscal</w:t>
      </w:r>
      <w:proofErr w:type="spellEnd"/>
      <w:r w:rsidRPr="00742DA0">
        <w:rPr>
          <w:rFonts w:ascii="Verdana" w:hAnsi="Verdana"/>
          <w:sz w:val="20"/>
          <w:szCs w:val="20"/>
        </w:rPr>
        <w:t xml:space="preserve"> is unclear as to what constitutes a payment facilitator/acquirer relationship and in particular if payment gateway fees for ecommerce, which can be substantial, are included.</w:t>
      </w:r>
    </w:p>
    <w:p w14:paraId="310D01DF" w14:textId="796BFC5F" w:rsidR="00024DC5" w:rsidRPr="00742DA0" w:rsidRDefault="00024DC5" w:rsidP="00742DA0">
      <w:pPr>
        <w:jc w:val="both"/>
        <w:outlineLvl w:val="0"/>
        <w:rPr>
          <w:rFonts w:ascii="Verdana" w:hAnsi="Verdana"/>
          <w:sz w:val="20"/>
          <w:szCs w:val="20"/>
        </w:rPr>
      </w:pPr>
      <w:proofErr w:type="spellStart"/>
      <w:r w:rsidRPr="00742DA0">
        <w:rPr>
          <w:rFonts w:ascii="Verdana" w:hAnsi="Verdana"/>
          <w:sz w:val="20"/>
          <w:szCs w:val="20"/>
        </w:rPr>
        <w:t>Cuscal</w:t>
      </w:r>
      <w:proofErr w:type="spellEnd"/>
      <w:r w:rsidRPr="00742DA0">
        <w:rPr>
          <w:rFonts w:ascii="Verdana" w:hAnsi="Verdana"/>
          <w:sz w:val="20"/>
          <w:szCs w:val="20"/>
        </w:rPr>
        <w:t xml:space="preserve"> believes that further industry consultation</w:t>
      </w:r>
      <w:r w:rsidR="00742DA0" w:rsidRPr="00742DA0">
        <w:rPr>
          <w:rFonts w:ascii="Verdana" w:hAnsi="Verdana"/>
          <w:sz w:val="20"/>
          <w:szCs w:val="20"/>
        </w:rPr>
        <w:t xml:space="preserve"> is required</w:t>
      </w:r>
      <w:r w:rsidRPr="00742DA0">
        <w:rPr>
          <w:rFonts w:ascii="Verdana" w:hAnsi="Verdana"/>
          <w:sz w:val="20"/>
          <w:szCs w:val="20"/>
        </w:rPr>
        <w:t>, establishing in detail, what the types of cost in the payments value chain are</w:t>
      </w:r>
      <w:r w:rsidR="00742DA0" w:rsidRPr="00742DA0">
        <w:rPr>
          <w:rFonts w:ascii="Verdana" w:hAnsi="Verdana"/>
          <w:sz w:val="20"/>
          <w:szCs w:val="20"/>
        </w:rPr>
        <w:t>, and</w:t>
      </w:r>
      <w:r w:rsidRPr="00742DA0">
        <w:rPr>
          <w:rFonts w:ascii="Verdana" w:hAnsi="Verdana"/>
          <w:sz w:val="20"/>
          <w:szCs w:val="20"/>
        </w:rPr>
        <w:t xml:space="preserve"> the types of entities that facilitate payments.</w:t>
      </w:r>
    </w:p>
    <w:p w14:paraId="1D62D0F6" w14:textId="77777777" w:rsidR="00742DA0" w:rsidRPr="00447BE9" w:rsidRDefault="00742DA0" w:rsidP="00447BE9">
      <w:pPr>
        <w:spacing w:after="0"/>
        <w:jc w:val="both"/>
        <w:outlineLvl w:val="0"/>
        <w:rPr>
          <w:rFonts w:ascii="Verdana" w:hAnsi="Verdana"/>
          <w:b/>
          <w:sz w:val="20"/>
          <w:szCs w:val="20"/>
        </w:rPr>
      </w:pPr>
      <w:r w:rsidRPr="00447BE9">
        <w:rPr>
          <w:rFonts w:ascii="Verdana" w:hAnsi="Verdana"/>
          <w:b/>
          <w:sz w:val="20"/>
          <w:szCs w:val="20"/>
        </w:rPr>
        <w:t>Supply of information to merchants</w:t>
      </w:r>
    </w:p>
    <w:p w14:paraId="72F72124" w14:textId="77777777" w:rsidR="00742DA0" w:rsidRPr="00742DA0" w:rsidRDefault="00742DA0" w:rsidP="00742DA0">
      <w:pPr>
        <w:jc w:val="both"/>
        <w:outlineLvl w:val="0"/>
        <w:rPr>
          <w:rFonts w:ascii="Verdana" w:hAnsi="Verdana"/>
          <w:sz w:val="20"/>
          <w:szCs w:val="20"/>
        </w:rPr>
      </w:pPr>
      <w:proofErr w:type="spellStart"/>
      <w:r w:rsidRPr="00742DA0">
        <w:rPr>
          <w:rFonts w:ascii="Verdana" w:hAnsi="Verdana"/>
          <w:sz w:val="20"/>
          <w:szCs w:val="20"/>
        </w:rPr>
        <w:t>Cuscal</w:t>
      </w:r>
      <w:proofErr w:type="spellEnd"/>
      <w:r w:rsidRPr="00742DA0">
        <w:rPr>
          <w:rFonts w:ascii="Verdana" w:hAnsi="Verdana"/>
          <w:sz w:val="20"/>
          <w:szCs w:val="20"/>
        </w:rPr>
        <w:t xml:space="preserve"> supports supplying to merchants the cost of acceptance information required in Draft Standard. </w:t>
      </w:r>
    </w:p>
    <w:p w14:paraId="0DBF4FA0" w14:textId="77777777" w:rsidR="00742DA0" w:rsidRPr="00447BE9" w:rsidRDefault="00742DA0" w:rsidP="00447BE9">
      <w:pPr>
        <w:spacing w:after="0"/>
        <w:jc w:val="both"/>
        <w:outlineLvl w:val="0"/>
        <w:rPr>
          <w:rFonts w:ascii="Verdana" w:hAnsi="Verdana"/>
          <w:b/>
          <w:sz w:val="20"/>
          <w:szCs w:val="20"/>
        </w:rPr>
      </w:pPr>
      <w:r w:rsidRPr="00447BE9">
        <w:rPr>
          <w:rFonts w:ascii="Verdana" w:hAnsi="Verdana"/>
          <w:b/>
          <w:sz w:val="20"/>
          <w:szCs w:val="20"/>
        </w:rPr>
        <w:t>Implementation and timing considerations</w:t>
      </w:r>
    </w:p>
    <w:p w14:paraId="7F5E762D" w14:textId="77777777" w:rsidR="00742DA0" w:rsidRPr="00742DA0" w:rsidRDefault="00742DA0" w:rsidP="00742DA0">
      <w:pPr>
        <w:jc w:val="both"/>
        <w:outlineLvl w:val="0"/>
        <w:rPr>
          <w:rFonts w:ascii="Verdana" w:hAnsi="Verdana"/>
          <w:sz w:val="20"/>
          <w:szCs w:val="20"/>
        </w:rPr>
      </w:pPr>
      <w:r w:rsidRPr="00742DA0">
        <w:rPr>
          <w:rFonts w:ascii="Verdana" w:hAnsi="Verdana"/>
          <w:sz w:val="20"/>
          <w:szCs w:val="20"/>
        </w:rPr>
        <w:t xml:space="preserve">Because of the complexity of the draft standard, a guidance note for merchants and acquirers is considered essential by </w:t>
      </w:r>
      <w:proofErr w:type="spellStart"/>
      <w:r w:rsidRPr="00742DA0">
        <w:rPr>
          <w:rFonts w:ascii="Verdana" w:hAnsi="Verdana"/>
          <w:sz w:val="20"/>
          <w:szCs w:val="20"/>
        </w:rPr>
        <w:t>Cuscal</w:t>
      </w:r>
      <w:proofErr w:type="spellEnd"/>
      <w:r w:rsidRPr="00742DA0">
        <w:rPr>
          <w:rFonts w:ascii="Verdana" w:hAnsi="Verdana"/>
          <w:sz w:val="20"/>
          <w:szCs w:val="20"/>
        </w:rPr>
        <w:t>. This guidance note should provide examples of costs covered and how surcharges are to be calculated for the various scenarios described in the draft standard.</w:t>
      </w:r>
    </w:p>
    <w:p w14:paraId="65E8A05F" w14:textId="77777777" w:rsidR="00742DA0" w:rsidRPr="00742DA0" w:rsidRDefault="00742DA0" w:rsidP="00742DA0">
      <w:pPr>
        <w:jc w:val="both"/>
        <w:outlineLvl w:val="0"/>
        <w:rPr>
          <w:rFonts w:ascii="Verdana" w:hAnsi="Verdana"/>
          <w:sz w:val="20"/>
          <w:szCs w:val="20"/>
        </w:rPr>
      </w:pPr>
      <w:r w:rsidRPr="00742DA0">
        <w:rPr>
          <w:rFonts w:ascii="Verdana" w:hAnsi="Verdana"/>
          <w:sz w:val="20"/>
          <w:szCs w:val="20"/>
        </w:rPr>
        <w:t>In setting implementation timeframes, consideration needs to be given to:</w:t>
      </w:r>
    </w:p>
    <w:p w14:paraId="285D3873" w14:textId="77777777" w:rsidR="00742DA0" w:rsidRPr="00742DA0" w:rsidRDefault="00742DA0" w:rsidP="00742DA0">
      <w:pPr>
        <w:pStyle w:val="ListParagraph"/>
        <w:numPr>
          <w:ilvl w:val="0"/>
          <w:numId w:val="36"/>
        </w:numPr>
        <w:jc w:val="both"/>
        <w:outlineLvl w:val="0"/>
        <w:rPr>
          <w:rFonts w:ascii="Verdana" w:hAnsi="Verdana"/>
          <w:sz w:val="20"/>
          <w:szCs w:val="20"/>
        </w:rPr>
      </w:pPr>
      <w:r w:rsidRPr="00742DA0">
        <w:rPr>
          <w:rFonts w:ascii="Verdana" w:hAnsi="Verdana"/>
          <w:sz w:val="20"/>
          <w:szCs w:val="20"/>
        </w:rPr>
        <w:lastRenderedPageBreak/>
        <w:t>Further consultation on the costs and entities in the payments value chain with respect to “</w:t>
      </w:r>
      <w:proofErr w:type="spellStart"/>
      <w:r w:rsidRPr="00742DA0">
        <w:rPr>
          <w:rFonts w:ascii="Verdana" w:hAnsi="Verdana"/>
          <w:sz w:val="20"/>
          <w:szCs w:val="20"/>
        </w:rPr>
        <w:t>surchargeable</w:t>
      </w:r>
      <w:proofErr w:type="spellEnd"/>
      <w:r w:rsidRPr="00742DA0">
        <w:rPr>
          <w:rFonts w:ascii="Verdana" w:hAnsi="Verdana"/>
          <w:sz w:val="20"/>
          <w:szCs w:val="20"/>
        </w:rPr>
        <w:t xml:space="preserve"> costs” as described above;</w:t>
      </w:r>
    </w:p>
    <w:p w14:paraId="1B4B68C0" w14:textId="77777777" w:rsidR="00742DA0" w:rsidRPr="00742DA0" w:rsidRDefault="00742DA0" w:rsidP="00742DA0">
      <w:pPr>
        <w:pStyle w:val="ListParagraph"/>
        <w:numPr>
          <w:ilvl w:val="0"/>
          <w:numId w:val="36"/>
        </w:numPr>
        <w:jc w:val="both"/>
        <w:outlineLvl w:val="0"/>
        <w:rPr>
          <w:rFonts w:ascii="Verdana" w:hAnsi="Verdana"/>
          <w:sz w:val="20"/>
          <w:szCs w:val="20"/>
        </w:rPr>
      </w:pPr>
      <w:r w:rsidRPr="00742DA0">
        <w:rPr>
          <w:rFonts w:ascii="Verdana" w:hAnsi="Verdana"/>
          <w:sz w:val="20"/>
          <w:szCs w:val="20"/>
        </w:rPr>
        <w:t>The time and cost of modifying:</w:t>
      </w:r>
    </w:p>
    <w:p w14:paraId="36FE407A" w14:textId="77777777" w:rsidR="00742DA0" w:rsidRPr="00742DA0" w:rsidRDefault="00742DA0" w:rsidP="00742DA0">
      <w:pPr>
        <w:pStyle w:val="ListParagraph"/>
        <w:numPr>
          <w:ilvl w:val="1"/>
          <w:numId w:val="36"/>
        </w:numPr>
        <w:jc w:val="both"/>
        <w:outlineLvl w:val="0"/>
        <w:rPr>
          <w:rFonts w:ascii="Verdana" w:hAnsi="Verdana"/>
          <w:sz w:val="20"/>
          <w:szCs w:val="20"/>
        </w:rPr>
      </w:pPr>
      <w:r w:rsidRPr="00742DA0">
        <w:rPr>
          <w:rFonts w:ascii="Verdana" w:hAnsi="Verdana"/>
          <w:sz w:val="20"/>
          <w:szCs w:val="20"/>
        </w:rPr>
        <w:t>Merchant statements to provide acceptance costs as a % of card value transactions or as an amount per transaction for Statement Period (less than or equal to 3 months) and annually</w:t>
      </w:r>
    </w:p>
    <w:p w14:paraId="52FC6109" w14:textId="77777777" w:rsidR="00742DA0" w:rsidRPr="00742DA0" w:rsidRDefault="00742DA0" w:rsidP="00742DA0">
      <w:pPr>
        <w:pStyle w:val="ListParagraph"/>
        <w:numPr>
          <w:ilvl w:val="1"/>
          <w:numId w:val="36"/>
        </w:numPr>
        <w:jc w:val="both"/>
        <w:outlineLvl w:val="0"/>
        <w:rPr>
          <w:rFonts w:ascii="Verdana" w:hAnsi="Verdana"/>
          <w:sz w:val="20"/>
          <w:szCs w:val="20"/>
        </w:rPr>
      </w:pPr>
      <w:r w:rsidRPr="00742DA0">
        <w:rPr>
          <w:rFonts w:ascii="Verdana" w:hAnsi="Verdana"/>
          <w:sz w:val="20"/>
          <w:szCs w:val="20"/>
        </w:rPr>
        <w:t xml:space="preserve">Terminal software to cater for differential surcharging </w:t>
      </w:r>
    </w:p>
    <w:p w14:paraId="37237282" w14:textId="77777777" w:rsidR="00742DA0" w:rsidRPr="00742DA0" w:rsidRDefault="00742DA0" w:rsidP="00742DA0">
      <w:pPr>
        <w:pStyle w:val="ListParagraph"/>
        <w:numPr>
          <w:ilvl w:val="0"/>
          <w:numId w:val="36"/>
        </w:numPr>
        <w:jc w:val="both"/>
        <w:outlineLvl w:val="0"/>
        <w:rPr>
          <w:rFonts w:ascii="Verdana" w:hAnsi="Verdana"/>
          <w:sz w:val="20"/>
          <w:szCs w:val="20"/>
        </w:rPr>
      </w:pPr>
      <w:r w:rsidRPr="00742DA0">
        <w:rPr>
          <w:rFonts w:ascii="Verdana" w:hAnsi="Verdana"/>
          <w:sz w:val="20"/>
          <w:szCs w:val="20"/>
        </w:rPr>
        <w:t>The constraint of resources due to allocation of specialist IT resources working on other critical IT projects and;</w:t>
      </w:r>
    </w:p>
    <w:p w14:paraId="65ECAFB4" w14:textId="77777777" w:rsidR="00742DA0" w:rsidRPr="00742DA0" w:rsidRDefault="00742DA0" w:rsidP="00742DA0">
      <w:pPr>
        <w:pStyle w:val="ListParagraph"/>
        <w:numPr>
          <w:ilvl w:val="0"/>
          <w:numId w:val="36"/>
        </w:numPr>
        <w:jc w:val="both"/>
        <w:outlineLvl w:val="0"/>
        <w:rPr>
          <w:rFonts w:ascii="Verdana" w:hAnsi="Verdana"/>
          <w:sz w:val="20"/>
          <w:szCs w:val="20"/>
        </w:rPr>
      </w:pPr>
      <w:r w:rsidRPr="00742DA0">
        <w:rPr>
          <w:rFonts w:ascii="Verdana" w:hAnsi="Verdana"/>
          <w:sz w:val="20"/>
          <w:szCs w:val="20"/>
        </w:rPr>
        <w:t>The development of detailed guidance notes and industry standard merchant communications.</w:t>
      </w:r>
    </w:p>
    <w:p w14:paraId="441D7B5C" w14:textId="77777777" w:rsidR="00742DA0" w:rsidRPr="00742DA0" w:rsidRDefault="00742DA0" w:rsidP="00742DA0">
      <w:pPr>
        <w:jc w:val="both"/>
        <w:outlineLvl w:val="0"/>
        <w:rPr>
          <w:rFonts w:ascii="Verdana" w:hAnsi="Verdana"/>
          <w:sz w:val="20"/>
          <w:szCs w:val="20"/>
        </w:rPr>
      </w:pPr>
      <w:r w:rsidRPr="00742DA0">
        <w:rPr>
          <w:rFonts w:ascii="Verdana" w:hAnsi="Verdana"/>
          <w:sz w:val="20"/>
          <w:szCs w:val="20"/>
        </w:rPr>
        <w:t xml:space="preserve">The comments that </w:t>
      </w:r>
      <w:proofErr w:type="spellStart"/>
      <w:r w:rsidRPr="00742DA0">
        <w:rPr>
          <w:rFonts w:ascii="Verdana" w:hAnsi="Verdana"/>
          <w:sz w:val="20"/>
          <w:szCs w:val="20"/>
        </w:rPr>
        <w:t>Cuscal</w:t>
      </w:r>
      <w:proofErr w:type="spellEnd"/>
      <w:r w:rsidRPr="00742DA0">
        <w:rPr>
          <w:rFonts w:ascii="Verdana" w:hAnsi="Verdana"/>
          <w:sz w:val="20"/>
          <w:szCs w:val="20"/>
        </w:rPr>
        <w:t xml:space="preserve"> made about “non-traditional” acquiring models for the implementation and timing of Benchmark Compliance are equally applicable surcharge regulations.</w:t>
      </w:r>
    </w:p>
    <w:p w14:paraId="3A1252A3" w14:textId="77777777" w:rsidR="00742DA0" w:rsidRPr="000C2ED7" w:rsidRDefault="00742DA0" w:rsidP="000C2ED7">
      <w:pPr>
        <w:spacing w:after="0"/>
        <w:jc w:val="both"/>
        <w:outlineLvl w:val="0"/>
        <w:rPr>
          <w:rFonts w:ascii="Verdana" w:hAnsi="Verdana"/>
          <w:b/>
          <w:sz w:val="20"/>
          <w:szCs w:val="20"/>
        </w:rPr>
      </w:pPr>
      <w:r w:rsidRPr="000C2ED7">
        <w:rPr>
          <w:rFonts w:ascii="Verdana" w:hAnsi="Verdana"/>
          <w:b/>
          <w:sz w:val="20"/>
          <w:szCs w:val="20"/>
        </w:rPr>
        <w:t>Payments to issuers</w:t>
      </w:r>
    </w:p>
    <w:p w14:paraId="6BF9055D" w14:textId="77777777" w:rsidR="00742DA0" w:rsidRPr="00742DA0" w:rsidRDefault="00742DA0" w:rsidP="00742DA0">
      <w:pPr>
        <w:jc w:val="both"/>
        <w:outlineLvl w:val="0"/>
        <w:rPr>
          <w:rFonts w:ascii="Verdana" w:hAnsi="Verdana"/>
          <w:sz w:val="20"/>
          <w:szCs w:val="20"/>
        </w:rPr>
      </w:pPr>
      <w:proofErr w:type="spellStart"/>
      <w:r w:rsidRPr="00742DA0">
        <w:rPr>
          <w:rFonts w:ascii="Verdana" w:hAnsi="Verdana"/>
          <w:sz w:val="20"/>
          <w:szCs w:val="20"/>
        </w:rPr>
        <w:t>Cuscal</w:t>
      </w:r>
      <w:proofErr w:type="spellEnd"/>
      <w:r w:rsidRPr="00742DA0">
        <w:rPr>
          <w:rFonts w:ascii="Verdana" w:hAnsi="Verdana"/>
          <w:sz w:val="20"/>
          <w:szCs w:val="20"/>
        </w:rPr>
        <w:t xml:space="preserve"> understands the RBA’s rationale behind the introduction of a Standard to limit incentive payments to issuers as they could potentially be used as another form of interchange.</w:t>
      </w:r>
    </w:p>
    <w:p w14:paraId="4B4FABEF" w14:textId="77777777" w:rsidR="00742DA0" w:rsidRPr="00742DA0" w:rsidRDefault="00742DA0" w:rsidP="00742DA0">
      <w:pPr>
        <w:jc w:val="both"/>
        <w:outlineLvl w:val="0"/>
        <w:rPr>
          <w:rFonts w:ascii="Verdana" w:hAnsi="Verdana"/>
          <w:sz w:val="20"/>
          <w:szCs w:val="20"/>
          <w:lang w:val="en-US"/>
        </w:rPr>
      </w:pPr>
      <w:r w:rsidRPr="00742DA0">
        <w:rPr>
          <w:rFonts w:ascii="Verdana" w:hAnsi="Verdana"/>
          <w:sz w:val="20"/>
          <w:szCs w:val="20"/>
        </w:rPr>
        <w:t>We also agree companion card issuance and traditional ‘four-party’ card issuance should subject to rules on ‘other net payments’ to Issuers.</w:t>
      </w:r>
    </w:p>
    <w:p w14:paraId="4A83C012" w14:textId="77777777" w:rsidR="00742DA0" w:rsidRPr="000C2ED7" w:rsidRDefault="00742DA0" w:rsidP="00742DA0">
      <w:pPr>
        <w:jc w:val="both"/>
        <w:outlineLvl w:val="0"/>
        <w:rPr>
          <w:rFonts w:ascii="Verdana" w:hAnsi="Verdana"/>
          <w:b/>
          <w:sz w:val="22"/>
          <w:szCs w:val="22"/>
          <w:lang w:val="en-US"/>
        </w:rPr>
      </w:pPr>
      <w:r w:rsidRPr="000C2ED7">
        <w:rPr>
          <w:rFonts w:ascii="Verdana" w:hAnsi="Verdana"/>
          <w:b/>
          <w:sz w:val="22"/>
          <w:szCs w:val="22"/>
          <w:lang w:val="en-US"/>
        </w:rPr>
        <w:t>Other requests for feedback</w:t>
      </w:r>
    </w:p>
    <w:p w14:paraId="3B6C60FC" w14:textId="77777777" w:rsidR="00742DA0" w:rsidRPr="00742DA0" w:rsidRDefault="00742DA0" w:rsidP="000C2ED7">
      <w:pPr>
        <w:spacing w:after="0"/>
        <w:jc w:val="both"/>
        <w:outlineLvl w:val="0"/>
        <w:rPr>
          <w:rFonts w:ascii="Verdana" w:hAnsi="Verdana"/>
          <w:b/>
          <w:sz w:val="20"/>
          <w:szCs w:val="20"/>
        </w:rPr>
      </w:pPr>
      <w:r w:rsidRPr="00742DA0">
        <w:rPr>
          <w:rFonts w:ascii="Verdana" w:hAnsi="Verdana"/>
          <w:b/>
          <w:sz w:val="20"/>
          <w:szCs w:val="20"/>
        </w:rPr>
        <w:t>Feedback on potential inclusion for chargeback costs for insolvency of a third party</w:t>
      </w:r>
    </w:p>
    <w:p w14:paraId="47D17358" w14:textId="77777777" w:rsidR="00742DA0" w:rsidRPr="00742DA0" w:rsidRDefault="00742DA0" w:rsidP="00742DA0">
      <w:pPr>
        <w:jc w:val="both"/>
        <w:outlineLvl w:val="0"/>
        <w:rPr>
          <w:rFonts w:ascii="Verdana" w:hAnsi="Verdana"/>
          <w:sz w:val="20"/>
          <w:szCs w:val="20"/>
        </w:rPr>
      </w:pPr>
      <w:proofErr w:type="spellStart"/>
      <w:r w:rsidRPr="00742DA0">
        <w:rPr>
          <w:rFonts w:ascii="Verdana" w:hAnsi="Verdana"/>
          <w:sz w:val="20"/>
          <w:szCs w:val="20"/>
        </w:rPr>
        <w:t>Cuscal</w:t>
      </w:r>
      <w:proofErr w:type="spellEnd"/>
      <w:r w:rsidRPr="00742DA0">
        <w:rPr>
          <w:rFonts w:ascii="Verdana" w:hAnsi="Verdana"/>
          <w:sz w:val="20"/>
          <w:szCs w:val="20"/>
        </w:rPr>
        <w:t xml:space="preserve"> thinks there is some merit in inclusion of this on a cost/consumer protection basis for surcharging.</w:t>
      </w:r>
    </w:p>
    <w:p w14:paraId="4942E1F7" w14:textId="77777777" w:rsidR="00742DA0" w:rsidRPr="00742DA0" w:rsidRDefault="00742DA0" w:rsidP="000C2ED7">
      <w:pPr>
        <w:spacing w:after="0"/>
        <w:jc w:val="both"/>
        <w:outlineLvl w:val="0"/>
        <w:rPr>
          <w:rFonts w:ascii="Verdana" w:hAnsi="Verdana"/>
          <w:b/>
          <w:sz w:val="20"/>
          <w:szCs w:val="20"/>
        </w:rPr>
      </w:pPr>
      <w:r w:rsidRPr="00742DA0">
        <w:rPr>
          <w:rFonts w:ascii="Verdana" w:hAnsi="Verdana"/>
          <w:b/>
          <w:sz w:val="20"/>
          <w:szCs w:val="20"/>
        </w:rPr>
        <w:t>Feedback on approach to industries operating on a non-standard payment model</w:t>
      </w:r>
    </w:p>
    <w:p w14:paraId="25E3A942" w14:textId="77777777" w:rsidR="00742DA0" w:rsidRPr="00742DA0" w:rsidRDefault="00742DA0" w:rsidP="00742DA0">
      <w:pPr>
        <w:jc w:val="both"/>
        <w:outlineLvl w:val="0"/>
        <w:rPr>
          <w:rFonts w:ascii="Verdana" w:hAnsi="Verdana"/>
          <w:b/>
          <w:sz w:val="20"/>
          <w:szCs w:val="20"/>
        </w:rPr>
      </w:pPr>
      <w:proofErr w:type="spellStart"/>
      <w:r w:rsidRPr="00742DA0">
        <w:rPr>
          <w:rFonts w:ascii="Verdana" w:hAnsi="Verdana"/>
          <w:iCs/>
          <w:sz w:val="20"/>
          <w:szCs w:val="20"/>
        </w:rPr>
        <w:t>Cuscal</w:t>
      </w:r>
      <w:proofErr w:type="spellEnd"/>
      <w:r w:rsidRPr="00742DA0">
        <w:rPr>
          <w:rFonts w:ascii="Verdana" w:hAnsi="Verdana"/>
          <w:iCs/>
          <w:sz w:val="20"/>
          <w:szCs w:val="20"/>
        </w:rPr>
        <w:t xml:space="preserve"> believes that the approach to the taxi industry and whether there are other industries operating on a non-standard payment model should warrant further consideration to ensure regulatory parity between standard and </w:t>
      </w:r>
      <w:proofErr w:type="spellStart"/>
      <w:r w:rsidRPr="00742DA0">
        <w:rPr>
          <w:rFonts w:ascii="Verdana" w:hAnsi="Verdana"/>
          <w:iCs/>
          <w:sz w:val="20"/>
          <w:szCs w:val="20"/>
        </w:rPr>
        <w:t>non standard</w:t>
      </w:r>
      <w:proofErr w:type="spellEnd"/>
      <w:r w:rsidRPr="00742DA0">
        <w:rPr>
          <w:rFonts w:ascii="Verdana" w:hAnsi="Verdana"/>
          <w:iCs/>
          <w:sz w:val="20"/>
          <w:szCs w:val="20"/>
        </w:rPr>
        <w:t xml:space="preserve"> models.</w:t>
      </w:r>
    </w:p>
    <w:p w14:paraId="29E10B5D" w14:textId="77777777" w:rsidR="00742DA0" w:rsidRPr="00742DA0" w:rsidRDefault="00742DA0" w:rsidP="000C2ED7">
      <w:pPr>
        <w:spacing w:after="0"/>
        <w:jc w:val="both"/>
        <w:outlineLvl w:val="0"/>
        <w:rPr>
          <w:rFonts w:ascii="Verdana" w:hAnsi="Verdana"/>
          <w:b/>
          <w:sz w:val="20"/>
          <w:szCs w:val="20"/>
        </w:rPr>
      </w:pPr>
      <w:r w:rsidRPr="00742DA0">
        <w:rPr>
          <w:rFonts w:ascii="Verdana" w:hAnsi="Verdana"/>
          <w:b/>
          <w:sz w:val="20"/>
          <w:szCs w:val="20"/>
        </w:rPr>
        <w:t>RBA discussion with PayPal regarding its no surcharge rule</w:t>
      </w:r>
    </w:p>
    <w:p w14:paraId="397DC614" w14:textId="77777777" w:rsidR="00742DA0" w:rsidRPr="00742DA0" w:rsidRDefault="00742DA0" w:rsidP="00742DA0">
      <w:pPr>
        <w:jc w:val="both"/>
        <w:outlineLvl w:val="0"/>
        <w:rPr>
          <w:rFonts w:ascii="Verdana" w:hAnsi="Verdana"/>
          <w:iCs/>
          <w:sz w:val="20"/>
          <w:szCs w:val="20"/>
        </w:rPr>
      </w:pPr>
      <w:proofErr w:type="spellStart"/>
      <w:r w:rsidRPr="00742DA0">
        <w:rPr>
          <w:rFonts w:ascii="Verdana" w:hAnsi="Verdana"/>
          <w:iCs/>
          <w:sz w:val="20"/>
          <w:szCs w:val="20"/>
        </w:rPr>
        <w:t>Cuscal</w:t>
      </w:r>
      <w:proofErr w:type="spellEnd"/>
      <w:r w:rsidRPr="00742DA0">
        <w:rPr>
          <w:rFonts w:ascii="Verdana" w:hAnsi="Verdana"/>
          <w:iCs/>
          <w:sz w:val="20"/>
          <w:szCs w:val="20"/>
        </w:rPr>
        <w:t xml:space="preserve"> supports the RBA examining PayPal’s no surcharge rule on the grounds of regulatory parity for its online business.</w:t>
      </w:r>
    </w:p>
    <w:p w14:paraId="00BB2238" w14:textId="77777777" w:rsidR="00742DA0" w:rsidRPr="000C2ED7" w:rsidRDefault="00742DA0" w:rsidP="00742DA0">
      <w:pPr>
        <w:jc w:val="both"/>
        <w:outlineLvl w:val="0"/>
        <w:rPr>
          <w:rFonts w:ascii="Verdana" w:hAnsi="Verdana"/>
          <w:b/>
          <w:sz w:val="22"/>
          <w:szCs w:val="22"/>
          <w:lang w:val="en-US"/>
        </w:rPr>
      </w:pPr>
      <w:r w:rsidRPr="000C2ED7">
        <w:rPr>
          <w:rFonts w:ascii="Verdana" w:hAnsi="Verdana"/>
          <w:b/>
          <w:sz w:val="22"/>
          <w:szCs w:val="22"/>
          <w:lang w:val="en-US"/>
        </w:rPr>
        <w:t>Overall conclusions</w:t>
      </w:r>
    </w:p>
    <w:p w14:paraId="261C7FD5" w14:textId="77777777" w:rsidR="00742DA0" w:rsidRPr="00742DA0" w:rsidRDefault="00742DA0" w:rsidP="00742DA0">
      <w:pPr>
        <w:jc w:val="both"/>
        <w:outlineLvl w:val="0"/>
        <w:rPr>
          <w:rFonts w:ascii="Verdana" w:hAnsi="Verdana"/>
          <w:iCs/>
          <w:sz w:val="20"/>
          <w:szCs w:val="20"/>
        </w:rPr>
      </w:pPr>
      <w:r w:rsidRPr="00742DA0">
        <w:rPr>
          <w:rFonts w:ascii="Verdana" w:hAnsi="Verdana"/>
          <w:iCs/>
          <w:sz w:val="20"/>
          <w:szCs w:val="20"/>
        </w:rPr>
        <w:t xml:space="preserve">While </w:t>
      </w:r>
      <w:proofErr w:type="spellStart"/>
      <w:r w:rsidRPr="00742DA0">
        <w:rPr>
          <w:rFonts w:ascii="Verdana" w:hAnsi="Verdana"/>
          <w:iCs/>
          <w:sz w:val="20"/>
          <w:szCs w:val="20"/>
        </w:rPr>
        <w:t>Cuscal</w:t>
      </w:r>
      <w:proofErr w:type="spellEnd"/>
      <w:r w:rsidRPr="00742DA0">
        <w:rPr>
          <w:rFonts w:ascii="Verdana" w:hAnsi="Verdana"/>
          <w:iCs/>
          <w:sz w:val="20"/>
          <w:szCs w:val="20"/>
        </w:rPr>
        <w:t xml:space="preserve"> is generally supportive of the broad thrust of most the proposed draft standards we:</w:t>
      </w:r>
    </w:p>
    <w:p w14:paraId="2E60DEC8" w14:textId="77777777" w:rsidR="00742DA0" w:rsidRPr="00742DA0" w:rsidRDefault="00742DA0" w:rsidP="00742DA0">
      <w:pPr>
        <w:pStyle w:val="ListParagraph"/>
        <w:numPr>
          <w:ilvl w:val="0"/>
          <w:numId w:val="38"/>
        </w:numPr>
        <w:jc w:val="both"/>
        <w:outlineLvl w:val="0"/>
        <w:rPr>
          <w:rFonts w:ascii="Verdana" w:hAnsi="Verdana"/>
          <w:iCs/>
          <w:sz w:val="20"/>
          <w:szCs w:val="20"/>
        </w:rPr>
      </w:pPr>
      <w:r w:rsidRPr="00742DA0">
        <w:rPr>
          <w:rFonts w:ascii="Verdana" w:hAnsi="Verdana"/>
          <w:iCs/>
          <w:sz w:val="20"/>
          <w:szCs w:val="20"/>
        </w:rPr>
        <w:t xml:space="preserve">Do not believe the RBA has made a sufficient case to reduce debit/prepaid card interchange;  </w:t>
      </w:r>
    </w:p>
    <w:p w14:paraId="554F59D0" w14:textId="77777777" w:rsidR="00742DA0" w:rsidRPr="00742DA0" w:rsidRDefault="00742DA0" w:rsidP="00742DA0">
      <w:pPr>
        <w:pStyle w:val="ListParagraph"/>
        <w:numPr>
          <w:ilvl w:val="0"/>
          <w:numId w:val="38"/>
        </w:numPr>
        <w:jc w:val="both"/>
        <w:outlineLvl w:val="0"/>
        <w:rPr>
          <w:rFonts w:ascii="Verdana" w:hAnsi="Verdana"/>
          <w:iCs/>
          <w:sz w:val="20"/>
          <w:szCs w:val="20"/>
        </w:rPr>
      </w:pPr>
      <w:r w:rsidRPr="00742DA0">
        <w:rPr>
          <w:rFonts w:ascii="Verdana" w:hAnsi="Verdana"/>
          <w:iCs/>
          <w:sz w:val="20"/>
          <w:szCs w:val="20"/>
        </w:rPr>
        <w:t>Think that an annual reset of the weighted-average is more practical than the proposed quarterly reset; and</w:t>
      </w:r>
    </w:p>
    <w:p w14:paraId="603556C4" w14:textId="77777777" w:rsidR="00742DA0" w:rsidRPr="00742DA0" w:rsidRDefault="00742DA0" w:rsidP="00742DA0">
      <w:pPr>
        <w:pStyle w:val="ListParagraph"/>
        <w:numPr>
          <w:ilvl w:val="0"/>
          <w:numId w:val="38"/>
        </w:numPr>
        <w:jc w:val="both"/>
        <w:outlineLvl w:val="0"/>
        <w:rPr>
          <w:rFonts w:ascii="Verdana" w:hAnsi="Verdana"/>
          <w:iCs/>
          <w:sz w:val="20"/>
          <w:szCs w:val="20"/>
        </w:rPr>
      </w:pPr>
      <w:r w:rsidRPr="00742DA0">
        <w:rPr>
          <w:rFonts w:ascii="Verdana" w:hAnsi="Verdana"/>
          <w:iCs/>
          <w:sz w:val="20"/>
          <w:szCs w:val="20"/>
        </w:rPr>
        <w:t>Do not believe that foreign card interchange should be included in the average-weighted interchange cap. We think a better approach to avoid foreign cards issued by domestic corporations would be to re-inforce scheme rules.</w:t>
      </w:r>
    </w:p>
    <w:p w14:paraId="794E8965" w14:textId="77777777" w:rsidR="00742DA0" w:rsidRPr="00742DA0" w:rsidRDefault="00742DA0" w:rsidP="00742DA0">
      <w:pPr>
        <w:jc w:val="both"/>
        <w:outlineLvl w:val="0"/>
        <w:rPr>
          <w:rFonts w:ascii="Verdana" w:hAnsi="Verdana"/>
          <w:iCs/>
          <w:sz w:val="20"/>
          <w:szCs w:val="20"/>
        </w:rPr>
      </w:pPr>
      <w:r w:rsidRPr="00742DA0">
        <w:rPr>
          <w:rFonts w:ascii="Verdana" w:hAnsi="Verdana"/>
          <w:iCs/>
          <w:sz w:val="20"/>
          <w:szCs w:val="20"/>
        </w:rPr>
        <w:lastRenderedPageBreak/>
        <w:t>We are concerned about the limited time we have had to respond to the consultation document, which has been exacerbated by the absence of key staff over the Christmas break. We suspect that this may be an issue with other stakeholders as well.</w:t>
      </w:r>
    </w:p>
    <w:p w14:paraId="54F9F2FB" w14:textId="77777777" w:rsidR="00742DA0" w:rsidRPr="00742DA0" w:rsidRDefault="00742DA0" w:rsidP="00742DA0">
      <w:pPr>
        <w:jc w:val="both"/>
        <w:outlineLvl w:val="0"/>
        <w:rPr>
          <w:rFonts w:ascii="Verdana" w:hAnsi="Verdana"/>
          <w:iCs/>
          <w:sz w:val="20"/>
          <w:szCs w:val="20"/>
        </w:rPr>
      </w:pPr>
      <w:r w:rsidRPr="00742DA0">
        <w:rPr>
          <w:rFonts w:ascii="Verdana" w:hAnsi="Verdana"/>
          <w:iCs/>
          <w:sz w:val="20"/>
          <w:szCs w:val="20"/>
        </w:rPr>
        <w:t>As a result of this, the depth and detail of the reforms and the need to establish realistic implementation timeframes, we believe that an industry working group should be set up to:</w:t>
      </w:r>
    </w:p>
    <w:p w14:paraId="13EB7ACD" w14:textId="77777777" w:rsidR="00742DA0" w:rsidRPr="00742DA0" w:rsidRDefault="00742DA0" w:rsidP="00742DA0">
      <w:pPr>
        <w:pStyle w:val="ListParagraph"/>
        <w:numPr>
          <w:ilvl w:val="0"/>
          <w:numId w:val="37"/>
        </w:numPr>
        <w:jc w:val="both"/>
        <w:outlineLvl w:val="0"/>
        <w:rPr>
          <w:rFonts w:ascii="Verdana" w:hAnsi="Verdana"/>
          <w:iCs/>
          <w:sz w:val="20"/>
          <w:szCs w:val="20"/>
        </w:rPr>
      </w:pPr>
      <w:r w:rsidRPr="00742DA0">
        <w:rPr>
          <w:rFonts w:ascii="Verdana" w:hAnsi="Verdana"/>
          <w:iCs/>
          <w:sz w:val="20"/>
          <w:szCs w:val="20"/>
        </w:rPr>
        <w:t>Establish weighted-average interchange benchmark compliance frequency and compliance periods that can be practically implemented;</w:t>
      </w:r>
    </w:p>
    <w:p w14:paraId="4BD2C85D" w14:textId="77777777" w:rsidR="00742DA0" w:rsidRPr="00742DA0" w:rsidRDefault="00742DA0" w:rsidP="00742DA0">
      <w:pPr>
        <w:pStyle w:val="ListParagraph"/>
        <w:numPr>
          <w:ilvl w:val="0"/>
          <w:numId w:val="37"/>
        </w:numPr>
        <w:jc w:val="both"/>
        <w:outlineLvl w:val="0"/>
        <w:rPr>
          <w:rFonts w:ascii="Verdana" w:hAnsi="Verdana"/>
          <w:iCs/>
          <w:sz w:val="20"/>
          <w:szCs w:val="20"/>
        </w:rPr>
      </w:pPr>
      <w:r w:rsidRPr="00742DA0">
        <w:rPr>
          <w:rFonts w:ascii="Verdana" w:hAnsi="Verdana"/>
          <w:iCs/>
          <w:sz w:val="20"/>
          <w:szCs w:val="20"/>
        </w:rPr>
        <w:t>Review process and industry entities within the payments value chain whose costs should be considered ‘</w:t>
      </w:r>
      <w:proofErr w:type="spellStart"/>
      <w:r w:rsidRPr="00742DA0">
        <w:rPr>
          <w:rFonts w:ascii="Verdana" w:hAnsi="Verdana"/>
          <w:iCs/>
          <w:sz w:val="20"/>
          <w:szCs w:val="20"/>
        </w:rPr>
        <w:t>surchargeable</w:t>
      </w:r>
      <w:proofErr w:type="spellEnd"/>
      <w:r w:rsidRPr="00742DA0">
        <w:rPr>
          <w:rFonts w:ascii="Verdana" w:hAnsi="Verdana"/>
          <w:iCs/>
          <w:sz w:val="20"/>
          <w:szCs w:val="20"/>
        </w:rPr>
        <w:t>’;</w:t>
      </w:r>
    </w:p>
    <w:p w14:paraId="705D72F8" w14:textId="77777777" w:rsidR="00742DA0" w:rsidRPr="00742DA0" w:rsidRDefault="00742DA0" w:rsidP="00742DA0">
      <w:pPr>
        <w:pStyle w:val="ListParagraph"/>
        <w:numPr>
          <w:ilvl w:val="0"/>
          <w:numId w:val="37"/>
        </w:numPr>
        <w:jc w:val="both"/>
        <w:outlineLvl w:val="0"/>
        <w:rPr>
          <w:rFonts w:ascii="Verdana" w:hAnsi="Verdana"/>
          <w:iCs/>
          <w:sz w:val="20"/>
          <w:szCs w:val="20"/>
        </w:rPr>
      </w:pPr>
      <w:r w:rsidRPr="00742DA0">
        <w:rPr>
          <w:rFonts w:ascii="Verdana" w:hAnsi="Verdana"/>
          <w:iCs/>
          <w:sz w:val="20"/>
          <w:szCs w:val="20"/>
        </w:rPr>
        <w:t xml:space="preserve">Establish a realistic implementation timeframe for surcharging reform; </w:t>
      </w:r>
    </w:p>
    <w:p w14:paraId="4C109678" w14:textId="77777777" w:rsidR="00742DA0" w:rsidRPr="00742DA0" w:rsidRDefault="00742DA0" w:rsidP="00742DA0">
      <w:pPr>
        <w:jc w:val="both"/>
        <w:outlineLvl w:val="0"/>
        <w:rPr>
          <w:rFonts w:ascii="Verdana" w:hAnsi="Verdana"/>
          <w:iCs/>
          <w:sz w:val="20"/>
          <w:szCs w:val="20"/>
        </w:rPr>
      </w:pPr>
      <w:r w:rsidRPr="00742DA0">
        <w:rPr>
          <w:rFonts w:ascii="Verdana" w:hAnsi="Verdana"/>
          <w:iCs/>
          <w:sz w:val="20"/>
          <w:szCs w:val="20"/>
        </w:rPr>
        <w:t xml:space="preserve">We are also concerned about potential unintended consequences due to the scope and scale of proposed reform and would request that the RBA address them urgently should they occur. </w:t>
      </w:r>
    </w:p>
    <w:p w14:paraId="359F5304" w14:textId="5FA26F9E" w:rsidR="002D2A39" w:rsidRDefault="00D12D15" w:rsidP="000C2ED7">
      <w:pPr>
        <w:widowControl w:val="0"/>
        <w:autoSpaceDE w:val="0"/>
        <w:autoSpaceDN w:val="0"/>
        <w:adjustRightInd w:val="0"/>
        <w:spacing w:after="0"/>
        <w:rPr>
          <w:rFonts w:ascii="Verdana" w:hAnsi="Verdana" w:cs="Arial"/>
          <w:b/>
          <w:bCs/>
          <w:sz w:val="20"/>
          <w:szCs w:val="20"/>
          <w:lang w:val="en-US"/>
        </w:rPr>
      </w:pPr>
      <w:r w:rsidRPr="00742DA0">
        <w:rPr>
          <w:rFonts w:ascii="Verdana" w:hAnsi="Verdana" w:cs="Arial"/>
          <w:bCs/>
          <w:sz w:val="20"/>
          <w:szCs w:val="20"/>
          <w:lang w:val="en-US"/>
        </w:rPr>
        <w:t>Yours</w:t>
      </w:r>
      <w:r w:rsidR="000C2ED7">
        <w:rPr>
          <w:rFonts w:ascii="Verdana" w:hAnsi="Verdana" w:cs="Arial"/>
          <w:bCs/>
          <w:sz w:val="20"/>
          <w:szCs w:val="20"/>
          <w:lang w:val="en-US"/>
        </w:rPr>
        <w:t xml:space="preserve"> </w:t>
      </w:r>
      <w:r w:rsidRPr="00742DA0">
        <w:rPr>
          <w:rFonts w:ascii="Verdana" w:hAnsi="Verdana" w:cs="Arial"/>
          <w:bCs/>
          <w:sz w:val="20"/>
          <w:szCs w:val="20"/>
          <w:lang w:val="en-US"/>
        </w:rPr>
        <w:t>sincerely</w:t>
      </w:r>
      <w:r w:rsidR="004B42A5" w:rsidRPr="00742DA0">
        <w:rPr>
          <w:rFonts w:ascii="Verdana" w:hAnsi="Verdana" w:cs="Arial"/>
          <w:bCs/>
          <w:sz w:val="20"/>
          <w:szCs w:val="20"/>
          <w:lang w:val="en-US"/>
        </w:rPr>
        <w:t>,</w:t>
      </w:r>
      <w:r w:rsidR="00877A7B" w:rsidRPr="00FC3CEF">
        <w:rPr>
          <w:rFonts w:ascii="Verdana" w:hAnsi="Verdana" w:cs="Arial"/>
          <w:bCs/>
          <w:sz w:val="20"/>
          <w:szCs w:val="20"/>
          <w:lang w:val="en-US"/>
        </w:rPr>
        <w:br/>
      </w:r>
    </w:p>
    <w:p w14:paraId="55C6BD1B" w14:textId="44519145" w:rsidR="009D2D89" w:rsidRDefault="009D2D89" w:rsidP="000C2ED7">
      <w:pPr>
        <w:widowControl w:val="0"/>
        <w:autoSpaceDE w:val="0"/>
        <w:autoSpaceDN w:val="0"/>
        <w:adjustRightInd w:val="0"/>
        <w:spacing w:after="0"/>
        <w:rPr>
          <w:rFonts w:ascii="Verdana" w:hAnsi="Verdana" w:cs="Arial"/>
          <w:b/>
          <w:bCs/>
          <w:sz w:val="20"/>
          <w:szCs w:val="20"/>
          <w:lang w:val="en-US"/>
        </w:rPr>
      </w:pPr>
      <w:r>
        <w:rPr>
          <w:rFonts w:ascii="Verdana" w:hAnsi="Verdana" w:cs="Arial"/>
          <w:b/>
          <w:bCs/>
          <w:sz w:val="20"/>
          <w:szCs w:val="20"/>
          <w:lang w:val="en-US"/>
        </w:rPr>
        <w:t>[</w:t>
      </w:r>
      <w:proofErr w:type="gramStart"/>
      <w:r>
        <w:rPr>
          <w:rFonts w:ascii="Verdana" w:hAnsi="Verdana" w:cs="Arial"/>
          <w:b/>
          <w:bCs/>
          <w:sz w:val="20"/>
          <w:szCs w:val="20"/>
          <w:lang w:val="en-US"/>
        </w:rPr>
        <w:t>signed</w:t>
      </w:r>
      <w:proofErr w:type="gramEnd"/>
      <w:r>
        <w:rPr>
          <w:rFonts w:ascii="Verdana" w:hAnsi="Verdana" w:cs="Arial"/>
          <w:b/>
          <w:bCs/>
          <w:sz w:val="20"/>
          <w:szCs w:val="20"/>
          <w:lang w:val="en-US"/>
        </w:rPr>
        <w:t>]</w:t>
      </w:r>
    </w:p>
    <w:p w14:paraId="3F73BA81" w14:textId="77777777" w:rsidR="009D2D89" w:rsidRPr="00FC3CEF" w:rsidRDefault="009D2D89" w:rsidP="000C2ED7">
      <w:pPr>
        <w:widowControl w:val="0"/>
        <w:autoSpaceDE w:val="0"/>
        <w:autoSpaceDN w:val="0"/>
        <w:adjustRightInd w:val="0"/>
        <w:spacing w:after="0"/>
        <w:rPr>
          <w:rFonts w:ascii="Verdana" w:hAnsi="Verdana" w:cs="Arial"/>
          <w:b/>
          <w:bCs/>
          <w:sz w:val="20"/>
          <w:szCs w:val="20"/>
          <w:lang w:val="en-US"/>
        </w:rPr>
      </w:pPr>
    </w:p>
    <w:p w14:paraId="3C407F3E" w14:textId="77777777" w:rsidR="00D12D15" w:rsidRPr="00FC3CEF" w:rsidRDefault="00D12D15" w:rsidP="00FC3CEF">
      <w:pPr>
        <w:widowControl w:val="0"/>
        <w:autoSpaceDE w:val="0"/>
        <w:autoSpaceDN w:val="0"/>
        <w:adjustRightInd w:val="0"/>
        <w:spacing w:after="0"/>
        <w:rPr>
          <w:rFonts w:ascii="Verdana" w:hAnsi="Verdana" w:cs="Arial"/>
          <w:bCs/>
          <w:sz w:val="20"/>
          <w:szCs w:val="20"/>
          <w:lang w:val="en-US"/>
        </w:rPr>
      </w:pPr>
      <w:r w:rsidRPr="00FC3CEF">
        <w:rPr>
          <w:rFonts w:ascii="Verdana" w:hAnsi="Verdana" w:cs="Arial"/>
          <w:b/>
          <w:bCs/>
          <w:sz w:val="20"/>
          <w:szCs w:val="20"/>
          <w:lang w:val="en-US"/>
        </w:rPr>
        <w:t>ADRIAN LOVNEY</w:t>
      </w:r>
    </w:p>
    <w:p w14:paraId="115E4F9C" w14:textId="77777777" w:rsidR="00D2033A" w:rsidRPr="00FC3CEF" w:rsidRDefault="00D12D15" w:rsidP="00FC3CEF">
      <w:pPr>
        <w:tabs>
          <w:tab w:val="left" w:pos="5801"/>
        </w:tabs>
        <w:spacing w:after="0"/>
        <w:rPr>
          <w:rFonts w:ascii="Verdana" w:hAnsi="Verdana"/>
          <w:sz w:val="20"/>
          <w:szCs w:val="20"/>
        </w:rPr>
      </w:pPr>
      <w:r w:rsidRPr="00FC3CEF">
        <w:rPr>
          <w:rFonts w:ascii="Verdana" w:hAnsi="Verdana" w:cs="Arial"/>
          <w:b/>
          <w:bCs/>
          <w:sz w:val="20"/>
          <w:szCs w:val="20"/>
          <w:lang w:val="en-US"/>
        </w:rPr>
        <w:t>General Manager, Product &amp; Service</w:t>
      </w:r>
    </w:p>
    <w:sectPr w:rsidR="00D2033A" w:rsidRPr="00FC3CEF" w:rsidSect="00024DC5">
      <w:headerReference w:type="even" r:id="rId9"/>
      <w:headerReference w:type="default" r:id="rId10"/>
      <w:footerReference w:type="even" r:id="rId11"/>
      <w:footerReference w:type="default" r:id="rId12"/>
      <w:headerReference w:type="first" r:id="rId13"/>
      <w:footerReference w:type="first" r:id="rId14"/>
      <w:pgSz w:w="11907" w:h="16840" w:code="9"/>
      <w:pgMar w:top="2268" w:right="1417" w:bottom="1418" w:left="1440" w:header="851" w:footer="902"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65660FB" w14:textId="77777777" w:rsidR="002A2015" w:rsidRDefault="002A2015">
      <w:r>
        <w:separator/>
      </w:r>
    </w:p>
  </w:endnote>
  <w:endnote w:type="continuationSeparator" w:id="0">
    <w:p w14:paraId="2B1717D3" w14:textId="77777777" w:rsidR="002A2015" w:rsidRDefault="002A201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5C099F" w14:textId="77777777" w:rsidR="005C21CA" w:rsidRDefault="005C21CA">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71438796"/>
      <w:docPartObj>
        <w:docPartGallery w:val="Page Numbers (Bottom of Page)"/>
        <w:docPartUnique/>
      </w:docPartObj>
    </w:sdtPr>
    <w:sdtEndPr/>
    <w:sdtContent>
      <w:sdt>
        <w:sdtPr>
          <w:id w:val="-1769616900"/>
          <w:docPartObj>
            <w:docPartGallery w:val="Page Numbers (Top of Page)"/>
            <w:docPartUnique/>
          </w:docPartObj>
        </w:sdtPr>
        <w:sdtEndPr/>
        <w:sdtContent>
          <w:p w14:paraId="360C4B0A" w14:textId="062FC70D" w:rsidR="002F0F12" w:rsidRDefault="002F0F12">
            <w:pPr>
              <w:pStyle w:val="Footer"/>
              <w:jc w:val="right"/>
            </w:pPr>
            <w:r w:rsidRPr="007607B5">
              <w:rPr>
                <w:rFonts w:ascii="Verdana" w:hAnsi="Verdana"/>
              </w:rPr>
              <w:t xml:space="preserve">Page </w:t>
            </w:r>
            <w:r w:rsidRPr="007607B5">
              <w:rPr>
                <w:rFonts w:ascii="Verdana" w:hAnsi="Verdana"/>
                <w:b/>
                <w:bCs/>
                <w:sz w:val="24"/>
              </w:rPr>
              <w:fldChar w:fldCharType="begin"/>
            </w:r>
            <w:r w:rsidRPr="007607B5">
              <w:rPr>
                <w:rFonts w:ascii="Verdana" w:hAnsi="Verdana"/>
                <w:b/>
                <w:bCs/>
              </w:rPr>
              <w:instrText xml:space="preserve"> PAGE </w:instrText>
            </w:r>
            <w:r w:rsidRPr="007607B5">
              <w:rPr>
                <w:rFonts w:ascii="Verdana" w:hAnsi="Verdana"/>
                <w:b/>
                <w:bCs/>
                <w:sz w:val="24"/>
              </w:rPr>
              <w:fldChar w:fldCharType="separate"/>
            </w:r>
            <w:r w:rsidR="005C21CA">
              <w:rPr>
                <w:rFonts w:ascii="Verdana" w:hAnsi="Verdana"/>
                <w:b/>
                <w:bCs/>
                <w:noProof/>
              </w:rPr>
              <w:t>6</w:t>
            </w:r>
            <w:r w:rsidRPr="007607B5">
              <w:rPr>
                <w:rFonts w:ascii="Verdana" w:hAnsi="Verdana"/>
                <w:b/>
                <w:bCs/>
                <w:sz w:val="24"/>
              </w:rPr>
              <w:fldChar w:fldCharType="end"/>
            </w:r>
            <w:r w:rsidRPr="007607B5">
              <w:rPr>
                <w:rFonts w:ascii="Verdana" w:hAnsi="Verdana"/>
              </w:rPr>
              <w:t xml:space="preserve"> of </w:t>
            </w:r>
            <w:r w:rsidRPr="007607B5">
              <w:rPr>
                <w:rFonts w:ascii="Verdana" w:hAnsi="Verdana"/>
                <w:b/>
                <w:bCs/>
                <w:sz w:val="24"/>
              </w:rPr>
              <w:fldChar w:fldCharType="begin"/>
            </w:r>
            <w:r w:rsidRPr="007607B5">
              <w:rPr>
                <w:rFonts w:ascii="Verdana" w:hAnsi="Verdana"/>
                <w:b/>
                <w:bCs/>
              </w:rPr>
              <w:instrText xml:space="preserve"> NUMPAGES  </w:instrText>
            </w:r>
            <w:r w:rsidRPr="007607B5">
              <w:rPr>
                <w:rFonts w:ascii="Verdana" w:hAnsi="Verdana"/>
                <w:b/>
                <w:bCs/>
                <w:sz w:val="24"/>
              </w:rPr>
              <w:fldChar w:fldCharType="separate"/>
            </w:r>
            <w:r w:rsidR="005C21CA">
              <w:rPr>
                <w:rFonts w:ascii="Verdana" w:hAnsi="Verdana"/>
                <w:b/>
                <w:bCs/>
                <w:noProof/>
              </w:rPr>
              <w:t>6</w:t>
            </w:r>
            <w:r w:rsidRPr="007607B5">
              <w:rPr>
                <w:rFonts w:ascii="Verdana" w:hAnsi="Verdana"/>
                <w:b/>
                <w:bCs/>
                <w:sz w:val="24"/>
              </w:rPr>
              <w:fldChar w:fldCharType="end"/>
            </w:r>
          </w:p>
        </w:sdtContent>
      </w:sdt>
    </w:sdtContent>
  </w:sdt>
  <w:p w14:paraId="636CD028" w14:textId="77777777" w:rsidR="00760CAB" w:rsidRDefault="00760CAB">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7A00D0" w14:textId="77777777" w:rsidR="00760CAB" w:rsidRDefault="00C6141C">
    <w:pPr>
      <w:pStyle w:val="Footer"/>
    </w:pPr>
    <w:r>
      <w:rPr>
        <w:noProof/>
        <w:lang w:eastAsia="en-AU"/>
      </w:rPr>
      <mc:AlternateContent>
        <mc:Choice Requires="wps">
          <w:drawing>
            <wp:anchor distT="0" distB="0" distL="114300" distR="114300" simplePos="0" relativeHeight="251659264" behindDoc="0" locked="1" layoutInCell="1" allowOverlap="0" wp14:anchorId="2A25C8B5" wp14:editId="06919AB4">
              <wp:simplePos x="0" y="0"/>
              <wp:positionH relativeFrom="page">
                <wp:posOffset>901065</wp:posOffset>
              </wp:positionH>
              <wp:positionV relativeFrom="page">
                <wp:posOffset>10029825</wp:posOffset>
              </wp:positionV>
              <wp:extent cx="6498590" cy="394335"/>
              <wp:effectExtent l="0" t="0" r="16510" b="5715"/>
              <wp:wrapNone/>
              <wp:docPr id="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8590" cy="394335"/>
                      </a:xfrm>
                      <a:prstGeom prst="rect">
                        <a:avLst/>
                      </a:prstGeom>
                      <a:noFill/>
                      <a:ln>
                        <a:noFill/>
                      </a:ln>
                      <a:extLst/>
                    </wps:spPr>
                    <wps:txbx>
                      <w:txbxContent>
                        <w:p w14:paraId="14F19B3D" w14:textId="77777777" w:rsidR="00760CAB" w:rsidRPr="00DF1163" w:rsidRDefault="005C21CA" w:rsidP="00DF1163">
                          <w:pPr>
                            <w:pStyle w:val="Footer"/>
                            <w:spacing w:after="120"/>
                            <w:rPr>
                              <w:rStyle w:val="Hyperlink"/>
                              <w:b/>
                              <w:bCs/>
                              <w:color w:val="auto"/>
                              <w:sz w:val="16"/>
                              <w:szCs w:val="16"/>
                              <w:u w:val="none"/>
                            </w:rPr>
                          </w:pPr>
                          <w:hyperlink r:id="rId1" w:history="1">
                            <w:r w:rsidR="00760CAB" w:rsidRPr="00DF1163">
                              <w:rPr>
                                <w:rStyle w:val="Hyperlink"/>
                                <w:b/>
                                <w:bCs/>
                                <w:color w:val="auto"/>
                                <w:sz w:val="16"/>
                                <w:szCs w:val="16"/>
                                <w:u w:val="none"/>
                              </w:rPr>
                              <w:t>cuscal.com.au</w:t>
                            </w:r>
                          </w:hyperlink>
                        </w:p>
                        <w:p w14:paraId="13DD254A" w14:textId="77777777" w:rsidR="00760CAB" w:rsidRPr="00DF1163" w:rsidRDefault="00760CAB" w:rsidP="00DF1163">
                          <w:pPr>
                            <w:pStyle w:val="Footer"/>
                            <w:spacing w:after="120"/>
                            <w:rPr>
                              <w:rFonts w:ascii="Verdana" w:hAnsi="Verdana"/>
                              <w:b/>
                              <w:bCs/>
                              <w:sz w:val="16"/>
                              <w:szCs w:val="16"/>
                            </w:rPr>
                          </w:pPr>
                          <w:proofErr w:type="spellStart"/>
                          <w:r w:rsidRPr="00DF1163">
                            <w:rPr>
                              <w:rStyle w:val="Hyperlink"/>
                              <w:bCs/>
                              <w:color w:val="auto"/>
                              <w:sz w:val="16"/>
                              <w:szCs w:val="16"/>
                              <w:u w:val="none"/>
                            </w:rPr>
                            <w:t>C</w:t>
                          </w:r>
                          <w:r w:rsidRPr="00DF1163">
                            <w:rPr>
                              <w:sz w:val="16"/>
                              <w:szCs w:val="16"/>
                            </w:rPr>
                            <w:t>uscal</w:t>
                          </w:r>
                          <w:proofErr w:type="spellEnd"/>
                          <w:r w:rsidRPr="00DF1163">
                            <w:rPr>
                              <w:sz w:val="16"/>
                              <w:szCs w:val="16"/>
                            </w:rPr>
                            <w:t xml:space="preserve"> Limited ABN 95 087 822 455 AFSL 244116   </w:t>
                          </w:r>
                        </w:p>
                        <w:p w14:paraId="25EC4F37" w14:textId="77777777" w:rsidR="00760CAB" w:rsidRPr="00DF1163" w:rsidRDefault="00760CAB">
                          <w:pPr>
                            <w:rPr>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2A25C8B5" id="_x0000_t202" coordsize="21600,21600" o:spt="202" path="m,l,21600r21600,l21600,xe">
              <v:stroke joinstyle="miter"/>
              <v:path gradientshapeok="t" o:connecttype="rect"/>
            </v:shapetype>
            <v:shape id="Text Box 21" o:spid="_x0000_s1027" type="#_x0000_t202" style="position:absolute;margin-left:70.95pt;margin-top:789.75pt;width:511.7pt;height:31.0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" o:allowoverlap="f" filled="f" stroked="f">
              <v:textbox inset="0,0,0,0">
                <w:txbxContent>
                  <w:p w14:paraId="14F19B3D" w14:textId="77777777" w:rsidR="00760CAB" w:rsidRPr="00DF1163" w:rsidRDefault="00F5652B" w:rsidP="00DF1163">
                    <w:pPr>
                      <w:pStyle w:val="Footer"/>
                      <w:spacing w:after="120"/>
                      <w:rPr>
                        <w:rStyle w:val="Hyperlink"/>
                        <w:b/>
                        <w:bCs/>
                        <w:color w:val="auto"/>
                        <w:sz w:val="16"/>
                        <w:szCs w:val="16"/>
                        <w:u w:val="none"/>
                      </w:rPr>
                    </w:pPr>
                    <w:hyperlink r:id="rId2" w:history="1">
                      <w:r w:rsidR="00760CAB" w:rsidRPr="00DF1163">
                        <w:rPr>
                          <w:rStyle w:val="Hyperlink"/>
                          <w:b/>
                          <w:bCs/>
                          <w:color w:val="auto"/>
                          <w:sz w:val="16"/>
                          <w:szCs w:val="16"/>
                          <w:u w:val="none"/>
                        </w:rPr>
                        <w:t>cuscal.com.au</w:t>
                      </w:r>
                    </w:hyperlink>
                  </w:p>
                  <w:p w14:paraId="13DD254A" w14:textId="77777777" w:rsidR="00760CAB" w:rsidRPr="00DF1163" w:rsidRDefault="00760CAB" w:rsidP="00DF1163">
                    <w:pPr>
                      <w:pStyle w:val="Footer"/>
                      <w:spacing w:after="120"/>
                      <w:rPr>
                        <w:rFonts w:ascii="Verdana" w:hAnsi="Verdana"/>
                        <w:b/>
                        <w:bCs/>
                        <w:sz w:val="16"/>
                        <w:szCs w:val="16"/>
                      </w:rPr>
                    </w:pPr>
                    <w:r w:rsidRPr="00DF1163">
                      <w:rPr>
                        <w:rStyle w:val="Hyperlink"/>
                        <w:bCs/>
                        <w:color w:val="auto"/>
                        <w:sz w:val="16"/>
                        <w:szCs w:val="16"/>
                        <w:u w:val="none"/>
                      </w:rPr>
                      <w:t>C</w:t>
                    </w:r>
                    <w:r w:rsidRPr="00DF1163">
                      <w:rPr>
                        <w:sz w:val="16"/>
                        <w:szCs w:val="16"/>
                      </w:rPr>
                      <w:t xml:space="preserve">uscal Limited ABN 95 087 822 455 AFSL 244116   </w:t>
                    </w:r>
                  </w:p>
                  <w:p w14:paraId="25EC4F37" w14:textId="77777777" w:rsidR="00760CAB" w:rsidRPr="00DF1163" w:rsidRDefault="00760CAB">
                    <w:pPr>
                      <w:rPr>
                        <w:sz w:val="16"/>
                        <w:szCs w:val="16"/>
                      </w:rPr>
                    </w:pPr>
                  </w:p>
                </w:txbxContent>
              </v:textbox>
              <w10:wrap anchorx="page" anchory="page"/>
              <w10:anchorlock/>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CDD542" w14:textId="77777777" w:rsidR="002A2015" w:rsidRDefault="002A2015">
      <w:r>
        <w:separator/>
      </w:r>
    </w:p>
  </w:footnote>
  <w:footnote w:type="continuationSeparator" w:id="0">
    <w:p w14:paraId="223148E1" w14:textId="77777777" w:rsidR="002A2015" w:rsidRDefault="002A201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6EFB151" w14:textId="77777777" w:rsidR="005C21CA" w:rsidRDefault="005C21C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6BEBE2" w14:textId="77777777" w:rsidR="00760CAB" w:rsidRDefault="00760CAB" w:rsidP="003958C6">
    <w:pPr>
      <w:tabs>
        <w:tab w:val="left" w:pos="1978"/>
        <w:tab w:val="left" w:pos="3956"/>
        <w:tab w:val="left" w:pos="4300"/>
      </w:tabs>
    </w:pPr>
  </w:p>
  <w:sdt>
    <w:sdtPr>
      <w:rPr>
        <w:color w:val="000000"/>
        <w:sz w:val="18"/>
        <w:szCs w:val="32"/>
      </w:rPr>
      <w:id w:val="10827936"/>
      <w:docPartObj>
        <w:docPartGallery w:val="Page Numbers (Top of Page)"/>
        <w:docPartUnique/>
      </w:docPartObj>
    </w:sdtPr>
    <w:sdtEndPr/>
    <w:sdtContent>
      <w:p w14:paraId="7945294B" w14:textId="77777777" w:rsidR="00760CAB" w:rsidRPr="00DF1163" w:rsidRDefault="00760CAB" w:rsidP="003958C6">
        <w:pPr>
          <w:tabs>
            <w:tab w:val="left" w:pos="1978"/>
            <w:tab w:val="left" w:pos="3956"/>
            <w:tab w:val="left" w:pos="4300"/>
          </w:tabs>
        </w:pPr>
        <w:r w:rsidRPr="00DF1163">
          <w:rPr>
            <w:rStyle w:val="Hyperlink"/>
            <w:b/>
            <w:bCs/>
            <w:color w:val="auto"/>
            <w:sz w:val="24"/>
            <w:szCs w:val="24"/>
            <w:u w:val="none"/>
          </w:rPr>
          <w:t>Confidential communication</w:t>
        </w:r>
      </w:p>
      <w:p w14:paraId="6D4E2D89" w14:textId="77777777" w:rsidR="00760CAB" w:rsidRDefault="005C21CA">
        <w:pPr>
          <w:pStyle w:val="Header"/>
          <w:jc w:val="center"/>
        </w:pPr>
      </w:p>
    </w:sdtContent>
  </w:sdt>
  <w:p w14:paraId="6B35D462" w14:textId="77777777" w:rsidR="00760CAB" w:rsidRDefault="00760CAB" w:rsidP="00067506">
    <w:pPr>
      <w:pStyle w:val="Header"/>
      <w:jc w:val="cent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8356D0" w14:textId="0270F249" w:rsidR="00760CAB" w:rsidRDefault="00C6141C">
    <w:pPr>
      <w:pStyle w:val="Header"/>
    </w:pPr>
    <w:r>
      <w:rPr>
        <w:noProof/>
        <w:lang w:eastAsia="en-AU"/>
      </w:rPr>
      <mc:AlternateContent>
        <mc:Choice Requires="wps">
          <w:drawing>
            <wp:anchor distT="0" distB="0" distL="114300" distR="114300" simplePos="0" relativeHeight="251657216" behindDoc="0" locked="1" layoutInCell="1" allowOverlap="0" wp14:anchorId="64AF73C5" wp14:editId="420B85C1">
              <wp:simplePos x="0" y="0"/>
              <wp:positionH relativeFrom="page">
                <wp:posOffset>852805</wp:posOffset>
              </wp:positionH>
              <wp:positionV relativeFrom="page">
                <wp:posOffset>540385</wp:posOffset>
              </wp:positionV>
              <wp:extent cx="3816350" cy="874395"/>
              <wp:effectExtent l="0" t="0" r="12700" b="1905"/>
              <wp:wrapNone/>
              <wp:docPr id="2"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6350" cy="874395"/>
                      </a:xfrm>
                      <a:prstGeom prst="rect">
                        <a:avLst/>
                      </a:prstGeom>
                      <a:noFill/>
                      <a:ln>
                        <a:noFill/>
                      </a:ln>
                      <a:extLst/>
                    </wps:spPr>
                    <wps:txbx>
                      <w:txbxContent>
                        <w:p w14:paraId="4DBFB669" w14:textId="77777777" w:rsidR="00760CAB" w:rsidRDefault="00760CAB">
                          <w:pPr>
                            <w:tabs>
                              <w:tab w:val="left" w:pos="1978"/>
                              <w:tab w:val="left" w:pos="3956"/>
                              <w:tab w:val="left" w:pos="4300"/>
                            </w:tabs>
                            <w:rPr>
                              <w:sz w:val="16"/>
                              <w:szCs w:val="16"/>
                            </w:rPr>
                          </w:pPr>
                          <w:r w:rsidRPr="004E60C1">
                            <w:rPr>
                              <w:sz w:val="16"/>
                              <w:szCs w:val="16"/>
                            </w:rPr>
                            <w:t>1 Margaret St</w:t>
                          </w:r>
                          <w:r w:rsidRPr="004E60C1">
                            <w:rPr>
                              <w:sz w:val="16"/>
                              <w:szCs w:val="16"/>
                            </w:rPr>
                            <w:tab/>
                            <w:t>GPO Box 4720</w:t>
                          </w:r>
                          <w:r w:rsidRPr="004E60C1">
                            <w:rPr>
                              <w:sz w:val="16"/>
                              <w:szCs w:val="16"/>
                            </w:rPr>
                            <w:tab/>
                            <w:t>TEL</w:t>
                          </w:r>
                          <w:r w:rsidRPr="004E60C1">
                            <w:rPr>
                              <w:sz w:val="16"/>
                              <w:szCs w:val="16"/>
                            </w:rPr>
                            <w:tab/>
                            <w:t>(02) 8299 9000</w:t>
                          </w:r>
                          <w:r>
                            <w:rPr>
                              <w:sz w:val="16"/>
                              <w:szCs w:val="16"/>
                            </w:rPr>
                            <w:br/>
                          </w:r>
                          <w:r w:rsidRPr="004E60C1">
                            <w:rPr>
                              <w:sz w:val="16"/>
                              <w:szCs w:val="16"/>
                            </w:rPr>
                            <w:t>Sydney NSW 2000</w:t>
                          </w:r>
                          <w:r w:rsidRPr="004E60C1">
                            <w:rPr>
                              <w:sz w:val="16"/>
                              <w:szCs w:val="16"/>
                            </w:rPr>
                            <w:tab/>
                            <w:t>Sydney NSW 2001</w:t>
                          </w:r>
                          <w:r w:rsidRPr="004E60C1">
                            <w:rPr>
                              <w:sz w:val="16"/>
                              <w:szCs w:val="16"/>
                            </w:rPr>
                            <w:tab/>
                            <w:t>FAX</w:t>
                          </w:r>
                          <w:r w:rsidRPr="004E60C1">
                            <w:rPr>
                              <w:sz w:val="16"/>
                              <w:szCs w:val="16"/>
                            </w:rPr>
                            <w:tab/>
                            <w:t>(02) 8299 9600</w:t>
                          </w:r>
                        </w:p>
                        <w:p w14:paraId="4EC5BBA0" w14:textId="77777777" w:rsidR="00772AE4" w:rsidRDefault="00772AE4">
                          <w:pPr>
                            <w:tabs>
                              <w:tab w:val="left" w:pos="1978"/>
                              <w:tab w:val="left" w:pos="3956"/>
                              <w:tab w:val="left" w:pos="4300"/>
                            </w:tabs>
                            <w:rPr>
                              <w:rStyle w:val="Hyperlink"/>
                              <w:b/>
                              <w:bCs/>
                              <w:color w:val="auto"/>
                              <w:sz w:val="24"/>
                              <w:szCs w:val="24"/>
                              <w:u w:val="none"/>
                            </w:rPr>
                          </w:pPr>
                        </w:p>
                        <w:p w14:paraId="12BBCF08" w14:textId="77777777" w:rsidR="00760CAB" w:rsidRPr="00DF1163" w:rsidRDefault="00760CAB">
                          <w:pPr>
                            <w:tabs>
                              <w:tab w:val="left" w:pos="1978"/>
                              <w:tab w:val="left" w:pos="3956"/>
                              <w:tab w:val="left" w:pos="4300"/>
                            </w:tabs>
                          </w:pPr>
                          <w:r w:rsidRPr="00DF1163">
                            <w:rPr>
                              <w:rStyle w:val="Hyperlink"/>
                              <w:b/>
                              <w:bCs/>
                              <w:color w:val="auto"/>
                              <w:sz w:val="24"/>
                              <w:szCs w:val="24"/>
                              <w:u w:val="none"/>
                            </w:rPr>
                            <w:t>Confidential communication</w:t>
                          </w:r>
                        </w:p>
                        <w:p w14:paraId="4A021A95" w14:textId="77777777" w:rsidR="00760CAB" w:rsidRDefault="00760CAB">
                          <w:pPr>
                            <w:tabs>
                              <w:tab w:val="left" w:pos="1978"/>
                              <w:tab w:val="left" w:pos="3956"/>
                              <w:tab w:val="left" w:pos="4300"/>
                            </w:tabs>
                            <w:rPr>
                              <w:sz w:val="16"/>
                              <w:szCs w:val="16"/>
                            </w:rPr>
                          </w:pPr>
                          <w:r>
                            <w:rPr>
                              <w:sz w:val="16"/>
                              <w:szCs w:val="16"/>
                            </w:rPr>
                            <w:t>\</w:t>
                          </w:r>
                        </w:p>
                        <w:p w14:paraId="4DC29434" w14:textId="77777777" w:rsidR="00760CAB" w:rsidRDefault="00760CAB">
                          <w:pPr>
                            <w:tabs>
                              <w:tab w:val="left" w:pos="1978"/>
                              <w:tab w:val="left" w:pos="3956"/>
                              <w:tab w:val="left" w:pos="4300"/>
                            </w:tabs>
                            <w:rPr>
                              <w:sz w:val="16"/>
                              <w:szCs w:val="16"/>
                            </w:rPr>
                          </w:pPr>
                        </w:p>
                        <w:p w14:paraId="3CBC7312" w14:textId="77777777" w:rsidR="00760CAB" w:rsidRDefault="00760CAB">
                          <w:pPr>
                            <w:tabs>
                              <w:tab w:val="left" w:pos="1978"/>
                              <w:tab w:val="left" w:pos="3956"/>
                              <w:tab w:val="left" w:pos="4300"/>
                            </w:tabs>
                            <w:rPr>
                              <w:sz w:val="16"/>
                              <w:szCs w:val="16"/>
                            </w:rPr>
                          </w:pPr>
                        </w:p>
                        <w:p w14:paraId="24974DC3" w14:textId="77777777" w:rsidR="00760CAB" w:rsidRPr="004E60C1" w:rsidRDefault="00760CAB">
                          <w:pPr>
                            <w:tabs>
                              <w:tab w:val="left" w:pos="1978"/>
                              <w:tab w:val="left" w:pos="3956"/>
                              <w:tab w:val="left" w:pos="4300"/>
                            </w:tabs>
                            <w:rPr>
                              <w:sz w:val="16"/>
                              <w:szCs w:val="16"/>
                            </w:rPr>
                          </w:pPr>
                          <w:r>
                            <w:rPr>
                              <w:rStyle w:val="Hyperlink"/>
                              <w:b/>
                              <w:bCs/>
                              <w:color w:val="auto"/>
                              <w:sz w:val="16"/>
                              <w:szCs w:val="16"/>
                              <w:u w:val="none"/>
                            </w:rPr>
                            <w:t>Confidential communication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64AF73C5" id="_x0000_t202" coordsize="21600,21600" o:spt="202" path="m,l,21600r21600,l21600,xe">
              <v:stroke joinstyle="miter"/>
              <v:path gradientshapeok="t" o:connecttype="rect"/>
            </v:shapetype>
            <v:shape id="Text Box 15" o:spid="_x0000_s1026" type="#_x0000_t202" style="position:absolute;margin-left:67.15pt;margin-top:42.55pt;width:300.5pt;height:68.8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" o:allowoverlap="f" filled="f" stroked="f">
              <v:textbox inset="0,0,0,0">
                <w:txbxContent>
                  <w:p w14:paraId="4DBFB669" w14:textId="77777777" w:rsidR="00760CAB" w:rsidRDefault="00760CAB">
                    <w:pPr>
                      <w:tabs>
                        <w:tab w:val="left" w:pos="1978"/>
                        <w:tab w:val="left" w:pos="3956"/>
                        <w:tab w:val="left" w:pos="4300"/>
                      </w:tabs>
                      <w:rPr>
                        <w:sz w:val="16"/>
                        <w:szCs w:val="16"/>
                      </w:rPr>
                    </w:pPr>
                    <w:r w:rsidRPr="004E60C1">
                      <w:rPr>
                        <w:sz w:val="16"/>
                        <w:szCs w:val="16"/>
                      </w:rPr>
                      <w:t>1 Margaret St</w:t>
                    </w:r>
                    <w:r w:rsidRPr="004E60C1">
                      <w:rPr>
                        <w:sz w:val="16"/>
                        <w:szCs w:val="16"/>
                      </w:rPr>
                      <w:tab/>
                      <w:t>GPO Box 4720</w:t>
                    </w:r>
                    <w:r w:rsidRPr="004E60C1">
                      <w:rPr>
                        <w:sz w:val="16"/>
                        <w:szCs w:val="16"/>
                      </w:rPr>
                      <w:tab/>
                      <w:t>TEL</w:t>
                    </w:r>
                    <w:r w:rsidRPr="004E60C1">
                      <w:rPr>
                        <w:sz w:val="16"/>
                        <w:szCs w:val="16"/>
                      </w:rPr>
                      <w:tab/>
                      <w:t>(02) 8299 9000</w:t>
                    </w:r>
                    <w:r>
                      <w:rPr>
                        <w:sz w:val="16"/>
                        <w:szCs w:val="16"/>
                      </w:rPr>
                      <w:br/>
                    </w:r>
                    <w:r w:rsidRPr="004E60C1">
                      <w:rPr>
                        <w:sz w:val="16"/>
                        <w:szCs w:val="16"/>
                      </w:rPr>
                      <w:t>Sydney NSW 2000</w:t>
                    </w:r>
                    <w:r w:rsidRPr="004E60C1">
                      <w:rPr>
                        <w:sz w:val="16"/>
                        <w:szCs w:val="16"/>
                      </w:rPr>
                      <w:tab/>
                      <w:t>Sydney NSW 2001</w:t>
                    </w:r>
                    <w:r w:rsidRPr="004E60C1">
                      <w:rPr>
                        <w:sz w:val="16"/>
                        <w:szCs w:val="16"/>
                      </w:rPr>
                      <w:tab/>
                      <w:t>FAX</w:t>
                    </w:r>
                    <w:r w:rsidRPr="004E60C1">
                      <w:rPr>
                        <w:sz w:val="16"/>
                        <w:szCs w:val="16"/>
                      </w:rPr>
                      <w:tab/>
                      <w:t>(02) 8299 9600</w:t>
                    </w:r>
                  </w:p>
                  <w:p w14:paraId="4EC5BBA0" w14:textId="77777777" w:rsidR="00772AE4" w:rsidRDefault="00772AE4">
                    <w:pPr>
                      <w:tabs>
                        <w:tab w:val="left" w:pos="1978"/>
                        <w:tab w:val="left" w:pos="3956"/>
                        <w:tab w:val="left" w:pos="4300"/>
                      </w:tabs>
                      <w:rPr>
                        <w:rStyle w:val="Hyperlink"/>
                        <w:b/>
                        <w:bCs/>
                        <w:color w:val="auto"/>
                        <w:sz w:val="24"/>
                        <w:szCs w:val="24"/>
                        <w:u w:val="none"/>
                      </w:rPr>
                    </w:pPr>
                  </w:p>
                  <w:p w14:paraId="12BBCF08" w14:textId="77777777" w:rsidR="00760CAB" w:rsidRPr="00DF1163" w:rsidRDefault="00760CAB">
                    <w:pPr>
                      <w:tabs>
                        <w:tab w:val="left" w:pos="1978"/>
                        <w:tab w:val="left" w:pos="3956"/>
                        <w:tab w:val="left" w:pos="4300"/>
                      </w:tabs>
                    </w:pPr>
                    <w:r w:rsidRPr="00DF1163">
                      <w:rPr>
                        <w:rStyle w:val="Hyperlink"/>
                        <w:b/>
                        <w:bCs/>
                        <w:color w:val="auto"/>
                        <w:sz w:val="24"/>
                        <w:szCs w:val="24"/>
                        <w:u w:val="none"/>
                      </w:rPr>
                      <w:t>Confidential communication</w:t>
                    </w:r>
                  </w:p>
                  <w:p w14:paraId="4A021A95" w14:textId="77777777" w:rsidR="00760CAB" w:rsidRDefault="00760CAB">
                    <w:pPr>
                      <w:tabs>
                        <w:tab w:val="left" w:pos="1978"/>
                        <w:tab w:val="left" w:pos="3956"/>
                        <w:tab w:val="left" w:pos="4300"/>
                      </w:tabs>
                      <w:rPr>
                        <w:sz w:val="16"/>
                        <w:szCs w:val="16"/>
                      </w:rPr>
                    </w:pPr>
                    <w:r>
                      <w:rPr>
                        <w:sz w:val="16"/>
                        <w:szCs w:val="16"/>
                      </w:rPr>
                      <w:t>\</w:t>
                    </w:r>
                  </w:p>
                  <w:p w14:paraId="4DC29434" w14:textId="77777777" w:rsidR="00760CAB" w:rsidRDefault="00760CAB">
                    <w:pPr>
                      <w:tabs>
                        <w:tab w:val="left" w:pos="1978"/>
                        <w:tab w:val="left" w:pos="3956"/>
                        <w:tab w:val="left" w:pos="4300"/>
                      </w:tabs>
                      <w:rPr>
                        <w:sz w:val="16"/>
                        <w:szCs w:val="16"/>
                      </w:rPr>
                    </w:pPr>
                  </w:p>
                  <w:p w14:paraId="3CBC7312" w14:textId="77777777" w:rsidR="00760CAB" w:rsidRDefault="00760CAB">
                    <w:pPr>
                      <w:tabs>
                        <w:tab w:val="left" w:pos="1978"/>
                        <w:tab w:val="left" w:pos="3956"/>
                        <w:tab w:val="left" w:pos="4300"/>
                      </w:tabs>
                      <w:rPr>
                        <w:sz w:val="16"/>
                        <w:szCs w:val="16"/>
                      </w:rPr>
                    </w:pPr>
                  </w:p>
                  <w:p w14:paraId="24974DC3" w14:textId="77777777" w:rsidR="00760CAB" w:rsidRPr="004E60C1" w:rsidRDefault="00760CAB">
                    <w:pPr>
                      <w:tabs>
                        <w:tab w:val="left" w:pos="1978"/>
                        <w:tab w:val="left" w:pos="3956"/>
                        <w:tab w:val="left" w:pos="4300"/>
                      </w:tabs>
                      <w:rPr>
                        <w:sz w:val="16"/>
                        <w:szCs w:val="16"/>
                      </w:rPr>
                    </w:pPr>
                    <w:r>
                      <w:rPr>
                        <w:rStyle w:val="Hyperlink"/>
                        <w:b/>
                        <w:bCs/>
                        <w:color w:val="auto"/>
                        <w:sz w:val="16"/>
                        <w:szCs w:val="16"/>
                        <w:u w:val="none"/>
                      </w:rPr>
                      <w:t>Confidential communication</w:t>
                    </w:r>
                  </w:p>
                </w:txbxContent>
              </v:textbox>
              <w10:wrap anchorx="page" anchory="page"/>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474FAA"/>
    <w:multiLevelType w:val="multilevel"/>
    <w:tmpl w:val="FE70D714"/>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141B76BE"/>
    <w:multiLevelType w:val="hybridMultilevel"/>
    <w:tmpl w:val="3CECAD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04530B3"/>
    <w:multiLevelType w:val="hybridMultilevel"/>
    <w:tmpl w:val="0E620122"/>
    <w:lvl w:ilvl="0" w:tplc="0C090001">
      <w:start w:val="1"/>
      <w:numFmt w:val="bullet"/>
      <w:lvlText w:val=""/>
      <w:lvlJc w:val="left"/>
      <w:pPr>
        <w:ind w:left="788" w:hanging="360"/>
      </w:pPr>
      <w:rPr>
        <w:rFonts w:ascii="Symbol" w:hAnsi="Symbol" w:hint="default"/>
      </w:rPr>
    </w:lvl>
    <w:lvl w:ilvl="1" w:tplc="0C090003" w:tentative="1">
      <w:start w:val="1"/>
      <w:numFmt w:val="bullet"/>
      <w:lvlText w:val="o"/>
      <w:lvlJc w:val="left"/>
      <w:pPr>
        <w:ind w:left="1508" w:hanging="360"/>
      </w:pPr>
      <w:rPr>
        <w:rFonts w:ascii="Courier New" w:hAnsi="Courier New" w:cs="Courier New" w:hint="default"/>
      </w:rPr>
    </w:lvl>
    <w:lvl w:ilvl="2" w:tplc="0C090005" w:tentative="1">
      <w:start w:val="1"/>
      <w:numFmt w:val="bullet"/>
      <w:lvlText w:val=""/>
      <w:lvlJc w:val="left"/>
      <w:pPr>
        <w:ind w:left="2228" w:hanging="360"/>
      </w:pPr>
      <w:rPr>
        <w:rFonts w:ascii="Wingdings" w:hAnsi="Wingdings" w:hint="default"/>
      </w:rPr>
    </w:lvl>
    <w:lvl w:ilvl="3" w:tplc="0C090001" w:tentative="1">
      <w:start w:val="1"/>
      <w:numFmt w:val="bullet"/>
      <w:lvlText w:val=""/>
      <w:lvlJc w:val="left"/>
      <w:pPr>
        <w:ind w:left="2948" w:hanging="360"/>
      </w:pPr>
      <w:rPr>
        <w:rFonts w:ascii="Symbol" w:hAnsi="Symbol" w:hint="default"/>
      </w:rPr>
    </w:lvl>
    <w:lvl w:ilvl="4" w:tplc="0C090003" w:tentative="1">
      <w:start w:val="1"/>
      <w:numFmt w:val="bullet"/>
      <w:lvlText w:val="o"/>
      <w:lvlJc w:val="left"/>
      <w:pPr>
        <w:ind w:left="3668" w:hanging="360"/>
      </w:pPr>
      <w:rPr>
        <w:rFonts w:ascii="Courier New" w:hAnsi="Courier New" w:cs="Courier New" w:hint="default"/>
      </w:rPr>
    </w:lvl>
    <w:lvl w:ilvl="5" w:tplc="0C090005" w:tentative="1">
      <w:start w:val="1"/>
      <w:numFmt w:val="bullet"/>
      <w:lvlText w:val=""/>
      <w:lvlJc w:val="left"/>
      <w:pPr>
        <w:ind w:left="4388" w:hanging="360"/>
      </w:pPr>
      <w:rPr>
        <w:rFonts w:ascii="Wingdings" w:hAnsi="Wingdings" w:hint="default"/>
      </w:rPr>
    </w:lvl>
    <w:lvl w:ilvl="6" w:tplc="0C090001" w:tentative="1">
      <w:start w:val="1"/>
      <w:numFmt w:val="bullet"/>
      <w:lvlText w:val=""/>
      <w:lvlJc w:val="left"/>
      <w:pPr>
        <w:ind w:left="5108" w:hanging="360"/>
      </w:pPr>
      <w:rPr>
        <w:rFonts w:ascii="Symbol" w:hAnsi="Symbol" w:hint="default"/>
      </w:rPr>
    </w:lvl>
    <w:lvl w:ilvl="7" w:tplc="0C090003" w:tentative="1">
      <w:start w:val="1"/>
      <w:numFmt w:val="bullet"/>
      <w:lvlText w:val="o"/>
      <w:lvlJc w:val="left"/>
      <w:pPr>
        <w:ind w:left="5828" w:hanging="360"/>
      </w:pPr>
      <w:rPr>
        <w:rFonts w:ascii="Courier New" w:hAnsi="Courier New" w:cs="Courier New" w:hint="default"/>
      </w:rPr>
    </w:lvl>
    <w:lvl w:ilvl="8" w:tplc="0C090005" w:tentative="1">
      <w:start w:val="1"/>
      <w:numFmt w:val="bullet"/>
      <w:lvlText w:val=""/>
      <w:lvlJc w:val="left"/>
      <w:pPr>
        <w:ind w:left="6548" w:hanging="360"/>
      </w:pPr>
      <w:rPr>
        <w:rFonts w:ascii="Wingdings" w:hAnsi="Wingdings" w:hint="default"/>
      </w:rPr>
    </w:lvl>
  </w:abstractNum>
  <w:abstractNum w:abstractNumId="3">
    <w:nsid w:val="205B7EC9"/>
    <w:multiLevelType w:val="hybridMultilevel"/>
    <w:tmpl w:val="7CA0AE4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24C96F4A"/>
    <w:multiLevelType w:val="multilevel"/>
    <w:tmpl w:val="14CE85C0"/>
    <w:lvl w:ilvl="0">
      <w:start w:val="1"/>
      <w:numFmt w:val="bullet"/>
      <w:lvlText w:val="&gt;"/>
      <w:lvlJc w:val="left"/>
      <w:pPr>
        <w:tabs>
          <w:tab w:val="num" w:pos="851"/>
        </w:tabs>
        <w:ind w:left="851" w:hanging="567"/>
      </w:pPr>
      <w:rPr>
        <w:rFonts w:ascii="Verdana" w:hAnsi="Verdana" w:hint="default"/>
        <w:sz w:val="18"/>
      </w:rPr>
    </w:lvl>
    <w:lvl w:ilvl="1">
      <w:start w:val="1"/>
      <w:numFmt w:val="bullet"/>
      <w:lvlText w:val="o"/>
      <w:lvlJc w:val="left"/>
      <w:pPr>
        <w:tabs>
          <w:tab w:val="num" w:pos="1440"/>
        </w:tabs>
        <w:ind w:left="1440" w:hanging="360"/>
      </w:pPr>
      <w:rPr>
        <w:rFonts w:ascii="Courier New" w:hAnsi="Courier New" w:cs="Symbol"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Symbo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Symbol" w:hint="default"/>
      </w:rPr>
    </w:lvl>
    <w:lvl w:ilvl="8">
      <w:start w:val="1"/>
      <w:numFmt w:val="bullet"/>
      <w:lvlText w:val=""/>
      <w:lvlJc w:val="left"/>
      <w:pPr>
        <w:tabs>
          <w:tab w:val="num" w:pos="6480"/>
        </w:tabs>
        <w:ind w:left="6480" w:hanging="360"/>
      </w:pPr>
      <w:rPr>
        <w:rFonts w:ascii="Wingdings" w:hAnsi="Wingdings" w:hint="default"/>
      </w:rPr>
    </w:lvl>
  </w:abstractNum>
  <w:abstractNum w:abstractNumId="5">
    <w:nsid w:val="29810425"/>
    <w:multiLevelType w:val="hybridMultilevel"/>
    <w:tmpl w:val="4A8EA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6D968C5"/>
    <w:multiLevelType w:val="hybridMultilevel"/>
    <w:tmpl w:val="42B0EEA0"/>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nsid w:val="3D6F0CE9"/>
    <w:multiLevelType w:val="hybridMultilevel"/>
    <w:tmpl w:val="CE30A15A"/>
    <w:lvl w:ilvl="0" w:tplc="04090001">
      <w:start w:val="1"/>
      <w:numFmt w:val="bullet"/>
      <w:lvlText w:val=""/>
      <w:lvlJc w:val="left"/>
      <w:pPr>
        <w:ind w:left="793" w:hanging="360"/>
      </w:pPr>
      <w:rPr>
        <w:rFonts w:ascii="Symbol" w:hAnsi="Symbol" w:hint="default"/>
      </w:rPr>
    </w:lvl>
    <w:lvl w:ilvl="1" w:tplc="04090003" w:tentative="1">
      <w:start w:val="1"/>
      <w:numFmt w:val="bullet"/>
      <w:lvlText w:val="o"/>
      <w:lvlJc w:val="left"/>
      <w:pPr>
        <w:ind w:left="1513" w:hanging="360"/>
      </w:pPr>
      <w:rPr>
        <w:rFonts w:ascii="Courier New" w:hAnsi="Courier New" w:cs="Courier New" w:hint="default"/>
      </w:rPr>
    </w:lvl>
    <w:lvl w:ilvl="2" w:tplc="04090005" w:tentative="1">
      <w:start w:val="1"/>
      <w:numFmt w:val="bullet"/>
      <w:lvlText w:val=""/>
      <w:lvlJc w:val="left"/>
      <w:pPr>
        <w:ind w:left="2233" w:hanging="360"/>
      </w:pPr>
      <w:rPr>
        <w:rFonts w:ascii="Wingdings" w:hAnsi="Wingdings" w:hint="default"/>
      </w:rPr>
    </w:lvl>
    <w:lvl w:ilvl="3" w:tplc="04090001" w:tentative="1">
      <w:start w:val="1"/>
      <w:numFmt w:val="bullet"/>
      <w:lvlText w:val=""/>
      <w:lvlJc w:val="left"/>
      <w:pPr>
        <w:ind w:left="2953" w:hanging="360"/>
      </w:pPr>
      <w:rPr>
        <w:rFonts w:ascii="Symbol" w:hAnsi="Symbol" w:hint="default"/>
      </w:rPr>
    </w:lvl>
    <w:lvl w:ilvl="4" w:tplc="04090003" w:tentative="1">
      <w:start w:val="1"/>
      <w:numFmt w:val="bullet"/>
      <w:lvlText w:val="o"/>
      <w:lvlJc w:val="left"/>
      <w:pPr>
        <w:ind w:left="3673" w:hanging="360"/>
      </w:pPr>
      <w:rPr>
        <w:rFonts w:ascii="Courier New" w:hAnsi="Courier New" w:cs="Courier New" w:hint="default"/>
      </w:rPr>
    </w:lvl>
    <w:lvl w:ilvl="5" w:tplc="04090005" w:tentative="1">
      <w:start w:val="1"/>
      <w:numFmt w:val="bullet"/>
      <w:lvlText w:val=""/>
      <w:lvlJc w:val="left"/>
      <w:pPr>
        <w:ind w:left="4393" w:hanging="360"/>
      </w:pPr>
      <w:rPr>
        <w:rFonts w:ascii="Wingdings" w:hAnsi="Wingdings" w:hint="default"/>
      </w:rPr>
    </w:lvl>
    <w:lvl w:ilvl="6" w:tplc="04090001" w:tentative="1">
      <w:start w:val="1"/>
      <w:numFmt w:val="bullet"/>
      <w:lvlText w:val=""/>
      <w:lvlJc w:val="left"/>
      <w:pPr>
        <w:ind w:left="5113" w:hanging="360"/>
      </w:pPr>
      <w:rPr>
        <w:rFonts w:ascii="Symbol" w:hAnsi="Symbol" w:hint="default"/>
      </w:rPr>
    </w:lvl>
    <w:lvl w:ilvl="7" w:tplc="04090003" w:tentative="1">
      <w:start w:val="1"/>
      <w:numFmt w:val="bullet"/>
      <w:lvlText w:val="o"/>
      <w:lvlJc w:val="left"/>
      <w:pPr>
        <w:ind w:left="5833" w:hanging="360"/>
      </w:pPr>
      <w:rPr>
        <w:rFonts w:ascii="Courier New" w:hAnsi="Courier New" w:cs="Courier New" w:hint="default"/>
      </w:rPr>
    </w:lvl>
    <w:lvl w:ilvl="8" w:tplc="04090005" w:tentative="1">
      <w:start w:val="1"/>
      <w:numFmt w:val="bullet"/>
      <w:lvlText w:val=""/>
      <w:lvlJc w:val="left"/>
      <w:pPr>
        <w:ind w:left="6553" w:hanging="360"/>
      </w:pPr>
      <w:rPr>
        <w:rFonts w:ascii="Wingdings" w:hAnsi="Wingdings" w:hint="default"/>
      </w:rPr>
    </w:lvl>
  </w:abstractNum>
  <w:abstractNum w:abstractNumId="8">
    <w:nsid w:val="4A0C77C6"/>
    <w:multiLevelType w:val="hybridMultilevel"/>
    <w:tmpl w:val="51D60CE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nsid w:val="4BE97EAC"/>
    <w:multiLevelType w:val="hybridMultilevel"/>
    <w:tmpl w:val="B470CB1E"/>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513" w:hanging="360"/>
      </w:pPr>
      <w:rPr>
        <w:rFonts w:ascii="Courier New" w:hAnsi="Courier New" w:cs="Courier New" w:hint="default"/>
      </w:rPr>
    </w:lvl>
    <w:lvl w:ilvl="2" w:tplc="04090005" w:tentative="1">
      <w:start w:val="1"/>
      <w:numFmt w:val="bullet"/>
      <w:lvlText w:val=""/>
      <w:lvlJc w:val="left"/>
      <w:pPr>
        <w:ind w:left="2233" w:hanging="360"/>
      </w:pPr>
      <w:rPr>
        <w:rFonts w:ascii="Wingdings" w:hAnsi="Wingdings" w:hint="default"/>
      </w:rPr>
    </w:lvl>
    <w:lvl w:ilvl="3" w:tplc="04090001" w:tentative="1">
      <w:start w:val="1"/>
      <w:numFmt w:val="bullet"/>
      <w:lvlText w:val=""/>
      <w:lvlJc w:val="left"/>
      <w:pPr>
        <w:ind w:left="2953" w:hanging="360"/>
      </w:pPr>
      <w:rPr>
        <w:rFonts w:ascii="Symbol" w:hAnsi="Symbol" w:hint="default"/>
      </w:rPr>
    </w:lvl>
    <w:lvl w:ilvl="4" w:tplc="04090003" w:tentative="1">
      <w:start w:val="1"/>
      <w:numFmt w:val="bullet"/>
      <w:lvlText w:val="o"/>
      <w:lvlJc w:val="left"/>
      <w:pPr>
        <w:ind w:left="3673" w:hanging="360"/>
      </w:pPr>
      <w:rPr>
        <w:rFonts w:ascii="Courier New" w:hAnsi="Courier New" w:cs="Courier New" w:hint="default"/>
      </w:rPr>
    </w:lvl>
    <w:lvl w:ilvl="5" w:tplc="04090005" w:tentative="1">
      <w:start w:val="1"/>
      <w:numFmt w:val="bullet"/>
      <w:lvlText w:val=""/>
      <w:lvlJc w:val="left"/>
      <w:pPr>
        <w:ind w:left="4393" w:hanging="360"/>
      </w:pPr>
      <w:rPr>
        <w:rFonts w:ascii="Wingdings" w:hAnsi="Wingdings" w:hint="default"/>
      </w:rPr>
    </w:lvl>
    <w:lvl w:ilvl="6" w:tplc="04090001" w:tentative="1">
      <w:start w:val="1"/>
      <w:numFmt w:val="bullet"/>
      <w:lvlText w:val=""/>
      <w:lvlJc w:val="left"/>
      <w:pPr>
        <w:ind w:left="5113" w:hanging="360"/>
      </w:pPr>
      <w:rPr>
        <w:rFonts w:ascii="Symbol" w:hAnsi="Symbol" w:hint="default"/>
      </w:rPr>
    </w:lvl>
    <w:lvl w:ilvl="7" w:tplc="04090003" w:tentative="1">
      <w:start w:val="1"/>
      <w:numFmt w:val="bullet"/>
      <w:lvlText w:val="o"/>
      <w:lvlJc w:val="left"/>
      <w:pPr>
        <w:ind w:left="5833" w:hanging="360"/>
      </w:pPr>
      <w:rPr>
        <w:rFonts w:ascii="Courier New" w:hAnsi="Courier New" w:cs="Courier New" w:hint="default"/>
      </w:rPr>
    </w:lvl>
    <w:lvl w:ilvl="8" w:tplc="04090005" w:tentative="1">
      <w:start w:val="1"/>
      <w:numFmt w:val="bullet"/>
      <w:lvlText w:val=""/>
      <w:lvlJc w:val="left"/>
      <w:pPr>
        <w:ind w:left="6553" w:hanging="360"/>
      </w:pPr>
      <w:rPr>
        <w:rFonts w:ascii="Wingdings" w:hAnsi="Wingdings" w:hint="default"/>
      </w:rPr>
    </w:lvl>
  </w:abstractNum>
  <w:abstractNum w:abstractNumId="10">
    <w:nsid w:val="4DE22E12"/>
    <w:multiLevelType w:val="multilevel"/>
    <w:tmpl w:val="EDB25304"/>
    <w:lvl w:ilvl="0">
      <w:start w:val="1"/>
      <w:numFmt w:val="bullet"/>
      <w:lvlText w:val="&gt;"/>
      <w:lvlJc w:val="left"/>
      <w:pPr>
        <w:tabs>
          <w:tab w:val="num" w:pos="567"/>
        </w:tabs>
        <w:ind w:left="567" w:hanging="283"/>
      </w:pPr>
      <w:rPr>
        <w:rFonts w:ascii="Verdana" w:hAnsi="Verdana" w:hint="default"/>
        <w:sz w:val="18"/>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Symbol"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Symbol"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nsid w:val="52136C58"/>
    <w:multiLevelType w:val="multilevel"/>
    <w:tmpl w:val="D0DABBBC"/>
    <w:lvl w:ilvl="0">
      <w:start w:val="1"/>
      <w:numFmt w:val="bullet"/>
      <w:lvlText w:val="&gt;"/>
      <w:lvlJc w:val="left"/>
      <w:pPr>
        <w:tabs>
          <w:tab w:val="num" w:pos="567"/>
        </w:tabs>
        <w:ind w:left="567" w:hanging="283"/>
      </w:pPr>
      <w:rPr>
        <w:rFonts w:ascii="Verdana" w:hAnsi="Verdana" w:hint="default"/>
        <w:sz w:val="18"/>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bullet"/>
      <w:lvlText w:val=""/>
      <w:lvlJc w:val="left"/>
      <w:pPr>
        <w:tabs>
          <w:tab w:val="num" w:pos="2956"/>
        </w:tabs>
        <w:ind w:left="2956" w:hanging="360"/>
      </w:pPr>
      <w:rPr>
        <w:rFonts w:ascii="Symbol" w:hAnsi="Symbol" w:hint="default"/>
      </w:rPr>
    </w:lvl>
    <w:lvl w:ilvl="4">
      <w:start w:val="1"/>
      <w:numFmt w:val="bullet"/>
      <w:lvlText w:val="o"/>
      <w:lvlJc w:val="left"/>
      <w:pPr>
        <w:tabs>
          <w:tab w:val="num" w:pos="3676"/>
        </w:tabs>
        <w:ind w:left="3676" w:hanging="360"/>
      </w:pPr>
      <w:rPr>
        <w:rFonts w:ascii="Courier New" w:hAnsi="Courier New" w:cs="Symbol" w:hint="default"/>
      </w:rPr>
    </w:lvl>
    <w:lvl w:ilvl="5">
      <w:start w:val="1"/>
      <w:numFmt w:val="bullet"/>
      <w:lvlText w:val=""/>
      <w:lvlJc w:val="left"/>
      <w:pPr>
        <w:tabs>
          <w:tab w:val="num" w:pos="4396"/>
        </w:tabs>
        <w:ind w:left="4396" w:hanging="360"/>
      </w:pPr>
      <w:rPr>
        <w:rFonts w:ascii="Wingdings" w:hAnsi="Wingdings" w:hint="default"/>
      </w:rPr>
    </w:lvl>
    <w:lvl w:ilvl="6">
      <w:start w:val="1"/>
      <w:numFmt w:val="bullet"/>
      <w:lvlText w:val=""/>
      <w:lvlJc w:val="left"/>
      <w:pPr>
        <w:tabs>
          <w:tab w:val="num" w:pos="5116"/>
        </w:tabs>
        <w:ind w:left="5116" w:hanging="360"/>
      </w:pPr>
      <w:rPr>
        <w:rFonts w:ascii="Symbol" w:hAnsi="Symbol" w:hint="default"/>
      </w:rPr>
    </w:lvl>
    <w:lvl w:ilvl="7">
      <w:start w:val="1"/>
      <w:numFmt w:val="bullet"/>
      <w:lvlText w:val="o"/>
      <w:lvlJc w:val="left"/>
      <w:pPr>
        <w:tabs>
          <w:tab w:val="num" w:pos="5836"/>
        </w:tabs>
        <w:ind w:left="5836" w:hanging="360"/>
      </w:pPr>
      <w:rPr>
        <w:rFonts w:ascii="Courier New" w:hAnsi="Courier New" w:cs="Symbol" w:hint="default"/>
      </w:rPr>
    </w:lvl>
    <w:lvl w:ilvl="8">
      <w:start w:val="1"/>
      <w:numFmt w:val="bullet"/>
      <w:lvlText w:val=""/>
      <w:lvlJc w:val="left"/>
      <w:pPr>
        <w:tabs>
          <w:tab w:val="num" w:pos="6556"/>
        </w:tabs>
        <w:ind w:left="6556" w:hanging="360"/>
      </w:pPr>
      <w:rPr>
        <w:rFonts w:ascii="Wingdings" w:hAnsi="Wingdings" w:hint="default"/>
      </w:rPr>
    </w:lvl>
  </w:abstractNum>
  <w:abstractNum w:abstractNumId="12">
    <w:nsid w:val="55846A7F"/>
    <w:multiLevelType w:val="multilevel"/>
    <w:tmpl w:val="556ECD2A"/>
    <w:lvl w:ilvl="0">
      <w:start w:val="1"/>
      <w:numFmt w:val="bullet"/>
      <w:lvlText w:val="&gt;"/>
      <w:lvlJc w:val="left"/>
      <w:pPr>
        <w:tabs>
          <w:tab w:val="num" w:pos="567"/>
        </w:tabs>
        <w:ind w:left="567" w:hanging="283"/>
      </w:pPr>
      <w:rPr>
        <w:rFonts w:ascii="Verdana" w:hAnsi="Verdana" w:hint="default"/>
        <w:sz w:val="18"/>
      </w:rPr>
    </w:lvl>
    <w:lvl w:ilvl="1">
      <w:start w:val="1"/>
      <w:numFmt w:val="bullet"/>
      <w:lvlText w:val="-"/>
      <w:lvlJc w:val="left"/>
      <w:pPr>
        <w:tabs>
          <w:tab w:val="num" w:pos="851"/>
        </w:tabs>
        <w:ind w:left="851" w:hanging="284"/>
      </w:pPr>
      <w:rPr>
        <w:rFonts w:ascii="Times New Roman" w:hAnsi="Times New Roman" w:cs="Times New Roman" w:hint="default"/>
      </w:rPr>
    </w:lvl>
    <w:lvl w:ilvl="2">
      <w:start w:val="1"/>
      <w:numFmt w:val="bullet"/>
      <w:lvlText w:val="-"/>
      <w:lvlJc w:val="left"/>
      <w:pPr>
        <w:tabs>
          <w:tab w:val="num" w:pos="1134"/>
        </w:tabs>
        <w:ind w:left="1134" w:hanging="283"/>
      </w:pPr>
      <w:rPr>
        <w:rFonts w:ascii="Times New Roman" w:hAnsi="Times New Roman" w:cs="Times New Roman" w:hint="default"/>
      </w:rPr>
    </w:lvl>
    <w:lvl w:ilvl="3">
      <w:start w:val="1"/>
      <w:numFmt w:val="bullet"/>
      <w:lvlText w:val=""/>
      <w:lvlJc w:val="left"/>
      <w:pPr>
        <w:tabs>
          <w:tab w:val="num" w:pos="2956"/>
        </w:tabs>
        <w:ind w:left="2956" w:hanging="360"/>
      </w:pPr>
      <w:rPr>
        <w:rFonts w:ascii="Symbol" w:hAnsi="Symbol" w:hint="default"/>
      </w:rPr>
    </w:lvl>
    <w:lvl w:ilvl="4">
      <w:start w:val="1"/>
      <w:numFmt w:val="bullet"/>
      <w:lvlText w:val="o"/>
      <w:lvlJc w:val="left"/>
      <w:pPr>
        <w:tabs>
          <w:tab w:val="num" w:pos="3676"/>
        </w:tabs>
        <w:ind w:left="3676" w:hanging="360"/>
      </w:pPr>
      <w:rPr>
        <w:rFonts w:ascii="Courier New" w:hAnsi="Courier New" w:cs="Symbol" w:hint="default"/>
      </w:rPr>
    </w:lvl>
    <w:lvl w:ilvl="5">
      <w:start w:val="1"/>
      <w:numFmt w:val="bullet"/>
      <w:lvlText w:val=""/>
      <w:lvlJc w:val="left"/>
      <w:pPr>
        <w:tabs>
          <w:tab w:val="num" w:pos="4396"/>
        </w:tabs>
        <w:ind w:left="4396" w:hanging="360"/>
      </w:pPr>
      <w:rPr>
        <w:rFonts w:ascii="Wingdings" w:hAnsi="Wingdings" w:hint="default"/>
      </w:rPr>
    </w:lvl>
    <w:lvl w:ilvl="6">
      <w:start w:val="1"/>
      <w:numFmt w:val="bullet"/>
      <w:lvlText w:val=""/>
      <w:lvlJc w:val="left"/>
      <w:pPr>
        <w:tabs>
          <w:tab w:val="num" w:pos="5116"/>
        </w:tabs>
        <w:ind w:left="5116" w:hanging="360"/>
      </w:pPr>
      <w:rPr>
        <w:rFonts w:ascii="Symbol" w:hAnsi="Symbol" w:hint="default"/>
      </w:rPr>
    </w:lvl>
    <w:lvl w:ilvl="7">
      <w:start w:val="1"/>
      <w:numFmt w:val="bullet"/>
      <w:lvlText w:val="o"/>
      <w:lvlJc w:val="left"/>
      <w:pPr>
        <w:tabs>
          <w:tab w:val="num" w:pos="5836"/>
        </w:tabs>
        <w:ind w:left="5836" w:hanging="360"/>
      </w:pPr>
      <w:rPr>
        <w:rFonts w:ascii="Courier New" w:hAnsi="Courier New" w:cs="Symbol" w:hint="default"/>
      </w:rPr>
    </w:lvl>
    <w:lvl w:ilvl="8">
      <w:start w:val="1"/>
      <w:numFmt w:val="bullet"/>
      <w:lvlText w:val=""/>
      <w:lvlJc w:val="left"/>
      <w:pPr>
        <w:tabs>
          <w:tab w:val="num" w:pos="6556"/>
        </w:tabs>
        <w:ind w:left="6556" w:hanging="360"/>
      </w:pPr>
      <w:rPr>
        <w:rFonts w:ascii="Wingdings" w:hAnsi="Wingdings" w:hint="default"/>
      </w:rPr>
    </w:lvl>
  </w:abstractNum>
  <w:abstractNum w:abstractNumId="13">
    <w:nsid w:val="68FA1788"/>
    <w:multiLevelType w:val="hybridMultilevel"/>
    <w:tmpl w:val="E95278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FFE2EAF"/>
    <w:multiLevelType w:val="hybridMultilevel"/>
    <w:tmpl w:val="755834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75982B4A"/>
    <w:multiLevelType w:val="hybridMultilevel"/>
    <w:tmpl w:val="EE6418E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0"/>
  </w:num>
  <w:num w:numId="3">
    <w:abstractNumId w:val="10"/>
  </w:num>
  <w:num w:numId="4">
    <w:abstractNumId w:val="12"/>
  </w:num>
  <w:num w:numId="5">
    <w:abstractNumId w:val="11"/>
  </w:num>
  <w:num w:numId="6">
    <w:abstractNumId w:val="12"/>
  </w:num>
  <w:num w:numId="7">
    <w:abstractNumId w:val="11"/>
  </w:num>
  <w:num w:numId="8">
    <w:abstractNumId w:val="12"/>
  </w:num>
  <w:num w:numId="9">
    <w:abstractNumId w:val="11"/>
  </w:num>
  <w:num w:numId="10">
    <w:abstractNumId w:val="12"/>
  </w:num>
  <w:num w:numId="11">
    <w:abstractNumId w:val="11"/>
  </w:num>
  <w:num w:numId="12">
    <w:abstractNumId w:val="12"/>
  </w:num>
  <w:num w:numId="13">
    <w:abstractNumId w:val="10"/>
  </w:num>
  <w:num w:numId="14">
    <w:abstractNumId w:val="11"/>
  </w:num>
  <w:num w:numId="15">
    <w:abstractNumId w:val="12"/>
  </w:num>
  <w:num w:numId="16">
    <w:abstractNumId w:val="10"/>
  </w:num>
  <w:num w:numId="17">
    <w:abstractNumId w:val="11"/>
  </w:num>
  <w:num w:numId="18">
    <w:abstractNumId w:val="12"/>
  </w:num>
  <w:num w:numId="19">
    <w:abstractNumId w:val="10"/>
  </w:num>
  <w:num w:numId="20">
    <w:abstractNumId w:val="11"/>
  </w:num>
  <w:num w:numId="21">
    <w:abstractNumId w:val="12"/>
  </w:num>
  <w:num w:numId="22">
    <w:abstractNumId w:val="10"/>
  </w:num>
  <w:num w:numId="23">
    <w:abstractNumId w:val="11"/>
  </w:num>
  <w:num w:numId="24">
    <w:abstractNumId w:val="12"/>
  </w:num>
  <w:num w:numId="25">
    <w:abstractNumId w:val="10"/>
  </w:num>
  <w:num w:numId="26">
    <w:abstractNumId w:val="11"/>
  </w:num>
  <w:num w:numId="27">
    <w:abstractNumId w:val="3"/>
  </w:num>
  <w:num w:numId="28">
    <w:abstractNumId w:val="2"/>
  </w:num>
  <w:num w:numId="29">
    <w:abstractNumId w:val="1"/>
  </w:num>
  <w:num w:numId="30">
    <w:abstractNumId w:val="6"/>
  </w:num>
  <w:num w:numId="3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4"/>
  </w:num>
  <w:num w:numId="33">
    <w:abstractNumId w:val="13"/>
  </w:num>
  <w:num w:numId="34">
    <w:abstractNumId w:val="9"/>
  </w:num>
  <w:num w:numId="35">
    <w:abstractNumId w:val="8"/>
  </w:num>
  <w:num w:numId="36">
    <w:abstractNumId w:val="15"/>
  </w:num>
  <w:num w:numId="37">
    <w:abstractNumId w:val="5"/>
  </w:num>
  <w:num w:numId="3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proofState w:spelling="clean" w:grammar="clean"/>
  <w:defaultTabStop w:val="720"/>
  <w:drawingGridHorizontalSpacing w:val="43"/>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56BA"/>
    <w:rsid w:val="00003E67"/>
    <w:rsid w:val="00007199"/>
    <w:rsid w:val="00024DC5"/>
    <w:rsid w:val="00067506"/>
    <w:rsid w:val="00081F33"/>
    <w:rsid w:val="000A624B"/>
    <w:rsid w:val="000B5738"/>
    <w:rsid w:val="000C2ED7"/>
    <w:rsid w:val="000C7E47"/>
    <w:rsid w:val="000D0CCE"/>
    <w:rsid w:val="00117795"/>
    <w:rsid w:val="001342B1"/>
    <w:rsid w:val="0017446A"/>
    <w:rsid w:val="001B700E"/>
    <w:rsid w:val="001C549B"/>
    <w:rsid w:val="001D7664"/>
    <w:rsid w:val="001E42FA"/>
    <w:rsid w:val="001E47A2"/>
    <w:rsid w:val="00233ED4"/>
    <w:rsid w:val="00250C27"/>
    <w:rsid w:val="002A2015"/>
    <w:rsid w:val="002B089F"/>
    <w:rsid w:val="002C1BEA"/>
    <w:rsid w:val="002D09AE"/>
    <w:rsid w:val="002D2A39"/>
    <w:rsid w:val="002E4399"/>
    <w:rsid w:val="002F0F12"/>
    <w:rsid w:val="002F1DC8"/>
    <w:rsid w:val="003008BB"/>
    <w:rsid w:val="00347B30"/>
    <w:rsid w:val="00353F21"/>
    <w:rsid w:val="003958C6"/>
    <w:rsid w:val="003C2939"/>
    <w:rsid w:val="003C4026"/>
    <w:rsid w:val="003D144C"/>
    <w:rsid w:val="00403AAD"/>
    <w:rsid w:val="00417A13"/>
    <w:rsid w:val="00420CF6"/>
    <w:rsid w:val="00447BE9"/>
    <w:rsid w:val="0048685D"/>
    <w:rsid w:val="004A160B"/>
    <w:rsid w:val="004A16A4"/>
    <w:rsid w:val="004A579D"/>
    <w:rsid w:val="004B42A5"/>
    <w:rsid w:val="004C0AE1"/>
    <w:rsid w:val="004E33FA"/>
    <w:rsid w:val="004E60C1"/>
    <w:rsid w:val="00500007"/>
    <w:rsid w:val="005227C3"/>
    <w:rsid w:val="00545505"/>
    <w:rsid w:val="00552D13"/>
    <w:rsid w:val="00573420"/>
    <w:rsid w:val="005A3A59"/>
    <w:rsid w:val="005C21CA"/>
    <w:rsid w:val="005C5C03"/>
    <w:rsid w:val="005E7611"/>
    <w:rsid w:val="00611343"/>
    <w:rsid w:val="00616FE1"/>
    <w:rsid w:val="0062241C"/>
    <w:rsid w:val="00623CB6"/>
    <w:rsid w:val="00630689"/>
    <w:rsid w:val="00641B33"/>
    <w:rsid w:val="00645AAF"/>
    <w:rsid w:val="006556BA"/>
    <w:rsid w:val="00677526"/>
    <w:rsid w:val="00685D9B"/>
    <w:rsid w:val="00694DAC"/>
    <w:rsid w:val="006B6E27"/>
    <w:rsid w:val="006C05AD"/>
    <w:rsid w:val="006D7A94"/>
    <w:rsid w:val="006F4FDE"/>
    <w:rsid w:val="007264FC"/>
    <w:rsid w:val="00742DA0"/>
    <w:rsid w:val="007463D6"/>
    <w:rsid w:val="007607B5"/>
    <w:rsid w:val="00760CAB"/>
    <w:rsid w:val="007650B5"/>
    <w:rsid w:val="00772AE4"/>
    <w:rsid w:val="00774D32"/>
    <w:rsid w:val="007816EE"/>
    <w:rsid w:val="00790D24"/>
    <w:rsid w:val="00797EC9"/>
    <w:rsid w:val="007A4272"/>
    <w:rsid w:val="007F0164"/>
    <w:rsid w:val="007F2FBC"/>
    <w:rsid w:val="00815523"/>
    <w:rsid w:val="00817FC1"/>
    <w:rsid w:val="00843E1E"/>
    <w:rsid w:val="00864042"/>
    <w:rsid w:val="00875F94"/>
    <w:rsid w:val="00877A7B"/>
    <w:rsid w:val="008A17B1"/>
    <w:rsid w:val="008A5EB0"/>
    <w:rsid w:val="008B7EBB"/>
    <w:rsid w:val="008D2445"/>
    <w:rsid w:val="008E43F3"/>
    <w:rsid w:val="008E5808"/>
    <w:rsid w:val="008F187C"/>
    <w:rsid w:val="00910F15"/>
    <w:rsid w:val="00927EEB"/>
    <w:rsid w:val="00933800"/>
    <w:rsid w:val="009422C9"/>
    <w:rsid w:val="00960FD4"/>
    <w:rsid w:val="00970040"/>
    <w:rsid w:val="00972C42"/>
    <w:rsid w:val="009750EA"/>
    <w:rsid w:val="009975ED"/>
    <w:rsid w:val="009C3FF4"/>
    <w:rsid w:val="009D2D89"/>
    <w:rsid w:val="00A0466C"/>
    <w:rsid w:val="00A13871"/>
    <w:rsid w:val="00A30439"/>
    <w:rsid w:val="00A316AA"/>
    <w:rsid w:val="00A453C6"/>
    <w:rsid w:val="00A55345"/>
    <w:rsid w:val="00A8479E"/>
    <w:rsid w:val="00AB6F9D"/>
    <w:rsid w:val="00AE5223"/>
    <w:rsid w:val="00B27029"/>
    <w:rsid w:val="00B317A8"/>
    <w:rsid w:val="00B61039"/>
    <w:rsid w:val="00B646B1"/>
    <w:rsid w:val="00B715A7"/>
    <w:rsid w:val="00B773E6"/>
    <w:rsid w:val="00BC0F7B"/>
    <w:rsid w:val="00BE242A"/>
    <w:rsid w:val="00C11131"/>
    <w:rsid w:val="00C20880"/>
    <w:rsid w:val="00C312C4"/>
    <w:rsid w:val="00C42C46"/>
    <w:rsid w:val="00C562A2"/>
    <w:rsid w:val="00C6141C"/>
    <w:rsid w:val="00C81BF5"/>
    <w:rsid w:val="00C81E36"/>
    <w:rsid w:val="00C877BF"/>
    <w:rsid w:val="00C9376F"/>
    <w:rsid w:val="00C94192"/>
    <w:rsid w:val="00CA3DF0"/>
    <w:rsid w:val="00CD5C8C"/>
    <w:rsid w:val="00D01DF5"/>
    <w:rsid w:val="00D02AF6"/>
    <w:rsid w:val="00D03FC4"/>
    <w:rsid w:val="00D120FF"/>
    <w:rsid w:val="00D12D15"/>
    <w:rsid w:val="00D2033A"/>
    <w:rsid w:val="00D21223"/>
    <w:rsid w:val="00D22050"/>
    <w:rsid w:val="00D309DC"/>
    <w:rsid w:val="00D370F6"/>
    <w:rsid w:val="00D576A2"/>
    <w:rsid w:val="00D609AA"/>
    <w:rsid w:val="00D63968"/>
    <w:rsid w:val="00D65FA2"/>
    <w:rsid w:val="00D90FAD"/>
    <w:rsid w:val="00DC1975"/>
    <w:rsid w:val="00DC1B40"/>
    <w:rsid w:val="00DC3B09"/>
    <w:rsid w:val="00DF1163"/>
    <w:rsid w:val="00E22CD1"/>
    <w:rsid w:val="00E27810"/>
    <w:rsid w:val="00E71E4D"/>
    <w:rsid w:val="00E73FF9"/>
    <w:rsid w:val="00E8521A"/>
    <w:rsid w:val="00EC1EC0"/>
    <w:rsid w:val="00F110DC"/>
    <w:rsid w:val="00F25EF0"/>
    <w:rsid w:val="00F36608"/>
    <w:rsid w:val="00F5652B"/>
    <w:rsid w:val="00F63B79"/>
    <w:rsid w:val="00F64FC5"/>
    <w:rsid w:val="00F73358"/>
    <w:rsid w:val="00F874F7"/>
    <w:rsid w:val="00F957E0"/>
    <w:rsid w:val="00FB3D6C"/>
    <w:rsid w:val="00FC18AB"/>
    <w:rsid w:val="00FC3CEF"/>
    <w:rsid w:val="00FD0142"/>
    <w:rsid w:val="00FE4228"/>
    <w:rsid w:val="00FF3AB3"/>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8193"/>
    <o:shapelayout v:ext="edit">
      <o:idmap v:ext="edit" data="1"/>
    </o:shapelayout>
  </w:shapeDefaults>
  <w:decimalSymbol w:val="."/>
  <w:listSeparator w:val=","/>
  <w14:docId w14:val="2FBF6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szCs w:val="24"/>
        <w:lang w:val="en-AU" w:eastAsia="en-A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lsdException w:name="heading 2" w:semiHidden="0" w:unhideWhenUsed="0"/>
    <w:lsdException w:name="heading 3" w:semiHidden="0" w:unhideWhenUsed="0"/>
    <w:lsdException w:name="heading 4" w:semiHidden="0" w:unhideWhenUsed="0" w:qFormat="1"/>
    <w:lsdException w:name="heading 5" w:semiHidden="0" w:unhideWhenUsed="0"/>
    <w:lsdException w:name="heading 6" w:semiHidden="0" w:unhideWhenUsed="0"/>
    <w:lsdException w:name="annotation text" w:uiPriority="99"/>
    <w:lsdException w:name="header" w:uiPriority="99"/>
    <w:lsdException w:name="footer"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Table Grid" w:semiHidden="0" w:uiPriority="59"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rsid w:val="00D12D15"/>
    <w:pPr>
      <w:spacing w:after="200"/>
    </w:pPr>
    <w:rPr>
      <w:rFonts w:ascii="Arial" w:eastAsiaTheme="minorEastAsia" w:hAnsi="Arial" w:cstheme="minorBidi"/>
      <w:lang w:eastAsia="ja-JP"/>
    </w:rPr>
  </w:style>
  <w:style w:type="paragraph" w:styleId="Heading1">
    <w:name w:val="heading 1"/>
    <w:aliases w:val="h1,Part,Section Heading,Level 1,No numbers,L1,H1,rp_Heading 1,Bold 18,Mil Para 1,Attribute Heading 1,1.,Head1,Heading apps,A MAJOR/BOLD,Para,h1 Char,Section Heading Char,Level 1 Char,No numbers Char,L1 Char,H1 Char,rp_Heading 1 Char,1. Char,T1"/>
    <w:basedOn w:val="Normal"/>
    <w:next w:val="Normal"/>
    <w:autoRedefine/>
    <w:uiPriority w:val="9"/>
    <w:qFormat/>
    <w:rsid w:val="00F874F7"/>
    <w:pPr>
      <w:keepNext/>
      <w:spacing w:before="480" w:after="120"/>
      <w:outlineLvl w:val="0"/>
    </w:pPr>
    <w:rPr>
      <w:rFonts w:cs="Arial"/>
      <w:bCs/>
      <w:color w:val="C0504D" w:themeColor="accent2"/>
      <w:kern w:val="32"/>
      <w:sz w:val="32"/>
      <w:szCs w:val="32"/>
      <w:lang w:val="en-US"/>
    </w:rPr>
  </w:style>
  <w:style w:type="paragraph" w:styleId="Heading2">
    <w:name w:val="heading 2"/>
    <w:aliases w:val="h2,B Sub/Bold,B Sub/Bold1,h2 main heading,Section 1,H2,Section,2m,h 2,body,h2.H2,UNDERRUBRIK 1-2,Chapter Title,Attribute Heading 2,test,Red Ant Heading 2,l2,list 2,list 2,heading 2TOC,Head 2,List level 2,2,Header 2,B Sub/Bold2,B Sub/Bold11"/>
    <w:basedOn w:val="Normal"/>
    <w:next w:val="Normal"/>
    <w:autoRedefine/>
    <w:qFormat/>
    <w:rsid w:val="00F874F7"/>
    <w:pPr>
      <w:keepNext/>
      <w:tabs>
        <w:tab w:val="left" w:pos="710"/>
      </w:tabs>
      <w:spacing w:before="400" w:after="40" w:line="240" w:lineRule="exact"/>
      <w:ind w:left="567"/>
      <w:outlineLvl w:val="1"/>
    </w:pPr>
    <w:rPr>
      <w:rFonts w:cs="Arial"/>
      <w:bCs/>
      <w:iCs/>
      <w:color w:val="D04D35"/>
      <w:szCs w:val="28"/>
      <w:lang w:val="en-US"/>
    </w:rPr>
  </w:style>
  <w:style w:type="paragraph" w:styleId="Heading3">
    <w:name w:val="heading 3"/>
    <w:basedOn w:val="Normal"/>
    <w:next w:val="Normal"/>
    <w:autoRedefine/>
    <w:qFormat/>
    <w:rsid w:val="00F874F7"/>
    <w:pPr>
      <w:keepNext/>
      <w:spacing w:before="320" w:after="120" w:line="240" w:lineRule="exact"/>
      <w:outlineLvl w:val="2"/>
    </w:pPr>
    <w:rPr>
      <w:rFonts w:cs="Arial"/>
      <w:bCs/>
      <w:color w:val="000000" w:themeColor="text1"/>
      <w:szCs w:val="26"/>
    </w:rPr>
  </w:style>
  <w:style w:type="paragraph" w:styleId="Heading4">
    <w:name w:val="heading 4"/>
    <w:basedOn w:val="Normal"/>
    <w:next w:val="Normal"/>
    <w:qFormat/>
    <w:rsid w:val="002D09AE"/>
    <w:pPr>
      <w:keepNext/>
      <w:spacing w:before="320" w:after="60"/>
      <w:outlineLvl w:val="3"/>
    </w:pPr>
    <w:rPr>
      <w:b/>
      <w:bCs/>
      <w:szCs w:val="20"/>
    </w:rPr>
  </w:style>
  <w:style w:type="paragraph" w:styleId="Heading5">
    <w:name w:val="heading 5"/>
    <w:basedOn w:val="Normal"/>
    <w:next w:val="Normal"/>
    <w:qFormat/>
    <w:rsid w:val="002D09AE"/>
    <w:pPr>
      <w:spacing w:before="320" w:after="60"/>
      <w:outlineLvl w:val="4"/>
    </w:pPr>
    <w:rPr>
      <w:b/>
      <w:bCs/>
      <w:i/>
      <w:iCs/>
      <w:szCs w:val="26"/>
    </w:rPr>
  </w:style>
  <w:style w:type="paragraph" w:styleId="Heading6">
    <w:name w:val="heading 6"/>
    <w:basedOn w:val="Normal"/>
    <w:next w:val="Normal"/>
    <w:qFormat/>
    <w:rsid w:val="002D09AE"/>
    <w:pPr>
      <w:keepNext/>
      <w:outlineLvl w:val="5"/>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2D09AE"/>
    <w:pPr>
      <w:tabs>
        <w:tab w:val="center" w:pos="4320"/>
        <w:tab w:val="right" w:pos="8640"/>
      </w:tabs>
    </w:pPr>
    <w:rPr>
      <w:color w:val="000000"/>
      <w:sz w:val="18"/>
      <w:szCs w:val="32"/>
    </w:rPr>
  </w:style>
  <w:style w:type="paragraph" w:styleId="Footer">
    <w:name w:val="footer"/>
    <w:basedOn w:val="Normal"/>
    <w:next w:val="Normal"/>
    <w:link w:val="FooterChar"/>
    <w:uiPriority w:val="99"/>
    <w:rsid w:val="002D09AE"/>
    <w:pPr>
      <w:tabs>
        <w:tab w:val="right" w:pos="8505"/>
      </w:tabs>
    </w:pPr>
    <w:rPr>
      <w:sz w:val="15"/>
    </w:rPr>
  </w:style>
  <w:style w:type="paragraph" w:styleId="BodyText">
    <w:name w:val="Body Text"/>
    <w:basedOn w:val="Normal"/>
    <w:link w:val="BodyTextChar"/>
    <w:semiHidden/>
    <w:rsid w:val="002D09AE"/>
  </w:style>
  <w:style w:type="character" w:styleId="PageNumber">
    <w:name w:val="page number"/>
    <w:semiHidden/>
    <w:rsid w:val="002D09AE"/>
    <w:rPr>
      <w:rFonts w:ascii="Verdana" w:hAnsi="Verdana"/>
      <w:sz w:val="18"/>
      <w:szCs w:val="18"/>
    </w:rPr>
  </w:style>
  <w:style w:type="character" w:styleId="Hyperlink">
    <w:name w:val="Hyperlink"/>
    <w:semiHidden/>
    <w:rsid w:val="002D09AE"/>
    <w:rPr>
      <w:rFonts w:ascii="Verdana" w:hAnsi="Verdana"/>
      <w:color w:val="0000FF"/>
      <w:sz w:val="18"/>
      <w:szCs w:val="18"/>
      <w:u w:val="single"/>
    </w:rPr>
  </w:style>
  <w:style w:type="paragraph" w:styleId="Title">
    <w:name w:val="Title"/>
    <w:basedOn w:val="Normal"/>
    <w:qFormat/>
    <w:rsid w:val="002D09AE"/>
    <w:pPr>
      <w:spacing w:before="320" w:after="60"/>
      <w:outlineLvl w:val="0"/>
    </w:pPr>
    <w:rPr>
      <w:rFonts w:cs="Arial"/>
      <w:bCs/>
      <w:color w:val="FFFFFF"/>
      <w:kern w:val="28"/>
      <w:sz w:val="92"/>
      <w:szCs w:val="56"/>
    </w:rPr>
  </w:style>
  <w:style w:type="paragraph" w:styleId="Subtitle">
    <w:name w:val="Subtitle"/>
    <w:basedOn w:val="Title"/>
    <w:next w:val="Normal"/>
    <w:qFormat/>
    <w:rsid w:val="002D09AE"/>
    <w:pPr>
      <w:spacing w:before="0" w:after="0"/>
      <w:outlineLvl w:val="1"/>
    </w:pPr>
    <w:rPr>
      <w:color w:val="auto"/>
      <w:sz w:val="36"/>
      <w:szCs w:val="24"/>
    </w:rPr>
  </w:style>
  <w:style w:type="paragraph" w:styleId="TOC1">
    <w:name w:val="toc 1"/>
    <w:basedOn w:val="Normal"/>
    <w:next w:val="Normal"/>
    <w:semiHidden/>
    <w:rsid w:val="002D09AE"/>
    <w:pPr>
      <w:tabs>
        <w:tab w:val="right" w:leader="underscore" w:pos="5103"/>
      </w:tabs>
      <w:spacing w:line="360" w:lineRule="auto"/>
    </w:pPr>
  </w:style>
  <w:style w:type="paragraph" w:styleId="TOC2">
    <w:name w:val="toc 2"/>
    <w:basedOn w:val="TOC1"/>
    <w:next w:val="Normal"/>
    <w:semiHidden/>
    <w:rsid w:val="002D09AE"/>
  </w:style>
  <w:style w:type="paragraph" w:styleId="TOC3">
    <w:name w:val="toc 3"/>
    <w:basedOn w:val="Normal"/>
    <w:next w:val="Normal"/>
    <w:autoRedefine/>
    <w:semiHidden/>
    <w:rsid w:val="002D09AE"/>
    <w:pPr>
      <w:ind w:left="360"/>
    </w:pPr>
  </w:style>
  <w:style w:type="paragraph" w:customStyle="1" w:styleId="BodyCopy">
    <w:name w:val="Body Copy"/>
    <w:basedOn w:val="Normal"/>
    <w:rsid w:val="00790D24"/>
    <w:pPr>
      <w:spacing w:line="240" w:lineRule="exact"/>
    </w:pPr>
    <w:rPr>
      <w:color w:val="A6A6A6" w:themeColor="background1" w:themeShade="A6"/>
      <w:sz w:val="18"/>
    </w:rPr>
  </w:style>
  <w:style w:type="paragraph" w:customStyle="1" w:styleId="Table">
    <w:name w:val="Table"/>
    <w:basedOn w:val="Normal"/>
    <w:autoRedefine/>
    <w:qFormat/>
    <w:rsid w:val="00F874F7"/>
    <w:pPr>
      <w:spacing w:before="120" w:after="40" w:line="240" w:lineRule="exact"/>
    </w:pPr>
    <w:rPr>
      <w:sz w:val="16"/>
      <w:lang w:val="en-GB"/>
    </w:rPr>
  </w:style>
  <w:style w:type="paragraph" w:customStyle="1" w:styleId="TableBody">
    <w:name w:val="Table Body"/>
    <w:basedOn w:val="Normal"/>
    <w:autoRedefine/>
    <w:rsid w:val="00F874F7"/>
    <w:pPr>
      <w:widowControl w:val="0"/>
      <w:suppressAutoHyphens/>
      <w:adjustRightInd w:val="0"/>
      <w:spacing w:before="60" w:after="60"/>
      <w:textAlignment w:val="baseline"/>
    </w:pPr>
    <w:rPr>
      <w:rFonts w:cs="Arial"/>
      <w:sz w:val="16"/>
      <w:lang w:val="en-US"/>
    </w:rPr>
  </w:style>
  <w:style w:type="table" w:styleId="TableGrid">
    <w:name w:val="Table Grid"/>
    <w:basedOn w:val="TableNormal"/>
    <w:uiPriority w:val="59"/>
    <w:rsid w:val="00F874F7"/>
    <w:pPr>
      <w:spacing w:before="120" w:after="120" w:line="240" w:lineRule="exact"/>
    </w:pPr>
    <w:rPr>
      <w:rFonts w:ascii="Verdana" w:hAnsi="Verdana"/>
      <w:sz w:val="16"/>
    </w:rPr>
    <w:tblPr>
      <w:tblBorders>
        <w:top w:val="single" w:sz="2" w:space="0" w:color="BFBFBF"/>
        <w:bottom w:val="single" w:sz="2" w:space="0" w:color="BFBFBF"/>
      </w:tblBorders>
    </w:tblPr>
    <w:tcPr>
      <w:shd w:val="clear" w:color="auto" w:fill="F3F3F3"/>
    </w:tcPr>
  </w:style>
  <w:style w:type="paragraph" w:customStyle="1" w:styleId="BulletStyle1">
    <w:name w:val="Bullet Style 1"/>
    <w:basedOn w:val="Normal"/>
    <w:autoRedefine/>
    <w:qFormat/>
    <w:rsid w:val="00F874F7"/>
    <w:pPr>
      <w:spacing w:before="120" w:after="40" w:line="240" w:lineRule="exact"/>
    </w:pPr>
    <w:rPr>
      <w:sz w:val="16"/>
      <w:szCs w:val="20"/>
    </w:rPr>
  </w:style>
  <w:style w:type="character" w:styleId="PlaceholderText">
    <w:name w:val="Placeholder Text"/>
    <w:basedOn w:val="DefaultParagraphFont"/>
    <w:rsid w:val="00007199"/>
    <w:rPr>
      <w:color w:val="808080"/>
    </w:rPr>
  </w:style>
  <w:style w:type="paragraph" w:styleId="BalloonText">
    <w:name w:val="Balloon Text"/>
    <w:basedOn w:val="Normal"/>
    <w:link w:val="BalloonTextChar"/>
    <w:rsid w:val="00007199"/>
    <w:rPr>
      <w:rFonts w:ascii="Tahoma" w:hAnsi="Tahoma" w:cs="Tahoma"/>
      <w:sz w:val="16"/>
      <w:szCs w:val="16"/>
    </w:rPr>
  </w:style>
  <w:style w:type="character" w:customStyle="1" w:styleId="BalloonTextChar">
    <w:name w:val="Balloon Text Char"/>
    <w:basedOn w:val="DefaultParagraphFont"/>
    <w:link w:val="BalloonText"/>
    <w:rsid w:val="00007199"/>
    <w:rPr>
      <w:rFonts w:ascii="Tahoma" w:hAnsi="Tahoma" w:cs="Tahoma"/>
      <w:sz w:val="16"/>
      <w:szCs w:val="16"/>
      <w:lang w:eastAsia="en-US"/>
    </w:rPr>
  </w:style>
  <w:style w:type="character" w:customStyle="1" w:styleId="BodyTextChar">
    <w:name w:val="Body Text Char"/>
    <w:basedOn w:val="DefaultParagraphFont"/>
    <w:link w:val="BodyText"/>
    <w:semiHidden/>
    <w:rsid w:val="00790D24"/>
    <w:rPr>
      <w:rFonts w:ascii="Verdana" w:hAnsi="Verdana"/>
      <w:szCs w:val="18"/>
      <w:lang w:eastAsia="en-US"/>
    </w:rPr>
  </w:style>
  <w:style w:type="paragraph" w:styleId="ListParagraph">
    <w:name w:val="List Paragraph"/>
    <w:basedOn w:val="Normal"/>
    <w:uiPriority w:val="34"/>
    <w:qFormat/>
    <w:rsid w:val="00D12D15"/>
    <w:pPr>
      <w:ind w:left="720"/>
      <w:contextualSpacing/>
    </w:pPr>
  </w:style>
  <w:style w:type="character" w:customStyle="1" w:styleId="HeaderChar">
    <w:name w:val="Header Char"/>
    <w:basedOn w:val="DefaultParagraphFont"/>
    <w:link w:val="Header"/>
    <w:uiPriority w:val="99"/>
    <w:rsid w:val="00067506"/>
    <w:rPr>
      <w:rFonts w:ascii="Arial" w:eastAsiaTheme="minorEastAsia" w:hAnsi="Arial" w:cstheme="minorBidi"/>
      <w:color w:val="000000"/>
      <w:sz w:val="18"/>
      <w:szCs w:val="32"/>
      <w:lang w:eastAsia="ja-JP"/>
    </w:rPr>
  </w:style>
  <w:style w:type="character" w:styleId="FollowedHyperlink">
    <w:name w:val="FollowedHyperlink"/>
    <w:basedOn w:val="DefaultParagraphFont"/>
    <w:rsid w:val="00DF1163"/>
    <w:rPr>
      <w:color w:val="800080" w:themeColor="followedHyperlink"/>
      <w:u w:val="single"/>
    </w:rPr>
  </w:style>
  <w:style w:type="character" w:styleId="CommentReference">
    <w:name w:val="annotation reference"/>
    <w:basedOn w:val="DefaultParagraphFont"/>
    <w:uiPriority w:val="99"/>
    <w:rsid w:val="00A13871"/>
    <w:rPr>
      <w:sz w:val="18"/>
      <w:szCs w:val="18"/>
    </w:rPr>
  </w:style>
  <w:style w:type="paragraph" w:styleId="CommentText">
    <w:name w:val="annotation text"/>
    <w:basedOn w:val="Normal"/>
    <w:link w:val="CommentTextChar"/>
    <w:uiPriority w:val="99"/>
    <w:rsid w:val="00A13871"/>
  </w:style>
  <w:style w:type="character" w:customStyle="1" w:styleId="CommentTextChar">
    <w:name w:val="Comment Text Char"/>
    <w:basedOn w:val="DefaultParagraphFont"/>
    <w:link w:val="CommentText"/>
    <w:uiPriority w:val="99"/>
    <w:rsid w:val="00A13871"/>
    <w:rPr>
      <w:rFonts w:ascii="Arial" w:eastAsiaTheme="minorEastAsia" w:hAnsi="Arial" w:cstheme="minorBidi"/>
      <w:lang w:eastAsia="ja-JP"/>
    </w:rPr>
  </w:style>
  <w:style w:type="paragraph" w:styleId="CommentSubject">
    <w:name w:val="annotation subject"/>
    <w:basedOn w:val="CommentText"/>
    <w:next w:val="CommentText"/>
    <w:link w:val="CommentSubjectChar"/>
    <w:rsid w:val="00A13871"/>
    <w:rPr>
      <w:b/>
      <w:bCs/>
      <w:sz w:val="20"/>
      <w:szCs w:val="20"/>
    </w:rPr>
  </w:style>
  <w:style w:type="character" w:customStyle="1" w:styleId="CommentSubjectChar">
    <w:name w:val="Comment Subject Char"/>
    <w:basedOn w:val="CommentTextChar"/>
    <w:link w:val="CommentSubject"/>
    <w:rsid w:val="00A13871"/>
    <w:rPr>
      <w:rFonts w:ascii="Arial" w:eastAsiaTheme="minorEastAsia" w:hAnsi="Arial" w:cstheme="minorBidi"/>
      <w:b/>
      <w:bCs/>
      <w:sz w:val="20"/>
      <w:szCs w:val="20"/>
      <w:lang w:eastAsia="ja-JP"/>
    </w:rPr>
  </w:style>
  <w:style w:type="character" w:customStyle="1" w:styleId="FooterChar">
    <w:name w:val="Footer Char"/>
    <w:basedOn w:val="DefaultParagraphFont"/>
    <w:link w:val="Footer"/>
    <w:uiPriority w:val="99"/>
    <w:rsid w:val="00772AE4"/>
    <w:rPr>
      <w:rFonts w:ascii="Arial" w:eastAsiaTheme="minorEastAsia" w:hAnsi="Arial" w:cstheme="minorBidi"/>
      <w:sz w:val="15"/>
      <w:lang w:eastAsia="ja-JP"/>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szCs w:val="24"/>
        <w:lang w:val="en-AU" w:eastAsia="en-A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lsdException w:name="heading 2" w:semiHidden="0" w:unhideWhenUsed="0"/>
    <w:lsdException w:name="heading 3" w:semiHidden="0" w:unhideWhenUsed="0"/>
    <w:lsdException w:name="heading 4" w:semiHidden="0" w:unhideWhenUsed="0" w:qFormat="1"/>
    <w:lsdException w:name="heading 5" w:semiHidden="0" w:unhideWhenUsed="0"/>
    <w:lsdException w:name="heading 6" w:semiHidden="0" w:unhideWhenUsed="0"/>
    <w:lsdException w:name="annotation text" w:uiPriority="99"/>
    <w:lsdException w:name="header" w:uiPriority="99"/>
    <w:lsdException w:name="footer" w:uiPriority="99"/>
    <w:lsdException w:name="annotation reference" w:uiPriority="99"/>
    <w:lsdException w:name="List Number" w:semiHidden="0" w:unhideWhenUsed="0"/>
    <w:lsdException w:name="List 4" w:semiHidden="0" w:unhideWhenUsed="0"/>
    <w:lsdException w:name="List 5" w:semiHidden="0" w:unhideWhenUsed="0"/>
    <w:lsdException w:name="Title" w:semiHidden="0" w:unhideWhenUsed="0"/>
    <w:lsdException w:name="Subtitle" w:semiHidden="0" w:unhideWhenUsed="0"/>
    <w:lsdException w:name="Salutation" w:semiHidden="0" w:unhideWhenUsed="0"/>
    <w:lsdException w:name="Date" w:semiHidden="0" w:unhideWhenUsed="0"/>
    <w:lsdException w:name="Body Text First Indent" w:semiHidden="0" w:unhideWhenUsed="0"/>
    <w:lsdException w:name="Strong" w:semiHidden="0" w:unhideWhenUsed="0"/>
    <w:lsdException w:name="Emphasis" w:semiHidden="0" w:unhideWhenUsed="0"/>
    <w:lsdException w:name="Table Grid" w:semiHidden="0" w:uiPriority="59" w:unhideWhenUsed="0"/>
    <w:lsdException w:name="Placeholder Text" w:semiHidden="0" w:unhideWhenUsed="0"/>
    <w:lsdException w:name="No Spacing" w:semiHidden="0" w:unhideWhenUsed="0"/>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nhideWhenUsed="0"/>
    <w:lsdException w:name="Medium Grid 3" w:semiHidden="0" w:unhideWhenUsed="0"/>
    <w:lsdException w:name="Dark List" w:semiHidden="0" w:unhideWhenUsed="0"/>
    <w:lsdException w:name="Colorful Shading" w:semiHidden="0" w:unhideWhenUsed="0"/>
    <w:lsdException w:name="Colorful List" w:semiHidden="0" w:unhideWhenUsed="0"/>
    <w:lsdException w:name="Colorful Grid" w:semiHidden="0" w:unhideWhenUsed="0"/>
    <w:lsdException w:name="Light Shading Accent 1" w:semiHidden="0" w:unhideWhenUsed="0"/>
    <w:lsdException w:name="Light List Accent 1" w:semiHidden="0" w:unhideWhenUsed="0"/>
    <w:lsdException w:name="Light Grid Accent 1" w:semiHidden="0" w:unhideWhenUsed="0"/>
    <w:lsdException w:name="Medium Shading 1 Accent 1" w:semiHidden="0" w:unhideWhenUsed="0"/>
    <w:lsdException w:name="Medium Shading 2 Accent 1" w:semiHidden="0" w:unhideWhenUsed="0"/>
    <w:lsdException w:name="Medium List 1 Accent 1" w:semiHidden="0"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nhideWhenUsed="0"/>
    <w:lsdException w:name="Medium Grid 1 Accent 1" w:semiHidden="0" w:unhideWhenUsed="0"/>
    <w:lsdException w:name="Medium Grid 2 Accent 1" w:semiHidden="0" w:unhideWhenUsed="0"/>
    <w:lsdException w:name="Medium Grid 3 Accent 1" w:semiHidden="0" w:unhideWhenUsed="0"/>
    <w:lsdException w:name="Dark List Accent 1" w:semiHidden="0" w:unhideWhenUsed="0"/>
    <w:lsdException w:name="Colorful Shading Accent 1" w:semiHidden="0" w:unhideWhenUsed="0"/>
    <w:lsdException w:name="Colorful List Accent 1" w:semiHidden="0" w:unhideWhenUsed="0"/>
    <w:lsdException w:name="Colorful Grid Accent 1" w:semiHidden="0" w:unhideWhenUsed="0"/>
    <w:lsdException w:name="Light Shading Accent 2" w:semiHidden="0" w:unhideWhenUsed="0"/>
    <w:lsdException w:name="Light List Accent 2" w:semiHidden="0" w:unhideWhenUsed="0"/>
    <w:lsdException w:name="Light Grid Accent 2" w:semiHidden="0" w:unhideWhenUsed="0"/>
    <w:lsdException w:name="Medium Shading 1 Accent 2" w:semiHidden="0" w:unhideWhenUsed="0"/>
    <w:lsdException w:name="Medium Shading 2 Accent 2" w:semiHidden="0" w:unhideWhenUsed="0"/>
    <w:lsdException w:name="Medium List 1 Accent 2" w:semiHidden="0" w:unhideWhenUsed="0"/>
    <w:lsdException w:name="Medium List 2 Accent 2" w:semiHidden="0" w:unhideWhenUsed="0"/>
    <w:lsdException w:name="Medium Grid 1 Accent 2" w:semiHidden="0" w:unhideWhenUsed="0"/>
    <w:lsdException w:name="Medium Grid 2 Accent 2" w:semiHidden="0" w:unhideWhenUsed="0"/>
    <w:lsdException w:name="Medium Grid 3 Accent 2" w:semiHidden="0" w:unhideWhenUsed="0"/>
    <w:lsdException w:name="Dark List Accent 2" w:semiHidden="0" w:unhideWhenUsed="0"/>
    <w:lsdException w:name="Colorful Shading Accent 2" w:semiHidden="0" w:unhideWhenUsed="0"/>
    <w:lsdException w:name="Colorful List Accent 2" w:semiHidden="0" w:unhideWhenUsed="0"/>
    <w:lsdException w:name="Colorful Grid Accent 2" w:semiHidden="0" w:unhideWhenUsed="0"/>
    <w:lsdException w:name="Light Shading Accent 3" w:semiHidden="0" w:unhideWhenUsed="0"/>
    <w:lsdException w:name="Light List Accent 3" w:semiHidden="0" w:unhideWhenUsed="0"/>
    <w:lsdException w:name="Light Grid Accent 3" w:semiHidden="0" w:unhideWhenUsed="0"/>
    <w:lsdException w:name="Medium Shading 1 Accent 3" w:semiHidden="0" w:unhideWhenUsed="0"/>
    <w:lsdException w:name="Medium Shading 2 Accent 3" w:semiHidden="0" w:unhideWhenUsed="0"/>
    <w:lsdException w:name="Medium List 1 Accent 3" w:semiHidden="0" w:unhideWhenUsed="0"/>
    <w:lsdException w:name="Medium List 2 Accent 3" w:semiHidden="0" w:unhideWhenUsed="0"/>
    <w:lsdException w:name="Medium Grid 1 Accent 3" w:semiHidden="0" w:unhideWhenUsed="0"/>
    <w:lsdException w:name="Medium Grid 2 Accent 3" w:semiHidden="0" w:unhideWhenUsed="0"/>
    <w:lsdException w:name="Medium Grid 3 Accent 3" w:semiHidden="0" w:unhideWhenUsed="0"/>
    <w:lsdException w:name="Dark List Accent 3" w:semiHidden="0" w:unhideWhenUsed="0"/>
    <w:lsdException w:name="Colorful Shading Accent 3" w:semiHidden="0" w:unhideWhenUsed="0"/>
    <w:lsdException w:name="Colorful List Accent 3" w:semiHidden="0" w:unhideWhenUsed="0"/>
    <w:lsdException w:name="Colorful Grid Accent 3" w:semiHidden="0" w:unhideWhenUsed="0"/>
    <w:lsdException w:name="Light Shading Accent 4" w:semiHidden="0" w:unhideWhenUsed="0"/>
    <w:lsdException w:name="Light List Accent 4" w:semiHidden="0" w:unhideWhenUsed="0"/>
    <w:lsdException w:name="Light Grid Accent 4" w:semiHidden="0" w:unhideWhenUsed="0"/>
    <w:lsdException w:name="Medium Shading 1 Accent 4" w:semiHidden="0" w:unhideWhenUsed="0"/>
    <w:lsdException w:name="Medium Shading 2 Accent 4" w:semiHidden="0" w:unhideWhenUsed="0"/>
    <w:lsdException w:name="Medium List 1 Accent 4" w:semiHidden="0" w:unhideWhenUsed="0"/>
    <w:lsdException w:name="Medium List 2 Accent 4" w:semiHidden="0" w:unhideWhenUsed="0"/>
    <w:lsdException w:name="Medium Grid 1 Accent 4" w:semiHidden="0" w:unhideWhenUsed="0"/>
    <w:lsdException w:name="Medium Grid 2 Accent 4" w:semiHidden="0" w:unhideWhenUsed="0"/>
    <w:lsdException w:name="Medium Grid 3 Accent 4" w:semiHidden="0" w:unhideWhenUsed="0"/>
    <w:lsdException w:name="Dark List Accent 4" w:semiHidden="0" w:unhideWhenUsed="0"/>
    <w:lsdException w:name="Colorful Shading Accent 4" w:semiHidden="0" w:unhideWhenUsed="0"/>
    <w:lsdException w:name="Colorful List Accent 4" w:semiHidden="0" w:unhideWhenUsed="0"/>
    <w:lsdException w:name="Colorful Grid Accent 4" w:semiHidden="0" w:unhideWhenUsed="0"/>
    <w:lsdException w:name="Light Shading Accent 5" w:semiHidden="0" w:unhideWhenUsed="0"/>
    <w:lsdException w:name="Light List Accent 5" w:semiHidden="0" w:unhideWhenUsed="0"/>
    <w:lsdException w:name="Light Grid Accent 5" w:semiHidden="0" w:unhideWhenUsed="0"/>
    <w:lsdException w:name="Medium Shading 1 Accent 5" w:semiHidden="0" w:unhideWhenUsed="0"/>
    <w:lsdException w:name="Medium Shading 2 Accent 5" w:semiHidden="0" w:unhideWhenUsed="0"/>
    <w:lsdException w:name="Medium List 1 Accent 5" w:semiHidden="0" w:unhideWhenUsed="0"/>
    <w:lsdException w:name="Medium List 2 Accent 5" w:semiHidden="0" w:unhideWhenUsed="0"/>
    <w:lsdException w:name="Medium Grid 1 Accent 5" w:semiHidden="0" w:unhideWhenUsed="0"/>
    <w:lsdException w:name="Medium Grid 2 Accent 5" w:semiHidden="0" w:unhideWhenUsed="0"/>
    <w:lsdException w:name="Medium Grid 3 Accent 5" w:semiHidden="0" w:unhideWhenUsed="0"/>
    <w:lsdException w:name="Dark List Accent 5" w:semiHidden="0" w:unhideWhenUsed="0"/>
    <w:lsdException w:name="Colorful Shading Accent 5" w:semiHidden="0" w:unhideWhenUsed="0"/>
    <w:lsdException w:name="Colorful List Accent 5" w:semiHidden="0" w:unhideWhenUsed="0"/>
    <w:lsdException w:name="Colorful Grid Accent 5" w:semiHidden="0" w:unhideWhenUsed="0"/>
    <w:lsdException w:name="Light Shading Accent 6" w:semiHidden="0" w:unhideWhenUsed="0"/>
    <w:lsdException w:name="Light List Accent 6" w:semiHidden="0" w:unhideWhenUsed="0"/>
    <w:lsdException w:name="Light Grid Accent 6" w:semiHidden="0" w:unhideWhenUsed="0"/>
    <w:lsdException w:name="Medium Shading 1 Accent 6" w:semiHidden="0" w:unhideWhenUsed="0"/>
    <w:lsdException w:name="Medium Shading 2 Accent 6" w:semiHidden="0" w:unhideWhenUsed="0"/>
    <w:lsdException w:name="Medium List 1 Accent 6" w:semiHidden="0" w:unhideWhenUsed="0"/>
    <w:lsdException w:name="Medium List 2 Accent 6" w:semiHidden="0" w:unhideWhenUsed="0"/>
    <w:lsdException w:name="Medium Grid 1 Accent 6" w:semiHidden="0" w:unhideWhenUsed="0"/>
    <w:lsdException w:name="Medium Grid 2 Accent 6" w:semiHidden="0" w:unhideWhenUsed="0"/>
    <w:lsdException w:name="Medium Grid 3 Accent 6" w:semiHidden="0" w:unhideWhenUsed="0"/>
    <w:lsdException w:name="Dark List Accent 6" w:semiHidden="0" w:unhideWhenUsed="0"/>
    <w:lsdException w:name="Colorful Shading Accent 6" w:semiHidden="0" w:unhideWhenUsed="0"/>
    <w:lsdException w:name="Colorful List Accent 6" w:semiHidden="0" w:unhideWhenUsed="0"/>
    <w:lsdException w:name="Colorful Grid Accent 6" w:semiHidden="0" w:unhideWhenUsed="0"/>
    <w:lsdException w:name="Subtle Emphasis" w:semiHidden="0" w:unhideWhenUsed="0"/>
    <w:lsdException w:name="Intense Emphasis" w:semiHidden="0" w:unhideWhenUsed="0"/>
    <w:lsdException w:name="Subtle Reference" w:semiHidden="0" w:unhideWhenUsed="0"/>
    <w:lsdException w:name="Intense Reference" w:semiHidden="0" w:unhideWhenUsed="0"/>
    <w:lsdException w:name="Book Title" w:semiHidden="0" w:unhideWhenUsed="0"/>
  </w:latentStyles>
  <w:style w:type="paragraph" w:default="1" w:styleId="Normal">
    <w:name w:val="Normal"/>
    <w:qFormat/>
    <w:rsid w:val="00D12D15"/>
    <w:pPr>
      <w:spacing w:after="200"/>
    </w:pPr>
    <w:rPr>
      <w:rFonts w:ascii="Arial" w:eastAsiaTheme="minorEastAsia" w:hAnsi="Arial" w:cstheme="minorBidi"/>
      <w:lang w:eastAsia="ja-JP"/>
    </w:rPr>
  </w:style>
  <w:style w:type="paragraph" w:styleId="Heading1">
    <w:name w:val="heading 1"/>
    <w:aliases w:val="h1,Part,Section Heading,Level 1,No numbers,L1,H1,rp_Heading 1,Bold 18,Mil Para 1,Attribute Heading 1,1.,Head1,Heading apps,A MAJOR/BOLD,Para,h1 Char,Section Heading Char,Level 1 Char,No numbers Char,L1 Char,H1 Char,rp_Heading 1 Char,1. Char,T1"/>
    <w:basedOn w:val="Normal"/>
    <w:next w:val="Normal"/>
    <w:autoRedefine/>
    <w:uiPriority w:val="9"/>
    <w:qFormat/>
    <w:rsid w:val="00F874F7"/>
    <w:pPr>
      <w:keepNext/>
      <w:spacing w:before="480" w:after="120"/>
      <w:outlineLvl w:val="0"/>
    </w:pPr>
    <w:rPr>
      <w:rFonts w:cs="Arial"/>
      <w:bCs/>
      <w:color w:val="C0504D" w:themeColor="accent2"/>
      <w:kern w:val="32"/>
      <w:sz w:val="32"/>
      <w:szCs w:val="32"/>
      <w:lang w:val="en-US"/>
    </w:rPr>
  </w:style>
  <w:style w:type="paragraph" w:styleId="Heading2">
    <w:name w:val="heading 2"/>
    <w:aliases w:val="h2,B Sub/Bold,B Sub/Bold1,h2 main heading,Section 1,H2,Section,2m,h 2,body,h2.H2,UNDERRUBRIK 1-2,Chapter Title,Attribute Heading 2,test,Red Ant Heading 2,l2,list 2,list 2,heading 2TOC,Head 2,List level 2,2,Header 2,B Sub/Bold2,B Sub/Bold11"/>
    <w:basedOn w:val="Normal"/>
    <w:next w:val="Normal"/>
    <w:autoRedefine/>
    <w:qFormat/>
    <w:rsid w:val="00F874F7"/>
    <w:pPr>
      <w:keepNext/>
      <w:tabs>
        <w:tab w:val="left" w:pos="710"/>
      </w:tabs>
      <w:spacing w:before="400" w:after="40" w:line="240" w:lineRule="exact"/>
      <w:ind w:left="567"/>
      <w:outlineLvl w:val="1"/>
    </w:pPr>
    <w:rPr>
      <w:rFonts w:cs="Arial"/>
      <w:bCs/>
      <w:iCs/>
      <w:color w:val="D04D35"/>
      <w:szCs w:val="28"/>
      <w:lang w:val="en-US"/>
    </w:rPr>
  </w:style>
  <w:style w:type="paragraph" w:styleId="Heading3">
    <w:name w:val="heading 3"/>
    <w:basedOn w:val="Normal"/>
    <w:next w:val="Normal"/>
    <w:autoRedefine/>
    <w:qFormat/>
    <w:rsid w:val="00F874F7"/>
    <w:pPr>
      <w:keepNext/>
      <w:spacing w:before="320" w:after="120" w:line="240" w:lineRule="exact"/>
      <w:outlineLvl w:val="2"/>
    </w:pPr>
    <w:rPr>
      <w:rFonts w:cs="Arial"/>
      <w:bCs/>
      <w:color w:val="000000" w:themeColor="text1"/>
      <w:szCs w:val="26"/>
    </w:rPr>
  </w:style>
  <w:style w:type="paragraph" w:styleId="Heading4">
    <w:name w:val="heading 4"/>
    <w:basedOn w:val="Normal"/>
    <w:next w:val="Normal"/>
    <w:qFormat/>
    <w:rsid w:val="002D09AE"/>
    <w:pPr>
      <w:keepNext/>
      <w:spacing w:before="320" w:after="60"/>
      <w:outlineLvl w:val="3"/>
    </w:pPr>
    <w:rPr>
      <w:b/>
      <w:bCs/>
      <w:szCs w:val="20"/>
    </w:rPr>
  </w:style>
  <w:style w:type="paragraph" w:styleId="Heading5">
    <w:name w:val="heading 5"/>
    <w:basedOn w:val="Normal"/>
    <w:next w:val="Normal"/>
    <w:qFormat/>
    <w:rsid w:val="002D09AE"/>
    <w:pPr>
      <w:spacing w:before="320" w:after="60"/>
      <w:outlineLvl w:val="4"/>
    </w:pPr>
    <w:rPr>
      <w:b/>
      <w:bCs/>
      <w:i/>
      <w:iCs/>
      <w:szCs w:val="26"/>
    </w:rPr>
  </w:style>
  <w:style w:type="paragraph" w:styleId="Heading6">
    <w:name w:val="heading 6"/>
    <w:basedOn w:val="Normal"/>
    <w:next w:val="Normal"/>
    <w:qFormat/>
    <w:rsid w:val="002D09AE"/>
    <w:pPr>
      <w:keepNext/>
      <w:outlineLvl w:val="5"/>
    </w:pPr>
    <w:rPr>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2D09AE"/>
    <w:pPr>
      <w:tabs>
        <w:tab w:val="center" w:pos="4320"/>
        <w:tab w:val="right" w:pos="8640"/>
      </w:tabs>
    </w:pPr>
    <w:rPr>
      <w:color w:val="000000"/>
      <w:sz w:val="18"/>
      <w:szCs w:val="32"/>
    </w:rPr>
  </w:style>
  <w:style w:type="paragraph" w:styleId="Footer">
    <w:name w:val="footer"/>
    <w:basedOn w:val="Normal"/>
    <w:next w:val="Normal"/>
    <w:link w:val="FooterChar"/>
    <w:uiPriority w:val="99"/>
    <w:rsid w:val="002D09AE"/>
    <w:pPr>
      <w:tabs>
        <w:tab w:val="right" w:pos="8505"/>
      </w:tabs>
    </w:pPr>
    <w:rPr>
      <w:sz w:val="15"/>
    </w:rPr>
  </w:style>
  <w:style w:type="paragraph" w:styleId="BodyText">
    <w:name w:val="Body Text"/>
    <w:basedOn w:val="Normal"/>
    <w:link w:val="BodyTextChar"/>
    <w:semiHidden/>
    <w:rsid w:val="002D09AE"/>
  </w:style>
  <w:style w:type="character" w:styleId="PageNumber">
    <w:name w:val="page number"/>
    <w:semiHidden/>
    <w:rsid w:val="002D09AE"/>
    <w:rPr>
      <w:rFonts w:ascii="Verdana" w:hAnsi="Verdana"/>
      <w:sz w:val="18"/>
      <w:szCs w:val="18"/>
    </w:rPr>
  </w:style>
  <w:style w:type="character" w:styleId="Hyperlink">
    <w:name w:val="Hyperlink"/>
    <w:semiHidden/>
    <w:rsid w:val="002D09AE"/>
    <w:rPr>
      <w:rFonts w:ascii="Verdana" w:hAnsi="Verdana"/>
      <w:color w:val="0000FF"/>
      <w:sz w:val="18"/>
      <w:szCs w:val="18"/>
      <w:u w:val="single"/>
    </w:rPr>
  </w:style>
  <w:style w:type="paragraph" w:styleId="Title">
    <w:name w:val="Title"/>
    <w:basedOn w:val="Normal"/>
    <w:qFormat/>
    <w:rsid w:val="002D09AE"/>
    <w:pPr>
      <w:spacing w:before="320" w:after="60"/>
      <w:outlineLvl w:val="0"/>
    </w:pPr>
    <w:rPr>
      <w:rFonts w:cs="Arial"/>
      <w:bCs/>
      <w:color w:val="FFFFFF"/>
      <w:kern w:val="28"/>
      <w:sz w:val="92"/>
      <w:szCs w:val="56"/>
    </w:rPr>
  </w:style>
  <w:style w:type="paragraph" w:styleId="Subtitle">
    <w:name w:val="Subtitle"/>
    <w:basedOn w:val="Title"/>
    <w:next w:val="Normal"/>
    <w:qFormat/>
    <w:rsid w:val="002D09AE"/>
    <w:pPr>
      <w:spacing w:before="0" w:after="0"/>
      <w:outlineLvl w:val="1"/>
    </w:pPr>
    <w:rPr>
      <w:color w:val="auto"/>
      <w:sz w:val="36"/>
      <w:szCs w:val="24"/>
    </w:rPr>
  </w:style>
  <w:style w:type="paragraph" w:styleId="TOC1">
    <w:name w:val="toc 1"/>
    <w:basedOn w:val="Normal"/>
    <w:next w:val="Normal"/>
    <w:semiHidden/>
    <w:rsid w:val="002D09AE"/>
    <w:pPr>
      <w:tabs>
        <w:tab w:val="right" w:leader="underscore" w:pos="5103"/>
      </w:tabs>
      <w:spacing w:line="360" w:lineRule="auto"/>
    </w:pPr>
  </w:style>
  <w:style w:type="paragraph" w:styleId="TOC2">
    <w:name w:val="toc 2"/>
    <w:basedOn w:val="TOC1"/>
    <w:next w:val="Normal"/>
    <w:semiHidden/>
    <w:rsid w:val="002D09AE"/>
  </w:style>
  <w:style w:type="paragraph" w:styleId="TOC3">
    <w:name w:val="toc 3"/>
    <w:basedOn w:val="Normal"/>
    <w:next w:val="Normal"/>
    <w:autoRedefine/>
    <w:semiHidden/>
    <w:rsid w:val="002D09AE"/>
    <w:pPr>
      <w:ind w:left="360"/>
    </w:pPr>
  </w:style>
  <w:style w:type="paragraph" w:customStyle="1" w:styleId="BodyCopy">
    <w:name w:val="Body Copy"/>
    <w:basedOn w:val="Normal"/>
    <w:rsid w:val="00790D24"/>
    <w:pPr>
      <w:spacing w:line="240" w:lineRule="exact"/>
    </w:pPr>
    <w:rPr>
      <w:color w:val="A6A6A6" w:themeColor="background1" w:themeShade="A6"/>
      <w:sz w:val="18"/>
    </w:rPr>
  </w:style>
  <w:style w:type="paragraph" w:customStyle="1" w:styleId="Table">
    <w:name w:val="Table"/>
    <w:basedOn w:val="Normal"/>
    <w:autoRedefine/>
    <w:qFormat/>
    <w:rsid w:val="00F874F7"/>
    <w:pPr>
      <w:spacing w:before="120" w:after="40" w:line="240" w:lineRule="exact"/>
    </w:pPr>
    <w:rPr>
      <w:sz w:val="16"/>
      <w:lang w:val="en-GB"/>
    </w:rPr>
  </w:style>
  <w:style w:type="paragraph" w:customStyle="1" w:styleId="TableBody">
    <w:name w:val="Table Body"/>
    <w:basedOn w:val="Normal"/>
    <w:autoRedefine/>
    <w:rsid w:val="00F874F7"/>
    <w:pPr>
      <w:widowControl w:val="0"/>
      <w:suppressAutoHyphens/>
      <w:adjustRightInd w:val="0"/>
      <w:spacing w:before="60" w:after="60"/>
      <w:textAlignment w:val="baseline"/>
    </w:pPr>
    <w:rPr>
      <w:rFonts w:cs="Arial"/>
      <w:sz w:val="16"/>
      <w:lang w:val="en-US"/>
    </w:rPr>
  </w:style>
  <w:style w:type="table" w:styleId="TableGrid">
    <w:name w:val="Table Grid"/>
    <w:basedOn w:val="TableNormal"/>
    <w:uiPriority w:val="59"/>
    <w:rsid w:val="00F874F7"/>
    <w:pPr>
      <w:spacing w:before="120" w:after="120" w:line="240" w:lineRule="exact"/>
    </w:pPr>
    <w:rPr>
      <w:rFonts w:ascii="Verdana" w:hAnsi="Verdana"/>
      <w:sz w:val="16"/>
    </w:rPr>
    <w:tblPr>
      <w:tblBorders>
        <w:top w:val="single" w:sz="2" w:space="0" w:color="BFBFBF"/>
        <w:bottom w:val="single" w:sz="2" w:space="0" w:color="BFBFBF"/>
      </w:tblBorders>
    </w:tblPr>
    <w:tcPr>
      <w:shd w:val="clear" w:color="auto" w:fill="F3F3F3"/>
    </w:tcPr>
  </w:style>
  <w:style w:type="paragraph" w:customStyle="1" w:styleId="BulletStyle1">
    <w:name w:val="Bullet Style 1"/>
    <w:basedOn w:val="Normal"/>
    <w:autoRedefine/>
    <w:qFormat/>
    <w:rsid w:val="00F874F7"/>
    <w:pPr>
      <w:spacing w:before="120" w:after="40" w:line="240" w:lineRule="exact"/>
    </w:pPr>
    <w:rPr>
      <w:sz w:val="16"/>
      <w:szCs w:val="20"/>
    </w:rPr>
  </w:style>
  <w:style w:type="character" w:styleId="PlaceholderText">
    <w:name w:val="Placeholder Text"/>
    <w:basedOn w:val="DefaultParagraphFont"/>
    <w:rsid w:val="00007199"/>
    <w:rPr>
      <w:color w:val="808080"/>
    </w:rPr>
  </w:style>
  <w:style w:type="paragraph" w:styleId="BalloonText">
    <w:name w:val="Balloon Text"/>
    <w:basedOn w:val="Normal"/>
    <w:link w:val="BalloonTextChar"/>
    <w:rsid w:val="00007199"/>
    <w:rPr>
      <w:rFonts w:ascii="Tahoma" w:hAnsi="Tahoma" w:cs="Tahoma"/>
      <w:sz w:val="16"/>
      <w:szCs w:val="16"/>
    </w:rPr>
  </w:style>
  <w:style w:type="character" w:customStyle="1" w:styleId="BalloonTextChar">
    <w:name w:val="Balloon Text Char"/>
    <w:basedOn w:val="DefaultParagraphFont"/>
    <w:link w:val="BalloonText"/>
    <w:rsid w:val="00007199"/>
    <w:rPr>
      <w:rFonts w:ascii="Tahoma" w:hAnsi="Tahoma" w:cs="Tahoma"/>
      <w:sz w:val="16"/>
      <w:szCs w:val="16"/>
      <w:lang w:eastAsia="en-US"/>
    </w:rPr>
  </w:style>
  <w:style w:type="character" w:customStyle="1" w:styleId="BodyTextChar">
    <w:name w:val="Body Text Char"/>
    <w:basedOn w:val="DefaultParagraphFont"/>
    <w:link w:val="BodyText"/>
    <w:semiHidden/>
    <w:rsid w:val="00790D24"/>
    <w:rPr>
      <w:rFonts w:ascii="Verdana" w:hAnsi="Verdana"/>
      <w:szCs w:val="18"/>
      <w:lang w:eastAsia="en-US"/>
    </w:rPr>
  </w:style>
  <w:style w:type="paragraph" w:styleId="ListParagraph">
    <w:name w:val="List Paragraph"/>
    <w:basedOn w:val="Normal"/>
    <w:uiPriority w:val="34"/>
    <w:qFormat/>
    <w:rsid w:val="00D12D15"/>
    <w:pPr>
      <w:ind w:left="720"/>
      <w:contextualSpacing/>
    </w:pPr>
  </w:style>
  <w:style w:type="character" w:customStyle="1" w:styleId="HeaderChar">
    <w:name w:val="Header Char"/>
    <w:basedOn w:val="DefaultParagraphFont"/>
    <w:link w:val="Header"/>
    <w:uiPriority w:val="99"/>
    <w:rsid w:val="00067506"/>
    <w:rPr>
      <w:rFonts w:ascii="Arial" w:eastAsiaTheme="minorEastAsia" w:hAnsi="Arial" w:cstheme="minorBidi"/>
      <w:color w:val="000000"/>
      <w:sz w:val="18"/>
      <w:szCs w:val="32"/>
      <w:lang w:eastAsia="ja-JP"/>
    </w:rPr>
  </w:style>
  <w:style w:type="character" w:styleId="FollowedHyperlink">
    <w:name w:val="FollowedHyperlink"/>
    <w:basedOn w:val="DefaultParagraphFont"/>
    <w:rsid w:val="00DF1163"/>
    <w:rPr>
      <w:color w:val="800080" w:themeColor="followedHyperlink"/>
      <w:u w:val="single"/>
    </w:rPr>
  </w:style>
  <w:style w:type="character" w:styleId="CommentReference">
    <w:name w:val="annotation reference"/>
    <w:basedOn w:val="DefaultParagraphFont"/>
    <w:uiPriority w:val="99"/>
    <w:rsid w:val="00A13871"/>
    <w:rPr>
      <w:sz w:val="18"/>
      <w:szCs w:val="18"/>
    </w:rPr>
  </w:style>
  <w:style w:type="paragraph" w:styleId="CommentText">
    <w:name w:val="annotation text"/>
    <w:basedOn w:val="Normal"/>
    <w:link w:val="CommentTextChar"/>
    <w:uiPriority w:val="99"/>
    <w:rsid w:val="00A13871"/>
  </w:style>
  <w:style w:type="character" w:customStyle="1" w:styleId="CommentTextChar">
    <w:name w:val="Comment Text Char"/>
    <w:basedOn w:val="DefaultParagraphFont"/>
    <w:link w:val="CommentText"/>
    <w:uiPriority w:val="99"/>
    <w:rsid w:val="00A13871"/>
    <w:rPr>
      <w:rFonts w:ascii="Arial" w:eastAsiaTheme="minorEastAsia" w:hAnsi="Arial" w:cstheme="minorBidi"/>
      <w:lang w:eastAsia="ja-JP"/>
    </w:rPr>
  </w:style>
  <w:style w:type="paragraph" w:styleId="CommentSubject">
    <w:name w:val="annotation subject"/>
    <w:basedOn w:val="CommentText"/>
    <w:next w:val="CommentText"/>
    <w:link w:val="CommentSubjectChar"/>
    <w:rsid w:val="00A13871"/>
    <w:rPr>
      <w:b/>
      <w:bCs/>
      <w:sz w:val="20"/>
      <w:szCs w:val="20"/>
    </w:rPr>
  </w:style>
  <w:style w:type="character" w:customStyle="1" w:styleId="CommentSubjectChar">
    <w:name w:val="Comment Subject Char"/>
    <w:basedOn w:val="CommentTextChar"/>
    <w:link w:val="CommentSubject"/>
    <w:rsid w:val="00A13871"/>
    <w:rPr>
      <w:rFonts w:ascii="Arial" w:eastAsiaTheme="minorEastAsia" w:hAnsi="Arial" w:cstheme="minorBidi"/>
      <w:b/>
      <w:bCs/>
      <w:sz w:val="20"/>
      <w:szCs w:val="20"/>
      <w:lang w:eastAsia="ja-JP"/>
    </w:rPr>
  </w:style>
  <w:style w:type="character" w:customStyle="1" w:styleId="FooterChar">
    <w:name w:val="Footer Char"/>
    <w:basedOn w:val="DefaultParagraphFont"/>
    <w:link w:val="Footer"/>
    <w:uiPriority w:val="99"/>
    <w:rsid w:val="00772AE4"/>
    <w:rPr>
      <w:rFonts w:ascii="Arial" w:eastAsiaTheme="minorEastAsia" w:hAnsi="Arial" w:cstheme="minorBidi"/>
      <w:sz w:val="15"/>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755822">
      <w:bodyDiv w:val="1"/>
      <w:marLeft w:val="0"/>
      <w:marRight w:val="0"/>
      <w:marTop w:val="0"/>
      <w:marBottom w:val="0"/>
      <w:divBdr>
        <w:top w:val="none" w:sz="0" w:space="0" w:color="auto"/>
        <w:left w:val="none" w:sz="0" w:space="0" w:color="auto"/>
        <w:bottom w:val="none" w:sz="0" w:space="0" w:color="auto"/>
        <w:right w:val="none" w:sz="0" w:space="0" w:color="auto"/>
      </w:divBdr>
    </w:div>
    <w:div w:id="125587322">
      <w:bodyDiv w:val="1"/>
      <w:marLeft w:val="0"/>
      <w:marRight w:val="0"/>
      <w:marTop w:val="0"/>
      <w:marBottom w:val="0"/>
      <w:divBdr>
        <w:top w:val="none" w:sz="0" w:space="0" w:color="auto"/>
        <w:left w:val="none" w:sz="0" w:space="0" w:color="auto"/>
        <w:bottom w:val="none" w:sz="0" w:space="0" w:color="auto"/>
        <w:right w:val="none" w:sz="0" w:space="0" w:color="auto"/>
      </w:divBdr>
    </w:div>
    <w:div w:id="320043900">
      <w:bodyDiv w:val="1"/>
      <w:marLeft w:val="0"/>
      <w:marRight w:val="0"/>
      <w:marTop w:val="0"/>
      <w:marBottom w:val="0"/>
      <w:divBdr>
        <w:top w:val="none" w:sz="0" w:space="0" w:color="auto"/>
        <w:left w:val="none" w:sz="0" w:space="0" w:color="auto"/>
        <w:bottom w:val="none" w:sz="0" w:space="0" w:color="auto"/>
        <w:right w:val="none" w:sz="0" w:space="0" w:color="auto"/>
      </w:divBdr>
    </w:div>
    <w:div w:id="1286080478">
      <w:bodyDiv w:val="1"/>
      <w:marLeft w:val="0"/>
      <w:marRight w:val="0"/>
      <w:marTop w:val="0"/>
      <w:marBottom w:val="0"/>
      <w:divBdr>
        <w:top w:val="none" w:sz="0" w:space="0" w:color="auto"/>
        <w:left w:val="none" w:sz="0" w:space="0" w:color="auto"/>
        <w:bottom w:val="none" w:sz="0" w:space="0" w:color="auto"/>
        <w:right w:val="none" w:sz="0" w:space="0" w:color="auto"/>
      </w:divBdr>
    </w:div>
    <w:div w:id="1662346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ysubmissions@rba.gov.au" TargetMode="External"/><Relationship Id="rId13" Type="http://schemas.openxmlformats.org/officeDocument/2006/relationships/header" Target="head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2" Type="http://schemas.openxmlformats.org/officeDocument/2006/relationships/hyperlink" Target="http://www.cuscal.com.au" TargetMode="External"/><Relationship Id="rId1" Type="http://schemas.openxmlformats.org/officeDocument/2006/relationships/hyperlink" Target="http://www.cuscal.com.a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C1D31B4D.dotm</Template>
  <TotalTime>0</TotalTime>
  <Pages>6</Pages>
  <Words>2029</Words>
  <Characters>11570</Characters>
  <Application>Microsoft Office Word</Application>
  <DocSecurity>0</DocSecurity>
  <Lines>96</Lines>
  <Paragraphs>27</Paragraphs>
  <ScaleCrop>false</ScaleCrop>
  <Company/>
  <LinksUpToDate>false</LinksUpToDate>
  <CharactersWithSpaces>13572</CharactersWithSpaces>
  <SharedDoc>false</SharedDoc>
  <HLinks>
    <vt:vector size="6" baseType="variant">
      <vt:variant>
        <vt:i4>5177437</vt:i4>
      </vt:variant>
      <vt:variant>
        <vt:i4>-1</vt:i4>
      </vt:variant>
      <vt:variant>
        <vt:i4>1040</vt:i4>
      </vt:variant>
      <vt:variant>
        <vt:i4>1</vt:i4>
      </vt:variant>
      <vt:variant>
        <vt:lpwstr>Cuscal logo vertical</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2016-02-08T02:50:00Z</dcterms:created>
  <dcterms:modified xsi:type="dcterms:W3CDTF">2016-02-08T02:50:00Z</dcterms:modified>
</cp:coreProperties>
</file>