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2507" w:rsidRDefault="00FD2507" w:rsidP="00FD2507">
      <w:pPr>
        <w:pStyle w:val="NoSpacing"/>
        <w:sectPr w:rsidR="00FD2507" w:rsidSect="001B1796">
          <w:headerReference w:type="even" r:id="rId9"/>
          <w:headerReference w:type="default" r:id="rId10"/>
          <w:footerReference w:type="even" r:id="rId11"/>
          <w:footerReference w:type="default" r:id="rId12"/>
          <w:headerReference w:type="first" r:id="rId13"/>
          <w:footerReference w:type="first" r:id="rId14"/>
          <w:pgSz w:w="11907" w:h="16839" w:code="9"/>
          <w:pgMar w:top="2778" w:right="1275" w:bottom="1276" w:left="1701" w:header="720" w:footer="595" w:gutter="0"/>
          <w:cols w:space="720"/>
          <w:docGrid w:linePitch="360"/>
        </w:sectPr>
      </w:pPr>
      <w:bookmarkStart w:id="0" w:name="_GoBack"/>
      <w:bookmarkEnd w:id="0"/>
    </w:p>
    <w:p w:rsidR="00F10518" w:rsidRDefault="00554987" w:rsidP="00F10518">
      <w:pPr>
        <w:rPr>
          <w:szCs w:val="20"/>
        </w:rPr>
      </w:pPr>
      <w:r>
        <w:rPr>
          <w:szCs w:val="20"/>
        </w:rPr>
        <w:lastRenderedPageBreak/>
        <w:t>4</w:t>
      </w:r>
      <w:r w:rsidR="00F10518">
        <w:rPr>
          <w:szCs w:val="20"/>
        </w:rPr>
        <w:t xml:space="preserve"> February 2016</w:t>
      </w:r>
    </w:p>
    <w:p w:rsidR="00F10518" w:rsidRDefault="00F10518" w:rsidP="00F10518">
      <w:pPr>
        <w:rPr>
          <w:szCs w:val="20"/>
        </w:rPr>
      </w:pPr>
    </w:p>
    <w:p w:rsidR="00F10518" w:rsidRDefault="00F10518" w:rsidP="00F10518">
      <w:pPr>
        <w:rPr>
          <w:szCs w:val="20"/>
        </w:rPr>
      </w:pPr>
    </w:p>
    <w:p w:rsidR="00F10518" w:rsidRDefault="00F10518" w:rsidP="00F10518">
      <w:pPr>
        <w:rPr>
          <w:szCs w:val="20"/>
        </w:rPr>
      </w:pPr>
      <w:r>
        <w:rPr>
          <w:szCs w:val="20"/>
        </w:rPr>
        <w:t>Dr Tony Richards</w:t>
      </w:r>
    </w:p>
    <w:p w:rsidR="00F10518" w:rsidRDefault="00F10518" w:rsidP="00F10518">
      <w:pPr>
        <w:rPr>
          <w:szCs w:val="20"/>
        </w:rPr>
      </w:pPr>
      <w:r>
        <w:rPr>
          <w:szCs w:val="20"/>
        </w:rPr>
        <w:t>Head of Payments Policy Department</w:t>
      </w:r>
    </w:p>
    <w:p w:rsidR="00F10518" w:rsidRDefault="00F10518" w:rsidP="00F10518">
      <w:pPr>
        <w:rPr>
          <w:szCs w:val="20"/>
        </w:rPr>
      </w:pPr>
      <w:r>
        <w:rPr>
          <w:szCs w:val="20"/>
        </w:rPr>
        <w:t>Reserve Bank of Australia</w:t>
      </w:r>
    </w:p>
    <w:p w:rsidR="00F10518" w:rsidRPr="00F10518" w:rsidRDefault="00F10518" w:rsidP="00F10518">
      <w:pPr>
        <w:rPr>
          <w:szCs w:val="20"/>
        </w:rPr>
      </w:pPr>
      <w:r w:rsidRPr="00F10518">
        <w:rPr>
          <w:szCs w:val="20"/>
        </w:rPr>
        <w:t>GPO Box 3947</w:t>
      </w:r>
    </w:p>
    <w:p w:rsidR="00F10518" w:rsidRDefault="00F10518" w:rsidP="00F10518">
      <w:pPr>
        <w:rPr>
          <w:szCs w:val="20"/>
        </w:rPr>
      </w:pPr>
      <w:r w:rsidRPr="00F10518">
        <w:rPr>
          <w:szCs w:val="20"/>
        </w:rPr>
        <w:t>SYDNEY NSW 2001</w:t>
      </w:r>
    </w:p>
    <w:p w:rsidR="00F10518" w:rsidRDefault="00F10518" w:rsidP="00F10518">
      <w:pPr>
        <w:rPr>
          <w:szCs w:val="20"/>
        </w:rPr>
      </w:pPr>
    </w:p>
    <w:p w:rsidR="00F10518" w:rsidRDefault="00F10518" w:rsidP="00F10518">
      <w:pPr>
        <w:rPr>
          <w:szCs w:val="20"/>
        </w:rPr>
      </w:pPr>
    </w:p>
    <w:p w:rsidR="00F10518" w:rsidRDefault="00F10518" w:rsidP="00F10518">
      <w:pPr>
        <w:rPr>
          <w:szCs w:val="20"/>
        </w:rPr>
      </w:pPr>
      <w:r>
        <w:t xml:space="preserve">By email: </w:t>
      </w:r>
      <w:hyperlink r:id="rId15" w:history="1">
        <w:r w:rsidRPr="003118AF">
          <w:rPr>
            <w:rStyle w:val="Hyperlink"/>
            <w:szCs w:val="20"/>
          </w:rPr>
          <w:t>pysubmissions@rba.gov.au</w:t>
        </w:r>
      </w:hyperlink>
    </w:p>
    <w:p w:rsidR="00F10518" w:rsidRDefault="00F10518" w:rsidP="00F10518">
      <w:pPr>
        <w:rPr>
          <w:szCs w:val="20"/>
        </w:rPr>
      </w:pPr>
    </w:p>
    <w:p w:rsidR="00F10518" w:rsidRDefault="00F10518" w:rsidP="00F10518">
      <w:pPr>
        <w:rPr>
          <w:szCs w:val="20"/>
        </w:rPr>
      </w:pPr>
    </w:p>
    <w:p w:rsidR="00F10518" w:rsidRDefault="00F10518" w:rsidP="00F10518">
      <w:pPr>
        <w:rPr>
          <w:szCs w:val="20"/>
        </w:rPr>
      </w:pPr>
      <w:r>
        <w:rPr>
          <w:szCs w:val="20"/>
        </w:rPr>
        <w:t>Dear Dr Richards</w:t>
      </w:r>
    </w:p>
    <w:p w:rsidR="00F10518" w:rsidRDefault="00F10518" w:rsidP="00F10518">
      <w:pPr>
        <w:rPr>
          <w:szCs w:val="20"/>
        </w:rPr>
      </w:pPr>
    </w:p>
    <w:p w:rsidR="00F10518" w:rsidRPr="00F10518" w:rsidRDefault="00F10518" w:rsidP="00F10518">
      <w:pPr>
        <w:rPr>
          <w:b/>
          <w:szCs w:val="20"/>
        </w:rPr>
      </w:pPr>
      <w:r w:rsidRPr="00F10518">
        <w:rPr>
          <w:b/>
          <w:szCs w:val="20"/>
        </w:rPr>
        <w:t>Review of Card Payments Regulation - Consultation Paper 2015</w:t>
      </w:r>
    </w:p>
    <w:p w:rsidR="00F10518" w:rsidRPr="00F10518" w:rsidRDefault="00F10518" w:rsidP="00F10518">
      <w:pPr>
        <w:rPr>
          <w:b/>
          <w:szCs w:val="20"/>
        </w:rPr>
      </w:pPr>
    </w:p>
    <w:p w:rsidR="00F10518" w:rsidRDefault="00F10518" w:rsidP="00F10518">
      <w:pPr>
        <w:rPr>
          <w:szCs w:val="20"/>
        </w:rPr>
      </w:pPr>
      <w:r>
        <w:rPr>
          <w:szCs w:val="20"/>
        </w:rPr>
        <w:t>Thank you for the opportunity to comment on the RBA’s preliminary conclusions on the future of card payments regulation in Australia.</w:t>
      </w:r>
    </w:p>
    <w:p w:rsidR="00F10518" w:rsidRDefault="00F10518" w:rsidP="00F10518">
      <w:pPr>
        <w:rPr>
          <w:szCs w:val="20"/>
        </w:rPr>
      </w:pPr>
    </w:p>
    <w:p w:rsidR="00F10518" w:rsidRDefault="00F10518" w:rsidP="00F10518">
      <w:pPr>
        <w:rPr>
          <w:szCs w:val="20"/>
        </w:rPr>
      </w:pPr>
      <w:r>
        <w:rPr>
          <w:szCs w:val="20"/>
        </w:rPr>
        <w:t>COBA represents the customer-owned banking sector, i.e. credit unions, building societies and mutual banks, and we bring a card-issuer and cardholder perspective to policy debate on card payments regulation.</w:t>
      </w:r>
    </w:p>
    <w:p w:rsidR="00F10518" w:rsidRDefault="00F10518" w:rsidP="00F10518">
      <w:pPr>
        <w:rPr>
          <w:szCs w:val="20"/>
        </w:rPr>
      </w:pPr>
    </w:p>
    <w:p w:rsidR="00F10518" w:rsidRDefault="00F10518" w:rsidP="00F10518">
      <w:pPr>
        <w:rPr>
          <w:szCs w:val="20"/>
        </w:rPr>
      </w:pPr>
      <w:r>
        <w:rPr>
          <w:szCs w:val="20"/>
        </w:rPr>
        <w:t xml:space="preserve">Customer-owned banking institutions have 4 million customers and total assets of $96 billion. The customer-owned banking sector was the early adopter of scheme debit in the Australian market and </w:t>
      </w:r>
      <w:r w:rsidR="006F6938">
        <w:rPr>
          <w:szCs w:val="20"/>
        </w:rPr>
        <w:t xml:space="preserve">is </w:t>
      </w:r>
      <w:r>
        <w:rPr>
          <w:szCs w:val="20"/>
        </w:rPr>
        <w:t xml:space="preserve">a </w:t>
      </w:r>
      <w:r w:rsidR="00F02EE9">
        <w:rPr>
          <w:szCs w:val="20"/>
        </w:rPr>
        <w:t>significant issuer of debit cards</w:t>
      </w:r>
      <w:r>
        <w:rPr>
          <w:szCs w:val="20"/>
        </w:rPr>
        <w:t>.</w:t>
      </w:r>
    </w:p>
    <w:p w:rsidR="00F10518" w:rsidRDefault="00F10518" w:rsidP="00F10518">
      <w:pPr>
        <w:rPr>
          <w:szCs w:val="20"/>
        </w:rPr>
      </w:pPr>
    </w:p>
    <w:p w:rsidR="00F10518" w:rsidRDefault="00F10518" w:rsidP="00F10518">
      <w:pPr>
        <w:rPr>
          <w:szCs w:val="20"/>
        </w:rPr>
      </w:pPr>
      <w:r>
        <w:rPr>
          <w:szCs w:val="20"/>
        </w:rPr>
        <w:t>COBA is generally supportive of the RBA’s proposals set out in the Consultation Paper with the exception of the proposed reduction in the debit card interchange fee benchmark by 33%.</w:t>
      </w:r>
    </w:p>
    <w:p w:rsidR="00F10518" w:rsidRDefault="00F10518" w:rsidP="00F10518">
      <w:pPr>
        <w:rPr>
          <w:szCs w:val="20"/>
        </w:rPr>
      </w:pPr>
    </w:p>
    <w:p w:rsidR="00F10518" w:rsidRDefault="00F10518" w:rsidP="00F10518">
      <w:pPr>
        <w:rPr>
          <w:szCs w:val="20"/>
        </w:rPr>
      </w:pPr>
      <w:r>
        <w:rPr>
          <w:szCs w:val="20"/>
        </w:rPr>
        <w:t>We request reconsideration of this proposal.</w:t>
      </w:r>
    </w:p>
    <w:p w:rsidR="00F10518" w:rsidRDefault="00F10518" w:rsidP="00F10518">
      <w:pPr>
        <w:rPr>
          <w:szCs w:val="20"/>
        </w:rPr>
      </w:pPr>
    </w:p>
    <w:p w:rsidR="00F10518" w:rsidRPr="00F10518" w:rsidRDefault="00F10518" w:rsidP="00F10518">
      <w:pPr>
        <w:rPr>
          <w:b/>
          <w:i/>
          <w:szCs w:val="20"/>
        </w:rPr>
      </w:pPr>
      <w:r w:rsidRPr="00F10518">
        <w:rPr>
          <w:b/>
          <w:i/>
          <w:szCs w:val="20"/>
        </w:rPr>
        <w:t>Debit interchange fees</w:t>
      </w:r>
    </w:p>
    <w:p w:rsidR="00F10518" w:rsidRPr="00BD5877" w:rsidRDefault="00F10518" w:rsidP="00F10518">
      <w:pPr>
        <w:rPr>
          <w:b/>
          <w:szCs w:val="20"/>
        </w:rPr>
      </w:pPr>
    </w:p>
    <w:p w:rsidR="00F10518" w:rsidRDefault="00F10518" w:rsidP="00F10518">
      <w:pPr>
        <w:rPr>
          <w:szCs w:val="20"/>
        </w:rPr>
      </w:pPr>
      <w:r>
        <w:rPr>
          <w:szCs w:val="20"/>
        </w:rPr>
        <w:t>The RBA’s case for choosing Option 3(b) over Option 2 is not entirely clear, given that Option 2 – a ceiling on individual interchange fee rates - is considered appropriate for credit card interchange fees.</w:t>
      </w:r>
    </w:p>
    <w:p w:rsidR="00F10518" w:rsidRDefault="00F10518" w:rsidP="00F10518">
      <w:pPr>
        <w:rPr>
          <w:szCs w:val="20"/>
        </w:rPr>
      </w:pPr>
    </w:p>
    <w:p w:rsidR="00F10518" w:rsidRDefault="00F10518" w:rsidP="00F10518">
      <w:pPr>
        <w:rPr>
          <w:szCs w:val="20"/>
        </w:rPr>
      </w:pPr>
      <w:r>
        <w:rPr>
          <w:szCs w:val="20"/>
        </w:rPr>
        <w:t>Reducing the benchmark for weighted average interchange fees from 12 cents to 8 cents in 2016 raises the following concerns:</w:t>
      </w:r>
    </w:p>
    <w:p w:rsidR="00F10518" w:rsidRDefault="00F10518" w:rsidP="00F10518">
      <w:pPr>
        <w:pStyle w:val="ListParagraph"/>
        <w:numPr>
          <w:ilvl w:val="0"/>
          <w:numId w:val="6"/>
        </w:numPr>
        <w:rPr>
          <w:szCs w:val="20"/>
        </w:rPr>
      </w:pPr>
      <w:r>
        <w:rPr>
          <w:szCs w:val="20"/>
        </w:rPr>
        <w:t>It could impose a significant reduction in debit interchange fee revenue for card issuers, with little time to adjust;</w:t>
      </w:r>
    </w:p>
    <w:p w:rsidR="00F10518" w:rsidRDefault="00F10518" w:rsidP="00F10518">
      <w:pPr>
        <w:pStyle w:val="ListParagraph"/>
        <w:numPr>
          <w:ilvl w:val="0"/>
          <w:numId w:val="6"/>
        </w:numPr>
        <w:rPr>
          <w:szCs w:val="20"/>
        </w:rPr>
      </w:pPr>
      <w:r>
        <w:rPr>
          <w:szCs w:val="20"/>
        </w:rPr>
        <w:t xml:space="preserve">It would mean a transfer of some payment system costs from merchants to issuers and cardholders; </w:t>
      </w:r>
    </w:p>
    <w:p w:rsidR="00F10518" w:rsidRDefault="00F10518" w:rsidP="00F10518">
      <w:pPr>
        <w:pStyle w:val="ListParagraph"/>
        <w:numPr>
          <w:ilvl w:val="0"/>
          <w:numId w:val="6"/>
        </w:numPr>
        <w:rPr>
          <w:szCs w:val="20"/>
        </w:rPr>
      </w:pPr>
      <w:r>
        <w:rPr>
          <w:szCs w:val="20"/>
        </w:rPr>
        <w:t>It would reduce the relative competitiveness of debit for issuers compared to credit and unregulated cards; and</w:t>
      </w:r>
    </w:p>
    <w:p w:rsidR="00F10518" w:rsidRPr="004B467F" w:rsidRDefault="00F10518" w:rsidP="00F10518">
      <w:pPr>
        <w:pStyle w:val="ListParagraph"/>
        <w:numPr>
          <w:ilvl w:val="0"/>
          <w:numId w:val="6"/>
        </w:numPr>
        <w:rPr>
          <w:szCs w:val="20"/>
        </w:rPr>
      </w:pPr>
      <w:r w:rsidRPr="004B467F">
        <w:rPr>
          <w:szCs w:val="20"/>
        </w:rPr>
        <w:t>It would mean a withdrawal of funding from within the payments system at a time when there are demands on issuers to apply resources for innovation, fighting fraud and implementing the N</w:t>
      </w:r>
      <w:r>
        <w:rPr>
          <w:szCs w:val="20"/>
        </w:rPr>
        <w:t xml:space="preserve">ew </w:t>
      </w:r>
      <w:r w:rsidRPr="004B467F">
        <w:rPr>
          <w:szCs w:val="20"/>
        </w:rPr>
        <w:t>P</w:t>
      </w:r>
      <w:r>
        <w:rPr>
          <w:szCs w:val="20"/>
        </w:rPr>
        <w:t xml:space="preserve">ayments </w:t>
      </w:r>
      <w:r w:rsidRPr="004B467F">
        <w:rPr>
          <w:szCs w:val="20"/>
        </w:rPr>
        <w:t>P</w:t>
      </w:r>
      <w:r>
        <w:rPr>
          <w:szCs w:val="20"/>
        </w:rPr>
        <w:t>latform</w:t>
      </w:r>
      <w:r w:rsidRPr="004B467F">
        <w:rPr>
          <w:szCs w:val="20"/>
        </w:rPr>
        <w:t>.</w:t>
      </w:r>
    </w:p>
    <w:p w:rsidR="00F10518" w:rsidRDefault="00F10518" w:rsidP="00F10518">
      <w:pPr>
        <w:rPr>
          <w:szCs w:val="20"/>
        </w:rPr>
      </w:pPr>
    </w:p>
    <w:p w:rsidR="00F10518" w:rsidRDefault="00F10518" w:rsidP="00F10518">
      <w:pPr>
        <w:rPr>
          <w:i/>
          <w:szCs w:val="20"/>
        </w:rPr>
      </w:pPr>
      <w:r w:rsidRPr="00401E3E">
        <w:rPr>
          <w:i/>
          <w:szCs w:val="20"/>
        </w:rPr>
        <w:t>Impact on issuers</w:t>
      </w:r>
    </w:p>
    <w:p w:rsidR="00F10518" w:rsidRDefault="00F10518" w:rsidP="00F10518">
      <w:pPr>
        <w:rPr>
          <w:szCs w:val="20"/>
        </w:rPr>
      </w:pPr>
      <w:r>
        <w:rPr>
          <w:szCs w:val="20"/>
        </w:rPr>
        <w:t xml:space="preserve">COBA is concerned about the disruptive impact on issuers of such a large reduction in the benchmark, particularly without an appropriate transition period. A reduction of this scale was not flagged in the RBA’s March 2015 Issues Paper. </w:t>
      </w:r>
    </w:p>
    <w:p w:rsidR="00F10518" w:rsidRDefault="00F10518" w:rsidP="00F10518">
      <w:pPr>
        <w:rPr>
          <w:szCs w:val="20"/>
        </w:rPr>
      </w:pPr>
    </w:p>
    <w:p w:rsidR="00F10518" w:rsidRDefault="00F10518" w:rsidP="00F10518">
      <w:pPr>
        <w:rPr>
          <w:szCs w:val="20"/>
        </w:rPr>
      </w:pPr>
      <w:r>
        <w:rPr>
          <w:szCs w:val="20"/>
        </w:rPr>
        <w:t>The December 2015 Consultation Paper asserts that cutting the benchmark to 8 cents “would unwind the effective increase in percentage terms in the benchmark that has resulted from the fall in average transaction size since 2006.”</w:t>
      </w:r>
    </w:p>
    <w:p w:rsidR="00F10518" w:rsidRDefault="00F10518" w:rsidP="00F10518">
      <w:pPr>
        <w:rPr>
          <w:szCs w:val="20"/>
        </w:rPr>
      </w:pPr>
    </w:p>
    <w:p w:rsidR="00F10518" w:rsidRDefault="00F10518" w:rsidP="00F10518">
      <w:pPr>
        <w:rPr>
          <w:szCs w:val="20"/>
        </w:rPr>
      </w:pPr>
      <w:r>
        <w:rPr>
          <w:szCs w:val="20"/>
        </w:rPr>
        <w:t>The fall in average transaction sizes is a positive trend, with card payments replacing cash, driven by innovation such as the introduction of tap-and-go contactless transactions. This trend benefits merchants and cardholders.</w:t>
      </w:r>
    </w:p>
    <w:p w:rsidR="00F10518" w:rsidRDefault="00F10518" w:rsidP="00F10518">
      <w:pPr>
        <w:rPr>
          <w:szCs w:val="20"/>
        </w:rPr>
      </w:pPr>
    </w:p>
    <w:p w:rsidR="00F10518" w:rsidRDefault="00F10518" w:rsidP="00F10518">
      <w:pPr>
        <w:rPr>
          <w:szCs w:val="20"/>
        </w:rPr>
      </w:pPr>
      <w:r>
        <w:rPr>
          <w:szCs w:val="20"/>
        </w:rPr>
        <w:t>An alternative approach to an arbitrary reduction in the cents-per-transaction benchmark that could be explored would be to transition to an ad valorem benchmark. This may address the concern that some merchants do not accept cards for low-value transactions because they consider the transaction costs to be too high. However, merchants who are reluctant to accept cards for low value transactions may need o</w:t>
      </w:r>
      <w:r w:rsidR="00470666">
        <w:rPr>
          <w:szCs w:val="20"/>
        </w:rPr>
        <w:t>ther incentives beyond a 4 cent</w:t>
      </w:r>
      <w:r>
        <w:rPr>
          <w:szCs w:val="20"/>
        </w:rPr>
        <w:t xml:space="preserve"> reduction in the debit interchange benchmark.</w:t>
      </w:r>
    </w:p>
    <w:p w:rsidR="00F10518" w:rsidRDefault="00F10518" w:rsidP="00F10518">
      <w:pPr>
        <w:rPr>
          <w:szCs w:val="20"/>
        </w:rPr>
      </w:pPr>
    </w:p>
    <w:p w:rsidR="00F10518" w:rsidRDefault="00F10518" w:rsidP="00F10518">
      <w:pPr>
        <w:rPr>
          <w:szCs w:val="20"/>
        </w:rPr>
      </w:pPr>
      <w:r>
        <w:rPr>
          <w:szCs w:val="20"/>
        </w:rPr>
        <w:t>Given the potentially significant impact on issuers, COBA requests that the RBA suspends implementation of this proposal to allow for further assessment of its impact, along with the impact of the proposed ceilings (15 cents &amp; 0.20 per cent) on individual interchange rates. This will give schemes and issuers adequate time to assess, plan and respond.</w:t>
      </w:r>
    </w:p>
    <w:p w:rsidR="00F10518" w:rsidRDefault="00F10518" w:rsidP="00F10518">
      <w:pPr>
        <w:rPr>
          <w:szCs w:val="20"/>
        </w:rPr>
      </w:pPr>
    </w:p>
    <w:p w:rsidR="00F10518" w:rsidRDefault="00F10518" w:rsidP="00F10518">
      <w:pPr>
        <w:rPr>
          <w:szCs w:val="20"/>
        </w:rPr>
      </w:pPr>
      <w:r>
        <w:rPr>
          <w:szCs w:val="20"/>
        </w:rPr>
        <w:t>Key matters for consideration are the RBA’s claims in its Q&amp;A document</w:t>
      </w:r>
      <w:r>
        <w:rPr>
          <w:rStyle w:val="FootnoteReference"/>
          <w:szCs w:val="20"/>
        </w:rPr>
        <w:footnoteReference w:id="1"/>
      </w:r>
      <w:r>
        <w:rPr>
          <w:szCs w:val="20"/>
        </w:rPr>
        <w:t xml:space="preserve"> that in</w:t>
      </w:r>
      <w:r w:rsidRPr="00BA781C">
        <w:rPr>
          <w:szCs w:val="20"/>
        </w:rPr>
        <w:t xml:space="preserve">terchange rates on standard cards </w:t>
      </w:r>
      <w:r>
        <w:rPr>
          <w:szCs w:val="20"/>
        </w:rPr>
        <w:t>“</w:t>
      </w:r>
      <w:r w:rsidRPr="00BA781C">
        <w:rPr>
          <w:szCs w:val="20"/>
        </w:rPr>
        <w:t>would be largely unaffected</w:t>
      </w:r>
      <w:r>
        <w:rPr>
          <w:szCs w:val="20"/>
        </w:rPr>
        <w:t>” and that “</w:t>
      </w:r>
      <w:r w:rsidRPr="00BA781C">
        <w:rPr>
          <w:szCs w:val="20"/>
        </w:rPr>
        <w:t>consumers may find that they can use their cards for a greater range of transactions.</w:t>
      </w:r>
      <w:r>
        <w:rPr>
          <w:szCs w:val="20"/>
        </w:rPr>
        <w:t>”</w:t>
      </w:r>
    </w:p>
    <w:p w:rsidR="00F10518" w:rsidRDefault="00F10518" w:rsidP="00F10518">
      <w:pPr>
        <w:rPr>
          <w:szCs w:val="20"/>
        </w:rPr>
      </w:pPr>
    </w:p>
    <w:p w:rsidR="00F10518" w:rsidRDefault="00F10518" w:rsidP="00F10518">
      <w:pPr>
        <w:rPr>
          <w:i/>
          <w:szCs w:val="20"/>
        </w:rPr>
      </w:pPr>
      <w:r>
        <w:rPr>
          <w:i/>
          <w:szCs w:val="20"/>
        </w:rPr>
        <w:t>Shift in cost burden</w:t>
      </w:r>
    </w:p>
    <w:p w:rsidR="00F10518" w:rsidRDefault="00F10518" w:rsidP="00F10518">
      <w:pPr>
        <w:rPr>
          <w:szCs w:val="20"/>
        </w:rPr>
      </w:pPr>
      <w:r>
        <w:rPr>
          <w:szCs w:val="20"/>
        </w:rPr>
        <w:t xml:space="preserve">Interchange fees are a mechanism to enable sharing of costs of certain benefits that card issuers provide to merchants. To the extent that this cost burden shifts from merchants to card issuers, card issuers may look to recover these costs from cardholders. </w:t>
      </w:r>
    </w:p>
    <w:p w:rsidR="00F10518" w:rsidRDefault="00F10518" w:rsidP="00F10518">
      <w:pPr>
        <w:rPr>
          <w:szCs w:val="20"/>
        </w:rPr>
      </w:pPr>
    </w:p>
    <w:p w:rsidR="00F10518" w:rsidRDefault="00F10518" w:rsidP="00F10518">
      <w:pPr>
        <w:rPr>
          <w:szCs w:val="20"/>
        </w:rPr>
      </w:pPr>
      <w:r>
        <w:rPr>
          <w:szCs w:val="20"/>
        </w:rPr>
        <w:t>Merchants should bear at least some of the cost of benefits provided to them by card issuers.</w:t>
      </w:r>
    </w:p>
    <w:p w:rsidR="00F10518" w:rsidRPr="002A216F" w:rsidRDefault="00F10518" w:rsidP="00F10518">
      <w:pPr>
        <w:rPr>
          <w:szCs w:val="20"/>
        </w:rPr>
      </w:pPr>
    </w:p>
    <w:p w:rsidR="00F10518" w:rsidRDefault="00F10518" w:rsidP="00F10518">
      <w:pPr>
        <w:rPr>
          <w:i/>
          <w:szCs w:val="20"/>
        </w:rPr>
      </w:pPr>
      <w:r>
        <w:rPr>
          <w:i/>
          <w:szCs w:val="20"/>
        </w:rPr>
        <w:t>Competitiveness of debit</w:t>
      </w:r>
    </w:p>
    <w:p w:rsidR="00554987" w:rsidRDefault="00871259" w:rsidP="00F10518">
      <w:pPr>
        <w:rPr>
          <w:szCs w:val="20"/>
        </w:rPr>
      </w:pPr>
      <w:r>
        <w:rPr>
          <w:szCs w:val="20"/>
        </w:rPr>
        <w:t>The success of debit, under existing interchange fee arrangements, is demonstrated by its transaction growth trajectory and the fall in average transaction size. However, t</w:t>
      </w:r>
      <w:r w:rsidR="00F10518">
        <w:rPr>
          <w:szCs w:val="20"/>
        </w:rPr>
        <w:t xml:space="preserve">he proposed reduction in the debit benchmark makes competing card products, i.e. credit cards and three-party cards, relatively more attractive to issuers. </w:t>
      </w:r>
    </w:p>
    <w:p w:rsidR="00554987" w:rsidRDefault="00554987" w:rsidP="00F10518">
      <w:pPr>
        <w:rPr>
          <w:szCs w:val="20"/>
        </w:rPr>
      </w:pPr>
    </w:p>
    <w:p w:rsidR="00F10518" w:rsidRDefault="00F10518" w:rsidP="00F10518">
      <w:pPr>
        <w:rPr>
          <w:szCs w:val="20"/>
        </w:rPr>
      </w:pPr>
      <w:r>
        <w:rPr>
          <w:szCs w:val="20"/>
        </w:rPr>
        <w:t>The RBA acknowledges in the Consultation Paper (p24) that: “Systems with relatively low interchange fees will often be at a disadvantage in attracting cardholders from competing payment systems with higher fees.”</w:t>
      </w:r>
    </w:p>
    <w:p w:rsidR="00554987" w:rsidRDefault="00554987" w:rsidP="00F10518">
      <w:pPr>
        <w:rPr>
          <w:szCs w:val="20"/>
        </w:rPr>
      </w:pPr>
    </w:p>
    <w:p w:rsidR="001A4447" w:rsidRDefault="00554987" w:rsidP="00F10518">
      <w:pPr>
        <w:rPr>
          <w:szCs w:val="20"/>
        </w:rPr>
      </w:pPr>
      <w:r>
        <w:rPr>
          <w:szCs w:val="20"/>
        </w:rPr>
        <w:t xml:space="preserve">Reducing the competitiveness of debit cards compared to credit cards increases the </w:t>
      </w:r>
      <w:r w:rsidR="00470666">
        <w:rPr>
          <w:szCs w:val="20"/>
        </w:rPr>
        <w:t>incentive for issuers to sell credit cards rather than debit cards</w:t>
      </w:r>
      <w:r w:rsidR="001A4447">
        <w:rPr>
          <w:szCs w:val="20"/>
        </w:rPr>
        <w:t>.</w:t>
      </w:r>
      <w:r w:rsidR="0045058D">
        <w:rPr>
          <w:szCs w:val="20"/>
        </w:rPr>
        <w:t xml:space="preserve"> </w:t>
      </w:r>
      <w:r w:rsidR="001A4447">
        <w:rPr>
          <w:szCs w:val="20"/>
        </w:rPr>
        <w:t>This</w:t>
      </w:r>
      <w:r w:rsidR="00871259">
        <w:rPr>
          <w:szCs w:val="20"/>
        </w:rPr>
        <w:t xml:space="preserve"> would potentially worsen the problem of long-term credit card debt and the credit card </w:t>
      </w:r>
      <w:r w:rsidR="0045058D">
        <w:rPr>
          <w:szCs w:val="20"/>
        </w:rPr>
        <w:t>“</w:t>
      </w:r>
      <w:r w:rsidR="00871259">
        <w:rPr>
          <w:szCs w:val="20"/>
        </w:rPr>
        <w:t>debt trap</w:t>
      </w:r>
      <w:r w:rsidR="0045058D">
        <w:rPr>
          <w:szCs w:val="20"/>
        </w:rPr>
        <w:t>”</w:t>
      </w:r>
      <w:r w:rsidR="00871259">
        <w:rPr>
          <w:szCs w:val="20"/>
        </w:rPr>
        <w:t xml:space="preserve"> examined in the recent report of the </w:t>
      </w:r>
      <w:r w:rsidR="00871259" w:rsidRPr="00470666">
        <w:rPr>
          <w:szCs w:val="20"/>
        </w:rPr>
        <w:t xml:space="preserve">Senate Economic References Committee </w:t>
      </w:r>
      <w:r w:rsidR="00871259" w:rsidRPr="00470666">
        <w:rPr>
          <w:i/>
          <w:szCs w:val="20"/>
        </w:rPr>
        <w:t>Interest rates and informed choice in the Australian credit card market</w:t>
      </w:r>
      <w:r w:rsidR="00871259">
        <w:rPr>
          <w:i/>
          <w:szCs w:val="20"/>
        </w:rPr>
        <w:t>.</w:t>
      </w:r>
    </w:p>
    <w:p w:rsidR="001A4447" w:rsidRDefault="001A4447" w:rsidP="00F10518">
      <w:pPr>
        <w:rPr>
          <w:szCs w:val="20"/>
        </w:rPr>
      </w:pPr>
    </w:p>
    <w:p w:rsidR="00470666" w:rsidRPr="00470666" w:rsidRDefault="00871259" w:rsidP="00470666">
      <w:pPr>
        <w:rPr>
          <w:szCs w:val="20"/>
        </w:rPr>
      </w:pPr>
      <w:r>
        <w:rPr>
          <w:szCs w:val="20"/>
        </w:rPr>
        <w:lastRenderedPageBreak/>
        <w:t>The December 2015</w:t>
      </w:r>
      <w:r w:rsidR="0045058D">
        <w:rPr>
          <w:szCs w:val="20"/>
        </w:rPr>
        <w:t xml:space="preserve"> Senate</w:t>
      </w:r>
      <w:r>
        <w:rPr>
          <w:szCs w:val="20"/>
        </w:rPr>
        <w:t xml:space="preserve"> report ex</w:t>
      </w:r>
      <w:r w:rsidR="00470666">
        <w:rPr>
          <w:szCs w:val="20"/>
        </w:rPr>
        <w:t xml:space="preserve">pressed a “primary concern” that </w:t>
      </w:r>
      <w:r w:rsidR="00470666" w:rsidRPr="00554987">
        <w:rPr>
          <w:szCs w:val="20"/>
        </w:rPr>
        <w:t>too many Australians are 'revolving' credit card debt for extended periods of time and getting hit by high interest charges in the process.</w:t>
      </w:r>
    </w:p>
    <w:p w:rsidR="00470666" w:rsidRDefault="00470666" w:rsidP="00F10518">
      <w:pPr>
        <w:rPr>
          <w:szCs w:val="20"/>
        </w:rPr>
      </w:pPr>
    </w:p>
    <w:p w:rsidR="00554987" w:rsidRPr="00554987" w:rsidRDefault="00470666" w:rsidP="00470666">
      <w:pPr>
        <w:ind w:left="720"/>
        <w:rPr>
          <w:szCs w:val="20"/>
        </w:rPr>
      </w:pPr>
      <w:r>
        <w:rPr>
          <w:szCs w:val="20"/>
        </w:rPr>
        <w:t>“</w:t>
      </w:r>
      <w:r w:rsidR="00554987" w:rsidRPr="00554987">
        <w:rPr>
          <w:szCs w:val="20"/>
        </w:rPr>
        <w:t xml:space="preserve">It is clear that some individuals end up in credit card debt because of poor decisions in choosing a card, using that card, and managing their card debt. Though individuals are expected to assume personal responsibility for the financial decisions they make, evidence received in this inquiry indicates that the credit card market is structured in such a way as to make it extremely difficult for individuals to make </w:t>
      </w:r>
      <w:r w:rsidR="00554987" w:rsidRPr="00554987">
        <w:rPr>
          <w:i/>
          <w:iCs/>
          <w:szCs w:val="20"/>
        </w:rPr>
        <w:t xml:space="preserve">informed </w:t>
      </w:r>
      <w:r w:rsidR="00554987" w:rsidRPr="00554987">
        <w:rPr>
          <w:szCs w:val="20"/>
        </w:rPr>
        <w:t>decisions about credit card debt.</w:t>
      </w:r>
      <w:r>
        <w:rPr>
          <w:szCs w:val="20"/>
        </w:rPr>
        <w:t>”</w:t>
      </w:r>
      <w:r>
        <w:rPr>
          <w:rStyle w:val="FootnoteReference"/>
          <w:szCs w:val="20"/>
        </w:rPr>
        <w:footnoteReference w:id="2"/>
      </w:r>
    </w:p>
    <w:p w:rsidR="00554987" w:rsidRPr="00554987" w:rsidRDefault="00554987" w:rsidP="00554987">
      <w:pPr>
        <w:rPr>
          <w:szCs w:val="20"/>
        </w:rPr>
      </w:pPr>
    </w:p>
    <w:p w:rsidR="00F10518" w:rsidRDefault="00F10518" w:rsidP="00F10518">
      <w:pPr>
        <w:rPr>
          <w:i/>
          <w:szCs w:val="20"/>
        </w:rPr>
      </w:pPr>
      <w:r w:rsidRPr="002B4DD1">
        <w:rPr>
          <w:i/>
          <w:szCs w:val="20"/>
        </w:rPr>
        <w:t>Payments system investment</w:t>
      </w:r>
    </w:p>
    <w:p w:rsidR="00F10518" w:rsidRDefault="00F10518" w:rsidP="00F10518">
      <w:pPr>
        <w:rPr>
          <w:szCs w:val="20"/>
        </w:rPr>
      </w:pPr>
      <w:r>
        <w:rPr>
          <w:szCs w:val="20"/>
        </w:rPr>
        <w:t xml:space="preserve">The </w:t>
      </w:r>
      <w:r w:rsidR="0045058D">
        <w:rPr>
          <w:szCs w:val="20"/>
        </w:rPr>
        <w:t xml:space="preserve">RBA’s </w:t>
      </w:r>
      <w:r>
        <w:rPr>
          <w:szCs w:val="20"/>
        </w:rPr>
        <w:t xml:space="preserve">Consultation Paper notes (p26) that reducing interchange fee revenue “may be more disruptive for existing participants in the payments industry than Option 2, at a time when there are a number of other initiatives underway (notably the New Payments Platform and the new </w:t>
      </w:r>
      <w:proofErr w:type="spellStart"/>
      <w:r>
        <w:rPr>
          <w:szCs w:val="20"/>
        </w:rPr>
        <w:t>ePAL</w:t>
      </w:r>
      <w:proofErr w:type="spellEnd"/>
      <w:r>
        <w:rPr>
          <w:szCs w:val="20"/>
        </w:rPr>
        <w:t xml:space="preserve"> hub).”</w:t>
      </w:r>
    </w:p>
    <w:p w:rsidR="00871259" w:rsidRDefault="00871259" w:rsidP="00F10518">
      <w:pPr>
        <w:rPr>
          <w:szCs w:val="20"/>
        </w:rPr>
      </w:pPr>
    </w:p>
    <w:p w:rsidR="00871259" w:rsidRDefault="00871259" w:rsidP="00F10518">
      <w:pPr>
        <w:rPr>
          <w:szCs w:val="20"/>
        </w:rPr>
      </w:pPr>
      <w:r>
        <w:rPr>
          <w:szCs w:val="20"/>
        </w:rPr>
        <w:t xml:space="preserve">COBA agrees with this point. COBA members’ payment system partners, i.e. </w:t>
      </w:r>
      <w:proofErr w:type="spellStart"/>
      <w:r>
        <w:rPr>
          <w:szCs w:val="20"/>
        </w:rPr>
        <w:t>Cuscal</w:t>
      </w:r>
      <w:proofErr w:type="spellEnd"/>
      <w:r>
        <w:rPr>
          <w:szCs w:val="20"/>
        </w:rPr>
        <w:t xml:space="preserve">, </w:t>
      </w:r>
      <w:proofErr w:type="spellStart"/>
      <w:r>
        <w:rPr>
          <w:szCs w:val="20"/>
        </w:rPr>
        <w:t>Indue</w:t>
      </w:r>
      <w:proofErr w:type="spellEnd"/>
      <w:r>
        <w:rPr>
          <w:szCs w:val="20"/>
        </w:rPr>
        <w:t xml:space="preserve"> and ASL, are </w:t>
      </w:r>
      <w:r w:rsidR="00C50D2D">
        <w:rPr>
          <w:szCs w:val="20"/>
        </w:rPr>
        <w:t xml:space="preserve">founding participants in the NPP and are </w:t>
      </w:r>
      <w:r>
        <w:rPr>
          <w:szCs w:val="20"/>
        </w:rPr>
        <w:t>making significant investments in the NPP and other initiatives that will ultimately be recovered from their customer ADIs.</w:t>
      </w:r>
    </w:p>
    <w:p w:rsidR="00F10518" w:rsidRDefault="00F10518" w:rsidP="00F10518">
      <w:pPr>
        <w:rPr>
          <w:szCs w:val="20"/>
        </w:rPr>
      </w:pPr>
    </w:p>
    <w:p w:rsidR="00F10518" w:rsidRDefault="00F10518" w:rsidP="00F10518">
      <w:pPr>
        <w:rPr>
          <w:szCs w:val="20"/>
        </w:rPr>
      </w:pPr>
      <w:r>
        <w:rPr>
          <w:szCs w:val="20"/>
        </w:rPr>
        <w:t>Please don’t hesitate to contact me on 02 8035 8448 to discuss this submission.</w:t>
      </w:r>
    </w:p>
    <w:p w:rsidR="00F10518" w:rsidRDefault="00F10518" w:rsidP="00F10518">
      <w:pPr>
        <w:rPr>
          <w:szCs w:val="20"/>
        </w:rPr>
      </w:pPr>
    </w:p>
    <w:p w:rsidR="00F10518" w:rsidRDefault="00F10518" w:rsidP="00F10518">
      <w:pPr>
        <w:rPr>
          <w:szCs w:val="20"/>
        </w:rPr>
      </w:pPr>
      <w:r>
        <w:rPr>
          <w:szCs w:val="20"/>
        </w:rPr>
        <w:t>Yours sincerely,</w:t>
      </w:r>
    </w:p>
    <w:p w:rsidR="00F10518" w:rsidRDefault="00F10518" w:rsidP="00F10518">
      <w:pPr>
        <w:rPr>
          <w:szCs w:val="20"/>
        </w:rPr>
      </w:pPr>
    </w:p>
    <w:p w:rsidR="00F10518" w:rsidRDefault="00F10518" w:rsidP="00F10518">
      <w:pPr>
        <w:rPr>
          <w:szCs w:val="20"/>
        </w:rPr>
      </w:pPr>
      <w:r>
        <w:rPr>
          <w:noProof/>
          <w:szCs w:val="20"/>
          <w:lang w:eastAsia="en-AU"/>
        </w:rPr>
        <w:drawing>
          <wp:inline distT="0" distB="0" distL="0" distR="0">
            <wp:extent cx="1847850" cy="721257"/>
            <wp:effectExtent l="0" t="0" r="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uke Lawler sig.jpg"/>
                    <pic:cNvPicPr/>
                  </pic:nvPicPr>
                  <pic:blipFill>
                    <a:blip r:embed="rId16">
                      <a:extLst>
                        <a:ext uri="{28A0092B-C50C-407E-A947-70E740481C1C}">
                          <a14:useLocalDpi xmlns:a14="http://schemas.microsoft.com/office/drawing/2010/main" val="0"/>
                        </a:ext>
                      </a:extLst>
                    </a:blip>
                    <a:stretch>
                      <a:fillRect/>
                    </a:stretch>
                  </pic:blipFill>
                  <pic:spPr>
                    <a:xfrm>
                      <a:off x="0" y="0"/>
                      <a:ext cx="1851583" cy="722714"/>
                    </a:xfrm>
                    <a:prstGeom prst="rect">
                      <a:avLst/>
                    </a:prstGeom>
                  </pic:spPr>
                </pic:pic>
              </a:graphicData>
            </a:graphic>
          </wp:inline>
        </w:drawing>
      </w:r>
    </w:p>
    <w:p w:rsidR="00F10518" w:rsidRDefault="00F10518" w:rsidP="00F10518">
      <w:pPr>
        <w:rPr>
          <w:szCs w:val="20"/>
        </w:rPr>
      </w:pPr>
    </w:p>
    <w:p w:rsidR="00F10518" w:rsidRPr="00550B33" w:rsidRDefault="00F10518" w:rsidP="00F10518">
      <w:pPr>
        <w:rPr>
          <w:b/>
          <w:szCs w:val="20"/>
        </w:rPr>
      </w:pPr>
      <w:r w:rsidRPr="00550B33">
        <w:rPr>
          <w:b/>
          <w:szCs w:val="20"/>
        </w:rPr>
        <w:t>Luke Lawler</w:t>
      </w:r>
    </w:p>
    <w:p w:rsidR="00F10518" w:rsidRPr="00550B33" w:rsidRDefault="00F10518" w:rsidP="00F10518">
      <w:pPr>
        <w:rPr>
          <w:b/>
          <w:szCs w:val="20"/>
        </w:rPr>
      </w:pPr>
      <w:r w:rsidRPr="00550B33">
        <w:rPr>
          <w:b/>
          <w:szCs w:val="20"/>
        </w:rPr>
        <w:t>Head of Public Affairs</w:t>
      </w:r>
    </w:p>
    <w:p w:rsidR="00FD2507" w:rsidRPr="00FB678E" w:rsidRDefault="00FD2507" w:rsidP="00D1189E">
      <w:pPr>
        <w:rPr>
          <w:b/>
        </w:rPr>
      </w:pPr>
    </w:p>
    <w:sectPr w:rsidR="00FD2507" w:rsidRPr="00FB678E" w:rsidSect="001B1796">
      <w:headerReference w:type="default" r:id="rId17"/>
      <w:footerReference w:type="default" r:id="rId18"/>
      <w:type w:val="continuous"/>
      <w:pgSz w:w="11907" w:h="16839" w:code="9"/>
      <w:pgMar w:top="1276" w:right="1275" w:bottom="1134" w:left="1701" w:header="851" w:footer="595"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037E" w:rsidRDefault="001C037E" w:rsidP="00FA0A34">
      <w:r>
        <w:separator/>
      </w:r>
    </w:p>
  </w:endnote>
  <w:endnote w:type="continuationSeparator" w:id="0">
    <w:p w:rsidR="001C037E" w:rsidRDefault="001C037E" w:rsidP="00FA0A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altName w:val="Arial"/>
    <w:charset w:val="00"/>
    <w:family w:val="auto"/>
    <w:pitch w:val="variable"/>
    <w:sig w:usb0="00000000" w:usb1="5000A1FF" w:usb2="00000000" w:usb3="00000000" w:csb0="000001B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3219" w:rsidRDefault="002E321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49EC" w:rsidRPr="00E6645A" w:rsidRDefault="009477E8" w:rsidP="002B30E2">
    <w:pPr>
      <w:pStyle w:val="FootnoteText"/>
      <w:tabs>
        <w:tab w:val="left" w:pos="7880"/>
        <w:tab w:val="right" w:pos="9242"/>
      </w:tabs>
      <w:jc w:val="left"/>
    </w:pPr>
    <w:r>
      <w:rPr>
        <w:noProof/>
        <w:lang w:eastAsia="en-AU"/>
      </w:rPr>
      <w:drawing>
        <wp:anchor distT="0" distB="0" distL="114300" distR="114300" simplePos="0" relativeHeight="251684864" behindDoc="0" locked="0" layoutInCell="1" allowOverlap="1" wp14:anchorId="388642C0" wp14:editId="11BB92B3">
          <wp:simplePos x="0" y="0"/>
          <wp:positionH relativeFrom="column">
            <wp:posOffset>3047365</wp:posOffset>
          </wp:positionH>
          <wp:positionV relativeFrom="paragraph">
            <wp:posOffset>20955</wp:posOffset>
          </wp:positionV>
          <wp:extent cx="2877312" cy="12192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BA3223 COBA-letterhead-word-footer_update_Final.jpg"/>
                  <pic:cNvPicPr/>
                </pic:nvPicPr>
                <pic:blipFill>
                  <a:blip r:embed="rId1">
                    <a:extLst>
                      <a:ext uri="{28A0092B-C50C-407E-A947-70E740481C1C}">
                        <a14:useLocalDpi xmlns:a14="http://schemas.microsoft.com/office/drawing/2010/main" val="0"/>
                      </a:ext>
                    </a:extLst>
                  </a:blip>
                  <a:stretch>
                    <a:fillRect/>
                  </a:stretch>
                </pic:blipFill>
                <pic:spPr>
                  <a:xfrm>
                    <a:off x="0" y="0"/>
                    <a:ext cx="2877312" cy="121920"/>
                  </a:xfrm>
                  <a:prstGeom prst="rect">
                    <a:avLst/>
                  </a:prstGeom>
                </pic:spPr>
              </pic:pic>
            </a:graphicData>
          </a:graphic>
          <wp14:sizeRelH relativeFrom="page">
            <wp14:pctWidth>0</wp14:pctWidth>
          </wp14:sizeRelH>
          <wp14:sizeRelV relativeFrom="page">
            <wp14:pctHeight>0</wp14:pctHeight>
          </wp14:sizeRelV>
        </wp:anchor>
      </w:drawing>
    </w:r>
    <w:r w:rsidR="009F49EC">
      <w:tab/>
    </w:r>
    <w:r w:rsidR="009F49EC">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3219" w:rsidRDefault="002E3219">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678E" w:rsidRDefault="003101AC" w:rsidP="003101AC">
    <w:pPr>
      <w:pStyle w:val="FootnoteText"/>
      <w:ind w:right="-312"/>
    </w:pPr>
    <w:r>
      <w:t xml:space="preserve">    </w:t>
    </w:r>
    <w:r w:rsidR="00FB678E">
      <w:t xml:space="preserve">     </w:t>
    </w:r>
    <w:sdt>
      <w:sdtPr>
        <w:id w:val="1659346242"/>
        <w:docPartObj>
          <w:docPartGallery w:val="Page Numbers (Bottom of Page)"/>
          <w:docPartUnique/>
        </w:docPartObj>
      </w:sdtPr>
      <w:sdtEndPr>
        <w:rPr>
          <w:noProof/>
        </w:rPr>
      </w:sdtEndPr>
      <w:sdtContent>
        <w:r w:rsidR="00FB678E">
          <w:fldChar w:fldCharType="begin"/>
        </w:r>
        <w:r w:rsidR="00FB678E">
          <w:instrText xml:space="preserve"> PAGE   \* MERGEFORMAT </w:instrText>
        </w:r>
        <w:r w:rsidR="00FB678E">
          <w:fldChar w:fldCharType="separate"/>
        </w:r>
        <w:r w:rsidR="002E3219">
          <w:rPr>
            <w:noProof/>
          </w:rPr>
          <w:t>3</w:t>
        </w:r>
        <w:r w:rsidR="00FB678E">
          <w:rPr>
            <w:noProof/>
          </w:rPr>
          <w:fldChar w:fldCharType="end"/>
        </w:r>
      </w:sdtContent>
    </w:sdt>
  </w:p>
  <w:p w:rsidR="00FB678E" w:rsidRPr="00E6645A" w:rsidRDefault="009477E8" w:rsidP="002B30E2">
    <w:pPr>
      <w:pStyle w:val="FootnoteText"/>
      <w:tabs>
        <w:tab w:val="left" w:pos="7880"/>
        <w:tab w:val="right" w:pos="9242"/>
      </w:tabs>
      <w:jc w:val="left"/>
    </w:pPr>
    <w:r>
      <w:rPr>
        <w:noProof/>
        <w:lang w:eastAsia="en-AU"/>
      </w:rPr>
      <w:drawing>
        <wp:anchor distT="0" distB="0" distL="114300" distR="114300" simplePos="0" relativeHeight="251686912" behindDoc="0" locked="0" layoutInCell="1" allowOverlap="1" wp14:anchorId="63F7936C" wp14:editId="2BDF917E">
          <wp:simplePos x="0" y="0"/>
          <wp:positionH relativeFrom="column">
            <wp:posOffset>3037840</wp:posOffset>
          </wp:positionH>
          <wp:positionV relativeFrom="paragraph">
            <wp:posOffset>173355</wp:posOffset>
          </wp:positionV>
          <wp:extent cx="2877312" cy="121920"/>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BA3223 COBA-letterhead-word-footer_update_Final.jpg"/>
                  <pic:cNvPicPr/>
                </pic:nvPicPr>
                <pic:blipFill>
                  <a:blip r:embed="rId1">
                    <a:extLst>
                      <a:ext uri="{28A0092B-C50C-407E-A947-70E740481C1C}">
                        <a14:useLocalDpi xmlns:a14="http://schemas.microsoft.com/office/drawing/2010/main" val="0"/>
                      </a:ext>
                    </a:extLst>
                  </a:blip>
                  <a:stretch>
                    <a:fillRect/>
                  </a:stretch>
                </pic:blipFill>
                <pic:spPr>
                  <a:xfrm>
                    <a:off x="0" y="0"/>
                    <a:ext cx="2877312" cy="121920"/>
                  </a:xfrm>
                  <a:prstGeom prst="rect">
                    <a:avLst/>
                  </a:prstGeom>
                </pic:spPr>
              </pic:pic>
            </a:graphicData>
          </a:graphic>
          <wp14:sizeRelH relativeFrom="page">
            <wp14:pctWidth>0</wp14:pctWidth>
          </wp14:sizeRelH>
          <wp14:sizeRelV relativeFrom="page">
            <wp14:pctHeight>0</wp14:pctHeight>
          </wp14:sizeRelV>
        </wp:anchor>
      </w:drawing>
    </w:r>
    <w:r w:rsidR="00FB678E">
      <w:tab/>
    </w:r>
    <w:r w:rsidR="00FB678E">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037E" w:rsidRDefault="001C037E" w:rsidP="00FA0A34">
      <w:r>
        <w:separator/>
      </w:r>
    </w:p>
  </w:footnote>
  <w:footnote w:type="continuationSeparator" w:id="0">
    <w:p w:rsidR="001C037E" w:rsidRDefault="001C037E" w:rsidP="00FA0A34">
      <w:r>
        <w:continuationSeparator/>
      </w:r>
    </w:p>
  </w:footnote>
  <w:footnote w:id="1">
    <w:p w:rsidR="00F10518" w:rsidRPr="00A14E43" w:rsidRDefault="00F10518" w:rsidP="00F10518">
      <w:pPr>
        <w:pStyle w:val="FootnoteText"/>
        <w:jc w:val="left"/>
      </w:pPr>
      <w:r>
        <w:rPr>
          <w:rStyle w:val="FootnoteReference"/>
        </w:rPr>
        <w:footnoteRef/>
      </w:r>
      <w:r>
        <w:t xml:space="preserve"> </w:t>
      </w:r>
      <w:r w:rsidRPr="00A14E43">
        <w:t>http://www.rba.gov.au/payments-and-infrastructure/resources/qa/card-payments-regulation.html</w:t>
      </w:r>
    </w:p>
  </w:footnote>
  <w:footnote w:id="2">
    <w:p w:rsidR="00470666" w:rsidRDefault="00470666" w:rsidP="00470666">
      <w:pPr>
        <w:pStyle w:val="FootnoteText"/>
        <w:jc w:val="left"/>
      </w:pPr>
      <w:r>
        <w:rPr>
          <w:rStyle w:val="FootnoteReference"/>
        </w:rPr>
        <w:footnoteRef/>
      </w:r>
      <w:r>
        <w:t xml:space="preserve"> </w:t>
      </w:r>
      <w:r w:rsidRPr="00470666">
        <w:rPr>
          <w:i/>
        </w:rPr>
        <w:t>Interest Rates and Informed Choice in the Australian Credit Card Market</w:t>
      </w:r>
      <w:r>
        <w:t xml:space="preserve"> Senate Economic References Committee, December 2015</w:t>
      </w:r>
      <w:r w:rsidR="009C49C2">
        <w:t>, p55</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3219" w:rsidRDefault="002E321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49EC" w:rsidRDefault="00664B3A">
    <w:pPr>
      <w:pStyle w:val="Header"/>
    </w:pPr>
    <w:r>
      <w:rPr>
        <w:noProof/>
        <w:lang w:eastAsia="en-AU"/>
      </w:rPr>
      <w:drawing>
        <wp:anchor distT="0" distB="0" distL="114300" distR="114300" simplePos="0" relativeHeight="251681792" behindDoc="0" locked="0" layoutInCell="1" allowOverlap="1" wp14:anchorId="12E946F9" wp14:editId="1A548BDC">
          <wp:simplePos x="0" y="0"/>
          <wp:positionH relativeFrom="page">
            <wp:align>right</wp:align>
          </wp:positionH>
          <wp:positionV relativeFrom="page">
            <wp:align>top</wp:align>
          </wp:positionV>
          <wp:extent cx="7223760" cy="1176528"/>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BA3769 COBA-letterhead-temp-syd-update_Final.jpg"/>
                  <pic:cNvPicPr/>
                </pic:nvPicPr>
                <pic:blipFill>
                  <a:blip r:embed="rId1" r:link="rId2">
                    <a:extLst>
                      <a:ext uri="{28A0092B-C50C-407E-A947-70E740481C1C}">
                        <a14:useLocalDpi xmlns:a14="http://schemas.microsoft.com/office/drawing/2010/main" val="0"/>
                      </a:ext>
                    </a:extLst>
                  </a:blip>
                  <a:stretch>
                    <a:fillRect/>
                  </a:stretch>
                </pic:blipFill>
                <pic:spPr>
                  <a:xfrm>
                    <a:off x="0" y="0"/>
                    <a:ext cx="7223760" cy="1176528"/>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3219" w:rsidRDefault="002E3219">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49EC" w:rsidRDefault="009F49E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0"/>
    <w:multiLevelType w:val="singleLevel"/>
    <w:tmpl w:val="1BF85E60"/>
    <w:lvl w:ilvl="0">
      <w:start w:val="1"/>
      <w:numFmt w:val="bullet"/>
      <w:lvlText w:val=""/>
      <w:lvlJc w:val="left"/>
      <w:pPr>
        <w:tabs>
          <w:tab w:val="num" w:pos="1800"/>
        </w:tabs>
        <w:ind w:left="1800" w:hanging="360"/>
      </w:pPr>
      <w:rPr>
        <w:rFonts w:ascii="Symbol" w:hAnsi="Symbol" w:hint="default"/>
      </w:rPr>
    </w:lvl>
  </w:abstractNum>
  <w:abstractNum w:abstractNumId="1">
    <w:nsid w:val="FFFFFF81"/>
    <w:multiLevelType w:val="singleLevel"/>
    <w:tmpl w:val="9868469C"/>
    <w:lvl w:ilvl="0">
      <w:start w:val="1"/>
      <w:numFmt w:val="bullet"/>
      <w:lvlText w:val=""/>
      <w:lvlJc w:val="left"/>
      <w:pPr>
        <w:tabs>
          <w:tab w:val="num" w:pos="1440"/>
        </w:tabs>
        <w:ind w:left="1440" w:hanging="360"/>
      </w:pPr>
      <w:rPr>
        <w:rFonts w:ascii="Symbol" w:hAnsi="Symbol" w:hint="default"/>
      </w:rPr>
    </w:lvl>
  </w:abstractNum>
  <w:abstractNum w:abstractNumId="2">
    <w:nsid w:val="FFFFFF82"/>
    <w:multiLevelType w:val="singleLevel"/>
    <w:tmpl w:val="D4242090"/>
    <w:lvl w:ilvl="0">
      <w:start w:val="1"/>
      <w:numFmt w:val="bullet"/>
      <w:lvlText w:val=""/>
      <w:lvlJc w:val="left"/>
      <w:pPr>
        <w:tabs>
          <w:tab w:val="num" w:pos="1080"/>
        </w:tabs>
        <w:ind w:left="1080" w:hanging="360"/>
      </w:pPr>
      <w:rPr>
        <w:rFonts w:ascii="Symbol" w:hAnsi="Symbol" w:hint="default"/>
      </w:rPr>
    </w:lvl>
  </w:abstractNum>
  <w:abstractNum w:abstractNumId="3">
    <w:nsid w:val="FFFFFF83"/>
    <w:multiLevelType w:val="singleLevel"/>
    <w:tmpl w:val="137E26A4"/>
    <w:lvl w:ilvl="0">
      <w:start w:val="1"/>
      <w:numFmt w:val="bullet"/>
      <w:lvlText w:val=""/>
      <w:lvlJc w:val="left"/>
      <w:pPr>
        <w:tabs>
          <w:tab w:val="num" w:pos="720"/>
        </w:tabs>
        <w:ind w:left="720" w:hanging="360"/>
      </w:pPr>
      <w:rPr>
        <w:rFonts w:ascii="Symbol" w:hAnsi="Symbol" w:hint="default"/>
      </w:rPr>
    </w:lvl>
  </w:abstractNum>
  <w:abstractNum w:abstractNumId="4">
    <w:nsid w:val="FFFFFF89"/>
    <w:multiLevelType w:val="singleLevel"/>
    <w:tmpl w:val="B6A42D52"/>
    <w:lvl w:ilvl="0">
      <w:start w:val="1"/>
      <w:numFmt w:val="bullet"/>
      <w:pStyle w:val="ListBullet"/>
      <w:lvlText w:val=""/>
      <w:lvlJc w:val="left"/>
      <w:pPr>
        <w:tabs>
          <w:tab w:val="num" w:pos="360"/>
        </w:tabs>
        <w:ind w:left="360" w:hanging="360"/>
      </w:pPr>
      <w:rPr>
        <w:rFonts w:ascii="Symbol" w:hAnsi="Symbol" w:hint="default"/>
      </w:rPr>
    </w:lvl>
  </w:abstractNum>
  <w:abstractNum w:abstractNumId="5">
    <w:nsid w:val="2D430F88"/>
    <w:multiLevelType w:val="hybridMultilevel"/>
    <w:tmpl w:val="30EE7E9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2"/>
  </w:num>
  <w:num w:numId="4">
    <w:abstractNumId w:val="1"/>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0518"/>
    <w:rsid w:val="00015F63"/>
    <w:rsid w:val="0001637B"/>
    <w:rsid w:val="000327C0"/>
    <w:rsid w:val="00087533"/>
    <w:rsid w:val="000B3373"/>
    <w:rsid w:val="000F5C97"/>
    <w:rsid w:val="001A4447"/>
    <w:rsid w:val="001B1796"/>
    <w:rsid w:val="001C037E"/>
    <w:rsid w:val="001E0271"/>
    <w:rsid w:val="001E4A9C"/>
    <w:rsid w:val="001F0C28"/>
    <w:rsid w:val="00225009"/>
    <w:rsid w:val="00236871"/>
    <w:rsid w:val="00277D08"/>
    <w:rsid w:val="00296B5B"/>
    <w:rsid w:val="002B30E2"/>
    <w:rsid w:val="002C135C"/>
    <w:rsid w:val="002E3219"/>
    <w:rsid w:val="002F5E00"/>
    <w:rsid w:val="003101AC"/>
    <w:rsid w:val="00325E5A"/>
    <w:rsid w:val="003531E3"/>
    <w:rsid w:val="003A069C"/>
    <w:rsid w:val="003B0028"/>
    <w:rsid w:val="003C62BF"/>
    <w:rsid w:val="003F443A"/>
    <w:rsid w:val="004054E4"/>
    <w:rsid w:val="0041688D"/>
    <w:rsid w:val="004309E5"/>
    <w:rsid w:val="00443988"/>
    <w:rsid w:val="004458B5"/>
    <w:rsid w:val="0045058D"/>
    <w:rsid w:val="0045338C"/>
    <w:rsid w:val="00454DD6"/>
    <w:rsid w:val="00470666"/>
    <w:rsid w:val="00473F9B"/>
    <w:rsid w:val="00554987"/>
    <w:rsid w:val="0058129D"/>
    <w:rsid w:val="00587E09"/>
    <w:rsid w:val="005B6E4E"/>
    <w:rsid w:val="00612CBB"/>
    <w:rsid w:val="00664B3A"/>
    <w:rsid w:val="006A24F1"/>
    <w:rsid w:val="006C6FEF"/>
    <w:rsid w:val="006D3D32"/>
    <w:rsid w:val="006F6938"/>
    <w:rsid w:val="00720216"/>
    <w:rsid w:val="007334C0"/>
    <w:rsid w:val="00753DDB"/>
    <w:rsid w:val="007840A8"/>
    <w:rsid w:val="007E69FA"/>
    <w:rsid w:val="00836E09"/>
    <w:rsid w:val="0086744D"/>
    <w:rsid w:val="00871259"/>
    <w:rsid w:val="00877849"/>
    <w:rsid w:val="00881CC1"/>
    <w:rsid w:val="008C3793"/>
    <w:rsid w:val="008D0919"/>
    <w:rsid w:val="008F5C71"/>
    <w:rsid w:val="008F67CA"/>
    <w:rsid w:val="0092175E"/>
    <w:rsid w:val="009477E8"/>
    <w:rsid w:val="00976B26"/>
    <w:rsid w:val="00990897"/>
    <w:rsid w:val="009A4692"/>
    <w:rsid w:val="009C2736"/>
    <w:rsid w:val="009C49C2"/>
    <w:rsid w:val="009F49EC"/>
    <w:rsid w:val="00A56150"/>
    <w:rsid w:val="00A76953"/>
    <w:rsid w:val="00A85C4C"/>
    <w:rsid w:val="00AC2D46"/>
    <w:rsid w:val="00AD1B8A"/>
    <w:rsid w:val="00AF702D"/>
    <w:rsid w:val="00B506B9"/>
    <w:rsid w:val="00B51AC6"/>
    <w:rsid w:val="00BD1F71"/>
    <w:rsid w:val="00BD537C"/>
    <w:rsid w:val="00BD746B"/>
    <w:rsid w:val="00BE398C"/>
    <w:rsid w:val="00BE7342"/>
    <w:rsid w:val="00C278F3"/>
    <w:rsid w:val="00C50D2D"/>
    <w:rsid w:val="00CE4D4B"/>
    <w:rsid w:val="00CF4DCC"/>
    <w:rsid w:val="00D1189E"/>
    <w:rsid w:val="00D42D56"/>
    <w:rsid w:val="00DA5A53"/>
    <w:rsid w:val="00DD499E"/>
    <w:rsid w:val="00E05108"/>
    <w:rsid w:val="00E064DA"/>
    <w:rsid w:val="00E11D03"/>
    <w:rsid w:val="00E503B7"/>
    <w:rsid w:val="00E5707D"/>
    <w:rsid w:val="00E6645A"/>
    <w:rsid w:val="00F02EE9"/>
    <w:rsid w:val="00F10518"/>
    <w:rsid w:val="00F45DCF"/>
    <w:rsid w:val="00F555D9"/>
    <w:rsid w:val="00F74480"/>
    <w:rsid w:val="00FA0A34"/>
    <w:rsid w:val="00FB0A40"/>
    <w:rsid w:val="00FB51C2"/>
    <w:rsid w:val="00FB678E"/>
    <w:rsid w:val="00FD250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endnote text" w:qFormat="1"/>
    <w:lsdException w:name="List Bullet" w:qFormat="1"/>
    <w:lsdException w:name="Title" w:semiHidden="0" w:uiPriority="10" w:unhideWhenUsed="0"/>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E11D03"/>
    <w:pPr>
      <w:spacing w:after="0" w:line="240" w:lineRule="auto"/>
    </w:pPr>
    <w:rPr>
      <w:rFonts w:ascii="Verdana" w:eastAsiaTheme="minorEastAsia" w:hAnsi="Verdana"/>
      <w:color w:val="000000" w:themeColor="text1"/>
      <w:sz w:val="20"/>
      <w:lang w:val="en-AU"/>
    </w:rPr>
  </w:style>
  <w:style w:type="paragraph" w:styleId="Heading1">
    <w:name w:val="heading 1"/>
    <w:next w:val="Subtitle"/>
    <w:link w:val="Heading1Char"/>
    <w:uiPriority w:val="9"/>
    <w:qFormat/>
    <w:rsid w:val="00325E5A"/>
    <w:pPr>
      <w:keepNext/>
      <w:keepLines/>
      <w:spacing w:after="840" w:line="620" w:lineRule="exact"/>
      <w:outlineLvl w:val="0"/>
    </w:pPr>
    <w:rPr>
      <w:rFonts w:ascii="Verdana" w:eastAsiaTheme="majorEastAsia" w:hAnsi="Verdana" w:cstheme="majorBidi"/>
      <w:caps/>
      <w:color w:val="00693C"/>
      <w:sz w:val="52"/>
      <w:szCs w:val="32"/>
    </w:rPr>
  </w:style>
  <w:style w:type="paragraph" w:styleId="Heading2">
    <w:name w:val="heading 2"/>
    <w:basedOn w:val="Normal"/>
    <w:next w:val="Normal"/>
    <w:link w:val="Heading2Char"/>
    <w:uiPriority w:val="9"/>
    <w:unhideWhenUsed/>
    <w:qFormat/>
    <w:rsid w:val="00E6645A"/>
    <w:pPr>
      <w:keepNext/>
      <w:keepLines/>
      <w:spacing w:before="360" w:line="280" w:lineRule="exact"/>
      <w:outlineLvl w:val="1"/>
    </w:pPr>
    <w:rPr>
      <w:rFonts w:eastAsiaTheme="majorEastAsia" w:cstheme="majorBidi"/>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A0A34"/>
    <w:pPr>
      <w:tabs>
        <w:tab w:val="center" w:pos="4680"/>
        <w:tab w:val="right" w:pos="9360"/>
      </w:tabs>
    </w:pPr>
  </w:style>
  <w:style w:type="character" w:customStyle="1" w:styleId="HeaderChar">
    <w:name w:val="Header Char"/>
    <w:basedOn w:val="DefaultParagraphFont"/>
    <w:link w:val="Header"/>
    <w:uiPriority w:val="99"/>
    <w:rsid w:val="00FA0A34"/>
  </w:style>
  <w:style w:type="paragraph" w:styleId="Footer">
    <w:name w:val="footer"/>
    <w:basedOn w:val="Normal"/>
    <w:link w:val="FooterChar"/>
    <w:uiPriority w:val="99"/>
    <w:unhideWhenUsed/>
    <w:rsid w:val="00E6645A"/>
    <w:pPr>
      <w:tabs>
        <w:tab w:val="center" w:pos="4680"/>
        <w:tab w:val="right" w:pos="9360"/>
      </w:tabs>
      <w:jc w:val="right"/>
    </w:pPr>
    <w:rPr>
      <w:sz w:val="14"/>
    </w:rPr>
  </w:style>
  <w:style w:type="character" w:customStyle="1" w:styleId="FooterChar">
    <w:name w:val="Footer Char"/>
    <w:basedOn w:val="DefaultParagraphFont"/>
    <w:link w:val="Footer"/>
    <w:uiPriority w:val="99"/>
    <w:rsid w:val="00E6645A"/>
    <w:rPr>
      <w:rFonts w:ascii="Verdana" w:eastAsiaTheme="minorEastAsia" w:hAnsi="Verdana"/>
      <w:color w:val="595959" w:themeColor="text1" w:themeTint="A6"/>
      <w:sz w:val="14"/>
    </w:rPr>
  </w:style>
  <w:style w:type="character" w:customStyle="1" w:styleId="Heading1Char">
    <w:name w:val="Heading 1 Char"/>
    <w:basedOn w:val="DefaultParagraphFont"/>
    <w:link w:val="Heading1"/>
    <w:uiPriority w:val="9"/>
    <w:rsid w:val="00325E5A"/>
    <w:rPr>
      <w:rFonts w:ascii="Verdana" w:eastAsiaTheme="majorEastAsia" w:hAnsi="Verdana" w:cstheme="majorBidi"/>
      <w:caps/>
      <w:color w:val="00693C"/>
      <w:sz w:val="52"/>
      <w:szCs w:val="32"/>
    </w:rPr>
  </w:style>
  <w:style w:type="paragraph" w:styleId="Subtitle">
    <w:name w:val="Subtitle"/>
    <w:basedOn w:val="Normal"/>
    <w:next w:val="Normal"/>
    <w:link w:val="SubtitleChar"/>
    <w:uiPriority w:val="11"/>
    <w:qFormat/>
    <w:rsid w:val="00F555D9"/>
    <w:pPr>
      <w:numPr>
        <w:ilvl w:val="1"/>
      </w:numPr>
      <w:spacing w:after="400" w:line="400" w:lineRule="exact"/>
    </w:pPr>
    <w:rPr>
      <w:color w:val="5A5A5A" w:themeColor="text1" w:themeTint="A5"/>
      <w:sz w:val="32"/>
    </w:rPr>
  </w:style>
  <w:style w:type="character" w:customStyle="1" w:styleId="SubtitleChar">
    <w:name w:val="Subtitle Char"/>
    <w:basedOn w:val="DefaultParagraphFont"/>
    <w:link w:val="Subtitle"/>
    <w:uiPriority w:val="11"/>
    <w:rsid w:val="00F555D9"/>
    <w:rPr>
      <w:rFonts w:ascii="Verdana" w:eastAsiaTheme="minorEastAsia" w:hAnsi="Verdana"/>
      <w:color w:val="5A5A5A" w:themeColor="text1" w:themeTint="A5"/>
      <w:sz w:val="32"/>
    </w:rPr>
  </w:style>
  <w:style w:type="character" w:customStyle="1" w:styleId="Heading2Char">
    <w:name w:val="Heading 2 Char"/>
    <w:basedOn w:val="DefaultParagraphFont"/>
    <w:link w:val="Heading2"/>
    <w:uiPriority w:val="9"/>
    <w:rsid w:val="00E6645A"/>
    <w:rPr>
      <w:rFonts w:ascii="Verdana" w:eastAsiaTheme="majorEastAsia" w:hAnsi="Verdana" w:cstheme="majorBidi"/>
      <w:color w:val="595959" w:themeColor="text1" w:themeTint="A6"/>
      <w:sz w:val="24"/>
      <w:szCs w:val="26"/>
    </w:rPr>
  </w:style>
  <w:style w:type="paragraph" w:styleId="ListBullet">
    <w:name w:val="List Bullet"/>
    <w:basedOn w:val="Normal"/>
    <w:uiPriority w:val="99"/>
    <w:unhideWhenUsed/>
    <w:qFormat/>
    <w:rsid w:val="00AD1B8A"/>
    <w:pPr>
      <w:numPr>
        <w:numId w:val="1"/>
      </w:numPr>
      <w:ind w:left="227" w:hanging="227"/>
      <w:contextualSpacing/>
    </w:pPr>
  </w:style>
  <w:style w:type="paragraph" w:styleId="EndnoteText">
    <w:name w:val="endnote text"/>
    <w:basedOn w:val="Normal"/>
    <w:next w:val="Normal"/>
    <w:link w:val="EndnoteTextChar"/>
    <w:uiPriority w:val="99"/>
    <w:unhideWhenUsed/>
    <w:qFormat/>
    <w:rsid w:val="00236871"/>
    <w:pPr>
      <w:spacing w:before="760" w:line="200" w:lineRule="exact"/>
    </w:pPr>
    <w:rPr>
      <w:b/>
      <w:caps/>
      <w:sz w:val="16"/>
      <w:szCs w:val="20"/>
    </w:rPr>
  </w:style>
  <w:style w:type="character" w:customStyle="1" w:styleId="EndnoteTextChar">
    <w:name w:val="Endnote Text Char"/>
    <w:basedOn w:val="DefaultParagraphFont"/>
    <w:link w:val="EndnoteText"/>
    <w:uiPriority w:val="99"/>
    <w:rsid w:val="00236871"/>
    <w:rPr>
      <w:rFonts w:ascii="Verdana" w:eastAsiaTheme="minorEastAsia" w:hAnsi="Verdana"/>
      <w:b/>
      <w:caps/>
      <w:color w:val="595959" w:themeColor="text1" w:themeTint="A6"/>
      <w:sz w:val="16"/>
      <w:szCs w:val="20"/>
    </w:rPr>
  </w:style>
  <w:style w:type="paragraph" w:styleId="FootnoteText">
    <w:name w:val="footnote text"/>
    <w:basedOn w:val="Normal"/>
    <w:link w:val="FootnoteTextChar"/>
    <w:uiPriority w:val="99"/>
    <w:unhideWhenUsed/>
    <w:qFormat/>
    <w:rsid w:val="00236871"/>
    <w:pPr>
      <w:ind w:right="-510"/>
      <w:jc w:val="right"/>
    </w:pPr>
    <w:rPr>
      <w:sz w:val="15"/>
      <w:szCs w:val="20"/>
    </w:rPr>
  </w:style>
  <w:style w:type="character" w:customStyle="1" w:styleId="FootnoteTextChar">
    <w:name w:val="Footnote Text Char"/>
    <w:basedOn w:val="DefaultParagraphFont"/>
    <w:link w:val="FootnoteText"/>
    <w:uiPriority w:val="99"/>
    <w:rsid w:val="00236871"/>
    <w:rPr>
      <w:rFonts w:ascii="Verdana" w:eastAsiaTheme="minorEastAsia" w:hAnsi="Verdana"/>
      <w:color w:val="595959" w:themeColor="text1" w:themeTint="A6"/>
      <w:sz w:val="15"/>
      <w:szCs w:val="20"/>
    </w:rPr>
  </w:style>
  <w:style w:type="paragraph" w:styleId="NoSpacing">
    <w:name w:val="No Spacing"/>
    <w:uiPriority w:val="1"/>
    <w:qFormat/>
    <w:rsid w:val="00D1189E"/>
    <w:pPr>
      <w:spacing w:after="0" w:line="240" w:lineRule="auto"/>
    </w:pPr>
    <w:rPr>
      <w:rFonts w:ascii="Verdana" w:eastAsiaTheme="minorEastAsia" w:hAnsi="Verdana"/>
      <w:color w:val="000000" w:themeColor="text1"/>
      <w:sz w:val="20"/>
    </w:rPr>
  </w:style>
  <w:style w:type="table" w:styleId="TableGrid">
    <w:name w:val="Table Grid"/>
    <w:basedOn w:val="TableNormal"/>
    <w:uiPriority w:val="39"/>
    <w:rsid w:val="005812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D1189E"/>
    <w:rPr>
      <w:rFonts w:ascii="Verdana" w:hAnsi="Verdana"/>
      <w:b/>
      <w:bCs/>
      <w:i w:val="0"/>
      <w:color w:val="auto"/>
      <w:sz w:val="20"/>
    </w:rPr>
  </w:style>
  <w:style w:type="paragraph" w:styleId="BalloonText">
    <w:name w:val="Balloon Text"/>
    <w:basedOn w:val="Normal"/>
    <w:link w:val="BalloonTextChar"/>
    <w:uiPriority w:val="99"/>
    <w:semiHidden/>
    <w:unhideWhenUsed/>
    <w:rsid w:val="00E503B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503B7"/>
    <w:rPr>
      <w:rFonts w:ascii="Lucida Grande" w:eastAsiaTheme="minorEastAsia" w:hAnsi="Lucida Grande" w:cs="Lucida Grande"/>
      <w:color w:val="000000" w:themeColor="text1"/>
      <w:sz w:val="18"/>
      <w:szCs w:val="18"/>
    </w:rPr>
  </w:style>
  <w:style w:type="character" w:styleId="Hyperlink">
    <w:name w:val="Hyperlink"/>
    <w:basedOn w:val="DefaultParagraphFont"/>
    <w:uiPriority w:val="99"/>
    <w:unhideWhenUsed/>
    <w:rsid w:val="00F10518"/>
    <w:rPr>
      <w:color w:val="0563C1" w:themeColor="hyperlink"/>
      <w:u w:val="single"/>
    </w:rPr>
  </w:style>
  <w:style w:type="paragraph" w:styleId="ListParagraph">
    <w:name w:val="List Paragraph"/>
    <w:basedOn w:val="Normal"/>
    <w:link w:val="ListParagraphChar"/>
    <w:uiPriority w:val="34"/>
    <w:qFormat/>
    <w:rsid w:val="00F10518"/>
    <w:pPr>
      <w:ind w:left="720"/>
      <w:contextualSpacing/>
    </w:pPr>
    <w:rPr>
      <w:lang w:val="en-US"/>
    </w:rPr>
  </w:style>
  <w:style w:type="character" w:styleId="FootnoteReference">
    <w:name w:val="footnote reference"/>
    <w:basedOn w:val="DefaultParagraphFont"/>
    <w:uiPriority w:val="99"/>
    <w:unhideWhenUsed/>
    <w:rsid w:val="00F10518"/>
    <w:rPr>
      <w:vertAlign w:val="superscript"/>
    </w:rPr>
  </w:style>
  <w:style w:type="character" w:customStyle="1" w:styleId="ListParagraphChar">
    <w:name w:val="List Paragraph Char"/>
    <w:basedOn w:val="DefaultParagraphFont"/>
    <w:link w:val="ListParagraph"/>
    <w:uiPriority w:val="34"/>
    <w:locked/>
    <w:rsid w:val="00F10518"/>
    <w:rPr>
      <w:rFonts w:ascii="Verdana" w:eastAsiaTheme="minorEastAsia" w:hAnsi="Verdana"/>
      <w:color w:val="000000" w:themeColor="text1"/>
      <w:sz w:val="20"/>
    </w:rPr>
  </w:style>
  <w:style w:type="paragraph" w:customStyle="1" w:styleId="Default">
    <w:name w:val="Default"/>
    <w:rsid w:val="00470666"/>
    <w:pPr>
      <w:autoSpaceDE w:val="0"/>
      <w:autoSpaceDN w:val="0"/>
      <w:adjustRightInd w:val="0"/>
      <w:spacing w:after="0" w:line="240" w:lineRule="auto"/>
    </w:pPr>
    <w:rPr>
      <w:rFonts w:ascii="Times New Roman" w:hAnsi="Times New Roman" w:cs="Times New Roman"/>
      <w:color w:val="000000"/>
      <w:sz w:val="24"/>
      <w:szCs w:val="24"/>
      <w:lang w:val="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endnote text" w:qFormat="1"/>
    <w:lsdException w:name="List Bullet" w:qFormat="1"/>
    <w:lsdException w:name="Title" w:semiHidden="0" w:uiPriority="10" w:unhideWhenUsed="0"/>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E11D03"/>
    <w:pPr>
      <w:spacing w:after="0" w:line="240" w:lineRule="auto"/>
    </w:pPr>
    <w:rPr>
      <w:rFonts w:ascii="Verdana" w:eastAsiaTheme="minorEastAsia" w:hAnsi="Verdana"/>
      <w:color w:val="000000" w:themeColor="text1"/>
      <w:sz w:val="20"/>
      <w:lang w:val="en-AU"/>
    </w:rPr>
  </w:style>
  <w:style w:type="paragraph" w:styleId="Heading1">
    <w:name w:val="heading 1"/>
    <w:next w:val="Subtitle"/>
    <w:link w:val="Heading1Char"/>
    <w:uiPriority w:val="9"/>
    <w:qFormat/>
    <w:rsid w:val="00325E5A"/>
    <w:pPr>
      <w:keepNext/>
      <w:keepLines/>
      <w:spacing w:after="840" w:line="620" w:lineRule="exact"/>
      <w:outlineLvl w:val="0"/>
    </w:pPr>
    <w:rPr>
      <w:rFonts w:ascii="Verdana" w:eastAsiaTheme="majorEastAsia" w:hAnsi="Verdana" w:cstheme="majorBidi"/>
      <w:caps/>
      <w:color w:val="00693C"/>
      <w:sz w:val="52"/>
      <w:szCs w:val="32"/>
    </w:rPr>
  </w:style>
  <w:style w:type="paragraph" w:styleId="Heading2">
    <w:name w:val="heading 2"/>
    <w:basedOn w:val="Normal"/>
    <w:next w:val="Normal"/>
    <w:link w:val="Heading2Char"/>
    <w:uiPriority w:val="9"/>
    <w:unhideWhenUsed/>
    <w:qFormat/>
    <w:rsid w:val="00E6645A"/>
    <w:pPr>
      <w:keepNext/>
      <w:keepLines/>
      <w:spacing w:before="360" w:line="280" w:lineRule="exact"/>
      <w:outlineLvl w:val="1"/>
    </w:pPr>
    <w:rPr>
      <w:rFonts w:eastAsiaTheme="majorEastAsia" w:cstheme="majorBidi"/>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A0A34"/>
    <w:pPr>
      <w:tabs>
        <w:tab w:val="center" w:pos="4680"/>
        <w:tab w:val="right" w:pos="9360"/>
      </w:tabs>
    </w:pPr>
  </w:style>
  <w:style w:type="character" w:customStyle="1" w:styleId="HeaderChar">
    <w:name w:val="Header Char"/>
    <w:basedOn w:val="DefaultParagraphFont"/>
    <w:link w:val="Header"/>
    <w:uiPriority w:val="99"/>
    <w:rsid w:val="00FA0A34"/>
  </w:style>
  <w:style w:type="paragraph" w:styleId="Footer">
    <w:name w:val="footer"/>
    <w:basedOn w:val="Normal"/>
    <w:link w:val="FooterChar"/>
    <w:uiPriority w:val="99"/>
    <w:unhideWhenUsed/>
    <w:rsid w:val="00E6645A"/>
    <w:pPr>
      <w:tabs>
        <w:tab w:val="center" w:pos="4680"/>
        <w:tab w:val="right" w:pos="9360"/>
      </w:tabs>
      <w:jc w:val="right"/>
    </w:pPr>
    <w:rPr>
      <w:sz w:val="14"/>
    </w:rPr>
  </w:style>
  <w:style w:type="character" w:customStyle="1" w:styleId="FooterChar">
    <w:name w:val="Footer Char"/>
    <w:basedOn w:val="DefaultParagraphFont"/>
    <w:link w:val="Footer"/>
    <w:uiPriority w:val="99"/>
    <w:rsid w:val="00E6645A"/>
    <w:rPr>
      <w:rFonts w:ascii="Verdana" w:eastAsiaTheme="minorEastAsia" w:hAnsi="Verdana"/>
      <w:color w:val="595959" w:themeColor="text1" w:themeTint="A6"/>
      <w:sz w:val="14"/>
    </w:rPr>
  </w:style>
  <w:style w:type="character" w:customStyle="1" w:styleId="Heading1Char">
    <w:name w:val="Heading 1 Char"/>
    <w:basedOn w:val="DefaultParagraphFont"/>
    <w:link w:val="Heading1"/>
    <w:uiPriority w:val="9"/>
    <w:rsid w:val="00325E5A"/>
    <w:rPr>
      <w:rFonts w:ascii="Verdana" w:eastAsiaTheme="majorEastAsia" w:hAnsi="Verdana" w:cstheme="majorBidi"/>
      <w:caps/>
      <w:color w:val="00693C"/>
      <w:sz w:val="52"/>
      <w:szCs w:val="32"/>
    </w:rPr>
  </w:style>
  <w:style w:type="paragraph" w:styleId="Subtitle">
    <w:name w:val="Subtitle"/>
    <w:basedOn w:val="Normal"/>
    <w:next w:val="Normal"/>
    <w:link w:val="SubtitleChar"/>
    <w:uiPriority w:val="11"/>
    <w:qFormat/>
    <w:rsid w:val="00F555D9"/>
    <w:pPr>
      <w:numPr>
        <w:ilvl w:val="1"/>
      </w:numPr>
      <w:spacing w:after="400" w:line="400" w:lineRule="exact"/>
    </w:pPr>
    <w:rPr>
      <w:color w:val="5A5A5A" w:themeColor="text1" w:themeTint="A5"/>
      <w:sz w:val="32"/>
    </w:rPr>
  </w:style>
  <w:style w:type="character" w:customStyle="1" w:styleId="SubtitleChar">
    <w:name w:val="Subtitle Char"/>
    <w:basedOn w:val="DefaultParagraphFont"/>
    <w:link w:val="Subtitle"/>
    <w:uiPriority w:val="11"/>
    <w:rsid w:val="00F555D9"/>
    <w:rPr>
      <w:rFonts w:ascii="Verdana" w:eastAsiaTheme="minorEastAsia" w:hAnsi="Verdana"/>
      <w:color w:val="5A5A5A" w:themeColor="text1" w:themeTint="A5"/>
      <w:sz w:val="32"/>
    </w:rPr>
  </w:style>
  <w:style w:type="character" w:customStyle="1" w:styleId="Heading2Char">
    <w:name w:val="Heading 2 Char"/>
    <w:basedOn w:val="DefaultParagraphFont"/>
    <w:link w:val="Heading2"/>
    <w:uiPriority w:val="9"/>
    <w:rsid w:val="00E6645A"/>
    <w:rPr>
      <w:rFonts w:ascii="Verdana" w:eastAsiaTheme="majorEastAsia" w:hAnsi="Verdana" w:cstheme="majorBidi"/>
      <w:color w:val="595959" w:themeColor="text1" w:themeTint="A6"/>
      <w:sz w:val="24"/>
      <w:szCs w:val="26"/>
    </w:rPr>
  </w:style>
  <w:style w:type="paragraph" w:styleId="ListBullet">
    <w:name w:val="List Bullet"/>
    <w:basedOn w:val="Normal"/>
    <w:uiPriority w:val="99"/>
    <w:unhideWhenUsed/>
    <w:qFormat/>
    <w:rsid w:val="00AD1B8A"/>
    <w:pPr>
      <w:numPr>
        <w:numId w:val="1"/>
      </w:numPr>
      <w:ind w:left="227" w:hanging="227"/>
      <w:contextualSpacing/>
    </w:pPr>
  </w:style>
  <w:style w:type="paragraph" w:styleId="EndnoteText">
    <w:name w:val="endnote text"/>
    <w:basedOn w:val="Normal"/>
    <w:next w:val="Normal"/>
    <w:link w:val="EndnoteTextChar"/>
    <w:uiPriority w:val="99"/>
    <w:unhideWhenUsed/>
    <w:qFormat/>
    <w:rsid w:val="00236871"/>
    <w:pPr>
      <w:spacing w:before="760" w:line="200" w:lineRule="exact"/>
    </w:pPr>
    <w:rPr>
      <w:b/>
      <w:caps/>
      <w:sz w:val="16"/>
      <w:szCs w:val="20"/>
    </w:rPr>
  </w:style>
  <w:style w:type="character" w:customStyle="1" w:styleId="EndnoteTextChar">
    <w:name w:val="Endnote Text Char"/>
    <w:basedOn w:val="DefaultParagraphFont"/>
    <w:link w:val="EndnoteText"/>
    <w:uiPriority w:val="99"/>
    <w:rsid w:val="00236871"/>
    <w:rPr>
      <w:rFonts w:ascii="Verdana" w:eastAsiaTheme="minorEastAsia" w:hAnsi="Verdana"/>
      <w:b/>
      <w:caps/>
      <w:color w:val="595959" w:themeColor="text1" w:themeTint="A6"/>
      <w:sz w:val="16"/>
      <w:szCs w:val="20"/>
    </w:rPr>
  </w:style>
  <w:style w:type="paragraph" w:styleId="FootnoteText">
    <w:name w:val="footnote text"/>
    <w:basedOn w:val="Normal"/>
    <w:link w:val="FootnoteTextChar"/>
    <w:uiPriority w:val="99"/>
    <w:unhideWhenUsed/>
    <w:qFormat/>
    <w:rsid w:val="00236871"/>
    <w:pPr>
      <w:ind w:right="-510"/>
      <w:jc w:val="right"/>
    </w:pPr>
    <w:rPr>
      <w:sz w:val="15"/>
      <w:szCs w:val="20"/>
    </w:rPr>
  </w:style>
  <w:style w:type="character" w:customStyle="1" w:styleId="FootnoteTextChar">
    <w:name w:val="Footnote Text Char"/>
    <w:basedOn w:val="DefaultParagraphFont"/>
    <w:link w:val="FootnoteText"/>
    <w:uiPriority w:val="99"/>
    <w:rsid w:val="00236871"/>
    <w:rPr>
      <w:rFonts w:ascii="Verdana" w:eastAsiaTheme="minorEastAsia" w:hAnsi="Verdana"/>
      <w:color w:val="595959" w:themeColor="text1" w:themeTint="A6"/>
      <w:sz w:val="15"/>
      <w:szCs w:val="20"/>
    </w:rPr>
  </w:style>
  <w:style w:type="paragraph" w:styleId="NoSpacing">
    <w:name w:val="No Spacing"/>
    <w:uiPriority w:val="1"/>
    <w:qFormat/>
    <w:rsid w:val="00D1189E"/>
    <w:pPr>
      <w:spacing w:after="0" w:line="240" w:lineRule="auto"/>
    </w:pPr>
    <w:rPr>
      <w:rFonts w:ascii="Verdana" w:eastAsiaTheme="minorEastAsia" w:hAnsi="Verdana"/>
      <w:color w:val="000000" w:themeColor="text1"/>
      <w:sz w:val="20"/>
    </w:rPr>
  </w:style>
  <w:style w:type="table" w:styleId="TableGrid">
    <w:name w:val="Table Grid"/>
    <w:basedOn w:val="TableNormal"/>
    <w:uiPriority w:val="39"/>
    <w:rsid w:val="005812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D1189E"/>
    <w:rPr>
      <w:rFonts w:ascii="Verdana" w:hAnsi="Verdana"/>
      <w:b/>
      <w:bCs/>
      <w:i w:val="0"/>
      <w:color w:val="auto"/>
      <w:sz w:val="20"/>
    </w:rPr>
  </w:style>
  <w:style w:type="paragraph" w:styleId="BalloonText">
    <w:name w:val="Balloon Text"/>
    <w:basedOn w:val="Normal"/>
    <w:link w:val="BalloonTextChar"/>
    <w:uiPriority w:val="99"/>
    <w:semiHidden/>
    <w:unhideWhenUsed/>
    <w:rsid w:val="00E503B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503B7"/>
    <w:rPr>
      <w:rFonts w:ascii="Lucida Grande" w:eastAsiaTheme="minorEastAsia" w:hAnsi="Lucida Grande" w:cs="Lucida Grande"/>
      <w:color w:val="000000" w:themeColor="text1"/>
      <w:sz w:val="18"/>
      <w:szCs w:val="18"/>
    </w:rPr>
  </w:style>
  <w:style w:type="character" w:styleId="Hyperlink">
    <w:name w:val="Hyperlink"/>
    <w:basedOn w:val="DefaultParagraphFont"/>
    <w:uiPriority w:val="99"/>
    <w:unhideWhenUsed/>
    <w:rsid w:val="00F10518"/>
    <w:rPr>
      <w:color w:val="0563C1" w:themeColor="hyperlink"/>
      <w:u w:val="single"/>
    </w:rPr>
  </w:style>
  <w:style w:type="paragraph" w:styleId="ListParagraph">
    <w:name w:val="List Paragraph"/>
    <w:basedOn w:val="Normal"/>
    <w:link w:val="ListParagraphChar"/>
    <w:uiPriority w:val="34"/>
    <w:qFormat/>
    <w:rsid w:val="00F10518"/>
    <w:pPr>
      <w:ind w:left="720"/>
      <w:contextualSpacing/>
    </w:pPr>
    <w:rPr>
      <w:lang w:val="en-US"/>
    </w:rPr>
  </w:style>
  <w:style w:type="character" w:styleId="FootnoteReference">
    <w:name w:val="footnote reference"/>
    <w:basedOn w:val="DefaultParagraphFont"/>
    <w:uiPriority w:val="99"/>
    <w:unhideWhenUsed/>
    <w:rsid w:val="00F10518"/>
    <w:rPr>
      <w:vertAlign w:val="superscript"/>
    </w:rPr>
  </w:style>
  <w:style w:type="character" w:customStyle="1" w:styleId="ListParagraphChar">
    <w:name w:val="List Paragraph Char"/>
    <w:basedOn w:val="DefaultParagraphFont"/>
    <w:link w:val="ListParagraph"/>
    <w:uiPriority w:val="34"/>
    <w:locked/>
    <w:rsid w:val="00F10518"/>
    <w:rPr>
      <w:rFonts w:ascii="Verdana" w:eastAsiaTheme="minorEastAsia" w:hAnsi="Verdana"/>
      <w:color w:val="000000" w:themeColor="text1"/>
      <w:sz w:val="20"/>
    </w:rPr>
  </w:style>
  <w:style w:type="paragraph" w:customStyle="1" w:styleId="Default">
    <w:name w:val="Default"/>
    <w:rsid w:val="00470666"/>
    <w:pPr>
      <w:autoSpaceDE w:val="0"/>
      <w:autoSpaceDN w:val="0"/>
      <w:adjustRightInd w:val="0"/>
      <w:spacing w:after="0" w:line="240" w:lineRule="auto"/>
    </w:pPr>
    <w:rPr>
      <w:rFonts w:ascii="Times New Roman" w:hAnsi="Times New Roman" w:cs="Times New Roman"/>
      <w:color w:val="000000"/>
      <w:sz w:val="24"/>
      <w:szCs w:val="24"/>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oter" Target="footer4.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image" Target="media/image3.jp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mailto:pysubmissions@rba.gov.au" TargetMode="External"/><Relationship Id="rId10" Type="http://schemas.openxmlformats.org/officeDocument/2006/relationships/header" Target="header2.xm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_rels/footer4.xml.rels><?xml version="1.0" encoding="UTF-8" standalone="yes"?>
<Relationships xmlns="http://schemas.openxmlformats.org/package/2006/relationships"><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2" Type="http://schemas.openxmlformats.org/officeDocument/2006/relationships/image" Target="file://localhost/Users/Natalie/Documents/Nat's%20Work%20Folder/COB3769%20Legal%20Text%20Change/Final/Links/ABA3769%20COBA-letterhead-temp-syd-update_Final.jpg" TargetMode="External"/><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65FB17-45DC-4545-995D-97B91BD692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C1D31B4D.dotm</Template>
  <TotalTime>0</TotalTime>
  <Pages>3</Pages>
  <Words>976</Words>
  <Characters>5564</Characters>
  <Application>Microsoft Office Word</Application>
  <DocSecurity>0</DocSecurity>
  <Lines>46</Lines>
  <Paragraphs>13</Paragraphs>
  <ScaleCrop>false</ScaleCrop>
  <Company/>
  <LinksUpToDate>false</LinksUpToDate>
  <CharactersWithSpaces>6527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2016-02-08T02:50:00Z</dcterms:created>
  <dcterms:modified xsi:type="dcterms:W3CDTF">2016-02-08T02:50:00Z</dcterms:modified>
</cp:coreProperties>
</file>