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757A05" w14:textId="77777777" w:rsidR="00F421BE" w:rsidRDefault="00F421BE" w:rsidP="00AB0270">
      <w:pPr>
        <w:pStyle w:val="NoSpacing"/>
        <w:jc w:val="both"/>
        <w:rPr>
          <w:rFonts w:ascii="Segoe UI" w:hAnsi="Segoe UI" w:cs="Segoe UI"/>
          <w:sz w:val="21"/>
          <w:szCs w:val="21"/>
        </w:rPr>
      </w:pPr>
      <w:bookmarkStart w:id="0" w:name="_GoBack"/>
      <w:bookmarkEnd w:id="0"/>
    </w:p>
    <w:p w14:paraId="06757A06" w14:textId="77777777" w:rsidR="00F421BE" w:rsidRDefault="00F421BE" w:rsidP="00AB0270">
      <w:pPr>
        <w:pStyle w:val="NoSpacing"/>
        <w:jc w:val="both"/>
        <w:rPr>
          <w:rFonts w:ascii="Segoe UI" w:hAnsi="Segoe UI" w:cs="Segoe UI"/>
          <w:sz w:val="21"/>
          <w:szCs w:val="21"/>
        </w:rPr>
      </w:pPr>
    </w:p>
    <w:p w14:paraId="06757A07" w14:textId="77777777" w:rsidR="00F421BE" w:rsidRPr="0089281F" w:rsidRDefault="00F421BE" w:rsidP="00AB0270">
      <w:pPr>
        <w:pStyle w:val="NoSpacing"/>
        <w:jc w:val="both"/>
        <w:rPr>
          <w:rFonts w:ascii="Segoe UI" w:hAnsi="Segoe UI" w:cs="Segoe UI"/>
          <w:sz w:val="21"/>
          <w:szCs w:val="21"/>
        </w:rPr>
      </w:pPr>
      <w:r>
        <w:rPr>
          <w:rFonts w:ascii="Segoe UI" w:hAnsi="Segoe UI" w:cs="Segoe UI"/>
          <w:sz w:val="21"/>
          <w:szCs w:val="21"/>
        </w:rPr>
        <w:t>3 February 2016</w:t>
      </w:r>
    </w:p>
    <w:p w14:paraId="06757A08" w14:textId="77777777" w:rsidR="00F421BE" w:rsidRPr="0089281F" w:rsidRDefault="00F421BE" w:rsidP="00AB0270">
      <w:pPr>
        <w:jc w:val="both"/>
        <w:rPr>
          <w:rFonts w:ascii="Segoe UI" w:hAnsi="Segoe UI" w:cs="Segoe UI"/>
          <w:sz w:val="21"/>
          <w:szCs w:val="21"/>
        </w:rPr>
      </w:pPr>
    </w:p>
    <w:p w14:paraId="06757A09" w14:textId="77777777" w:rsidR="00F421BE" w:rsidRPr="0089281F" w:rsidRDefault="00F421BE" w:rsidP="00AB0270">
      <w:pPr>
        <w:jc w:val="both"/>
        <w:rPr>
          <w:rFonts w:ascii="Segoe UI" w:hAnsi="Segoe UI" w:cs="Segoe UI"/>
          <w:sz w:val="21"/>
          <w:szCs w:val="21"/>
        </w:rPr>
      </w:pPr>
    </w:p>
    <w:p w14:paraId="06757A0A" w14:textId="77777777" w:rsidR="00F421BE" w:rsidRPr="0089281F" w:rsidRDefault="00F421BE" w:rsidP="00AB0270">
      <w:pPr>
        <w:jc w:val="both"/>
        <w:rPr>
          <w:rFonts w:ascii="Segoe UI" w:hAnsi="Segoe UI" w:cs="Segoe UI"/>
          <w:sz w:val="21"/>
          <w:szCs w:val="21"/>
        </w:rPr>
      </w:pPr>
      <w:proofErr w:type="spellStart"/>
      <w:r w:rsidRPr="0089281F">
        <w:rPr>
          <w:rFonts w:ascii="Segoe UI" w:hAnsi="Segoe UI" w:cs="Segoe UI"/>
          <w:sz w:val="21"/>
          <w:szCs w:val="21"/>
        </w:rPr>
        <w:t>Dr</w:t>
      </w:r>
      <w:proofErr w:type="spellEnd"/>
      <w:r w:rsidRPr="0089281F">
        <w:rPr>
          <w:rFonts w:ascii="Segoe UI" w:hAnsi="Segoe UI" w:cs="Segoe UI"/>
          <w:sz w:val="21"/>
          <w:szCs w:val="21"/>
        </w:rPr>
        <w:t xml:space="preserve"> Tony Richards </w:t>
      </w:r>
    </w:p>
    <w:p w14:paraId="06757A0B"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Head of Payments Policy Department</w:t>
      </w:r>
    </w:p>
    <w:p w14:paraId="06757A0C"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Reserve Bank of Australia</w:t>
      </w:r>
    </w:p>
    <w:p w14:paraId="06757A0D"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GPO Box 3947</w:t>
      </w:r>
    </w:p>
    <w:p w14:paraId="06757A0E" w14:textId="77777777" w:rsidR="00F421BE" w:rsidRPr="0089281F" w:rsidRDefault="00F421BE" w:rsidP="00AB0270">
      <w:pPr>
        <w:jc w:val="both"/>
        <w:rPr>
          <w:rFonts w:ascii="Segoe UI" w:hAnsi="Segoe UI" w:cs="Segoe UI"/>
          <w:sz w:val="21"/>
          <w:szCs w:val="21"/>
        </w:rPr>
      </w:pPr>
      <w:r>
        <w:rPr>
          <w:rFonts w:ascii="Segoe UI" w:hAnsi="Segoe UI" w:cs="Segoe UI"/>
          <w:sz w:val="21"/>
          <w:szCs w:val="21"/>
        </w:rPr>
        <w:t>SYDNEY</w:t>
      </w:r>
      <w:r w:rsidRPr="0089281F">
        <w:rPr>
          <w:rFonts w:ascii="Segoe UI" w:hAnsi="Segoe UI" w:cs="Segoe UI"/>
          <w:sz w:val="21"/>
          <w:szCs w:val="21"/>
        </w:rPr>
        <w:t xml:space="preserve"> NSW 2001 </w:t>
      </w:r>
    </w:p>
    <w:p w14:paraId="06757A0F" w14:textId="77777777" w:rsidR="00F421BE" w:rsidRDefault="00F421BE" w:rsidP="00AB0270">
      <w:pPr>
        <w:tabs>
          <w:tab w:val="left" w:pos="7845"/>
        </w:tabs>
        <w:jc w:val="both"/>
        <w:rPr>
          <w:rFonts w:ascii="Segoe UI" w:hAnsi="Segoe UI" w:cs="Segoe UI"/>
          <w:sz w:val="21"/>
          <w:szCs w:val="21"/>
        </w:rPr>
      </w:pPr>
      <w:r>
        <w:rPr>
          <w:rFonts w:ascii="Segoe UI" w:hAnsi="Segoe UI" w:cs="Segoe UI"/>
          <w:sz w:val="21"/>
          <w:szCs w:val="21"/>
        </w:rPr>
        <w:tab/>
      </w:r>
    </w:p>
    <w:p w14:paraId="06757A10" w14:textId="77777777" w:rsidR="00F421BE" w:rsidRPr="008404F0" w:rsidRDefault="00F421BE" w:rsidP="00AB0270">
      <w:pPr>
        <w:jc w:val="both"/>
        <w:rPr>
          <w:rFonts w:ascii="Segoe UI" w:hAnsi="Segoe UI" w:cs="Segoe UI"/>
          <w:b/>
          <w:sz w:val="21"/>
          <w:szCs w:val="21"/>
        </w:rPr>
      </w:pPr>
      <w:r w:rsidRPr="008404F0">
        <w:rPr>
          <w:rFonts w:ascii="Segoe UI" w:hAnsi="Segoe UI" w:cs="Segoe UI"/>
          <w:b/>
          <w:sz w:val="21"/>
          <w:szCs w:val="21"/>
        </w:rPr>
        <w:t xml:space="preserve">Via email: </w:t>
      </w:r>
      <w:hyperlink r:id="rId9" w:history="1">
        <w:r w:rsidRPr="005B6179">
          <w:rPr>
            <w:rStyle w:val="Hyperlink"/>
            <w:rFonts w:ascii="Segoe UI" w:hAnsi="Segoe UI" w:cs="Segoe UI"/>
            <w:b/>
            <w:sz w:val="21"/>
            <w:szCs w:val="21"/>
          </w:rPr>
          <w:t>pysubmissions@rba.gov.au</w:t>
        </w:r>
      </w:hyperlink>
      <w:r>
        <w:rPr>
          <w:rFonts w:ascii="Segoe UI" w:hAnsi="Segoe UI" w:cs="Segoe UI"/>
          <w:b/>
          <w:sz w:val="21"/>
          <w:szCs w:val="21"/>
        </w:rPr>
        <w:t xml:space="preserve"> </w:t>
      </w:r>
    </w:p>
    <w:p w14:paraId="06757A11" w14:textId="77777777" w:rsidR="00F421BE" w:rsidRPr="0089281F" w:rsidRDefault="00F421BE" w:rsidP="00AB0270">
      <w:pPr>
        <w:jc w:val="both"/>
        <w:rPr>
          <w:rFonts w:ascii="Segoe UI" w:hAnsi="Segoe UI" w:cs="Segoe UI"/>
          <w:sz w:val="21"/>
          <w:szCs w:val="21"/>
        </w:rPr>
      </w:pPr>
    </w:p>
    <w:p w14:paraId="06757A12" w14:textId="77777777" w:rsidR="55770BA9" w:rsidRDefault="55770BA9" w:rsidP="00AB0270">
      <w:pPr>
        <w:jc w:val="both"/>
      </w:pPr>
    </w:p>
    <w:p w14:paraId="06757A13"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 xml:space="preserve">Dear </w:t>
      </w:r>
      <w:proofErr w:type="spellStart"/>
      <w:r w:rsidRPr="0089281F">
        <w:rPr>
          <w:rFonts w:ascii="Segoe UI" w:hAnsi="Segoe UI" w:cs="Segoe UI"/>
          <w:sz w:val="21"/>
          <w:szCs w:val="21"/>
        </w:rPr>
        <w:t>Dr</w:t>
      </w:r>
      <w:proofErr w:type="spellEnd"/>
      <w:r w:rsidRPr="0089281F">
        <w:rPr>
          <w:rFonts w:ascii="Segoe UI" w:hAnsi="Segoe UI" w:cs="Segoe UI"/>
          <w:sz w:val="21"/>
          <w:szCs w:val="21"/>
        </w:rPr>
        <w:t xml:space="preserve"> Richards</w:t>
      </w:r>
      <w:r>
        <w:rPr>
          <w:rFonts w:ascii="Segoe UI" w:hAnsi="Segoe UI" w:cs="Segoe UI"/>
          <w:sz w:val="21"/>
          <w:szCs w:val="21"/>
        </w:rPr>
        <w:t>,</w:t>
      </w:r>
    </w:p>
    <w:p w14:paraId="06757A14" w14:textId="77777777" w:rsidR="00F421BE" w:rsidRPr="0089281F" w:rsidRDefault="00F421BE" w:rsidP="00AB0270">
      <w:pPr>
        <w:jc w:val="both"/>
        <w:rPr>
          <w:rFonts w:ascii="Segoe UI" w:hAnsi="Segoe UI" w:cs="Segoe UI"/>
          <w:sz w:val="21"/>
          <w:szCs w:val="21"/>
        </w:rPr>
      </w:pPr>
    </w:p>
    <w:p w14:paraId="06757A15" w14:textId="77777777" w:rsidR="00F421BE" w:rsidRPr="0089281F" w:rsidRDefault="00F421BE" w:rsidP="00AB0270">
      <w:pPr>
        <w:jc w:val="both"/>
        <w:rPr>
          <w:rFonts w:ascii="Segoe UI" w:hAnsi="Segoe UI" w:cs="Segoe UI"/>
          <w:b/>
          <w:sz w:val="21"/>
          <w:szCs w:val="21"/>
        </w:rPr>
      </w:pPr>
      <w:r w:rsidRPr="0089281F">
        <w:rPr>
          <w:rFonts w:ascii="Segoe UI" w:hAnsi="Segoe UI" w:cs="Segoe UI"/>
          <w:b/>
          <w:sz w:val="21"/>
          <w:szCs w:val="21"/>
        </w:rPr>
        <w:t>Visa Submission to the Payments System Board</w:t>
      </w:r>
      <w:r>
        <w:rPr>
          <w:rFonts w:ascii="Segoe UI" w:hAnsi="Segoe UI" w:cs="Segoe UI"/>
          <w:b/>
          <w:sz w:val="21"/>
          <w:szCs w:val="21"/>
        </w:rPr>
        <w:t xml:space="preserve"> and Reserve Bank of Australia Review of Card Payment</w:t>
      </w:r>
      <w:r w:rsidR="0040296E">
        <w:rPr>
          <w:rFonts w:ascii="Segoe UI" w:hAnsi="Segoe UI" w:cs="Segoe UI"/>
          <w:b/>
          <w:sz w:val="21"/>
          <w:szCs w:val="21"/>
        </w:rPr>
        <w:t>s</w:t>
      </w:r>
      <w:r w:rsidR="007E3BA3">
        <w:rPr>
          <w:rFonts w:ascii="Segoe UI" w:hAnsi="Segoe UI" w:cs="Segoe UI"/>
          <w:b/>
          <w:sz w:val="21"/>
          <w:szCs w:val="21"/>
        </w:rPr>
        <w:t xml:space="preserve"> Regulation</w:t>
      </w:r>
    </w:p>
    <w:p w14:paraId="06757A16" w14:textId="77777777" w:rsidR="00F421BE" w:rsidRPr="0089281F" w:rsidRDefault="00F421BE" w:rsidP="00AB0270">
      <w:pPr>
        <w:jc w:val="both"/>
        <w:rPr>
          <w:rFonts w:ascii="Segoe UI" w:hAnsi="Segoe UI" w:cs="Segoe UI"/>
          <w:sz w:val="21"/>
          <w:szCs w:val="21"/>
        </w:rPr>
      </w:pPr>
    </w:p>
    <w:p w14:paraId="06757A17"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 xml:space="preserve">Visa welcomes the opportunity to respond to the Payments System Board (PSB) </w:t>
      </w:r>
      <w:r>
        <w:rPr>
          <w:rFonts w:ascii="Segoe UI" w:hAnsi="Segoe UI" w:cs="Segoe UI"/>
          <w:sz w:val="21"/>
          <w:szCs w:val="21"/>
        </w:rPr>
        <w:t xml:space="preserve">and Reserve Bank of Australia </w:t>
      </w:r>
      <w:r w:rsidRPr="0089281F">
        <w:rPr>
          <w:rFonts w:ascii="Segoe UI" w:hAnsi="Segoe UI" w:cs="Segoe UI"/>
          <w:sz w:val="21"/>
          <w:szCs w:val="21"/>
        </w:rPr>
        <w:t xml:space="preserve">(RBA) </w:t>
      </w:r>
      <w:r>
        <w:rPr>
          <w:rFonts w:ascii="Segoe UI" w:hAnsi="Segoe UI" w:cs="Segoe UI"/>
          <w:sz w:val="21"/>
          <w:szCs w:val="21"/>
        </w:rPr>
        <w:t>Consultation</w:t>
      </w:r>
      <w:r w:rsidRPr="0089281F">
        <w:rPr>
          <w:rFonts w:ascii="Segoe UI" w:hAnsi="Segoe UI" w:cs="Segoe UI"/>
          <w:sz w:val="21"/>
          <w:szCs w:val="21"/>
        </w:rPr>
        <w:t xml:space="preserve"> Paper </w:t>
      </w:r>
      <w:r w:rsidR="00710975">
        <w:rPr>
          <w:rFonts w:ascii="Segoe UI" w:hAnsi="Segoe UI" w:cs="Segoe UI"/>
          <w:sz w:val="21"/>
          <w:szCs w:val="21"/>
        </w:rPr>
        <w:t xml:space="preserve">on proposals </w:t>
      </w:r>
      <w:r w:rsidRPr="0089281F">
        <w:rPr>
          <w:rFonts w:ascii="Segoe UI" w:hAnsi="Segoe UI" w:cs="Segoe UI"/>
          <w:sz w:val="21"/>
          <w:szCs w:val="21"/>
        </w:rPr>
        <w:t xml:space="preserve">to </w:t>
      </w:r>
      <w:r>
        <w:rPr>
          <w:rFonts w:ascii="Segoe UI" w:hAnsi="Segoe UI" w:cs="Segoe UI"/>
          <w:sz w:val="21"/>
          <w:szCs w:val="21"/>
        </w:rPr>
        <w:t>amend the standards for card payment systems in Australia</w:t>
      </w:r>
      <w:r w:rsidRPr="0089281F">
        <w:rPr>
          <w:rFonts w:ascii="Segoe UI" w:hAnsi="Segoe UI" w:cs="Segoe UI"/>
          <w:sz w:val="21"/>
          <w:szCs w:val="21"/>
        </w:rPr>
        <w:t xml:space="preserve"> (released on </w:t>
      </w:r>
      <w:r>
        <w:rPr>
          <w:rFonts w:ascii="Segoe UI" w:hAnsi="Segoe UI" w:cs="Segoe UI"/>
          <w:sz w:val="21"/>
          <w:szCs w:val="21"/>
        </w:rPr>
        <w:t>3</w:t>
      </w:r>
      <w:r w:rsidRPr="0089281F">
        <w:rPr>
          <w:rFonts w:ascii="Segoe UI" w:hAnsi="Segoe UI" w:cs="Segoe UI"/>
          <w:sz w:val="21"/>
          <w:szCs w:val="21"/>
        </w:rPr>
        <w:t xml:space="preserve"> </w:t>
      </w:r>
      <w:r>
        <w:rPr>
          <w:rFonts w:ascii="Segoe UI" w:hAnsi="Segoe UI" w:cs="Segoe UI"/>
          <w:sz w:val="21"/>
          <w:szCs w:val="21"/>
        </w:rPr>
        <w:t>December</w:t>
      </w:r>
      <w:r w:rsidRPr="0089281F">
        <w:rPr>
          <w:rFonts w:ascii="Segoe UI" w:hAnsi="Segoe UI" w:cs="Segoe UI"/>
          <w:sz w:val="21"/>
          <w:szCs w:val="21"/>
        </w:rPr>
        <w:t xml:space="preserve"> 2015) and appreciates the </w:t>
      </w:r>
      <w:r>
        <w:rPr>
          <w:rFonts w:ascii="Segoe UI" w:hAnsi="Segoe UI" w:cs="Segoe UI"/>
          <w:sz w:val="21"/>
          <w:szCs w:val="21"/>
        </w:rPr>
        <w:t xml:space="preserve">ongoing </w:t>
      </w:r>
      <w:r w:rsidRPr="0089281F">
        <w:rPr>
          <w:rFonts w:ascii="Segoe UI" w:hAnsi="Segoe UI" w:cs="Segoe UI"/>
          <w:sz w:val="21"/>
          <w:szCs w:val="21"/>
        </w:rPr>
        <w:t>efforts of th</w:t>
      </w:r>
      <w:r w:rsidR="008F6AF9">
        <w:rPr>
          <w:rFonts w:ascii="Segoe UI" w:hAnsi="Segoe UI" w:cs="Segoe UI"/>
          <w:sz w:val="21"/>
          <w:szCs w:val="21"/>
        </w:rPr>
        <w:t>e RBA to engage with industry.</w:t>
      </w:r>
    </w:p>
    <w:p w14:paraId="06757A18" w14:textId="77777777" w:rsidR="00F421BE" w:rsidRPr="0089281F" w:rsidRDefault="00F421BE" w:rsidP="00AB0270">
      <w:pPr>
        <w:jc w:val="both"/>
        <w:rPr>
          <w:rFonts w:ascii="Segoe UI" w:hAnsi="Segoe UI" w:cs="Segoe UI"/>
          <w:sz w:val="21"/>
          <w:szCs w:val="21"/>
        </w:rPr>
      </w:pPr>
    </w:p>
    <w:p w14:paraId="06757A19"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 xml:space="preserve">Visa has participated actively in </w:t>
      </w:r>
      <w:r>
        <w:rPr>
          <w:rFonts w:ascii="Segoe UI" w:hAnsi="Segoe UI" w:cs="Segoe UI"/>
          <w:sz w:val="21"/>
          <w:szCs w:val="21"/>
        </w:rPr>
        <w:t>a wide number of</w:t>
      </w:r>
      <w:r w:rsidRPr="0089281F">
        <w:rPr>
          <w:rFonts w:ascii="Segoe UI" w:hAnsi="Segoe UI" w:cs="Segoe UI"/>
          <w:sz w:val="21"/>
          <w:szCs w:val="21"/>
        </w:rPr>
        <w:t xml:space="preserve"> reviews conducted by </w:t>
      </w:r>
      <w:r w:rsidR="00A15DAF">
        <w:rPr>
          <w:rFonts w:ascii="Segoe UI" w:hAnsi="Segoe UI" w:cs="Segoe UI"/>
          <w:sz w:val="21"/>
          <w:szCs w:val="21"/>
        </w:rPr>
        <w:t xml:space="preserve">the </w:t>
      </w:r>
      <w:r w:rsidRPr="0089281F">
        <w:rPr>
          <w:rFonts w:ascii="Segoe UI" w:hAnsi="Segoe UI" w:cs="Segoe UI"/>
          <w:sz w:val="21"/>
          <w:szCs w:val="21"/>
        </w:rPr>
        <w:t xml:space="preserve">RBA </w:t>
      </w:r>
      <w:r>
        <w:rPr>
          <w:rFonts w:ascii="Segoe UI" w:hAnsi="Segoe UI" w:cs="Segoe UI"/>
          <w:sz w:val="21"/>
          <w:szCs w:val="21"/>
        </w:rPr>
        <w:t>in previous years</w:t>
      </w:r>
      <w:r w:rsidRPr="0089281F">
        <w:rPr>
          <w:rFonts w:ascii="Segoe UI" w:hAnsi="Segoe UI" w:cs="Segoe UI"/>
          <w:sz w:val="21"/>
          <w:szCs w:val="21"/>
        </w:rPr>
        <w:t xml:space="preserve">. More recently, Visa has </w:t>
      </w:r>
      <w:r>
        <w:rPr>
          <w:rFonts w:ascii="Segoe UI" w:hAnsi="Segoe UI" w:cs="Segoe UI"/>
          <w:sz w:val="21"/>
          <w:szCs w:val="21"/>
        </w:rPr>
        <w:t>provided</w:t>
      </w:r>
      <w:r w:rsidRPr="0089281F">
        <w:rPr>
          <w:rFonts w:ascii="Segoe UI" w:hAnsi="Segoe UI" w:cs="Segoe UI"/>
          <w:sz w:val="21"/>
          <w:szCs w:val="21"/>
        </w:rPr>
        <w:t xml:space="preserve"> submissions to the Federal Government’s Financial System Inquiry (FSI) </w:t>
      </w:r>
      <w:r>
        <w:rPr>
          <w:rFonts w:ascii="Segoe UI" w:hAnsi="Segoe UI" w:cs="Segoe UI"/>
          <w:sz w:val="21"/>
          <w:szCs w:val="21"/>
        </w:rPr>
        <w:t>in 2014</w:t>
      </w:r>
      <w:r w:rsidRPr="0089281F">
        <w:rPr>
          <w:rFonts w:ascii="Segoe UI" w:hAnsi="Segoe UI" w:cs="Segoe UI"/>
          <w:sz w:val="21"/>
          <w:szCs w:val="21"/>
        </w:rPr>
        <w:t xml:space="preserve">, </w:t>
      </w:r>
      <w:r>
        <w:rPr>
          <w:rFonts w:ascii="Segoe UI" w:hAnsi="Segoe UI" w:cs="Segoe UI"/>
          <w:sz w:val="21"/>
          <w:szCs w:val="21"/>
        </w:rPr>
        <w:t>and the initial consultation on the Review of Card Payments Regulation in March 2015.</w:t>
      </w:r>
      <w:r w:rsidRPr="0089281F">
        <w:rPr>
          <w:rFonts w:ascii="Segoe UI" w:hAnsi="Segoe UI" w:cs="Segoe UI"/>
          <w:sz w:val="21"/>
          <w:szCs w:val="21"/>
        </w:rPr>
        <w:t xml:space="preserve"> </w:t>
      </w:r>
    </w:p>
    <w:p w14:paraId="06757A1A" w14:textId="77777777" w:rsidR="00F421BE" w:rsidRPr="0089281F" w:rsidRDefault="00F421BE" w:rsidP="00AB0270">
      <w:pPr>
        <w:jc w:val="both"/>
        <w:rPr>
          <w:rFonts w:ascii="Segoe UI" w:hAnsi="Segoe UI" w:cs="Segoe UI"/>
          <w:sz w:val="21"/>
          <w:szCs w:val="21"/>
        </w:rPr>
      </w:pPr>
    </w:p>
    <w:p w14:paraId="06757A1B" w14:textId="77777777" w:rsidR="00F421BE" w:rsidRPr="0089281F" w:rsidRDefault="00F421BE" w:rsidP="00AB0270">
      <w:pPr>
        <w:jc w:val="both"/>
        <w:rPr>
          <w:rFonts w:ascii="Segoe UI" w:hAnsi="Segoe UI" w:cs="Segoe UI"/>
          <w:sz w:val="21"/>
          <w:szCs w:val="21"/>
        </w:rPr>
      </w:pPr>
      <w:r>
        <w:rPr>
          <w:rFonts w:ascii="Segoe UI" w:hAnsi="Segoe UI" w:cs="Segoe UI"/>
          <w:sz w:val="21"/>
          <w:szCs w:val="21"/>
        </w:rPr>
        <w:t>In each submission</w:t>
      </w:r>
      <w:r w:rsidRPr="0089281F">
        <w:rPr>
          <w:rFonts w:ascii="Segoe UI" w:hAnsi="Segoe UI" w:cs="Segoe UI"/>
          <w:sz w:val="21"/>
          <w:szCs w:val="21"/>
        </w:rPr>
        <w:t>, Visa has highlighted the need for balanced, equally appl</w:t>
      </w:r>
      <w:r>
        <w:rPr>
          <w:rFonts w:ascii="Segoe UI" w:hAnsi="Segoe UI" w:cs="Segoe UI"/>
          <w:sz w:val="21"/>
          <w:szCs w:val="21"/>
        </w:rPr>
        <w:t>ied and innovation-</w:t>
      </w:r>
      <w:r w:rsidRPr="0089281F">
        <w:rPr>
          <w:rFonts w:ascii="Segoe UI" w:hAnsi="Segoe UI" w:cs="Segoe UI"/>
          <w:sz w:val="21"/>
          <w:szCs w:val="21"/>
        </w:rPr>
        <w:t>enabling approaches to</w:t>
      </w:r>
      <w:r>
        <w:rPr>
          <w:rFonts w:ascii="Segoe UI" w:hAnsi="Segoe UI" w:cs="Segoe UI"/>
          <w:sz w:val="21"/>
          <w:szCs w:val="21"/>
        </w:rPr>
        <w:t xml:space="preserve"> the</w:t>
      </w:r>
      <w:r w:rsidRPr="0089281F">
        <w:rPr>
          <w:rFonts w:ascii="Segoe UI" w:hAnsi="Segoe UI" w:cs="Segoe UI"/>
          <w:sz w:val="21"/>
          <w:szCs w:val="21"/>
        </w:rPr>
        <w:t xml:space="preserve"> regulation of electronic payments. Visa has also raised </w:t>
      </w:r>
      <w:r>
        <w:rPr>
          <w:rFonts w:ascii="Segoe UI" w:hAnsi="Segoe UI" w:cs="Segoe UI"/>
          <w:sz w:val="21"/>
          <w:szCs w:val="21"/>
        </w:rPr>
        <w:t>a number of</w:t>
      </w:r>
      <w:r w:rsidRPr="0089281F">
        <w:rPr>
          <w:rFonts w:ascii="Segoe UI" w:hAnsi="Segoe UI" w:cs="Segoe UI"/>
          <w:sz w:val="21"/>
          <w:szCs w:val="21"/>
        </w:rPr>
        <w:t xml:space="preserve"> concerns </w:t>
      </w:r>
      <w:r>
        <w:rPr>
          <w:rFonts w:ascii="Segoe UI" w:hAnsi="Segoe UI" w:cs="Segoe UI"/>
          <w:sz w:val="21"/>
          <w:szCs w:val="21"/>
        </w:rPr>
        <w:t xml:space="preserve">with the structure and remit of </w:t>
      </w:r>
      <w:r w:rsidRPr="0089281F">
        <w:rPr>
          <w:rFonts w:ascii="Segoe UI" w:hAnsi="Segoe UI" w:cs="Segoe UI"/>
          <w:sz w:val="21"/>
          <w:szCs w:val="21"/>
        </w:rPr>
        <w:t xml:space="preserve">the </w:t>
      </w:r>
      <w:r w:rsidRPr="00D82EB6">
        <w:rPr>
          <w:rFonts w:ascii="Segoe UI" w:hAnsi="Segoe UI" w:cs="Segoe UI"/>
          <w:i/>
          <w:sz w:val="21"/>
          <w:szCs w:val="21"/>
        </w:rPr>
        <w:t>Payment System (Regulation) Act 1998</w:t>
      </w:r>
      <w:r w:rsidRPr="0089281F">
        <w:rPr>
          <w:rFonts w:ascii="Segoe UI" w:hAnsi="Segoe UI" w:cs="Segoe UI"/>
          <w:sz w:val="21"/>
          <w:szCs w:val="21"/>
        </w:rPr>
        <w:t xml:space="preserve">. </w:t>
      </w:r>
    </w:p>
    <w:p w14:paraId="06757A1C" w14:textId="77777777" w:rsidR="00F421BE" w:rsidRPr="0089281F" w:rsidRDefault="00F421BE" w:rsidP="00AB0270">
      <w:pPr>
        <w:jc w:val="both"/>
        <w:rPr>
          <w:rFonts w:ascii="Segoe UI" w:hAnsi="Segoe UI" w:cs="Segoe UI"/>
          <w:sz w:val="21"/>
          <w:szCs w:val="21"/>
        </w:rPr>
      </w:pPr>
    </w:p>
    <w:p w14:paraId="06757A1D" w14:textId="77777777" w:rsidR="00F421BE" w:rsidRPr="0089281F" w:rsidRDefault="00710975" w:rsidP="00AB0270">
      <w:pPr>
        <w:jc w:val="both"/>
        <w:rPr>
          <w:rFonts w:ascii="Segoe UI" w:hAnsi="Segoe UI" w:cs="Segoe UI"/>
          <w:sz w:val="21"/>
          <w:szCs w:val="21"/>
        </w:rPr>
      </w:pPr>
      <w:r>
        <w:rPr>
          <w:rFonts w:ascii="Segoe UI" w:hAnsi="Segoe UI" w:cs="Segoe UI"/>
          <w:sz w:val="21"/>
          <w:szCs w:val="21"/>
        </w:rPr>
        <w:t>In responding to the RBA’s 3 December 2015 paper, t</w:t>
      </w:r>
      <w:r w:rsidRPr="0089281F">
        <w:rPr>
          <w:rFonts w:ascii="Segoe UI" w:hAnsi="Segoe UI" w:cs="Segoe UI"/>
          <w:sz w:val="21"/>
          <w:szCs w:val="21"/>
        </w:rPr>
        <w:t>his</w:t>
      </w:r>
      <w:r w:rsidR="00F421BE" w:rsidRPr="0089281F">
        <w:rPr>
          <w:rFonts w:ascii="Segoe UI" w:hAnsi="Segoe UI" w:cs="Segoe UI"/>
          <w:sz w:val="21"/>
          <w:szCs w:val="21"/>
        </w:rPr>
        <w:t xml:space="preserve"> submission focuses specifically on the need for a level playing field in card regulation, the </w:t>
      </w:r>
      <w:r w:rsidR="00F421BE">
        <w:rPr>
          <w:rFonts w:ascii="Segoe UI" w:hAnsi="Segoe UI" w:cs="Segoe UI"/>
          <w:sz w:val="21"/>
          <w:szCs w:val="21"/>
        </w:rPr>
        <w:t>regulation</w:t>
      </w:r>
      <w:r w:rsidR="00F421BE" w:rsidRPr="0089281F">
        <w:rPr>
          <w:rFonts w:ascii="Segoe UI" w:hAnsi="Segoe UI" w:cs="Segoe UI"/>
          <w:sz w:val="21"/>
          <w:szCs w:val="21"/>
        </w:rPr>
        <w:t xml:space="preserve"> of interchange fees, </w:t>
      </w:r>
      <w:r w:rsidR="00F421BE">
        <w:rPr>
          <w:rFonts w:ascii="Segoe UI" w:hAnsi="Segoe UI" w:cs="Segoe UI"/>
          <w:sz w:val="21"/>
          <w:szCs w:val="21"/>
        </w:rPr>
        <w:t xml:space="preserve">the guidelines around </w:t>
      </w:r>
      <w:r w:rsidR="00F421BE" w:rsidRPr="0089281F">
        <w:rPr>
          <w:rFonts w:ascii="Segoe UI" w:hAnsi="Segoe UI" w:cs="Segoe UI"/>
          <w:sz w:val="21"/>
          <w:szCs w:val="21"/>
        </w:rPr>
        <w:t>surcharging</w:t>
      </w:r>
      <w:r w:rsidR="00F421BE">
        <w:rPr>
          <w:rFonts w:ascii="Segoe UI" w:hAnsi="Segoe UI" w:cs="Segoe UI"/>
          <w:sz w:val="21"/>
          <w:szCs w:val="21"/>
        </w:rPr>
        <w:t xml:space="preserve"> practices</w:t>
      </w:r>
      <w:r w:rsidR="00F421BE" w:rsidRPr="0089281F">
        <w:rPr>
          <w:rFonts w:ascii="Segoe UI" w:hAnsi="Segoe UI" w:cs="Segoe UI"/>
          <w:sz w:val="21"/>
          <w:szCs w:val="21"/>
        </w:rPr>
        <w:t xml:space="preserve">, </w:t>
      </w:r>
      <w:r w:rsidR="00F421BE">
        <w:rPr>
          <w:rFonts w:ascii="Segoe UI" w:hAnsi="Segoe UI" w:cs="Segoe UI"/>
          <w:sz w:val="21"/>
          <w:szCs w:val="21"/>
        </w:rPr>
        <w:t>the role of commercial cards in the payment ecosystem</w:t>
      </w:r>
      <w:r w:rsidR="00F421BE" w:rsidRPr="0089281F">
        <w:rPr>
          <w:rFonts w:ascii="Segoe UI" w:hAnsi="Segoe UI" w:cs="Segoe UI"/>
          <w:sz w:val="21"/>
          <w:szCs w:val="21"/>
        </w:rPr>
        <w:t>,</w:t>
      </w:r>
      <w:r w:rsidR="00F421BE">
        <w:rPr>
          <w:rFonts w:ascii="Segoe UI" w:hAnsi="Segoe UI" w:cs="Segoe UI"/>
          <w:sz w:val="21"/>
          <w:szCs w:val="21"/>
        </w:rPr>
        <w:t xml:space="preserve"> and a range of other related matters, including </w:t>
      </w:r>
      <w:r w:rsidR="00F421BE" w:rsidRPr="0089281F">
        <w:rPr>
          <w:rFonts w:ascii="Segoe UI" w:hAnsi="Segoe UI" w:cs="Segoe UI"/>
          <w:sz w:val="21"/>
          <w:szCs w:val="21"/>
        </w:rPr>
        <w:t>the implementation timeframe</w:t>
      </w:r>
      <w:r w:rsidR="00F421BE">
        <w:rPr>
          <w:rFonts w:ascii="Segoe UI" w:hAnsi="Segoe UI" w:cs="Segoe UI"/>
          <w:sz w:val="21"/>
          <w:szCs w:val="21"/>
        </w:rPr>
        <w:t xml:space="preserve"> for structural reform</w:t>
      </w:r>
      <w:r w:rsidR="008F6AF9">
        <w:rPr>
          <w:rFonts w:ascii="Segoe UI" w:hAnsi="Segoe UI" w:cs="Segoe UI"/>
          <w:sz w:val="21"/>
          <w:szCs w:val="21"/>
        </w:rPr>
        <w:t>.</w:t>
      </w:r>
    </w:p>
    <w:p w14:paraId="06757A1E" w14:textId="77777777" w:rsidR="00F421BE" w:rsidRPr="0089281F" w:rsidRDefault="00F421BE" w:rsidP="00AB0270">
      <w:pPr>
        <w:jc w:val="both"/>
        <w:rPr>
          <w:rFonts w:ascii="Segoe UI" w:hAnsi="Segoe UI" w:cs="Segoe UI"/>
          <w:sz w:val="21"/>
          <w:szCs w:val="21"/>
        </w:rPr>
      </w:pPr>
    </w:p>
    <w:p w14:paraId="06757A1F" w14:textId="77777777" w:rsidR="00F421BE" w:rsidRPr="0089281F" w:rsidRDefault="00F421BE" w:rsidP="00AB0270">
      <w:pPr>
        <w:jc w:val="both"/>
        <w:rPr>
          <w:rFonts w:ascii="Segoe UI" w:hAnsi="Segoe UI" w:cs="Segoe UI"/>
          <w:sz w:val="21"/>
          <w:szCs w:val="21"/>
        </w:rPr>
      </w:pPr>
      <w:r>
        <w:rPr>
          <w:rFonts w:ascii="Segoe UI" w:hAnsi="Segoe UI" w:cs="Segoe UI"/>
          <w:sz w:val="21"/>
          <w:szCs w:val="21"/>
        </w:rPr>
        <w:t xml:space="preserve">Visa would welcome the opportunity to provide any additional information or support to help shape the future of Australia’s payment system. Should you wish to discuss this matter further or clarify any of the issues covered in this submission, please </w:t>
      </w:r>
      <w:r w:rsidR="00BF15D7">
        <w:rPr>
          <w:rFonts w:ascii="Segoe UI" w:hAnsi="Segoe UI" w:cs="Segoe UI"/>
          <w:sz w:val="21"/>
          <w:szCs w:val="21"/>
        </w:rPr>
        <w:t xml:space="preserve">feel free to contact me at any </w:t>
      </w:r>
      <w:proofErr w:type="gramStart"/>
      <w:r w:rsidR="00BF15D7">
        <w:rPr>
          <w:rFonts w:ascii="Segoe UI" w:hAnsi="Segoe UI" w:cs="Segoe UI"/>
          <w:sz w:val="21"/>
          <w:szCs w:val="21"/>
        </w:rPr>
        <w:t>time</w:t>
      </w:r>
      <w:r>
        <w:rPr>
          <w:rFonts w:ascii="Segoe UI" w:hAnsi="Segoe UI" w:cs="Segoe UI"/>
          <w:sz w:val="21"/>
          <w:szCs w:val="21"/>
        </w:rPr>
        <w:t>.</w:t>
      </w:r>
      <w:proofErr w:type="gramEnd"/>
    </w:p>
    <w:p w14:paraId="06757A20" w14:textId="77777777" w:rsidR="00F421BE" w:rsidRPr="0089281F" w:rsidRDefault="00F421BE" w:rsidP="00AB0270">
      <w:pPr>
        <w:jc w:val="both"/>
        <w:rPr>
          <w:rFonts w:ascii="Segoe UI" w:hAnsi="Segoe UI" w:cs="Segoe UI"/>
          <w:sz w:val="21"/>
          <w:szCs w:val="21"/>
        </w:rPr>
      </w:pPr>
    </w:p>
    <w:p w14:paraId="06757A21" w14:textId="7E34CF82"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Yours sincerely</w:t>
      </w:r>
      <w:r>
        <w:rPr>
          <w:rFonts w:ascii="Segoe UI" w:hAnsi="Segoe UI" w:cs="Segoe UI"/>
          <w:sz w:val="21"/>
          <w:szCs w:val="21"/>
        </w:rPr>
        <w:t>,</w:t>
      </w:r>
    </w:p>
    <w:p w14:paraId="06757A22" w14:textId="77777777" w:rsidR="00F421BE" w:rsidRDefault="00F421BE" w:rsidP="00AB0270">
      <w:pPr>
        <w:jc w:val="both"/>
        <w:rPr>
          <w:rFonts w:ascii="Segoe UI" w:hAnsi="Segoe UI" w:cs="Segoe UI"/>
          <w:sz w:val="21"/>
          <w:szCs w:val="21"/>
        </w:rPr>
      </w:pPr>
    </w:p>
    <w:p w14:paraId="06757A23" w14:textId="77777777" w:rsidR="008B5AA6" w:rsidRPr="0089281F" w:rsidRDefault="008B5AA6" w:rsidP="00AB0270">
      <w:pPr>
        <w:jc w:val="both"/>
        <w:rPr>
          <w:rFonts w:ascii="Segoe UI" w:hAnsi="Segoe UI" w:cs="Segoe UI"/>
          <w:sz w:val="21"/>
          <w:szCs w:val="21"/>
        </w:rPr>
      </w:pPr>
    </w:p>
    <w:p w14:paraId="06757A24" w14:textId="77777777" w:rsidR="00F421BE" w:rsidRPr="0089281F" w:rsidRDefault="00F421BE" w:rsidP="00AB0270">
      <w:pPr>
        <w:jc w:val="both"/>
        <w:rPr>
          <w:rFonts w:ascii="Segoe UI" w:hAnsi="Segoe UI" w:cs="Segoe UI"/>
          <w:sz w:val="21"/>
          <w:szCs w:val="21"/>
        </w:rPr>
      </w:pPr>
    </w:p>
    <w:p w14:paraId="06757A25" w14:textId="77777777" w:rsidR="00F421BE" w:rsidRPr="0089281F" w:rsidRDefault="00F421BE" w:rsidP="00AB0270">
      <w:pPr>
        <w:jc w:val="both"/>
        <w:rPr>
          <w:rFonts w:ascii="Segoe UI" w:hAnsi="Segoe UI" w:cs="Segoe UI"/>
          <w:b/>
          <w:sz w:val="21"/>
          <w:szCs w:val="21"/>
        </w:rPr>
      </w:pPr>
      <w:r w:rsidRPr="0089281F">
        <w:rPr>
          <w:rFonts w:ascii="Segoe UI" w:hAnsi="Segoe UI" w:cs="Segoe UI"/>
          <w:b/>
          <w:sz w:val="21"/>
          <w:szCs w:val="21"/>
        </w:rPr>
        <w:t xml:space="preserve">Stephen </w:t>
      </w:r>
      <w:proofErr w:type="spellStart"/>
      <w:r w:rsidRPr="0089281F">
        <w:rPr>
          <w:rFonts w:ascii="Segoe UI" w:hAnsi="Segoe UI" w:cs="Segoe UI"/>
          <w:b/>
          <w:sz w:val="21"/>
          <w:szCs w:val="21"/>
        </w:rPr>
        <w:t>Karpin</w:t>
      </w:r>
      <w:proofErr w:type="spellEnd"/>
    </w:p>
    <w:p w14:paraId="06757A26" w14:textId="77777777" w:rsidR="00F421BE" w:rsidRPr="0089281F" w:rsidRDefault="00F421BE" w:rsidP="00AB0270">
      <w:pPr>
        <w:jc w:val="both"/>
        <w:rPr>
          <w:rFonts w:ascii="Segoe UI" w:hAnsi="Segoe UI" w:cs="Segoe UI"/>
          <w:sz w:val="21"/>
          <w:szCs w:val="21"/>
        </w:rPr>
      </w:pPr>
      <w:r w:rsidRPr="0089281F">
        <w:rPr>
          <w:rFonts w:ascii="Segoe UI" w:hAnsi="Segoe UI" w:cs="Segoe UI"/>
          <w:sz w:val="21"/>
          <w:szCs w:val="21"/>
        </w:rPr>
        <w:t>Group Country Manager</w:t>
      </w:r>
    </w:p>
    <w:p w14:paraId="06757A27" w14:textId="77777777" w:rsidR="00F421BE" w:rsidRDefault="00F421BE" w:rsidP="00AB0270">
      <w:pPr>
        <w:spacing w:after="200" w:line="276" w:lineRule="auto"/>
        <w:jc w:val="both"/>
      </w:pPr>
      <w:r w:rsidRPr="0089281F">
        <w:rPr>
          <w:rFonts w:ascii="Segoe UI" w:hAnsi="Segoe UI" w:cs="Segoe UI"/>
          <w:sz w:val="21"/>
          <w:szCs w:val="21"/>
        </w:rPr>
        <w:t>Australia, New Zealand and the South Pacific</w:t>
      </w:r>
    </w:p>
    <w:p w14:paraId="06757A28" w14:textId="77777777" w:rsidR="00620818" w:rsidRDefault="00620818" w:rsidP="00AB0270">
      <w:pPr>
        <w:spacing w:after="200" w:line="276" w:lineRule="auto"/>
        <w:jc w:val="both"/>
        <w:sectPr w:rsidR="00620818" w:rsidSect="00F421BE">
          <w:headerReference w:type="even" r:id="rId10"/>
          <w:headerReference w:type="default" r:id="rId11"/>
          <w:footerReference w:type="even" r:id="rId12"/>
          <w:footerReference w:type="default" r:id="rId13"/>
          <w:headerReference w:type="first" r:id="rId14"/>
          <w:footerReference w:type="first" r:id="rId15"/>
          <w:type w:val="continuous"/>
          <w:pgSz w:w="11907" w:h="16839" w:code="9"/>
          <w:pgMar w:top="1440" w:right="1440" w:bottom="1440" w:left="1440" w:header="720" w:footer="720" w:gutter="0"/>
          <w:cols w:space="720"/>
          <w:titlePg/>
          <w:docGrid w:linePitch="360"/>
        </w:sectPr>
      </w:pPr>
    </w:p>
    <w:p w14:paraId="06757A29" w14:textId="77777777" w:rsidR="00B21569" w:rsidRDefault="00D15990" w:rsidP="00AB0270">
      <w:pPr>
        <w:spacing w:after="200" w:line="276" w:lineRule="auto"/>
        <w:jc w:val="both"/>
      </w:pPr>
      <w:r w:rsidRPr="00426E9B">
        <w:rPr>
          <w:rFonts w:ascii="Segoe UI" w:hAnsi="Segoe UI" w:cs="Segoe UI"/>
          <w:noProof/>
          <w:lang w:val="en-AU" w:eastAsia="en-AU"/>
        </w:rPr>
        <w:lastRenderedPageBreak/>
        <w:drawing>
          <wp:anchor distT="0" distB="0" distL="114300" distR="114300" simplePos="0" relativeHeight="251658240" behindDoc="0" locked="0" layoutInCell="1" allowOverlap="1" wp14:anchorId="06757BC8" wp14:editId="06757BC9">
            <wp:simplePos x="0" y="0"/>
            <wp:positionH relativeFrom="column">
              <wp:posOffset>4335780</wp:posOffset>
            </wp:positionH>
            <wp:positionV relativeFrom="paragraph">
              <wp:posOffset>-340360</wp:posOffset>
            </wp:positionV>
            <wp:extent cx="1592580" cy="742950"/>
            <wp:effectExtent l="0" t="0" r="762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925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757A2A" w14:textId="77777777" w:rsidR="00D15990" w:rsidRDefault="00D15990" w:rsidP="00AB0270">
      <w:pPr>
        <w:jc w:val="both"/>
        <w:rPr>
          <w:rFonts w:ascii="Segoe UI" w:hAnsi="Segoe UI" w:cs="Segoe UI"/>
          <w:b/>
          <w:color w:val="1A1F71"/>
          <w:sz w:val="32"/>
          <w:szCs w:val="32"/>
        </w:rPr>
      </w:pPr>
    </w:p>
    <w:p w14:paraId="06757A2B" w14:textId="77777777" w:rsidR="00D15990" w:rsidRDefault="00D15990" w:rsidP="00AB0270">
      <w:pPr>
        <w:jc w:val="both"/>
        <w:rPr>
          <w:rFonts w:ascii="Segoe UI" w:hAnsi="Segoe UI" w:cs="Segoe UI"/>
          <w:b/>
          <w:color w:val="1A1F71"/>
          <w:sz w:val="32"/>
          <w:szCs w:val="32"/>
        </w:rPr>
      </w:pPr>
    </w:p>
    <w:p w14:paraId="06757A2C" w14:textId="77777777" w:rsidR="00D15990" w:rsidRDefault="00D15990" w:rsidP="00AB0270">
      <w:pPr>
        <w:jc w:val="both"/>
        <w:rPr>
          <w:rFonts w:ascii="Segoe UI" w:hAnsi="Segoe UI" w:cs="Segoe UI"/>
          <w:b/>
          <w:color w:val="1A1F71"/>
          <w:sz w:val="32"/>
          <w:szCs w:val="32"/>
        </w:rPr>
      </w:pPr>
    </w:p>
    <w:p w14:paraId="06757A2D" w14:textId="77777777" w:rsidR="00864142" w:rsidRDefault="00BF15D7" w:rsidP="00AB0270">
      <w:pPr>
        <w:jc w:val="both"/>
        <w:rPr>
          <w:rFonts w:ascii="Segoe UI" w:hAnsi="Segoe UI" w:cs="Segoe UI"/>
          <w:b/>
          <w:color w:val="002060"/>
          <w:sz w:val="32"/>
          <w:szCs w:val="32"/>
        </w:rPr>
      </w:pPr>
      <w:r>
        <w:rPr>
          <w:rFonts w:ascii="Segoe UI" w:hAnsi="Segoe UI" w:cs="Segoe UI"/>
          <w:b/>
          <w:color w:val="1A1F71"/>
          <w:sz w:val="32"/>
          <w:szCs w:val="32"/>
        </w:rPr>
        <w:t>Visa</w:t>
      </w:r>
      <w:r w:rsidR="00D15990" w:rsidRPr="00D15990">
        <w:rPr>
          <w:rFonts w:ascii="Segoe UI" w:hAnsi="Segoe UI" w:cs="Segoe UI"/>
          <w:b/>
          <w:color w:val="1A1F71"/>
          <w:sz w:val="32"/>
          <w:szCs w:val="32"/>
        </w:rPr>
        <w:t xml:space="preserve"> </w:t>
      </w:r>
      <w:r w:rsidR="00D15990" w:rsidRPr="0089281F">
        <w:rPr>
          <w:rFonts w:ascii="Segoe UI" w:hAnsi="Segoe UI" w:cs="Segoe UI"/>
          <w:b/>
          <w:color w:val="002060"/>
          <w:sz w:val="32"/>
          <w:szCs w:val="32"/>
        </w:rPr>
        <w:t>Submission</w:t>
      </w:r>
    </w:p>
    <w:p w14:paraId="06757A2E" w14:textId="77777777" w:rsidR="00F421BE" w:rsidRPr="00D15990" w:rsidRDefault="00F421BE" w:rsidP="00AB0270">
      <w:pPr>
        <w:jc w:val="both"/>
        <w:rPr>
          <w:rFonts w:ascii="Segoe UI" w:hAnsi="Segoe UI" w:cs="Segoe UI"/>
          <w:b/>
          <w:color w:val="1A1F71"/>
          <w:sz w:val="32"/>
          <w:szCs w:val="32"/>
        </w:rPr>
      </w:pPr>
    </w:p>
    <w:p w14:paraId="06757A2F" w14:textId="77777777" w:rsidR="00F421BE" w:rsidRDefault="00F421BE" w:rsidP="00AB0270">
      <w:pPr>
        <w:jc w:val="both"/>
        <w:rPr>
          <w:rFonts w:ascii="Segoe UI" w:hAnsi="Segoe UI" w:cs="Segoe UI"/>
          <w:b/>
          <w:color w:val="1A1F71"/>
          <w:sz w:val="32"/>
          <w:szCs w:val="32"/>
        </w:rPr>
      </w:pPr>
      <w:r>
        <w:rPr>
          <w:rFonts w:ascii="Segoe UI" w:hAnsi="Segoe UI" w:cs="Segoe UI"/>
          <w:b/>
          <w:color w:val="1A1F71"/>
          <w:sz w:val="32"/>
          <w:szCs w:val="32"/>
        </w:rPr>
        <w:t>Reserve Bank of Australia</w:t>
      </w:r>
      <w:r w:rsidR="00D15990" w:rsidRPr="00D15990">
        <w:rPr>
          <w:rFonts w:ascii="Segoe UI" w:hAnsi="Segoe UI" w:cs="Segoe UI"/>
          <w:b/>
          <w:color w:val="1A1F71"/>
          <w:sz w:val="32"/>
          <w:szCs w:val="32"/>
        </w:rPr>
        <w:t xml:space="preserve"> </w:t>
      </w:r>
    </w:p>
    <w:p w14:paraId="06757A30" w14:textId="77777777" w:rsidR="00D15990" w:rsidRDefault="00D15990" w:rsidP="00AB0270">
      <w:pPr>
        <w:jc w:val="both"/>
        <w:rPr>
          <w:rFonts w:ascii="Segoe UI" w:hAnsi="Segoe UI" w:cs="Segoe UI"/>
          <w:b/>
          <w:color w:val="1A1F71"/>
          <w:sz w:val="32"/>
          <w:szCs w:val="32"/>
        </w:rPr>
      </w:pPr>
      <w:r w:rsidRPr="00D15990">
        <w:rPr>
          <w:rFonts w:ascii="Segoe UI" w:hAnsi="Segoe UI" w:cs="Segoe UI"/>
          <w:b/>
          <w:color w:val="1A1F71"/>
          <w:sz w:val="32"/>
          <w:szCs w:val="32"/>
        </w:rPr>
        <w:t xml:space="preserve">Review </w:t>
      </w:r>
      <w:r w:rsidR="00F421BE">
        <w:rPr>
          <w:rFonts w:ascii="Segoe UI" w:hAnsi="Segoe UI" w:cs="Segoe UI"/>
          <w:b/>
          <w:color w:val="1A1F71"/>
          <w:sz w:val="32"/>
          <w:szCs w:val="32"/>
        </w:rPr>
        <w:t>of</w:t>
      </w:r>
      <w:r w:rsidRPr="00D15990">
        <w:rPr>
          <w:rFonts w:ascii="Segoe UI" w:hAnsi="Segoe UI" w:cs="Segoe UI"/>
          <w:b/>
          <w:color w:val="1A1F71"/>
          <w:sz w:val="32"/>
          <w:szCs w:val="32"/>
        </w:rPr>
        <w:t xml:space="preserve"> </w:t>
      </w:r>
      <w:r w:rsidR="00242DDB">
        <w:rPr>
          <w:rFonts w:ascii="Segoe UI" w:hAnsi="Segoe UI" w:cs="Segoe UI"/>
          <w:b/>
          <w:color w:val="1A1F71"/>
          <w:sz w:val="32"/>
          <w:szCs w:val="32"/>
        </w:rPr>
        <w:t>C</w:t>
      </w:r>
      <w:r w:rsidRPr="00D15990">
        <w:rPr>
          <w:rFonts w:ascii="Segoe UI" w:hAnsi="Segoe UI" w:cs="Segoe UI"/>
          <w:b/>
          <w:color w:val="1A1F71"/>
          <w:sz w:val="32"/>
          <w:szCs w:val="32"/>
        </w:rPr>
        <w:t>ard Payments</w:t>
      </w:r>
      <w:r w:rsidR="00F421BE">
        <w:rPr>
          <w:rFonts w:ascii="Segoe UI" w:hAnsi="Segoe UI" w:cs="Segoe UI"/>
          <w:b/>
          <w:color w:val="1A1F71"/>
          <w:sz w:val="32"/>
          <w:szCs w:val="32"/>
        </w:rPr>
        <w:t xml:space="preserve"> Regulation</w:t>
      </w:r>
    </w:p>
    <w:p w14:paraId="06757A31" w14:textId="77777777" w:rsidR="00D15990" w:rsidRDefault="00D15990" w:rsidP="00AB0270">
      <w:pPr>
        <w:jc w:val="both"/>
        <w:rPr>
          <w:rFonts w:ascii="Segoe UI" w:hAnsi="Segoe UI" w:cs="Segoe UI"/>
          <w:b/>
          <w:color w:val="1A1F71"/>
          <w:sz w:val="32"/>
          <w:szCs w:val="32"/>
        </w:rPr>
      </w:pPr>
    </w:p>
    <w:p w14:paraId="06757A32" w14:textId="77777777" w:rsidR="00D15990" w:rsidRDefault="00F421BE" w:rsidP="00AB0270">
      <w:pPr>
        <w:jc w:val="both"/>
        <w:rPr>
          <w:rFonts w:ascii="Segoe UI" w:hAnsi="Segoe UI" w:cs="Segoe UI"/>
          <w:color w:val="1A1F71"/>
          <w:sz w:val="32"/>
          <w:szCs w:val="32"/>
        </w:rPr>
      </w:pPr>
      <w:r>
        <w:rPr>
          <w:rFonts w:ascii="Segoe UI" w:hAnsi="Segoe UI" w:cs="Segoe UI"/>
          <w:color w:val="1A1F71"/>
          <w:sz w:val="32"/>
          <w:szCs w:val="32"/>
        </w:rPr>
        <w:t>3 February 2016</w:t>
      </w:r>
    </w:p>
    <w:p w14:paraId="06757A33" w14:textId="77777777" w:rsidR="00EE3901" w:rsidRPr="0089281F" w:rsidRDefault="002C13BB" w:rsidP="00AB0270">
      <w:pPr>
        <w:jc w:val="both"/>
        <w:rPr>
          <w:rFonts w:ascii="Segoe UI" w:hAnsi="Segoe UI" w:cs="Segoe UI"/>
          <w:color w:val="1A1F71"/>
          <w:sz w:val="32"/>
          <w:szCs w:val="32"/>
        </w:rPr>
      </w:pPr>
      <w:r>
        <w:rPr>
          <w:rFonts w:ascii="Segoe UI" w:hAnsi="Segoe UI" w:cs="Segoe UI"/>
          <w:b/>
          <w:noProof/>
          <w:color w:val="1A1F71"/>
          <w:sz w:val="32"/>
          <w:szCs w:val="32"/>
          <w:lang w:val="en-AU" w:eastAsia="en-AU"/>
        </w:rPr>
        <w:drawing>
          <wp:anchor distT="0" distB="0" distL="114300" distR="114300" simplePos="0" relativeHeight="251658243" behindDoc="0" locked="0" layoutInCell="1" allowOverlap="1" wp14:anchorId="06757BCA" wp14:editId="06757BCB">
            <wp:simplePos x="0" y="0"/>
            <wp:positionH relativeFrom="page">
              <wp:align>left</wp:align>
            </wp:positionH>
            <wp:positionV relativeFrom="paragraph">
              <wp:posOffset>274320</wp:posOffset>
            </wp:positionV>
            <wp:extent cx="7668895" cy="5114925"/>
            <wp:effectExtent l="0" t="0" r="8255" b="0"/>
            <wp:wrapThrough wrapText="bothSides">
              <wp:wrapPolygon edited="0">
                <wp:start x="0" y="0"/>
                <wp:lineTo x="0" y="21479"/>
                <wp:lineTo x="21570" y="21479"/>
                <wp:lineTo x="2157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obile_Pay_Remote_V2_120dpi-765951853.jpg"/>
                    <pic:cNvPicPr/>
                  </pic:nvPicPr>
                  <pic:blipFill>
                    <a:blip r:embed="rId17">
                      <a:extLst>
                        <a:ext uri="{28A0092B-C50C-407E-A947-70E740481C1C}">
                          <a14:useLocalDpi xmlns:a14="http://schemas.microsoft.com/office/drawing/2010/main" val="0"/>
                        </a:ext>
                      </a:extLst>
                    </a:blip>
                    <a:stretch>
                      <a:fillRect/>
                    </a:stretch>
                  </pic:blipFill>
                  <pic:spPr>
                    <a:xfrm>
                      <a:off x="0" y="0"/>
                      <a:ext cx="7673984" cy="5118192"/>
                    </a:xfrm>
                    <a:prstGeom prst="rect">
                      <a:avLst/>
                    </a:prstGeom>
                  </pic:spPr>
                </pic:pic>
              </a:graphicData>
            </a:graphic>
            <wp14:sizeRelH relativeFrom="page">
              <wp14:pctWidth>0</wp14:pctWidth>
            </wp14:sizeRelH>
            <wp14:sizeRelV relativeFrom="page">
              <wp14:pctHeight>0</wp14:pctHeight>
            </wp14:sizeRelV>
          </wp:anchor>
        </w:drawing>
      </w:r>
    </w:p>
    <w:p w14:paraId="06757A34" w14:textId="77777777" w:rsidR="00D15990" w:rsidRPr="00D15990" w:rsidRDefault="00D15990" w:rsidP="00AB0270">
      <w:pPr>
        <w:jc w:val="both"/>
        <w:rPr>
          <w:rFonts w:ascii="Segoe UI" w:hAnsi="Segoe UI" w:cs="Segoe UI"/>
          <w:b/>
          <w:color w:val="1A1F71"/>
          <w:sz w:val="32"/>
          <w:szCs w:val="32"/>
        </w:rPr>
      </w:pPr>
    </w:p>
    <w:p w14:paraId="06757A35" w14:textId="77777777" w:rsidR="00EE3901" w:rsidRDefault="00EE3901" w:rsidP="00AB0270">
      <w:pPr>
        <w:spacing w:after="200" w:line="276" w:lineRule="auto"/>
        <w:jc w:val="both"/>
      </w:pPr>
    </w:p>
    <w:bookmarkStart w:id="1" w:name="_Toc417303919" w:displacedByCustomXml="next"/>
    <w:sdt>
      <w:sdtPr>
        <w:rPr>
          <w:rFonts w:ascii="Segoe UI" w:hAnsi="Segoe UI" w:cs="Segoe UI"/>
          <w:b/>
          <w:bCs/>
          <w:sz w:val="36"/>
          <w:szCs w:val="36"/>
        </w:rPr>
        <w:id w:val="-552625090"/>
        <w:docPartObj>
          <w:docPartGallery w:val="Table of Contents"/>
          <w:docPartUnique/>
        </w:docPartObj>
      </w:sdtPr>
      <w:sdtEndPr>
        <w:rPr>
          <w:rFonts w:asciiTheme="minorHAnsi" w:hAnsiTheme="minorHAnsi" w:cstheme="minorBidi"/>
          <w:b w:val="0"/>
          <w:bCs w:val="0"/>
          <w:noProof/>
          <w:sz w:val="24"/>
          <w:szCs w:val="24"/>
        </w:rPr>
      </w:sdtEndPr>
      <w:sdtContent>
        <w:p w14:paraId="06757A36" w14:textId="77777777" w:rsidR="00224432" w:rsidRPr="00EE3901" w:rsidRDefault="00224432" w:rsidP="00AB0270">
          <w:pPr>
            <w:spacing w:after="200" w:line="276" w:lineRule="auto"/>
            <w:jc w:val="both"/>
            <w:rPr>
              <w:rFonts w:ascii="Segoe UI" w:hAnsi="Segoe UI" w:cs="Segoe UI"/>
              <w:b/>
              <w:color w:val="002060"/>
              <w:sz w:val="36"/>
              <w:szCs w:val="36"/>
            </w:rPr>
          </w:pPr>
          <w:r w:rsidRPr="00EE3901">
            <w:rPr>
              <w:rFonts w:ascii="Segoe UI" w:hAnsi="Segoe UI" w:cs="Segoe UI"/>
              <w:b/>
              <w:color w:val="002060"/>
              <w:sz w:val="36"/>
              <w:szCs w:val="36"/>
            </w:rPr>
            <w:t>Table of Contents</w:t>
          </w:r>
        </w:p>
        <w:p w14:paraId="06757A37" w14:textId="77777777" w:rsidR="000B66ED" w:rsidRPr="000B66ED" w:rsidRDefault="00224432">
          <w:pPr>
            <w:pStyle w:val="TOC1"/>
            <w:tabs>
              <w:tab w:val="right" w:leader="dot" w:pos="9017"/>
            </w:tabs>
            <w:rPr>
              <w:rFonts w:ascii="Segoe UI" w:hAnsi="Segoe UI" w:cs="Segoe UI"/>
              <w:b w:val="0"/>
              <w:noProof/>
              <w:color w:val="auto"/>
              <w:sz w:val="22"/>
              <w:szCs w:val="22"/>
            </w:rPr>
          </w:pPr>
          <w:r w:rsidRPr="000B66ED">
            <w:rPr>
              <w:rFonts w:ascii="Segoe UI" w:hAnsi="Segoe UI" w:cs="Segoe UI"/>
              <w:b w:val="0"/>
              <w:sz w:val="22"/>
              <w:szCs w:val="22"/>
            </w:rPr>
            <w:fldChar w:fldCharType="begin"/>
          </w:r>
          <w:r w:rsidRPr="000B66ED">
            <w:rPr>
              <w:rFonts w:ascii="Segoe UI" w:hAnsi="Segoe UI" w:cs="Segoe UI"/>
              <w:sz w:val="22"/>
              <w:szCs w:val="22"/>
            </w:rPr>
            <w:instrText xml:space="preserve"> TOC \o "1-3" \h \z \u </w:instrText>
          </w:r>
          <w:r w:rsidRPr="000B66ED">
            <w:rPr>
              <w:rFonts w:ascii="Segoe UI" w:hAnsi="Segoe UI" w:cs="Segoe UI"/>
              <w:b w:val="0"/>
              <w:sz w:val="22"/>
              <w:szCs w:val="22"/>
            </w:rPr>
            <w:fldChar w:fldCharType="separate"/>
          </w:r>
          <w:hyperlink w:anchor="_Toc442273934" w:history="1">
            <w:r w:rsidR="000B66ED" w:rsidRPr="000B66ED">
              <w:rPr>
                <w:rStyle w:val="Hyperlink"/>
                <w:rFonts w:ascii="Segoe UI" w:hAnsi="Segoe UI" w:cs="Segoe UI"/>
                <w:noProof/>
              </w:rPr>
              <w:t>Summary of Visa’s position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_Toc442273934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w:t>
            </w:r>
            <w:r w:rsidR="000B66ED" w:rsidRPr="000B66ED">
              <w:rPr>
                <w:rFonts w:ascii="Segoe UI" w:hAnsi="Segoe UI" w:cs="Segoe UI"/>
                <w:noProof/>
                <w:webHidden/>
              </w:rPr>
              <w:fldChar w:fldCharType="end"/>
            </w:r>
          </w:hyperlink>
        </w:p>
        <w:p w14:paraId="06757A38" w14:textId="77777777" w:rsidR="000B66ED" w:rsidRPr="000B66ED" w:rsidRDefault="004B5999">
          <w:pPr>
            <w:pStyle w:val="TOC1"/>
            <w:tabs>
              <w:tab w:val="right" w:leader="dot" w:pos="9017"/>
            </w:tabs>
            <w:rPr>
              <w:rFonts w:ascii="Segoe UI" w:hAnsi="Segoe UI" w:cs="Segoe UI"/>
              <w:b w:val="0"/>
              <w:noProof/>
              <w:color w:val="auto"/>
              <w:sz w:val="22"/>
              <w:szCs w:val="22"/>
            </w:rPr>
          </w:pPr>
          <w:hyperlink w:anchor="_Toc442273940" w:history="1">
            <w:r w:rsidR="000B66ED" w:rsidRPr="000B66ED">
              <w:rPr>
                <w:rStyle w:val="Hyperlink"/>
                <w:rFonts w:ascii="Segoe UI" w:hAnsi="Segoe UI" w:cs="Segoe UI"/>
                <w:noProof/>
              </w:rPr>
              <w:t>Chapter 1: Foreign-issued cards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_Toc442273940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5</w:t>
            </w:r>
            <w:r w:rsidR="000B66ED" w:rsidRPr="000B66ED">
              <w:rPr>
                <w:rFonts w:ascii="Segoe UI" w:hAnsi="Segoe UI" w:cs="Segoe UI"/>
                <w:noProof/>
                <w:webHidden/>
              </w:rPr>
              <w:fldChar w:fldCharType="end"/>
            </w:r>
          </w:hyperlink>
        </w:p>
        <w:p w14:paraId="06757A39" w14:textId="77777777" w:rsidR="000B66ED" w:rsidRPr="000B66ED" w:rsidRDefault="004B5999">
          <w:pPr>
            <w:pStyle w:val="TOC2"/>
            <w:tabs>
              <w:tab w:val="left" w:pos="720"/>
              <w:tab w:val="right" w:leader="dot" w:pos="9017"/>
            </w:tabs>
            <w:rPr>
              <w:rFonts w:ascii="Segoe UI" w:hAnsi="Segoe UI" w:cs="Segoe UI"/>
              <w:noProof/>
            </w:rPr>
          </w:pPr>
          <w:hyperlink w:anchor="_Toc442273941" w:history="1">
            <w:r w:rsidR="000B66ED" w:rsidRPr="000B66ED">
              <w:rPr>
                <w:rStyle w:val="Hyperlink"/>
                <w:rFonts w:ascii="Segoe UI" w:hAnsi="Segoe UI" w:cs="Segoe UI"/>
                <w:iCs/>
                <w:noProof/>
                <w:lang w:val="en-AU"/>
              </w:rPr>
              <w:t>1.1</w:t>
            </w:r>
            <w:r w:rsidR="000B66ED" w:rsidRPr="000B66ED">
              <w:rPr>
                <w:rFonts w:ascii="Segoe UI" w:hAnsi="Segoe UI" w:cs="Segoe UI"/>
                <w:noProof/>
              </w:rPr>
              <w:tab/>
            </w:r>
            <w:r w:rsidR="000B66ED" w:rsidRPr="000B66ED">
              <w:rPr>
                <w:rStyle w:val="Hyperlink"/>
                <w:rFonts w:ascii="Segoe UI" w:hAnsi="Segoe UI" w:cs="Segoe UI"/>
                <w:iCs/>
                <w:noProof/>
                <w:lang w:val="en-AU"/>
              </w:rPr>
              <w:t>Introduction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_Toc442273941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5</w:t>
            </w:r>
            <w:r w:rsidR="000B66ED" w:rsidRPr="000B66ED">
              <w:rPr>
                <w:rFonts w:ascii="Segoe UI" w:hAnsi="Segoe UI" w:cs="Segoe UI"/>
                <w:noProof/>
                <w:webHidden/>
              </w:rPr>
              <w:fldChar w:fldCharType="end"/>
            </w:r>
          </w:hyperlink>
        </w:p>
        <w:p w14:paraId="06757A3A" w14:textId="77777777" w:rsidR="000B66ED" w:rsidRPr="000B66ED" w:rsidRDefault="004B5999">
          <w:pPr>
            <w:pStyle w:val="TOC2"/>
            <w:tabs>
              <w:tab w:val="left" w:pos="720"/>
              <w:tab w:val="right" w:leader="dot" w:pos="9017"/>
            </w:tabs>
            <w:rPr>
              <w:rFonts w:ascii="Segoe UI" w:hAnsi="Segoe UI" w:cs="Segoe UI"/>
              <w:noProof/>
            </w:rPr>
          </w:pPr>
          <w:hyperlink w:anchor="_Toc442273942" w:history="1">
            <w:r w:rsidR="000B66ED" w:rsidRPr="000B66ED">
              <w:rPr>
                <w:rStyle w:val="Hyperlink"/>
                <w:rFonts w:ascii="Segoe UI" w:hAnsi="Segoe UI" w:cs="Segoe UI"/>
                <w:iCs/>
                <w:noProof/>
              </w:rPr>
              <w:t>1.2</w:t>
            </w:r>
            <w:r w:rsidR="000B66ED" w:rsidRPr="000B66ED">
              <w:rPr>
                <w:rFonts w:ascii="Segoe UI" w:hAnsi="Segoe UI" w:cs="Segoe UI"/>
                <w:noProof/>
              </w:rPr>
              <w:tab/>
            </w:r>
            <w:r w:rsidR="000B66ED" w:rsidRPr="000B66ED">
              <w:rPr>
                <w:rStyle w:val="Hyperlink"/>
                <w:rFonts w:ascii="Segoe UI" w:hAnsi="Segoe UI" w:cs="Segoe UI"/>
                <w:iCs/>
                <w:noProof/>
              </w:rPr>
              <w:t>Circumvention: Visa is part of the solution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_Toc442273942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6</w:t>
            </w:r>
            <w:r w:rsidR="000B66ED" w:rsidRPr="000B66ED">
              <w:rPr>
                <w:rFonts w:ascii="Segoe UI" w:hAnsi="Segoe UI" w:cs="Segoe UI"/>
                <w:noProof/>
                <w:webHidden/>
              </w:rPr>
              <w:fldChar w:fldCharType="end"/>
            </w:r>
          </w:hyperlink>
        </w:p>
        <w:p w14:paraId="06757A3B" w14:textId="77777777" w:rsidR="000B66ED" w:rsidRPr="000B66ED" w:rsidRDefault="004B5999">
          <w:pPr>
            <w:pStyle w:val="TOC2"/>
            <w:tabs>
              <w:tab w:val="left" w:pos="720"/>
              <w:tab w:val="right" w:leader="dot" w:pos="9017"/>
            </w:tabs>
            <w:rPr>
              <w:rFonts w:ascii="Segoe UI" w:hAnsi="Segoe UI" w:cs="Segoe UI"/>
              <w:noProof/>
            </w:rPr>
          </w:pPr>
          <w:hyperlink w:anchor="_Toc442273943" w:history="1">
            <w:r w:rsidR="000B66ED" w:rsidRPr="000B66ED">
              <w:rPr>
                <w:rStyle w:val="Hyperlink"/>
                <w:rFonts w:ascii="Segoe UI" w:hAnsi="Segoe UI" w:cs="Segoe UI"/>
                <w:iCs/>
                <w:noProof/>
              </w:rPr>
              <w:t>1.3</w:t>
            </w:r>
            <w:r w:rsidR="000B66ED" w:rsidRPr="000B66ED">
              <w:rPr>
                <w:rFonts w:ascii="Segoe UI" w:hAnsi="Segoe UI" w:cs="Segoe UI"/>
                <w:noProof/>
              </w:rPr>
              <w:tab/>
            </w:r>
            <w:r w:rsidR="000B66ED" w:rsidRPr="000B66ED">
              <w:rPr>
                <w:rStyle w:val="Hyperlink"/>
                <w:rFonts w:ascii="Segoe UI" w:hAnsi="Segoe UI" w:cs="Segoe UI"/>
                <w:iCs/>
                <w:noProof/>
              </w:rPr>
              <w:t>Impact of capping interchange on industry and the economy</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_Toc442273943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6</w:t>
            </w:r>
            <w:r w:rsidR="000B66ED" w:rsidRPr="000B66ED">
              <w:rPr>
                <w:rFonts w:ascii="Segoe UI" w:hAnsi="Segoe UI" w:cs="Segoe UI"/>
                <w:noProof/>
                <w:webHidden/>
              </w:rPr>
              <w:fldChar w:fldCharType="end"/>
            </w:r>
          </w:hyperlink>
        </w:p>
        <w:p w14:paraId="06757A3C" w14:textId="77777777" w:rsidR="000B66ED" w:rsidRPr="000B66ED" w:rsidRDefault="004B5999">
          <w:pPr>
            <w:pStyle w:val="TOC2"/>
            <w:tabs>
              <w:tab w:val="left" w:pos="720"/>
              <w:tab w:val="right" w:leader="dot" w:pos="9017"/>
            </w:tabs>
            <w:rPr>
              <w:rFonts w:ascii="Segoe UI" w:hAnsi="Segoe UI" w:cs="Segoe UI"/>
              <w:noProof/>
            </w:rPr>
          </w:pPr>
          <w:hyperlink w:anchor="_Toc442273944" w:history="1">
            <w:r w:rsidR="000B66ED" w:rsidRPr="000B66ED">
              <w:rPr>
                <w:rStyle w:val="Hyperlink"/>
                <w:rFonts w:ascii="Segoe UI" w:hAnsi="Segoe UI" w:cs="Segoe UI"/>
                <w:iCs/>
                <w:noProof/>
              </w:rPr>
              <w:t>1.4</w:t>
            </w:r>
            <w:r w:rsidR="000B66ED" w:rsidRPr="000B66ED">
              <w:rPr>
                <w:rFonts w:ascii="Segoe UI" w:hAnsi="Segoe UI" w:cs="Segoe UI"/>
                <w:noProof/>
              </w:rPr>
              <w:tab/>
            </w:r>
            <w:r w:rsidR="000B66ED" w:rsidRPr="000B66ED">
              <w:rPr>
                <w:rStyle w:val="Hyperlink"/>
                <w:rFonts w:ascii="Segoe UI" w:hAnsi="Segoe UI" w:cs="Segoe UI"/>
                <w:iCs/>
                <w:noProof/>
              </w:rPr>
              <w:t>Global implications o</w:t>
            </w:r>
            <w:r w:rsidR="00BF07BF">
              <w:rPr>
                <w:rStyle w:val="Hyperlink"/>
                <w:rFonts w:ascii="Segoe UI" w:hAnsi="Segoe UI" w:cs="Segoe UI"/>
                <w:iCs/>
                <w:noProof/>
              </w:rPr>
              <w:t>f</w:t>
            </w:r>
            <w:r w:rsidR="000B66ED" w:rsidRPr="000B66ED">
              <w:rPr>
                <w:rStyle w:val="Hyperlink"/>
                <w:rFonts w:ascii="Segoe UI" w:hAnsi="Segoe UI" w:cs="Segoe UI"/>
                <w:iCs/>
                <w:noProof/>
              </w:rPr>
              <w:t xml:space="preserve"> regulating foreign-issued card transactions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_Toc442273944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8</w:t>
            </w:r>
            <w:r w:rsidR="000B66ED" w:rsidRPr="000B66ED">
              <w:rPr>
                <w:rFonts w:ascii="Segoe UI" w:hAnsi="Segoe UI" w:cs="Segoe UI"/>
                <w:noProof/>
                <w:webHidden/>
              </w:rPr>
              <w:fldChar w:fldCharType="end"/>
            </w:r>
          </w:hyperlink>
        </w:p>
        <w:p w14:paraId="06757A3D" w14:textId="77777777" w:rsidR="000B66ED" w:rsidRPr="000B66ED" w:rsidRDefault="004B5999">
          <w:pPr>
            <w:pStyle w:val="TOC2"/>
            <w:tabs>
              <w:tab w:val="left" w:pos="720"/>
              <w:tab w:val="right" w:leader="dot" w:pos="9017"/>
            </w:tabs>
            <w:rPr>
              <w:rFonts w:ascii="Segoe UI" w:hAnsi="Segoe UI" w:cs="Segoe UI"/>
              <w:noProof/>
            </w:rPr>
          </w:pPr>
          <w:hyperlink w:anchor="_Toc442273945" w:history="1">
            <w:r w:rsidR="000B66ED" w:rsidRPr="000B66ED">
              <w:rPr>
                <w:rStyle w:val="Hyperlink"/>
                <w:rFonts w:ascii="Segoe UI" w:hAnsi="Segoe UI" w:cs="Segoe UI"/>
                <w:iCs/>
                <w:noProof/>
                <w:lang w:val="en-AU"/>
              </w:rPr>
              <w:t>1.5</w:t>
            </w:r>
            <w:r w:rsidR="000B66ED" w:rsidRPr="000B66ED">
              <w:rPr>
                <w:rFonts w:ascii="Segoe UI" w:hAnsi="Segoe UI" w:cs="Segoe UI"/>
                <w:noProof/>
              </w:rPr>
              <w:tab/>
            </w:r>
            <w:r w:rsidR="000B66ED" w:rsidRPr="000B66ED">
              <w:rPr>
                <w:rStyle w:val="Hyperlink"/>
                <w:rFonts w:ascii="Segoe UI" w:hAnsi="Segoe UI" w:cs="Segoe UI"/>
                <w:iCs/>
                <w:noProof/>
                <w:lang w:val="en-AU"/>
              </w:rPr>
              <w:t>Conclusion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_Toc442273945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10</w:t>
            </w:r>
            <w:r w:rsidR="000B66ED" w:rsidRPr="000B66ED">
              <w:rPr>
                <w:rFonts w:ascii="Segoe UI" w:hAnsi="Segoe UI" w:cs="Segoe UI"/>
                <w:noProof/>
                <w:webHidden/>
              </w:rPr>
              <w:fldChar w:fldCharType="end"/>
            </w:r>
          </w:hyperlink>
        </w:p>
        <w:p w14:paraId="06757A3E" w14:textId="77777777" w:rsidR="000B66ED" w:rsidRPr="000B66ED" w:rsidRDefault="004B5999">
          <w:pPr>
            <w:pStyle w:val="TOC1"/>
            <w:tabs>
              <w:tab w:val="right" w:leader="dot" w:pos="9017"/>
            </w:tabs>
            <w:rPr>
              <w:rFonts w:ascii="Segoe UI" w:hAnsi="Segoe UI" w:cs="Segoe UI"/>
              <w:b w:val="0"/>
              <w:noProof/>
              <w:color w:val="auto"/>
              <w:sz w:val="22"/>
              <w:szCs w:val="22"/>
            </w:rPr>
          </w:pPr>
          <w:hyperlink w:anchor="_Toc442273946" w:history="1">
            <w:r w:rsidR="000B66ED" w:rsidRPr="000B66ED">
              <w:rPr>
                <w:rStyle w:val="Hyperlink"/>
                <w:rFonts w:ascii="Segoe UI" w:hAnsi="Segoe UI" w:cs="Segoe UI"/>
                <w:noProof/>
              </w:rPr>
              <w:t>Chapter 2: Commercial cards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_Toc442273946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11</w:t>
            </w:r>
            <w:r w:rsidR="000B66ED" w:rsidRPr="000B66ED">
              <w:rPr>
                <w:rFonts w:ascii="Segoe UI" w:hAnsi="Segoe UI" w:cs="Segoe UI"/>
                <w:noProof/>
                <w:webHidden/>
              </w:rPr>
              <w:fldChar w:fldCharType="end"/>
            </w:r>
          </w:hyperlink>
        </w:p>
        <w:p w14:paraId="06757A3F" w14:textId="77777777" w:rsidR="000B66ED" w:rsidRPr="000B66ED" w:rsidRDefault="004B5999">
          <w:pPr>
            <w:pStyle w:val="TOC2"/>
            <w:tabs>
              <w:tab w:val="left" w:pos="720"/>
              <w:tab w:val="right" w:leader="dot" w:pos="9017"/>
            </w:tabs>
            <w:rPr>
              <w:rFonts w:ascii="Segoe UI" w:hAnsi="Segoe UI" w:cs="Segoe UI"/>
              <w:noProof/>
            </w:rPr>
          </w:pPr>
          <w:hyperlink w:anchor="_Toc442273947" w:history="1">
            <w:r w:rsidR="000B66ED" w:rsidRPr="000B66ED">
              <w:rPr>
                <w:rStyle w:val="Hyperlink"/>
                <w:rFonts w:ascii="Segoe UI" w:hAnsi="Segoe UI" w:cs="Segoe UI"/>
                <w:noProof/>
              </w:rPr>
              <w:t>2.1</w:t>
            </w:r>
            <w:r w:rsidR="000B66ED" w:rsidRPr="000B66ED">
              <w:rPr>
                <w:rFonts w:ascii="Segoe UI" w:hAnsi="Segoe UI" w:cs="Segoe UI"/>
                <w:noProof/>
              </w:rPr>
              <w:tab/>
            </w:r>
            <w:r w:rsidR="000B66ED" w:rsidRPr="000B66ED">
              <w:rPr>
                <w:rStyle w:val="Hyperlink"/>
                <w:rFonts w:ascii="Segoe UI" w:hAnsi="Segoe UI" w:cs="Segoe UI"/>
                <w:noProof/>
              </w:rPr>
              <w:t>Introduction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_Toc442273947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11</w:t>
            </w:r>
            <w:r w:rsidR="000B66ED" w:rsidRPr="000B66ED">
              <w:rPr>
                <w:rFonts w:ascii="Segoe UI" w:hAnsi="Segoe UI" w:cs="Segoe UI"/>
                <w:noProof/>
                <w:webHidden/>
              </w:rPr>
              <w:fldChar w:fldCharType="end"/>
            </w:r>
          </w:hyperlink>
        </w:p>
        <w:p w14:paraId="06757A40" w14:textId="77777777" w:rsidR="000B66ED" w:rsidRPr="000B66ED" w:rsidRDefault="004B5999">
          <w:pPr>
            <w:pStyle w:val="TOC2"/>
            <w:tabs>
              <w:tab w:val="left" w:pos="720"/>
              <w:tab w:val="right" w:leader="dot" w:pos="9017"/>
            </w:tabs>
            <w:rPr>
              <w:rFonts w:ascii="Segoe UI" w:hAnsi="Segoe UI" w:cs="Segoe UI"/>
              <w:noProof/>
            </w:rPr>
          </w:pPr>
          <w:hyperlink w:anchor="_Toc442273948" w:history="1">
            <w:r w:rsidR="000B66ED" w:rsidRPr="000B66ED">
              <w:rPr>
                <w:rStyle w:val="Hyperlink"/>
                <w:rFonts w:ascii="Segoe UI" w:hAnsi="Segoe UI" w:cs="Segoe UI"/>
                <w:noProof/>
              </w:rPr>
              <w:t>2.2</w:t>
            </w:r>
            <w:r w:rsidR="000B66ED" w:rsidRPr="000B66ED">
              <w:rPr>
                <w:rFonts w:ascii="Segoe UI" w:hAnsi="Segoe UI" w:cs="Segoe UI"/>
                <w:noProof/>
              </w:rPr>
              <w:tab/>
            </w:r>
            <w:r w:rsidR="000B66ED" w:rsidRPr="000B66ED">
              <w:rPr>
                <w:rStyle w:val="Hyperlink"/>
                <w:rFonts w:ascii="Segoe UI" w:hAnsi="Segoe UI" w:cs="Segoe UI"/>
                <w:noProof/>
              </w:rPr>
              <w:t>B2B payments maturity: an emerging payments system</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_Toc442273948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12</w:t>
            </w:r>
            <w:r w:rsidR="000B66ED" w:rsidRPr="000B66ED">
              <w:rPr>
                <w:rFonts w:ascii="Segoe UI" w:hAnsi="Segoe UI" w:cs="Segoe UI"/>
                <w:noProof/>
                <w:webHidden/>
              </w:rPr>
              <w:fldChar w:fldCharType="end"/>
            </w:r>
          </w:hyperlink>
        </w:p>
        <w:p w14:paraId="06757A41" w14:textId="77777777" w:rsidR="000B66ED" w:rsidRPr="000B66ED" w:rsidRDefault="004B5999">
          <w:pPr>
            <w:pStyle w:val="TOC3"/>
            <w:tabs>
              <w:tab w:val="left" w:pos="960"/>
              <w:tab w:val="right" w:leader="dot" w:pos="9017"/>
            </w:tabs>
            <w:rPr>
              <w:rFonts w:ascii="Segoe UI" w:hAnsi="Segoe UI" w:cs="Segoe UI"/>
              <w:i w:val="0"/>
              <w:noProof/>
            </w:rPr>
          </w:pPr>
          <w:hyperlink w:anchor="_Toc442273949" w:history="1">
            <w:r w:rsidR="000B66ED" w:rsidRPr="000B66ED">
              <w:rPr>
                <w:rStyle w:val="Hyperlink"/>
                <w:rFonts w:ascii="Segoe UI" w:hAnsi="Segoe UI" w:cs="Segoe UI"/>
                <w:noProof/>
              </w:rPr>
              <w:t>2.2.1</w:t>
            </w:r>
            <w:r w:rsidR="000B66ED" w:rsidRPr="000B66ED">
              <w:rPr>
                <w:rFonts w:ascii="Segoe UI" w:hAnsi="Segoe UI" w:cs="Segoe UI"/>
                <w:i w:val="0"/>
                <w:noProof/>
              </w:rPr>
              <w:tab/>
            </w:r>
            <w:r w:rsidR="000B66ED" w:rsidRPr="000B66ED">
              <w:rPr>
                <w:rStyle w:val="Hyperlink"/>
                <w:rFonts w:ascii="Segoe UI" w:hAnsi="Segoe UI" w:cs="Segoe UI"/>
                <w:noProof/>
              </w:rPr>
              <w:t>Evolution of commercial payments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_Toc442273949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12</w:t>
            </w:r>
            <w:r w:rsidR="000B66ED" w:rsidRPr="000B66ED">
              <w:rPr>
                <w:rFonts w:ascii="Segoe UI" w:hAnsi="Segoe UI" w:cs="Segoe UI"/>
                <w:noProof/>
                <w:webHidden/>
              </w:rPr>
              <w:fldChar w:fldCharType="end"/>
            </w:r>
          </w:hyperlink>
        </w:p>
        <w:p w14:paraId="06757A42" w14:textId="77777777" w:rsidR="000B66ED" w:rsidRPr="000B66ED" w:rsidRDefault="004B5999">
          <w:pPr>
            <w:pStyle w:val="TOC3"/>
            <w:tabs>
              <w:tab w:val="left" w:pos="960"/>
              <w:tab w:val="right" w:leader="dot" w:pos="9017"/>
            </w:tabs>
            <w:rPr>
              <w:rFonts w:ascii="Segoe UI" w:hAnsi="Segoe UI" w:cs="Segoe UI"/>
              <w:i w:val="0"/>
              <w:noProof/>
            </w:rPr>
          </w:pPr>
          <w:hyperlink w:anchor="_Toc442273950" w:history="1">
            <w:r w:rsidR="000B66ED" w:rsidRPr="000B66ED">
              <w:rPr>
                <w:rStyle w:val="Hyperlink"/>
                <w:rFonts w:ascii="Segoe UI" w:hAnsi="Segoe UI" w:cs="Segoe UI"/>
                <w:noProof/>
              </w:rPr>
              <w:t>2.2.2</w:t>
            </w:r>
            <w:r w:rsidR="000B66ED" w:rsidRPr="000B66ED">
              <w:rPr>
                <w:rFonts w:ascii="Segoe UI" w:hAnsi="Segoe UI" w:cs="Segoe UI"/>
                <w:i w:val="0"/>
                <w:noProof/>
              </w:rPr>
              <w:tab/>
            </w:r>
            <w:r w:rsidR="000B66ED" w:rsidRPr="000B66ED">
              <w:rPr>
                <w:rStyle w:val="Hyperlink"/>
                <w:rFonts w:ascii="Segoe UI" w:hAnsi="Segoe UI" w:cs="Segoe UI"/>
                <w:noProof/>
              </w:rPr>
              <w:t>Issuer economics and the impact on product development</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_Toc442273950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13</w:t>
            </w:r>
            <w:r w:rsidR="000B66ED" w:rsidRPr="000B66ED">
              <w:rPr>
                <w:rFonts w:ascii="Segoe UI" w:hAnsi="Segoe UI" w:cs="Segoe UI"/>
                <w:noProof/>
                <w:webHidden/>
              </w:rPr>
              <w:fldChar w:fldCharType="end"/>
            </w:r>
          </w:hyperlink>
        </w:p>
        <w:p w14:paraId="06757A43" w14:textId="77777777" w:rsidR="000B66ED" w:rsidRPr="000B66ED" w:rsidRDefault="004B5999">
          <w:pPr>
            <w:pStyle w:val="TOC2"/>
            <w:tabs>
              <w:tab w:val="left" w:pos="720"/>
              <w:tab w:val="right" w:leader="dot" w:pos="9017"/>
            </w:tabs>
            <w:rPr>
              <w:rFonts w:ascii="Segoe UI" w:hAnsi="Segoe UI" w:cs="Segoe UI"/>
              <w:noProof/>
            </w:rPr>
          </w:pPr>
          <w:hyperlink w:anchor="_Toc442273951" w:history="1">
            <w:r w:rsidR="000B66ED" w:rsidRPr="000B66ED">
              <w:rPr>
                <w:rStyle w:val="Hyperlink"/>
                <w:rFonts w:ascii="Segoe UI" w:hAnsi="Segoe UI" w:cs="Segoe UI"/>
                <w:noProof/>
              </w:rPr>
              <w:t>2.3</w:t>
            </w:r>
            <w:r w:rsidR="000B66ED" w:rsidRPr="000B66ED">
              <w:rPr>
                <w:rFonts w:ascii="Segoe UI" w:hAnsi="Segoe UI" w:cs="Segoe UI"/>
                <w:noProof/>
              </w:rPr>
              <w:tab/>
            </w:r>
            <w:r w:rsidR="000B66ED" w:rsidRPr="000B66ED">
              <w:rPr>
                <w:rStyle w:val="Hyperlink"/>
                <w:rFonts w:ascii="Segoe UI" w:hAnsi="Segoe UI" w:cs="Segoe UI"/>
                <w:noProof/>
              </w:rPr>
              <w:t>Macro implications of current draft standards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_Toc442273951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13</w:t>
            </w:r>
            <w:r w:rsidR="000B66ED" w:rsidRPr="000B66ED">
              <w:rPr>
                <w:rFonts w:ascii="Segoe UI" w:hAnsi="Segoe UI" w:cs="Segoe UI"/>
                <w:noProof/>
                <w:webHidden/>
              </w:rPr>
              <w:fldChar w:fldCharType="end"/>
            </w:r>
          </w:hyperlink>
        </w:p>
        <w:p w14:paraId="06757A44" w14:textId="77777777" w:rsidR="000B66ED" w:rsidRPr="000B66ED" w:rsidRDefault="004B5999">
          <w:pPr>
            <w:pStyle w:val="TOC3"/>
            <w:tabs>
              <w:tab w:val="left" w:pos="960"/>
              <w:tab w:val="right" w:leader="dot" w:pos="9017"/>
            </w:tabs>
            <w:rPr>
              <w:rFonts w:ascii="Segoe UI" w:hAnsi="Segoe UI" w:cs="Segoe UI"/>
              <w:i w:val="0"/>
              <w:noProof/>
            </w:rPr>
          </w:pPr>
          <w:hyperlink w:anchor="_Toc442273952" w:history="1">
            <w:r w:rsidR="000B66ED" w:rsidRPr="000B66ED">
              <w:rPr>
                <w:rStyle w:val="Hyperlink"/>
                <w:rFonts w:ascii="Segoe UI" w:eastAsia="Segoe UI" w:hAnsi="Segoe UI" w:cs="Segoe UI"/>
                <w:noProof/>
              </w:rPr>
              <w:t>2.3.1</w:t>
            </w:r>
            <w:r w:rsidR="000B66ED" w:rsidRPr="000B66ED">
              <w:rPr>
                <w:rFonts w:ascii="Segoe UI" w:hAnsi="Segoe UI" w:cs="Segoe UI"/>
                <w:i w:val="0"/>
                <w:noProof/>
              </w:rPr>
              <w:tab/>
            </w:r>
            <w:r w:rsidR="000B66ED" w:rsidRPr="000B66ED">
              <w:rPr>
                <w:rStyle w:val="Hyperlink"/>
                <w:rFonts w:ascii="Segoe UI" w:eastAsia="Segoe UI" w:hAnsi="Segoe UI" w:cs="Segoe UI"/>
                <w:noProof/>
              </w:rPr>
              <w:t>Implications for SMEs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_Toc442273952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13</w:t>
            </w:r>
            <w:r w:rsidR="000B66ED" w:rsidRPr="000B66ED">
              <w:rPr>
                <w:rFonts w:ascii="Segoe UI" w:hAnsi="Segoe UI" w:cs="Segoe UI"/>
                <w:noProof/>
                <w:webHidden/>
              </w:rPr>
              <w:fldChar w:fldCharType="end"/>
            </w:r>
          </w:hyperlink>
        </w:p>
        <w:p w14:paraId="06757A45" w14:textId="77777777" w:rsidR="000B66ED" w:rsidRPr="000B66ED" w:rsidRDefault="004B5999">
          <w:pPr>
            <w:pStyle w:val="TOC3"/>
            <w:tabs>
              <w:tab w:val="left" w:pos="960"/>
              <w:tab w:val="right" w:leader="dot" w:pos="9017"/>
            </w:tabs>
            <w:rPr>
              <w:rFonts w:ascii="Segoe UI" w:hAnsi="Segoe UI" w:cs="Segoe UI"/>
              <w:i w:val="0"/>
              <w:noProof/>
            </w:rPr>
          </w:pPr>
          <w:hyperlink w:anchor="_Toc442273953" w:history="1">
            <w:r w:rsidR="000B66ED" w:rsidRPr="000B66ED">
              <w:rPr>
                <w:rStyle w:val="Hyperlink"/>
                <w:rFonts w:ascii="Segoe UI" w:hAnsi="Segoe UI" w:cs="Segoe UI"/>
                <w:noProof/>
              </w:rPr>
              <w:t>2.3.2</w:t>
            </w:r>
            <w:r w:rsidR="000B66ED" w:rsidRPr="000B66ED">
              <w:rPr>
                <w:rFonts w:ascii="Segoe UI" w:hAnsi="Segoe UI" w:cs="Segoe UI"/>
                <w:i w:val="0"/>
                <w:noProof/>
              </w:rPr>
              <w:tab/>
            </w:r>
            <w:r w:rsidR="000B66ED" w:rsidRPr="000B66ED">
              <w:rPr>
                <w:rStyle w:val="Hyperlink"/>
                <w:rFonts w:ascii="Segoe UI" w:hAnsi="Segoe UI" w:cs="Segoe UI"/>
                <w:noProof/>
              </w:rPr>
              <w:t>Stagnation of business processes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_Toc442273953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14</w:t>
            </w:r>
            <w:r w:rsidR="000B66ED" w:rsidRPr="000B66ED">
              <w:rPr>
                <w:rFonts w:ascii="Segoe UI" w:hAnsi="Segoe UI" w:cs="Segoe UI"/>
                <w:noProof/>
                <w:webHidden/>
              </w:rPr>
              <w:fldChar w:fldCharType="end"/>
            </w:r>
          </w:hyperlink>
        </w:p>
        <w:p w14:paraId="06757A46" w14:textId="77777777" w:rsidR="000B66ED" w:rsidRPr="000B66ED" w:rsidRDefault="004B5999">
          <w:pPr>
            <w:pStyle w:val="TOC2"/>
            <w:tabs>
              <w:tab w:val="left" w:pos="720"/>
              <w:tab w:val="right" w:leader="dot" w:pos="9017"/>
            </w:tabs>
            <w:rPr>
              <w:rFonts w:ascii="Segoe UI" w:hAnsi="Segoe UI" w:cs="Segoe UI"/>
              <w:noProof/>
            </w:rPr>
          </w:pPr>
          <w:hyperlink w:anchor="_Toc442273954" w:history="1">
            <w:r w:rsidR="000B66ED" w:rsidRPr="000B66ED">
              <w:rPr>
                <w:rStyle w:val="Hyperlink"/>
                <w:rFonts w:ascii="Segoe UI" w:hAnsi="Segoe UI" w:cs="Segoe UI"/>
                <w:noProof/>
              </w:rPr>
              <w:t>2.4</w:t>
            </w:r>
            <w:r w:rsidR="000B66ED" w:rsidRPr="000B66ED">
              <w:rPr>
                <w:rFonts w:ascii="Segoe UI" w:hAnsi="Segoe UI" w:cs="Segoe UI"/>
                <w:noProof/>
              </w:rPr>
              <w:tab/>
            </w:r>
            <w:r w:rsidR="000B66ED" w:rsidRPr="000B66ED">
              <w:rPr>
                <w:rStyle w:val="Hyperlink"/>
                <w:rFonts w:ascii="Segoe UI" w:hAnsi="Segoe UI" w:cs="Segoe UI"/>
                <w:noProof/>
              </w:rPr>
              <w:t>Competitive neutrality</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_Toc442273954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15</w:t>
            </w:r>
            <w:r w:rsidR="000B66ED" w:rsidRPr="000B66ED">
              <w:rPr>
                <w:rFonts w:ascii="Segoe UI" w:hAnsi="Segoe UI" w:cs="Segoe UI"/>
                <w:noProof/>
                <w:webHidden/>
              </w:rPr>
              <w:fldChar w:fldCharType="end"/>
            </w:r>
          </w:hyperlink>
        </w:p>
        <w:p w14:paraId="06757A47" w14:textId="77777777" w:rsidR="000B66ED" w:rsidRPr="000B66ED" w:rsidRDefault="004B5999">
          <w:pPr>
            <w:pStyle w:val="TOC3"/>
            <w:tabs>
              <w:tab w:val="left" w:pos="960"/>
              <w:tab w:val="right" w:leader="dot" w:pos="9017"/>
            </w:tabs>
            <w:rPr>
              <w:rFonts w:ascii="Segoe UI" w:hAnsi="Segoe UI" w:cs="Segoe UI"/>
              <w:i w:val="0"/>
              <w:noProof/>
            </w:rPr>
          </w:pPr>
          <w:hyperlink w:anchor="_Toc442273955" w:history="1">
            <w:r w:rsidR="000B66ED" w:rsidRPr="000B66ED">
              <w:rPr>
                <w:rStyle w:val="Hyperlink"/>
                <w:rFonts w:ascii="Segoe UI" w:hAnsi="Segoe UI" w:cs="Segoe UI"/>
                <w:noProof/>
              </w:rPr>
              <w:t>2.4.1</w:t>
            </w:r>
            <w:r w:rsidR="000B66ED" w:rsidRPr="000B66ED">
              <w:rPr>
                <w:rFonts w:ascii="Segoe UI" w:hAnsi="Segoe UI" w:cs="Segoe UI"/>
                <w:i w:val="0"/>
                <w:noProof/>
              </w:rPr>
              <w:tab/>
            </w:r>
            <w:r w:rsidR="000B66ED" w:rsidRPr="000B66ED">
              <w:rPr>
                <w:rStyle w:val="Hyperlink"/>
                <w:rFonts w:ascii="Segoe UI" w:hAnsi="Segoe UI" w:cs="Segoe UI"/>
                <w:noProof/>
              </w:rPr>
              <w:t>Current market dynamics and share</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_Toc442273955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15</w:t>
            </w:r>
            <w:r w:rsidR="000B66ED" w:rsidRPr="000B66ED">
              <w:rPr>
                <w:rFonts w:ascii="Segoe UI" w:hAnsi="Segoe UI" w:cs="Segoe UI"/>
                <w:noProof/>
                <w:webHidden/>
              </w:rPr>
              <w:fldChar w:fldCharType="end"/>
            </w:r>
          </w:hyperlink>
        </w:p>
        <w:p w14:paraId="06757A48" w14:textId="77777777" w:rsidR="000B66ED" w:rsidRPr="000B66ED" w:rsidRDefault="004B5999">
          <w:pPr>
            <w:pStyle w:val="TOC3"/>
            <w:tabs>
              <w:tab w:val="left" w:pos="960"/>
              <w:tab w:val="right" w:leader="dot" w:pos="9017"/>
            </w:tabs>
            <w:rPr>
              <w:rFonts w:ascii="Segoe UI" w:hAnsi="Segoe UI" w:cs="Segoe UI"/>
              <w:i w:val="0"/>
              <w:noProof/>
            </w:rPr>
          </w:pPr>
          <w:hyperlink w:anchor="_Toc442273956" w:history="1">
            <w:r w:rsidR="000B66ED" w:rsidRPr="000B66ED">
              <w:rPr>
                <w:rStyle w:val="Hyperlink"/>
                <w:rFonts w:ascii="Segoe UI" w:hAnsi="Segoe UI" w:cs="Segoe UI"/>
                <w:noProof/>
              </w:rPr>
              <w:t>2.4.2</w:t>
            </w:r>
            <w:r w:rsidR="000B66ED" w:rsidRPr="000B66ED">
              <w:rPr>
                <w:rFonts w:ascii="Segoe UI" w:hAnsi="Segoe UI" w:cs="Segoe UI"/>
                <w:i w:val="0"/>
                <w:noProof/>
              </w:rPr>
              <w:tab/>
            </w:r>
            <w:r w:rsidR="000B66ED" w:rsidRPr="000B66ED">
              <w:rPr>
                <w:rStyle w:val="Hyperlink"/>
                <w:rFonts w:ascii="Segoe UI" w:hAnsi="Segoe UI" w:cs="Segoe UI"/>
                <w:noProof/>
              </w:rPr>
              <w:t>Rebates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_Toc442273956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15</w:t>
            </w:r>
            <w:r w:rsidR="000B66ED" w:rsidRPr="000B66ED">
              <w:rPr>
                <w:rFonts w:ascii="Segoe UI" w:hAnsi="Segoe UI" w:cs="Segoe UI"/>
                <w:noProof/>
                <w:webHidden/>
              </w:rPr>
              <w:fldChar w:fldCharType="end"/>
            </w:r>
          </w:hyperlink>
        </w:p>
        <w:p w14:paraId="06757A49" w14:textId="77777777" w:rsidR="000B66ED" w:rsidRPr="000B66ED" w:rsidRDefault="004B5999">
          <w:pPr>
            <w:pStyle w:val="TOC2"/>
            <w:tabs>
              <w:tab w:val="left" w:pos="720"/>
              <w:tab w:val="right" w:leader="dot" w:pos="9017"/>
            </w:tabs>
            <w:rPr>
              <w:rFonts w:ascii="Segoe UI" w:hAnsi="Segoe UI" w:cs="Segoe UI"/>
              <w:noProof/>
            </w:rPr>
          </w:pPr>
          <w:hyperlink w:anchor="_Toc442273957" w:history="1">
            <w:r w:rsidR="000B66ED" w:rsidRPr="000B66ED">
              <w:rPr>
                <w:rStyle w:val="Hyperlink"/>
                <w:rFonts w:ascii="Segoe UI" w:hAnsi="Segoe UI" w:cs="Segoe UI"/>
                <w:noProof/>
              </w:rPr>
              <w:t>2.5</w:t>
            </w:r>
            <w:r w:rsidR="000B66ED" w:rsidRPr="000B66ED">
              <w:rPr>
                <w:rFonts w:ascii="Segoe UI" w:hAnsi="Segoe UI" w:cs="Segoe UI"/>
                <w:noProof/>
              </w:rPr>
              <w:tab/>
            </w:r>
            <w:r w:rsidR="000B66ED" w:rsidRPr="000B66ED">
              <w:rPr>
                <w:rStyle w:val="Hyperlink"/>
                <w:rFonts w:ascii="Segoe UI" w:hAnsi="Segoe UI" w:cs="Segoe UI"/>
                <w:noProof/>
              </w:rPr>
              <w:t>Conclusion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_Toc442273957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15</w:t>
            </w:r>
            <w:r w:rsidR="000B66ED" w:rsidRPr="000B66ED">
              <w:rPr>
                <w:rFonts w:ascii="Segoe UI" w:hAnsi="Segoe UI" w:cs="Segoe UI"/>
                <w:noProof/>
                <w:webHidden/>
              </w:rPr>
              <w:fldChar w:fldCharType="end"/>
            </w:r>
          </w:hyperlink>
        </w:p>
        <w:p w14:paraId="06757A4A" w14:textId="77777777" w:rsidR="000B66ED" w:rsidRPr="000B66ED" w:rsidRDefault="004B5999">
          <w:pPr>
            <w:pStyle w:val="TOC1"/>
            <w:tabs>
              <w:tab w:val="right" w:leader="dot" w:pos="9017"/>
            </w:tabs>
            <w:rPr>
              <w:rFonts w:ascii="Segoe UI" w:hAnsi="Segoe UI" w:cs="Segoe UI"/>
              <w:b w:val="0"/>
              <w:noProof/>
              <w:color w:val="auto"/>
              <w:sz w:val="22"/>
              <w:szCs w:val="22"/>
            </w:rPr>
          </w:pPr>
          <w:hyperlink w:anchor="_Toc442273958" w:history="1">
            <w:r w:rsidR="000B66ED" w:rsidRPr="000B66ED">
              <w:rPr>
                <w:rStyle w:val="Hyperlink"/>
                <w:rFonts w:ascii="Segoe UI" w:hAnsi="Segoe UI" w:cs="Segoe UI"/>
                <w:noProof/>
              </w:rPr>
              <w:t>Chapter 3: Interchange rate cycle compliance</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_Toc442273958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17</w:t>
            </w:r>
            <w:r w:rsidR="000B66ED" w:rsidRPr="000B66ED">
              <w:rPr>
                <w:rFonts w:ascii="Segoe UI" w:hAnsi="Segoe UI" w:cs="Segoe UI"/>
                <w:noProof/>
                <w:webHidden/>
              </w:rPr>
              <w:fldChar w:fldCharType="end"/>
            </w:r>
          </w:hyperlink>
        </w:p>
        <w:p w14:paraId="06757A4B" w14:textId="77777777" w:rsidR="000B66ED" w:rsidRPr="000B66ED" w:rsidRDefault="004B5999">
          <w:pPr>
            <w:pStyle w:val="TOC2"/>
            <w:tabs>
              <w:tab w:val="left" w:pos="720"/>
              <w:tab w:val="right" w:leader="dot" w:pos="9017"/>
            </w:tabs>
            <w:rPr>
              <w:rFonts w:ascii="Segoe UI" w:hAnsi="Segoe UI" w:cs="Segoe UI"/>
              <w:noProof/>
            </w:rPr>
          </w:pPr>
          <w:hyperlink w:anchor="_Toc442273959" w:history="1">
            <w:r w:rsidR="000B66ED" w:rsidRPr="000B66ED">
              <w:rPr>
                <w:rStyle w:val="Hyperlink"/>
                <w:rFonts w:ascii="Segoe UI" w:hAnsi="Segoe UI" w:cs="Segoe UI"/>
                <w:noProof/>
              </w:rPr>
              <w:t>3.1</w:t>
            </w:r>
            <w:r w:rsidR="000B66ED" w:rsidRPr="000B66ED">
              <w:rPr>
                <w:rFonts w:ascii="Segoe UI" w:hAnsi="Segoe UI" w:cs="Segoe UI"/>
                <w:noProof/>
              </w:rPr>
              <w:tab/>
            </w:r>
            <w:r w:rsidR="000B66ED" w:rsidRPr="000B66ED">
              <w:rPr>
                <w:rStyle w:val="Hyperlink"/>
                <w:rFonts w:ascii="Segoe UI" w:hAnsi="Segoe UI" w:cs="Segoe UI"/>
                <w:noProof/>
              </w:rPr>
              <w:t>Introduction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_Toc442273959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17</w:t>
            </w:r>
            <w:r w:rsidR="000B66ED" w:rsidRPr="000B66ED">
              <w:rPr>
                <w:rFonts w:ascii="Segoe UI" w:hAnsi="Segoe UI" w:cs="Segoe UI"/>
                <w:noProof/>
                <w:webHidden/>
              </w:rPr>
              <w:fldChar w:fldCharType="end"/>
            </w:r>
          </w:hyperlink>
        </w:p>
        <w:p w14:paraId="06757A4C" w14:textId="77777777" w:rsidR="000B66ED" w:rsidRPr="000B66ED" w:rsidRDefault="004B5999">
          <w:pPr>
            <w:pStyle w:val="TOC2"/>
            <w:tabs>
              <w:tab w:val="left" w:pos="720"/>
              <w:tab w:val="right" w:leader="dot" w:pos="9017"/>
            </w:tabs>
            <w:rPr>
              <w:rFonts w:ascii="Segoe UI" w:hAnsi="Segoe UI" w:cs="Segoe UI"/>
              <w:noProof/>
            </w:rPr>
          </w:pPr>
          <w:hyperlink w:anchor="_Toc442273960" w:history="1">
            <w:r w:rsidR="000B66ED" w:rsidRPr="000B66ED">
              <w:rPr>
                <w:rStyle w:val="Hyperlink"/>
                <w:rFonts w:ascii="Segoe UI" w:hAnsi="Segoe UI" w:cs="Segoe UI"/>
                <w:noProof/>
              </w:rPr>
              <w:t>3.2</w:t>
            </w:r>
            <w:r w:rsidR="000B66ED" w:rsidRPr="000B66ED">
              <w:rPr>
                <w:rFonts w:ascii="Segoe UI" w:hAnsi="Segoe UI" w:cs="Segoe UI"/>
                <w:noProof/>
              </w:rPr>
              <w:tab/>
            </w:r>
            <w:r w:rsidR="000B66ED" w:rsidRPr="000B66ED">
              <w:rPr>
                <w:rStyle w:val="Hyperlink"/>
                <w:rFonts w:ascii="Segoe UI" w:hAnsi="Segoe UI" w:cs="Segoe UI"/>
                <w:noProof/>
              </w:rPr>
              <w:t>Operational requirements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_Toc442273960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18</w:t>
            </w:r>
            <w:r w:rsidR="000B66ED" w:rsidRPr="000B66ED">
              <w:rPr>
                <w:rFonts w:ascii="Segoe UI" w:hAnsi="Segoe UI" w:cs="Segoe UI"/>
                <w:noProof/>
                <w:webHidden/>
              </w:rPr>
              <w:fldChar w:fldCharType="end"/>
            </w:r>
          </w:hyperlink>
        </w:p>
        <w:p w14:paraId="06757A4D" w14:textId="77777777" w:rsidR="000B66ED" w:rsidRPr="000B66ED" w:rsidRDefault="004B5999">
          <w:pPr>
            <w:pStyle w:val="TOC2"/>
            <w:tabs>
              <w:tab w:val="left" w:pos="720"/>
              <w:tab w:val="right" w:leader="dot" w:pos="9017"/>
            </w:tabs>
            <w:rPr>
              <w:rFonts w:ascii="Segoe UI" w:hAnsi="Segoe UI" w:cs="Segoe UI"/>
              <w:noProof/>
            </w:rPr>
          </w:pPr>
          <w:hyperlink w:anchor="_Toc442273961" w:history="1">
            <w:r w:rsidR="000B66ED" w:rsidRPr="000B66ED">
              <w:rPr>
                <w:rStyle w:val="Hyperlink"/>
                <w:rFonts w:ascii="Segoe UI" w:hAnsi="Segoe UI" w:cs="Segoe UI"/>
                <w:noProof/>
              </w:rPr>
              <w:t>3.3</w:t>
            </w:r>
            <w:r w:rsidR="000B66ED" w:rsidRPr="000B66ED">
              <w:rPr>
                <w:rFonts w:ascii="Segoe UI" w:hAnsi="Segoe UI" w:cs="Segoe UI"/>
                <w:noProof/>
              </w:rPr>
              <w:tab/>
            </w:r>
            <w:r w:rsidR="000B66ED" w:rsidRPr="000B66ED">
              <w:rPr>
                <w:rStyle w:val="Hyperlink"/>
                <w:rFonts w:ascii="Segoe UI" w:hAnsi="Segoe UI" w:cs="Segoe UI"/>
                <w:noProof/>
              </w:rPr>
              <w:t>Reset compliance window</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_Toc442273961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19</w:t>
            </w:r>
            <w:r w:rsidR="000B66ED" w:rsidRPr="000B66ED">
              <w:rPr>
                <w:rFonts w:ascii="Segoe UI" w:hAnsi="Segoe UI" w:cs="Segoe UI"/>
                <w:noProof/>
                <w:webHidden/>
              </w:rPr>
              <w:fldChar w:fldCharType="end"/>
            </w:r>
          </w:hyperlink>
        </w:p>
        <w:p w14:paraId="06757A4E" w14:textId="77777777" w:rsidR="000B66ED" w:rsidRPr="000B66ED" w:rsidRDefault="004B5999">
          <w:pPr>
            <w:pStyle w:val="TOC2"/>
            <w:tabs>
              <w:tab w:val="left" w:pos="720"/>
              <w:tab w:val="right" w:leader="dot" w:pos="9017"/>
            </w:tabs>
            <w:rPr>
              <w:rFonts w:ascii="Segoe UI" w:hAnsi="Segoe UI" w:cs="Segoe UI"/>
              <w:noProof/>
            </w:rPr>
          </w:pPr>
          <w:hyperlink w:anchor="_Toc442273962" w:history="1">
            <w:r w:rsidR="000B66ED" w:rsidRPr="000B66ED">
              <w:rPr>
                <w:rStyle w:val="Hyperlink"/>
                <w:rFonts w:ascii="Segoe UI" w:hAnsi="Segoe UI" w:cs="Segoe UI"/>
                <w:noProof/>
              </w:rPr>
              <w:t>3.4</w:t>
            </w:r>
            <w:r w:rsidR="000B66ED" w:rsidRPr="000B66ED">
              <w:rPr>
                <w:rFonts w:ascii="Segoe UI" w:hAnsi="Segoe UI" w:cs="Segoe UI"/>
                <w:noProof/>
              </w:rPr>
              <w:tab/>
            </w:r>
            <w:r w:rsidR="000B66ED" w:rsidRPr="000B66ED">
              <w:rPr>
                <w:rStyle w:val="Hyperlink"/>
                <w:rFonts w:ascii="Segoe UI" w:hAnsi="Segoe UI" w:cs="Segoe UI"/>
                <w:noProof/>
              </w:rPr>
              <w:t>Conclusion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_Toc442273962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19</w:t>
            </w:r>
            <w:r w:rsidR="000B66ED" w:rsidRPr="000B66ED">
              <w:rPr>
                <w:rFonts w:ascii="Segoe UI" w:hAnsi="Segoe UI" w:cs="Segoe UI"/>
                <w:noProof/>
                <w:webHidden/>
              </w:rPr>
              <w:fldChar w:fldCharType="end"/>
            </w:r>
          </w:hyperlink>
        </w:p>
        <w:p w14:paraId="06757A4F" w14:textId="77777777" w:rsidR="000B66ED" w:rsidRPr="000B66ED" w:rsidRDefault="004B5999">
          <w:pPr>
            <w:pStyle w:val="TOC1"/>
            <w:tabs>
              <w:tab w:val="right" w:leader="dot" w:pos="9017"/>
            </w:tabs>
            <w:rPr>
              <w:rFonts w:ascii="Segoe UI" w:hAnsi="Segoe UI" w:cs="Segoe UI"/>
              <w:b w:val="0"/>
              <w:noProof/>
              <w:color w:val="auto"/>
              <w:sz w:val="22"/>
              <w:szCs w:val="22"/>
            </w:rPr>
          </w:pPr>
          <w:hyperlink w:anchor="_Toc442273963" w:history="1">
            <w:r w:rsidR="000B66ED" w:rsidRPr="000B66ED">
              <w:rPr>
                <w:rStyle w:val="Hyperlink"/>
                <w:rFonts w:ascii="Segoe UI" w:hAnsi="Segoe UI" w:cs="Segoe UI"/>
                <w:noProof/>
              </w:rPr>
              <w:t>Chapter 4: Surcharging standards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_Toc442273963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20</w:t>
            </w:r>
            <w:r w:rsidR="000B66ED" w:rsidRPr="000B66ED">
              <w:rPr>
                <w:rFonts w:ascii="Segoe UI" w:hAnsi="Segoe UI" w:cs="Segoe UI"/>
                <w:noProof/>
                <w:webHidden/>
              </w:rPr>
              <w:fldChar w:fldCharType="end"/>
            </w:r>
          </w:hyperlink>
        </w:p>
        <w:p w14:paraId="06757A50" w14:textId="77777777" w:rsidR="000B66ED" w:rsidRPr="000B66ED" w:rsidRDefault="004B5999">
          <w:pPr>
            <w:pStyle w:val="TOC2"/>
            <w:tabs>
              <w:tab w:val="left" w:pos="720"/>
              <w:tab w:val="right" w:leader="dot" w:pos="9017"/>
            </w:tabs>
            <w:rPr>
              <w:rFonts w:ascii="Segoe UI" w:hAnsi="Segoe UI" w:cs="Segoe UI"/>
              <w:noProof/>
            </w:rPr>
          </w:pPr>
          <w:hyperlink w:anchor="_Toc442273964" w:history="1">
            <w:r w:rsidR="000B66ED" w:rsidRPr="000B66ED">
              <w:rPr>
                <w:rStyle w:val="Hyperlink"/>
                <w:rFonts w:ascii="Segoe UI" w:hAnsi="Segoe UI" w:cs="Segoe UI"/>
                <w:noProof/>
              </w:rPr>
              <w:t>4.1</w:t>
            </w:r>
            <w:r w:rsidR="000B66ED" w:rsidRPr="000B66ED">
              <w:rPr>
                <w:rFonts w:ascii="Segoe UI" w:hAnsi="Segoe UI" w:cs="Segoe UI"/>
                <w:noProof/>
              </w:rPr>
              <w:tab/>
            </w:r>
            <w:r w:rsidR="000B66ED" w:rsidRPr="000B66ED">
              <w:rPr>
                <w:rStyle w:val="Hyperlink"/>
                <w:rFonts w:ascii="Segoe UI" w:hAnsi="Segoe UI" w:cs="Segoe UI"/>
                <w:noProof/>
              </w:rPr>
              <w:t>Introduction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_Toc442273964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20</w:t>
            </w:r>
            <w:r w:rsidR="000B66ED" w:rsidRPr="000B66ED">
              <w:rPr>
                <w:rFonts w:ascii="Segoe UI" w:hAnsi="Segoe UI" w:cs="Segoe UI"/>
                <w:noProof/>
                <w:webHidden/>
              </w:rPr>
              <w:fldChar w:fldCharType="end"/>
            </w:r>
          </w:hyperlink>
        </w:p>
        <w:p w14:paraId="06757A51" w14:textId="77777777" w:rsidR="000B66ED" w:rsidRPr="000B66ED" w:rsidRDefault="004B5999">
          <w:pPr>
            <w:pStyle w:val="TOC2"/>
            <w:tabs>
              <w:tab w:val="left" w:pos="720"/>
              <w:tab w:val="right" w:leader="dot" w:pos="9017"/>
            </w:tabs>
            <w:rPr>
              <w:rFonts w:ascii="Segoe UI" w:hAnsi="Segoe UI" w:cs="Segoe UI"/>
              <w:noProof/>
            </w:rPr>
          </w:pPr>
          <w:hyperlink w:anchor="_Toc442273965" w:history="1">
            <w:r w:rsidR="000B66ED" w:rsidRPr="000B66ED">
              <w:rPr>
                <w:rStyle w:val="Hyperlink"/>
                <w:rFonts w:ascii="Segoe UI" w:hAnsi="Segoe UI" w:cs="Segoe UI"/>
                <w:noProof/>
              </w:rPr>
              <w:t>4.2</w:t>
            </w:r>
            <w:r w:rsidR="000B66ED" w:rsidRPr="000B66ED">
              <w:rPr>
                <w:rFonts w:ascii="Segoe UI" w:hAnsi="Segoe UI" w:cs="Segoe UI"/>
                <w:noProof/>
              </w:rPr>
              <w:tab/>
            </w:r>
            <w:r w:rsidR="000B66ED" w:rsidRPr="000B66ED">
              <w:rPr>
                <w:rStyle w:val="Hyperlink"/>
                <w:rFonts w:ascii="Segoe UI" w:hAnsi="Segoe UI" w:cs="Segoe UI"/>
                <w:noProof/>
              </w:rPr>
              <w:t>Enhanced limitations on surcharging</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_Toc442273965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20</w:t>
            </w:r>
            <w:r w:rsidR="000B66ED" w:rsidRPr="000B66ED">
              <w:rPr>
                <w:rFonts w:ascii="Segoe UI" w:hAnsi="Segoe UI" w:cs="Segoe UI"/>
                <w:noProof/>
                <w:webHidden/>
              </w:rPr>
              <w:fldChar w:fldCharType="end"/>
            </w:r>
          </w:hyperlink>
        </w:p>
        <w:p w14:paraId="06757A52" w14:textId="77777777" w:rsidR="000B66ED" w:rsidRPr="000B66ED" w:rsidRDefault="004B5999">
          <w:pPr>
            <w:pStyle w:val="TOC2"/>
            <w:tabs>
              <w:tab w:val="left" w:pos="720"/>
              <w:tab w:val="right" w:leader="dot" w:pos="9017"/>
            </w:tabs>
            <w:rPr>
              <w:rFonts w:ascii="Segoe UI" w:hAnsi="Segoe UI" w:cs="Segoe UI"/>
              <w:noProof/>
            </w:rPr>
          </w:pPr>
          <w:hyperlink w:anchor="_Toc442273966" w:history="1">
            <w:r w:rsidR="000B66ED" w:rsidRPr="000B66ED">
              <w:rPr>
                <w:rStyle w:val="Hyperlink"/>
                <w:rFonts w:ascii="Segoe UI" w:hAnsi="Segoe UI" w:cs="Segoe UI"/>
                <w:noProof/>
              </w:rPr>
              <w:t>4.3</w:t>
            </w:r>
            <w:r w:rsidR="000B66ED" w:rsidRPr="000B66ED">
              <w:rPr>
                <w:rFonts w:ascii="Segoe UI" w:hAnsi="Segoe UI" w:cs="Segoe UI"/>
                <w:noProof/>
              </w:rPr>
              <w:tab/>
            </w:r>
            <w:r w:rsidR="000B66ED" w:rsidRPr="000B66ED">
              <w:rPr>
                <w:rStyle w:val="Hyperlink"/>
                <w:rFonts w:ascii="Segoe UI" w:hAnsi="Segoe UI" w:cs="Segoe UI"/>
                <w:noProof/>
              </w:rPr>
              <w:t>Enforceability</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_Toc442273966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21</w:t>
            </w:r>
            <w:r w:rsidR="000B66ED" w:rsidRPr="000B66ED">
              <w:rPr>
                <w:rFonts w:ascii="Segoe UI" w:hAnsi="Segoe UI" w:cs="Segoe UI"/>
                <w:noProof/>
                <w:webHidden/>
              </w:rPr>
              <w:fldChar w:fldCharType="end"/>
            </w:r>
          </w:hyperlink>
        </w:p>
        <w:p w14:paraId="06757A53" w14:textId="77777777" w:rsidR="000B66ED" w:rsidRPr="000B66ED" w:rsidRDefault="004B5999">
          <w:pPr>
            <w:pStyle w:val="TOC1"/>
            <w:tabs>
              <w:tab w:val="right" w:leader="dot" w:pos="9017"/>
            </w:tabs>
            <w:rPr>
              <w:rFonts w:ascii="Segoe UI" w:hAnsi="Segoe UI" w:cs="Segoe UI"/>
              <w:b w:val="0"/>
              <w:noProof/>
              <w:color w:val="auto"/>
              <w:sz w:val="22"/>
              <w:szCs w:val="22"/>
            </w:rPr>
          </w:pPr>
          <w:hyperlink w:anchor="_Toc442273967" w:history="1">
            <w:r w:rsidR="000B66ED" w:rsidRPr="000B66ED">
              <w:rPr>
                <w:rStyle w:val="Hyperlink"/>
                <w:rFonts w:ascii="Segoe UI" w:hAnsi="Segoe UI" w:cs="Segoe UI"/>
                <w:noProof/>
              </w:rPr>
              <w:t>Chapter 5: Competitive neutrality</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_Toc442273967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22</w:t>
            </w:r>
            <w:r w:rsidR="000B66ED" w:rsidRPr="000B66ED">
              <w:rPr>
                <w:rFonts w:ascii="Segoe UI" w:hAnsi="Segoe UI" w:cs="Segoe UI"/>
                <w:noProof/>
                <w:webHidden/>
              </w:rPr>
              <w:fldChar w:fldCharType="end"/>
            </w:r>
          </w:hyperlink>
        </w:p>
        <w:p w14:paraId="06757A54" w14:textId="77777777" w:rsidR="000B66ED" w:rsidRPr="000B66ED" w:rsidRDefault="004B5999">
          <w:pPr>
            <w:pStyle w:val="TOC2"/>
            <w:tabs>
              <w:tab w:val="left" w:pos="720"/>
              <w:tab w:val="right" w:leader="dot" w:pos="9017"/>
            </w:tabs>
            <w:rPr>
              <w:rFonts w:ascii="Segoe UI" w:hAnsi="Segoe UI" w:cs="Segoe UI"/>
              <w:noProof/>
            </w:rPr>
          </w:pPr>
          <w:hyperlink w:anchor="_Toc442273968" w:history="1">
            <w:r w:rsidR="000B66ED" w:rsidRPr="000B66ED">
              <w:rPr>
                <w:rStyle w:val="Hyperlink"/>
                <w:rFonts w:ascii="Segoe UI" w:hAnsi="Segoe UI" w:cs="Segoe UI"/>
                <w:noProof/>
              </w:rPr>
              <w:t>5.1</w:t>
            </w:r>
            <w:r w:rsidR="000B66ED" w:rsidRPr="000B66ED">
              <w:rPr>
                <w:rFonts w:ascii="Segoe UI" w:hAnsi="Segoe UI" w:cs="Segoe UI"/>
                <w:noProof/>
              </w:rPr>
              <w:tab/>
            </w:r>
            <w:r w:rsidR="000B66ED" w:rsidRPr="000B66ED">
              <w:rPr>
                <w:rStyle w:val="Hyperlink"/>
                <w:rFonts w:ascii="Segoe UI" w:hAnsi="Segoe UI" w:cs="Segoe UI"/>
                <w:noProof/>
              </w:rPr>
              <w:t>Introduction</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_Toc442273968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22</w:t>
            </w:r>
            <w:r w:rsidR="000B66ED" w:rsidRPr="000B66ED">
              <w:rPr>
                <w:rFonts w:ascii="Segoe UI" w:hAnsi="Segoe UI" w:cs="Segoe UI"/>
                <w:noProof/>
                <w:webHidden/>
              </w:rPr>
              <w:fldChar w:fldCharType="end"/>
            </w:r>
          </w:hyperlink>
        </w:p>
        <w:p w14:paraId="06757A55" w14:textId="77777777" w:rsidR="000B66ED" w:rsidRPr="000B66ED" w:rsidRDefault="004B5999">
          <w:pPr>
            <w:pStyle w:val="TOC2"/>
            <w:tabs>
              <w:tab w:val="left" w:pos="720"/>
              <w:tab w:val="right" w:leader="dot" w:pos="9017"/>
            </w:tabs>
            <w:rPr>
              <w:rFonts w:ascii="Segoe UI" w:hAnsi="Segoe UI" w:cs="Segoe UI"/>
              <w:noProof/>
            </w:rPr>
          </w:pPr>
          <w:hyperlink w:anchor="_Toc442273969" w:history="1">
            <w:r w:rsidR="000B66ED" w:rsidRPr="000B66ED">
              <w:rPr>
                <w:rStyle w:val="Hyperlink"/>
                <w:rFonts w:ascii="Segoe UI" w:hAnsi="Segoe UI" w:cs="Segoe UI"/>
                <w:noProof/>
              </w:rPr>
              <w:t>5.2</w:t>
            </w:r>
            <w:r w:rsidR="000B66ED" w:rsidRPr="000B66ED">
              <w:rPr>
                <w:rFonts w:ascii="Segoe UI" w:hAnsi="Segoe UI" w:cs="Segoe UI"/>
                <w:noProof/>
              </w:rPr>
              <w:tab/>
            </w:r>
            <w:r w:rsidR="000B66ED" w:rsidRPr="000B66ED">
              <w:rPr>
                <w:rStyle w:val="Hyperlink"/>
                <w:rFonts w:ascii="Segoe UI" w:hAnsi="Segoe UI" w:cs="Segoe UI"/>
                <w:noProof/>
              </w:rPr>
              <w:t>‘Traditional’ or proprietary three-party schemes and new models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_Toc442273969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22</w:t>
            </w:r>
            <w:r w:rsidR="000B66ED" w:rsidRPr="000B66ED">
              <w:rPr>
                <w:rFonts w:ascii="Segoe UI" w:hAnsi="Segoe UI" w:cs="Segoe UI"/>
                <w:noProof/>
                <w:webHidden/>
              </w:rPr>
              <w:fldChar w:fldCharType="end"/>
            </w:r>
          </w:hyperlink>
        </w:p>
        <w:p w14:paraId="06757A56" w14:textId="77777777" w:rsidR="000B66ED" w:rsidRPr="000B66ED" w:rsidRDefault="004B5999">
          <w:pPr>
            <w:pStyle w:val="TOC1"/>
            <w:tabs>
              <w:tab w:val="right" w:leader="dot" w:pos="9017"/>
            </w:tabs>
            <w:rPr>
              <w:rFonts w:ascii="Segoe UI" w:hAnsi="Segoe UI" w:cs="Segoe UI"/>
              <w:b w:val="0"/>
              <w:noProof/>
              <w:color w:val="auto"/>
              <w:sz w:val="22"/>
              <w:szCs w:val="22"/>
            </w:rPr>
          </w:pPr>
          <w:hyperlink w:anchor="_Toc442273970" w:history="1">
            <w:r w:rsidR="000B66ED" w:rsidRPr="000B66ED">
              <w:rPr>
                <w:rStyle w:val="Hyperlink"/>
                <w:rFonts w:ascii="Segoe UI" w:hAnsi="Segoe UI" w:cs="Segoe UI"/>
                <w:noProof/>
              </w:rPr>
              <w:t>Chapter 6: Other matters</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_Toc442273970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24</w:t>
            </w:r>
            <w:r w:rsidR="000B66ED" w:rsidRPr="000B66ED">
              <w:rPr>
                <w:rFonts w:ascii="Segoe UI" w:hAnsi="Segoe UI" w:cs="Segoe UI"/>
                <w:noProof/>
                <w:webHidden/>
              </w:rPr>
              <w:fldChar w:fldCharType="end"/>
            </w:r>
          </w:hyperlink>
        </w:p>
        <w:p w14:paraId="06757A57" w14:textId="77777777" w:rsidR="000B66ED" w:rsidRPr="000B66ED" w:rsidRDefault="004B5999">
          <w:pPr>
            <w:pStyle w:val="TOC2"/>
            <w:tabs>
              <w:tab w:val="left" w:pos="720"/>
              <w:tab w:val="right" w:leader="dot" w:pos="9017"/>
            </w:tabs>
            <w:rPr>
              <w:rFonts w:ascii="Segoe UI" w:hAnsi="Segoe UI" w:cs="Segoe UI"/>
              <w:noProof/>
            </w:rPr>
          </w:pPr>
          <w:hyperlink w:anchor="_Toc442273971" w:history="1">
            <w:r w:rsidR="000B66ED" w:rsidRPr="000B66ED">
              <w:rPr>
                <w:rStyle w:val="Hyperlink"/>
                <w:rFonts w:ascii="Segoe UI" w:hAnsi="Segoe UI" w:cs="Segoe UI"/>
                <w:noProof/>
              </w:rPr>
              <w:t>6.1</w:t>
            </w:r>
            <w:r w:rsidR="000B66ED" w:rsidRPr="000B66ED">
              <w:rPr>
                <w:rFonts w:ascii="Segoe UI" w:hAnsi="Segoe UI" w:cs="Segoe UI"/>
                <w:noProof/>
              </w:rPr>
              <w:tab/>
            </w:r>
            <w:r w:rsidR="000B66ED" w:rsidRPr="000B66ED">
              <w:rPr>
                <w:rStyle w:val="Hyperlink"/>
                <w:rFonts w:ascii="Segoe UI" w:hAnsi="Segoe UI" w:cs="Segoe UI"/>
                <w:noProof/>
              </w:rPr>
              <w:t>Implementation timeframe for reform</w:t>
            </w:r>
            <w:r w:rsidR="000B66ED" w:rsidRPr="000B66ED">
              <w:rPr>
                <w:rFonts w:ascii="Segoe UI" w:hAnsi="Segoe UI" w:cs="Segoe UI"/>
                <w:noProof/>
                <w:webHidden/>
              </w:rPr>
              <w:tab/>
            </w:r>
            <w:r w:rsidR="000B66ED" w:rsidRPr="000B66ED">
              <w:rPr>
                <w:rFonts w:ascii="Segoe UI" w:hAnsi="Segoe UI" w:cs="Segoe UI"/>
                <w:noProof/>
                <w:webHidden/>
              </w:rPr>
              <w:fldChar w:fldCharType="begin"/>
            </w:r>
            <w:r w:rsidR="000B66ED" w:rsidRPr="000B66ED">
              <w:rPr>
                <w:rFonts w:ascii="Segoe UI" w:hAnsi="Segoe UI" w:cs="Segoe UI"/>
                <w:noProof/>
                <w:webHidden/>
              </w:rPr>
              <w:instrText xml:space="preserve"> PAGEREF _Toc442273971 \h </w:instrText>
            </w:r>
            <w:r w:rsidR="000B66ED" w:rsidRPr="000B66ED">
              <w:rPr>
                <w:rFonts w:ascii="Segoe UI" w:hAnsi="Segoe UI" w:cs="Segoe UI"/>
                <w:noProof/>
                <w:webHidden/>
              </w:rPr>
            </w:r>
            <w:r w:rsidR="000B66ED" w:rsidRPr="000B66ED">
              <w:rPr>
                <w:rFonts w:ascii="Segoe UI" w:hAnsi="Segoe UI" w:cs="Segoe UI"/>
                <w:noProof/>
                <w:webHidden/>
              </w:rPr>
              <w:fldChar w:fldCharType="separate"/>
            </w:r>
            <w:r w:rsidR="00392F97">
              <w:rPr>
                <w:rFonts w:ascii="Segoe UI" w:hAnsi="Segoe UI" w:cs="Segoe UI"/>
                <w:noProof/>
                <w:webHidden/>
              </w:rPr>
              <w:t>24</w:t>
            </w:r>
            <w:r w:rsidR="000B66ED" w:rsidRPr="000B66ED">
              <w:rPr>
                <w:rFonts w:ascii="Segoe UI" w:hAnsi="Segoe UI" w:cs="Segoe UI"/>
                <w:noProof/>
                <w:webHidden/>
              </w:rPr>
              <w:fldChar w:fldCharType="end"/>
            </w:r>
          </w:hyperlink>
        </w:p>
        <w:p w14:paraId="06757A58" w14:textId="77777777" w:rsidR="00224432" w:rsidRDefault="00224432" w:rsidP="00AB0270">
          <w:pPr>
            <w:jc w:val="both"/>
          </w:pPr>
          <w:r w:rsidRPr="000B66ED">
            <w:rPr>
              <w:rFonts w:ascii="Segoe UI" w:hAnsi="Segoe UI" w:cs="Segoe UI"/>
              <w:b/>
              <w:bCs/>
              <w:noProof/>
              <w:sz w:val="22"/>
              <w:szCs w:val="22"/>
            </w:rPr>
            <w:fldChar w:fldCharType="end"/>
          </w:r>
        </w:p>
      </w:sdtContent>
    </w:sdt>
    <w:p w14:paraId="06757A59" w14:textId="77777777" w:rsidR="004F139D" w:rsidRPr="004F139D" w:rsidRDefault="004F139D" w:rsidP="00AB0270">
      <w:pPr>
        <w:jc w:val="both"/>
        <w:sectPr w:rsidR="004F139D" w:rsidRPr="004F139D" w:rsidSect="00B21569">
          <w:footerReference w:type="default" r:id="rId18"/>
          <w:type w:val="continuous"/>
          <w:pgSz w:w="11907" w:h="16839" w:code="9"/>
          <w:pgMar w:top="1440" w:right="1440" w:bottom="1440" w:left="1440" w:header="720" w:footer="720" w:gutter="0"/>
          <w:cols w:space="720"/>
          <w:docGrid w:linePitch="360"/>
        </w:sectPr>
      </w:pPr>
    </w:p>
    <w:p w14:paraId="06757A5A" w14:textId="77777777" w:rsidR="00C10050" w:rsidRDefault="00C10050" w:rsidP="00AB0270">
      <w:pPr>
        <w:pStyle w:val="Default"/>
        <w:jc w:val="both"/>
        <w:rPr>
          <w:rFonts w:eastAsiaTheme="majorEastAsia"/>
          <w:b/>
          <w:bCs/>
          <w:color w:val="002060"/>
          <w:sz w:val="32"/>
          <w:szCs w:val="32"/>
        </w:rPr>
      </w:pPr>
      <w:bookmarkStart w:id="2" w:name="_Toc439777713"/>
      <w:bookmarkEnd w:id="1"/>
    </w:p>
    <w:p w14:paraId="06757A5B" w14:textId="77777777" w:rsidR="00071174" w:rsidRDefault="00F421BE" w:rsidP="00AB0270">
      <w:pPr>
        <w:spacing w:after="200" w:line="276" w:lineRule="auto"/>
        <w:jc w:val="both"/>
        <w:sectPr w:rsidR="00071174" w:rsidSect="00B21569">
          <w:headerReference w:type="even" r:id="rId19"/>
          <w:headerReference w:type="default" r:id="rId20"/>
          <w:footerReference w:type="default" r:id="rId21"/>
          <w:type w:val="continuous"/>
          <w:pgSz w:w="11907" w:h="16839" w:code="9"/>
          <w:pgMar w:top="1440" w:right="1440" w:bottom="1440" w:left="1440" w:header="720" w:footer="720" w:gutter="0"/>
          <w:pgNumType w:start="1"/>
          <w:cols w:space="720"/>
          <w:docGrid w:linePitch="360"/>
        </w:sectPr>
      </w:pPr>
      <w:r>
        <w:br w:type="page"/>
      </w:r>
    </w:p>
    <w:p w14:paraId="06757A5C" w14:textId="77777777" w:rsidR="00C10050" w:rsidRPr="00F421BE" w:rsidRDefault="00C705EF" w:rsidP="00785DB4">
      <w:pPr>
        <w:pStyle w:val="Heading1"/>
        <w:spacing w:before="0"/>
        <w:jc w:val="both"/>
        <w:rPr>
          <w:rFonts w:ascii="Segoe UI" w:hAnsi="Segoe UI" w:cs="Segoe UI"/>
          <w:color w:val="002060"/>
        </w:rPr>
      </w:pPr>
      <w:bookmarkStart w:id="3" w:name="_Toc442273934"/>
      <w:r>
        <w:rPr>
          <w:rFonts w:ascii="Segoe UI" w:hAnsi="Segoe UI" w:cs="Segoe UI"/>
          <w:color w:val="002060"/>
        </w:rPr>
        <w:lastRenderedPageBreak/>
        <w:t>Summary of Visa</w:t>
      </w:r>
      <w:r w:rsidR="00C10050" w:rsidRPr="00F421BE">
        <w:rPr>
          <w:rFonts w:ascii="Segoe UI" w:hAnsi="Segoe UI" w:cs="Segoe UI"/>
          <w:color w:val="002060"/>
        </w:rPr>
        <w:t>’s position</w:t>
      </w:r>
      <w:bookmarkEnd w:id="3"/>
    </w:p>
    <w:p w14:paraId="06757A5D" w14:textId="77777777" w:rsidR="00C10050" w:rsidRDefault="00C10050" w:rsidP="00785DB4">
      <w:pPr>
        <w:pStyle w:val="Default"/>
        <w:jc w:val="both"/>
        <w:rPr>
          <w:sz w:val="22"/>
          <w:szCs w:val="22"/>
        </w:rPr>
      </w:pPr>
    </w:p>
    <w:p w14:paraId="06757A5E" w14:textId="77777777" w:rsidR="003B4712" w:rsidRDefault="003B4712" w:rsidP="00785DB4">
      <w:pPr>
        <w:pStyle w:val="Default"/>
        <w:jc w:val="both"/>
        <w:rPr>
          <w:sz w:val="22"/>
          <w:szCs w:val="22"/>
        </w:rPr>
      </w:pPr>
      <w:r>
        <w:rPr>
          <w:sz w:val="22"/>
          <w:szCs w:val="22"/>
        </w:rPr>
        <w:t xml:space="preserve">The ongoing development of </w:t>
      </w:r>
      <w:r w:rsidR="00710975">
        <w:rPr>
          <w:sz w:val="22"/>
          <w:szCs w:val="22"/>
        </w:rPr>
        <w:t xml:space="preserve">a </w:t>
      </w:r>
      <w:r>
        <w:rPr>
          <w:sz w:val="22"/>
          <w:szCs w:val="22"/>
        </w:rPr>
        <w:t xml:space="preserve">safe, efficient, competitive and stable electronic payment system </w:t>
      </w:r>
      <w:r w:rsidR="00710975">
        <w:rPr>
          <w:sz w:val="22"/>
          <w:szCs w:val="22"/>
        </w:rPr>
        <w:t>is</w:t>
      </w:r>
      <w:r>
        <w:rPr>
          <w:sz w:val="22"/>
          <w:szCs w:val="22"/>
        </w:rPr>
        <w:t xml:space="preserve"> essential to the growth and stability of the Australian economy. Payment platforms, including Visa, contribute significantly to economic growth, development and the financia</w:t>
      </w:r>
      <w:r w:rsidR="00785DB4">
        <w:rPr>
          <w:sz w:val="22"/>
          <w:szCs w:val="22"/>
        </w:rPr>
        <w:t>l inclusion of all Australians.</w:t>
      </w:r>
    </w:p>
    <w:p w14:paraId="06757A5F" w14:textId="77777777" w:rsidR="003B4712" w:rsidRDefault="003B4712" w:rsidP="00785DB4">
      <w:pPr>
        <w:pStyle w:val="Default"/>
        <w:jc w:val="both"/>
        <w:rPr>
          <w:sz w:val="22"/>
          <w:szCs w:val="22"/>
        </w:rPr>
      </w:pPr>
    </w:p>
    <w:p w14:paraId="06757A60" w14:textId="77777777" w:rsidR="003B4712" w:rsidRDefault="003B4712" w:rsidP="00785DB4">
      <w:pPr>
        <w:pStyle w:val="Default"/>
        <w:jc w:val="both"/>
        <w:rPr>
          <w:sz w:val="22"/>
          <w:szCs w:val="22"/>
        </w:rPr>
      </w:pPr>
      <w:r>
        <w:rPr>
          <w:sz w:val="22"/>
          <w:szCs w:val="22"/>
        </w:rPr>
        <w:t>In recent years, the diversity of products and services available to cardholders and merchants has grown exponentially, the result of an industry focused on innovation and delivering better outcomes for all participants in the payments ecosystem.</w:t>
      </w:r>
    </w:p>
    <w:p w14:paraId="06757A61" w14:textId="77777777" w:rsidR="003B4712" w:rsidRDefault="003B4712" w:rsidP="00785DB4">
      <w:pPr>
        <w:pStyle w:val="Default"/>
        <w:jc w:val="both"/>
        <w:rPr>
          <w:sz w:val="22"/>
          <w:szCs w:val="22"/>
        </w:rPr>
      </w:pPr>
    </w:p>
    <w:p w14:paraId="06757A62" w14:textId="77777777" w:rsidR="003B4712" w:rsidRDefault="003B4712" w:rsidP="00785DB4">
      <w:pPr>
        <w:pStyle w:val="Default"/>
        <w:jc w:val="both"/>
        <w:rPr>
          <w:sz w:val="22"/>
          <w:szCs w:val="22"/>
        </w:rPr>
      </w:pPr>
      <w:r>
        <w:rPr>
          <w:sz w:val="22"/>
          <w:szCs w:val="22"/>
        </w:rPr>
        <w:t>Visa values the role of the Reserve Bank of Australia (RBA) and other regulatory authorities in delivering stability and certainty to the payment system an</w:t>
      </w:r>
      <w:r w:rsidR="008F6AF9">
        <w:rPr>
          <w:sz w:val="22"/>
          <w:szCs w:val="22"/>
        </w:rPr>
        <w:t xml:space="preserve">d the economy more broadly. </w:t>
      </w:r>
      <w:r>
        <w:rPr>
          <w:sz w:val="22"/>
          <w:szCs w:val="22"/>
        </w:rPr>
        <w:t xml:space="preserve">Keeping regulation relevant to the current and foreseeable future and </w:t>
      </w:r>
      <w:r w:rsidR="00E7094C">
        <w:rPr>
          <w:sz w:val="22"/>
          <w:szCs w:val="22"/>
        </w:rPr>
        <w:t>allows</w:t>
      </w:r>
      <w:r w:rsidR="00A15DAF">
        <w:rPr>
          <w:sz w:val="22"/>
          <w:szCs w:val="22"/>
        </w:rPr>
        <w:t xml:space="preserve"> </w:t>
      </w:r>
      <w:r>
        <w:rPr>
          <w:sz w:val="22"/>
          <w:szCs w:val="22"/>
        </w:rPr>
        <w:t>industry</w:t>
      </w:r>
      <w:r w:rsidR="00E7094C">
        <w:rPr>
          <w:sz w:val="22"/>
          <w:szCs w:val="22"/>
        </w:rPr>
        <w:t xml:space="preserve"> the</w:t>
      </w:r>
      <w:r>
        <w:rPr>
          <w:sz w:val="22"/>
          <w:szCs w:val="22"/>
        </w:rPr>
        <w:t xml:space="preserve"> ability to innovate, however, is critical. As such, Visa welcomes the opportunity to provide input and advice to the RBA Review of Card Payments Regulation (the Review).</w:t>
      </w:r>
    </w:p>
    <w:p w14:paraId="06757A63" w14:textId="77777777" w:rsidR="003B4712" w:rsidRDefault="003B4712" w:rsidP="00785DB4">
      <w:pPr>
        <w:pStyle w:val="Default"/>
        <w:jc w:val="both"/>
        <w:rPr>
          <w:sz w:val="22"/>
          <w:szCs w:val="22"/>
        </w:rPr>
      </w:pPr>
    </w:p>
    <w:p w14:paraId="06757A64" w14:textId="77777777" w:rsidR="003B4712" w:rsidRDefault="003B4712" w:rsidP="00785DB4">
      <w:pPr>
        <w:pStyle w:val="Default"/>
        <w:jc w:val="both"/>
        <w:rPr>
          <w:sz w:val="22"/>
          <w:szCs w:val="22"/>
        </w:rPr>
      </w:pPr>
      <w:r>
        <w:rPr>
          <w:sz w:val="22"/>
          <w:szCs w:val="22"/>
        </w:rPr>
        <w:t>Visa is a global payments technology company that connects consumers, businesses, financial institutions and governments in more than 200 countries and territories worldwide. Visa is proud to adhere to its corporate vision of being the best way to pay and be paid, for everyone, everywhere. That is, we aspire to be “</w:t>
      </w:r>
      <w:r w:rsidRPr="00952D5E">
        <w:rPr>
          <w:i/>
          <w:sz w:val="22"/>
          <w:szCs w:val="22"/>
        </w:rPr>
        <w:t>everywhere you want to be</w:t>
      </w:r>
      <w:r>
        <w:rPr>
          <w:sz w:val="22"/>
          <w:szCs w:val="22"/>
        </w:rPr>
        <w:t xml:space="preserve">” and we deliver on this through the world’s largest retail electronic payments network. </w:t>
      </w:r>
    </w:p>
    <w:p w14:paraId="06757A65" w14:textId="77777777" w:rsidR="003B4712" w:rsidRDefault="003B4712" w:rsidP="00785DB4">
      <w:pPr>
        <w:pStyle w:val="Default"/>
        <w:jc w:val="both"/>
        <w:rPr>
          <w:sz w:val="22"/>
          <w:szCs w:val="22"/>
        </w:rPr>
      </w:pPr>
    </w:p>
    <w:p w14:paraId="06757A66" w14:textId="77777777" w:rsidR="003B4712" w:rsidRDefault="003B4712" w:rsidP="00785DB4">
      <w:pPr>
        <w:pStyle w:val="Default"/>
        <w:jc w:val="both"/>
        <w:rPr>
          <w:sz w:val="22"/>
          <w:szCs w:val="22"/>
        </w:rPr>
      </w:pPr>
      <w:r>
        <w:rPr>
          <w:sz w:val="22"/>
          <w:szCs w:val="22"/>
        </w:rPr>
        <w:t>Visa’s global network encompasses 2.</w:t>
      </w:r>
      <w:r w:rsidR="00981A4C">
        <w:rPr>
          <w:sz w:val="22"/>
          <w:szCs w:val="22"/>
        </w:rPr>
        <w:t>4</w:t>
      </w:r>
      <w:r>
        <w:rPr>
          <w:sz w:val="22"/>
          <w:szCs w:val="22"/>
        </w:rPr>
        <w:t xml:space="preserve"> billion cards making around </w:t>
      </w:r>
      <w:r w:rsidR="00981A4C">
        <w:rPr>
          <w:sz w:val="22"/>
          <w:szCs w:val="22"/>
        </w:rPr>
        <w:t>101</w:t>
      </w:r>
      <w:r>
        <w:rPr>
          <w:sz w:val="22"/>
          <w:szCs w:val="22"/>
        </w:rPr>
        <w:t xml:space="preserve"> billion transactions through 14,300 financial institutions.</w:t>
      </w:r>
      <w:r w:rsidRPr="002A1573">
        <w:rPr>
          <w:sz w:val="22"/>
          <w:szCs w:val="22"/>
        </w:rPr>
        <w:t xml:space="preserve"> </w:t>
      </w:r>
      <w:r>
        <w:rPr>
          <w:sz w:val="22"/>
          <w:szCs w:val="22"/>
        </w:rPr>
        <w:t xml:space="preserve">During </w:t>
      </w:r>
      <w:r w:rsidR="00981A4C">
        <w:rPr>
          <w:sz w:val="22"/>
          <w:szCs w:val="22"/>
        </w:rPr>
        <w:t>2014</w:t>
      </w:r>
      <w:r>
        <w:rPr>
          <w:sz w:val="22"/>
          <w:szCs w:val="22"/>
        </w:rPr>
        <w:t xml:space="preserve">, Visa network participants transacted US$7.4 trillion in total volume, of which US$4.8 trillion was payment volume. Around 2.3 million ATMs were also connected to our system, providing further convenience and ease of access for cardholders. This activity is powered by one of the world's most advanced processing networks, </w:t>
      </w:r>
      <w:proofErr w:type="spellStart"/>
      <w:r>
        <w:rPr>
          <w:sz w:val="22"/>
          <w:szCs w:val="22"/>
        </w:rPr>
        <w:t>VisaNet</w:t>
      </w:r>
      <w:proofErr w:type="spellEnd"/>
      <w:r>
        <w:rPr>
          <w:sz w:val="22"/>
          <w:szCs w:val="22"/>
        </w:rPr>
        <w:t xml:space="preserve">, which is capable of handling more than 47,000 transactions per second reliably, conveniently and securely. </w:t>
      </w:r>
    </w:p>
    <w:p w14:paraId="06757A67" w14:textId="77777777" w:rsidR="003B4712" w:rsidRDefault="003B4712" w:rsidP="00785DB4">
      <w:pPr>
        <w:pStyle w:val="Default"/>
        <w:jc w:val="both"/>
        <w:rPr>
          <w:sz w:val="22"/>
          <w:szCs w:val="22"/>
        </w:rPr>
      </w:pPr>
    </w:p>
    <w:p w14:paraId="06757A68" w14:textId="77777777" w:rsidR="003B4712" w:rsidRDefault="003B4712" w:rsidP="00785DB4">
      <w:pPr>
        <w:jc w:val="both"/>
        <w:rPr>
          <w:rFonts w:ascii="Segoe UI" w:eastAsiaTheme="minorHAnsi" w:hAnsi="Segoe UI" w:cs="Segoe UI"/>
          <w:color w:val="000000"/>
          <w:sz w:val="22"/>
          <w:szCs w:val="22"/>
        </w:rPr>
      </w:pPr>
      <w:r w:rsidRPr="00D31A2E">
        <w:rPr>
          <w:rFonts w:ascii="Segoe UI" w:eastAsiaTheme="minorHAnsi" w:hAnsi="Segoe UI" w:cs="Segoe UI"/>
          <w:color w:val="000000"/>
          <w:sz w:val="22"/>
          <w:szCs w:val="22"/>
        </w:rPr>
        <w:t>Visa has actively participated in reviews conducted by the RBA over the past decade</w:t>
      </w:r>
      <w:r>
        <w:rPr>
          <w:rFonts w:ascii="Segoe UI" w:eastAsiaTheme="minorHAnsi" w:hAnsi="Segoe UI" w:cs="Segoe UI"/>
          <w:color w:val="000000"/>
          <w:sz w:val="22"/>
          <w:szCs w:val="22"/>
        </w:rPr>
        <w:t>, as well as the recent federal government Financial System Inquiry.</w:t>
      </w:r>
      <w:r w:rsidRPr="00D31A2E">
        <w:rPr>
          <w:rFonts w:ascii="Segoe UI" w:eastAsiaTheme="minorHAnsi" w:hAnsi="Segoe UI" w:cs="Segoe UI"/>
          <w:color w:val="000000"/>
          <w:sz w:val="22"/>
          <w:szCs w:val="22"/>
        </w:rPr>
        <w:t xml:space="preserve"> In each of our submissions to these reviews</w:t>
      </w:r>
      <w:r>
        <w:rPr>
          <w:rFonts w:ascii="Segoe UI" w:eastAsiaTheme="minorHAnsi" w:hAnsi="Segoe UI" w:cs="Segoe UI"/>
          <w:color w:val="000000"/>
          <w:sz w:val="22"/>
          <w:szCs w:val="22"/>
        </w:rPr>
        <w:t xml:space="preserve">, Visa has highlighted </w:t>
      </w:r>
      <w:r w:rsidRPr="00D31A2E">
        <w:rPr>
          <w:rFonts w:ascii="Segoe UI" w:eastAsiaTheme="minorHAnsi" w:hAnsi="Segoe UI" w:cs="Segoe UI"/>
          <w:color w:val="000000"/>
          <w:sz w:val="22"/>
          <w:szCs w:val="22"/>
        </w:rPr>
        <w:t>the need for balanced,</w:t>
      </w:r>
      <w:r>
        <w:rPr>
          <w:rFonts w:ascii="Segoe UI" w:eastAsiaTheme="minorHAnsi" w:hAnsi="Segoe UI" w:cs="Segoe UI"/>
          <w:color w:val="000000"/>
          <w:sz w:val="22"/>
          <w:szCs w:val="22"/>
        </w:rPr>
        <w:t xml:space="preserve"> equally-applied and innovation-</w:t>
      </w:r>
      <w:r w:rsidRPr="00D31A2E">
        <w:rPr>
          <w:rFonts w:ascii="Segoe UI" w:eastAsiaTheme="minorHAnsi" w:hAnsi="Segoe UI" w:cs="Segoe UI"/>
          <w:color w:val="000000"/>
          <w:sz w:val="22"/>
          <w:szCs w:val="22"/>
        </w:rPr>
        <w:t xml:space="preserve">enabling approaches to </w:t>
      </w:r>
      <w:r>
        <w:rPr>
          <w:rFonts w:ascii="Segoe UI" w:eastAsiaTheme="minorHAnsi" w:hAnsi="Segoe UI" w:cs="Segoe UI"/>
          <w:color w:val="000000"/>
          <w:sz w:val="22"/>
          <w:szCs w:val="22"/>
        </w:rPr>
        <w:t xml:space="preserve">the </w:t>
      </w:r>
      <w:r w:rsidRPr="00D31A2E">
        <w:rPr>
          <w:rFonts w:ascii="Segoe UI" w:eastAsiaTheme="minorHAnsi" w:hAnsi="Segoe UI" w:cs="Segoe UI"/>
          <w:color w:val="000000"/>
          <w:sz w:val="22"/>
          <w:szCs w:val="22"/>
        </w:rPr>
        <w:t>regulation of electronic payments</w:t>
      </w:r>
      <w:r>
        <w:rPr>
          <w:rFonts w:ascii="Segoe UI" w:eastAsiaTheme="minorHAnsi" w:hAnsi="Segoe UI" w:cs="Segoe UI"/>
          <w:color w:val="000000"/>
          <w:sz w:val="22"/>
          <w:szCs w:val="22"/>
        </w:rPr>
        <w:t xml:space="preserve"> in Australia</w:t>
      </w:r>
      <w:r w:rsidRPr="00D31A2E">
        <w:rPr>
          <w:rFonts w:ascii="Segoe UI" w:eastAsiaTheme="minorHAnsi" w:hAnsi="Segoe UI" w:cs="Segoe UI"/>
          <w:color w:val="000000"/>
          <w:sz w:val="22"/>
          <w:szCs w:val="22"/>
        </w:rPr>
        <w:t xml:space="preserve">. </w:t>
      </w:r>
      <w:r>
        <w:rPr>
          <w:rFonts w:ascii="Segoe UI" w:eastAsiaTheme="minorHAnsi" w:hAnsi="Segoe UI" w:cs="Segoe UI"/>
          <w:color w:val="000000"/>
          <w:sz w:val="22"/>
          <w:szCs w:val="22"/>
        </w:rPr>
        <w:t>Visa firmly believes that industry consultation to determine the practical implications of regulatory reform is vital to ensure the development of effective and commercially viable safeguards for all participants in the payment ecosystem.</w:t>
      </w:r>
    </w:p>
    <w:p w14:paraId="06757A69" w14:textId="77777777" w:rsidR="003B4712" w:rsidRDefault="003B4712" w:rsidP="00785DB4">
      <w:pPr>
        <w:jc w:val="both"/>
        <w:rPr>
          <w:rFonts w:ascii="Segoe UI" w:eastAsiaTheme="minorHAnsi" w:hAnsi="Segoe UI" w:cs="Segoe UI"/>
          <w:color w:val="000000"/>
          <w:sz w:val="22"/>
          <w:szCs w:val="22"/>
        </w:rPr>
      </w:pPr>
    </w:p>
    <w:p w14:paraId="06757A6A" w14:textId="77777777" w:rsidR="003B4712" w:rsidRPr="003B4712" w:rsidRDefault="003B4712" w:rsidP="00785DB4">
      <w:pPr>
        <w:jc w:val="both"/>
        <w:rPr>
          <w:rFonts w:ascii="Segoe UI" w:eastAsiaTheme="minorHAnsi" w:hAnsi="Segoe UI" w:cs="Segoe UI"/>
          <w:color w:val="000000"/>
          <w:sz w:val="22"/>
          <w:szCs w:val="22"/>
        </w:rPr>
      </w:pPr>
      <w:r>
        <w:rPr>
          <w:rFonts w:ascii="Segoe UI" w:eastAsiaTheme="minorHAnsi" w:hAnsi="Segoe UI" w:cs="Segoe UI"/>
          <w:color w:val="000000"/>
          <w:sz w:val="22"/>
          <w:szCs w:val="22"/>
        </w:rPr>
        <w:t>In this submission we have outlined the proposed regulatory changes which we believe will deliver unintended consequences for the payments industry and the Australian economy. Visa welcomes the opportunity to share our global experiences and industry expertise with the RBA to help shape an outcome that is positive for all participants in the electronic payment environment</w:t>
      </w:r>
      <w:r w:rsidR="00710975">
        <w:rPr>
          <w:rFonts w:ascii="Segoe UI" w:eastAsiaTheme="minorHAnsi" w:hAnsi="Segoe UI" w:cs="Segoe UI"/>
          <w:color w:val="000000"/>
          <w:sz w:val="22"/>
          <w:szCs w:val="22"/>
        </w:rPr>
        <w:t xml:space="preserve"> and contributes to long-term economic growth</w:t>
      </w:r>
      <w:r>
        <w:rPr>
          <w:rFonts w:ascii="Segoe UI" w:eastAsiaTheme="minorHAnsi" w:hAnsi="Segoe UI" w:cs="Segoe UI"/>
          <w:color w:val="000000"/>
          <w:sz w:val="22"/>
          <w:szCs w:val="22"/>
        </w:rPr>
        <w:t>.</w:t>
      </w:r>
    </w:p>
    <w:p w14:paraId="06757A6B" w14:textId="77777777" w:rsidR="003B4712" w:rsidRDefault="003B4712" w:rsidP="00AB0270">
      <w:pPr>
        <w:pStyle w:val="Heading2"/>
        <w:spacing w:before="0"/>
        <w:jc w:val="both"/>
        <w:rPr>
          <w:rStyle w:val="IntenseEmphasis"/>
          <w:rFonts w:ascii="Segoe UI" w:eastAsiaTheme="minorEastAsia" w:hAnsi="Segoe UI" w:cs="Segoe UI"/>
          <w:i w:val="0"/>
          <w:lang w:val="en-AU"/>
        </w:rPr>
      </w:pPr>
      <w:r>
        <w:rPr>
          <w:rStyle w:val="IntenseEmphasis"/>
          <w:rFonts w:ascii="Segoe UI" w:eastAsiaTheme="minorEastAsia" w:hAnsi="Segoe UI" w:cs="Segoe UI"/>
          <w:i w:val="0"/>
          <w:lang w:val="en-AU"/>
        </w:rPr>
        <w:br w:type="page"/>
      </w:r>
    </w:p>
    <w:p w14:paraId="06757A6C" w14:textId="77777777" w:rsidR="003B4712" w:rsidRPr="00B16A87" w:rsidRDefault="003B4712" w:rsidP="00785DB4">
      <w:pPr>
        <w:pStyle w:val="Heading2"/>
        <w:spacing w:before="0"/>
        <w:jc w:val="both"/>
        <w:rPr>
          <w:rStyle w:val="IntenseEmphasis"/>
          <w:rFonts w:ascii="Segoe UI" w:eastAsiaTheme="minorEastAsia" w:hAnsi="Segoe UI" w:cs="Segoe UI"/>
          <w:b w:val="0"/>
          <w:i w:val="0"/>
          <w:lang w:val="en-AU"/>
        </w:rPr>
      </w:pPr>
      <w:bookmarkStart w:id="4" w:name="_Toc441919006"/>
      <w:bookmarkStart w:id="5" w:name="_Toc442261067"/>
      <w:bookmarkStart w:id="6" w:name="_Toc442261201"/>
      <w:bookmarkStart w:id="7" w:name="_Toc442273393"/>
      <w:bookmarkStart w:id="8" w:name="_Toc442273935"/>
      <w:r w:rsidRPr="00B16A87">
        <w:rPr>
          <w:rStyle w:val="IntenseEmphasis"/>
          <w:rFonts w:ascii="Segoe UI" w:eastAsiaTheme="minorEastAsia" w:hAnsi="Segoe UI" w:cs="Segoe UI"/>
          <w:i w:val="0"/>
          <w:lang w:val="en-AU"/>
        </w:rPr>
        <w:lastRenderedPageBreak/>
        <w:t>Foreign-issued cards</w:t>
      </w:r>
      <w:bookmarkEnd w:id="4"/>
      <w:bookmarkEnd w:id="5"/>
      <w:bookmarkEnd w:id="6"/>
      <w:bookmarkEnd w:id="7"/>
      <w:bookmarkEnd w:id="8"/>
    </w:p>
    <w:p w14:paraId="06757A6D" w14:textId="77777777" w:rsidR="003B4712" w:rsidRPr="00E30FFA" w:rsidRDefault="003B4712" w:rsidP="00785DB4">
      <w:pPr>
        <w:pStyle w:val="Default"/>
        <w:jc w:val="both"/>
        <w:rPr>
          <w:rStyle w:val="IntenseEmphasis"/>
          <w:rFonts w:eastAsiaTheme="minorEastAsia"/>
          <w:b/>
          <w:i w:val="0"/>
          <w:sz w:val="26"/>
          <w:szCs w:val="26"/>
          <w:lang w:val="en-AU"/>
        </w:rPr>
      </w:pPr>
    </w:p>
    <w:p w14:paraId="06757A6E" w14:textId="77777777" w:rsidR="00710975" w:rsidRDefault="00710975" w:rsidP="00785DB4">
      <w:pPr>
        <w:pStyle w:val="Default"/>
        <w:rPr>
          <w:sz w:val="22"/>
          <w:szCs w:val="22"/>
        </w:rPr>
      </w:pPr>
      <w:r>
        <w:rPr>
          <w:sz w:val="22"/>
          <w:szCs w:val="22"/>
        </w:rPr>
        <w:t xml:space="preserve">Visa is concerned with the proposed inclusion of foreign-issued card transactions in the RBA’s updated interchange standards. It represents a globally unprecedented regulatory intervention with potentially disruptive legal and commercial implications for markets outside of Australia. Further, the required reduction in maximum interchange rates for cross-border transactions does not acknowledge the major differences in the nature of international versus domestic transactions, including increased fraud prevention costs, greater settlement and clearance requirements, and a range of more complex processes that exist in an </w:t>
      </w:r>
      <w:proofErr w:type="spellStart"/>
      <w:r>
        <w:rPr>
          <w:sz w:val="22"/>
          <w:szCs w:val="22"/>
        </w:rPr>
        <w:t>internationalised</w:t>
      </w:r>
      <w:proofErr w:type="spellEnd"/>
      <w:r>
        <w:rPr>
          <w:sz w:val="22"/>
          <w:szCs w:val="22"/>
        </w:rPr>
        <w:t xml:space="preserve"> setting. As a result, the initiative could render the provision of cross-border payment services by foreign banks into the Australian market less attractive, with negative consequences for the sectors of the economy with high volumes of international transactions.</w:t>
      </w:r>
    </w:p>
    <w:p w14:paraId="06757A6F" w14:textId="77777777" w:rsidR="00710975" w:rsidRDefault="00710975" w:rsidP="00785DB4">
      <w:pPr>
        <w:pStyle w:val="Default"/>
        <w:tabs>
          <w:tab w:val="left" w:pos="975"/>
        </w:tabs>
        <w:rPr>
          <w:sz w:val="22"/>
          <w:szCs w:val="22"/>
        </w:rPr>
      </w:pPr>
      <w:r>
        <w:rPr>
          <w:sz w:val="22"/>
          <w:szCs w:val="22"/>
        </w:rPr>
        <w:tab/>
      </w:r>
    </w:p>
    <w:p w14:paraId="06757A70" w14:textId="77777777" w:rsidR="00710975" w:rsidRDefault="00710975" w:rsidP="00785DB4">
      <w:pPr>
        <w:pStyle w:val="Default"/>
        <w:rPr>
          <w:sz w:val="22"/>
          <w:szCs w:val="22"/>
        </w:rPr>
      </w:pPr>
      <w:r>
        <w:rPr>
          <w:sz w:val="22"/>
          <w:szCs w:val="22"/>
        </w:rPr>
        <w:t>The integrity of Visa’s existing scheme rules, systems, and regulations have and will continue to ensure that financial institutions serving Australian cardholders are based in Australia, removing the RBA’s hypothetical concern that some financial institutions may seek to avoid domestic interchange regulation.  Visa’s rules prohibit cross-border issuance of cards, eliminating any opportunity for circumvention of interchange standards. We believe the strength of Visa’s payment platform provides the ideal mechanism to safeguard payment system participants from any abuse of nationally regulated interchange standards.</w:t>
      </w:r>
    </w:p>
    <w:p w14:paraId="06757A71" w14:textId="77777777" w:rsidR="00710975" w:rsidRDefault="00710975" w:rsidP="00785DB4">
      <w:pPr>
        <w:pStyle w:val="Default"/>
        <w:rPr>
          <w:sz w:val="22"/>
          <w:szCs w:val="22"/>
        </w:rPr>
      </w:pPr>
    </w:p>
    <w:p w14:paraId="06757A72" w14:textId="77777777" w:rsidR="00710975" w:rsidRDefault="00710975" w:rsidP="00785DB4">
      <w:pPr>
        <w:pStyle w:val="Default"/>
        <w:rPr>
          <w:sz w:val="22"/>
          <w:szCs w:val="22"/>
        </w:rPr>
      </w:pPr>
      <w:r>
        <w:rPr>
          <w:sz w:val="22"/>
          <w:szCs w:val="22"/>
        </w:rPr>
        <w:t>To further safeguard merchants and cardholders, Visa is happy to work with the RBA to ensure clear reporting is provided to highlight our system integrity and collaborate with the RBA to encourage other industry players to deliver the same undertakings. We believe that working with the RBA to address its underlying concerns could deliver a solution that ensures compliance without creating inefficiencies.</w:t>
      </w:r>
    </w:p>
    <w:p w14:paraId="06757A73" w14:textId="77777777" w:rsidR="003B4712" w:rsidRDefault="003B4712" w:rsidP="00785DB4">
      <w:pPr>
        <w:pStyle w:val="Default"/>
        <w:jc w:val="both"/>
        <w:rPr>
          <w:sz w:val="22"/>
          <w:szCs w:val="22"/>
        </w:rPr>
      </w:pPr>
    </w:p>
    <w:p w14:paraId="06757A74" w14:textId="77777777" w:rsidR="003B4712" w:rsidRPr="00B16A87" w:rsidRDefault="003B4712" w:rsidP="00785DB4">
      <w:pPr>
        <w:pStyle w:val="Heading2"/>
        <w:spacing w:before="0"/>
        <w:jc w:val="both"/>
        <w:rPr>
          <w:rStyle w:val="IntenseEmphasis"/>
          <w:rFonts w:ascii="Segoe UI" w:eastAsiaTheme="minorEastAsia" w:hAnsi="Segoe UI" w:cs="Segoe UI"/>
          <w:b w:val="0"/>
          <w:i w:val="0"/>
          <w:lang w:val="en-AU"/>
        </w:rPr>
      </w:pPr>
      <w:bookmarkStart w:id="9" w:name="_Toc441829837"/>
      <w:bookmarkStart w:id="10" w:name="_Toc441830061"/>
      <w:bookmarkStart w:id="11" w:name="_Toc441830263"/>
      <w:bookmarkStart w:id="12" w:name="_Toc441833070"/>
      <w:bookmarkStart w:id="13" w:name="_Toc441833271"/>
      <w:bookmarkStart w:id="14" w:name="_Toc441834325"/>
      <w:bookmarkStart w:id="15" w:name="_Toc441919007"/>
      <w:bookmarkStart w:id="16" w:name="_Toc442261068"/>
      <w:bookmarkStart w:id="17" w:name="_Toc442261202"/>
      <w:bookmarkStart w:id="18" w:name="_Toc442273394"/>
      <w:bookmarkStart w:id="19" w:name="_Toc442273936"/>
      <w:r w:rsidRPr="00B16A87">
        <w:rPr>
          <w:rStyle w:val="IntenseEmphasis"/>
          <w:rFonts w:ascii="Segoe UI" w:eastAsiaTheme="minorEastAsia" w:hAnsi="Segoe UI" w:cs="Segoe UI"/>
          <w:i w:val="0"/>
          <w:lang w:val="en-AU"/>
        </w:rPr>
        <w:t>Commercial cards</w:t>
      </w:r>
      <w:bookmarkEnd w:id="9"/>
      <w:bookmarkEnd w:id="10"/>
      <w:bookmarkEnd w:id="11"/>
      <w:bookmarkEnd w:id="12"/>
      <w:bookmarkEnd w:id="13"/>
      <w:bookmarkEnd w:id="14"/>
      <w:bookmarkEnd w:id="15"/>
      <w:bookmarkEnd w:id="16"/>
      <w:bookmarkEnd w:id="17"/>
      <w:bookmarkEnd w:id="18"/>
      <w:bookmarkEnd w:id="19"/>
    </w:p>
    <w:p w14:paraId="06757A75" w14:textId="77777777" w:rsidR="003B4712" w:rsidRPr="00C56AED" w:rsidRDefault="003B4712" w:rsidP="00785DB4">
      <w:pPr>
        <w:pStyle w:val="Default"/>
        <w:jc w:val="both"/>
        <w:rPr>
          <w:iCs/>
          <w:sz w:val="22"/>
          <w:szCs w:val="22"/>
        </w:rPr>
      </w:pPr>
    </w:p>
    <w:p w14:paraId="06757A76" w14:textId="77777777" w:rsidR="00710975" w:rsidRDefault="00710975" w:rsidP="00785DB4">
      <w:pPr>
        <w:pStyle w:val="Default"/>
        <w:rPr>
          <w:iCs/>
          <w:sz w:val="22"/>
          <w:szCs w:val="22"/>
        </w:rPr>
      </w:pPr>
      <w:r>
        <w:rPr>
          <w:iCs/>
          <w:sz w:val="22"/>
          <w:szCs w:val="22"/>
        </w:rPr>
        <w:t>Visa requests the RBA reconsider its proposal to include commercial cards in its interchange standards because of stark differences between commercial and domestic cards. Not only are the market dynamics for commercial cards in Australia fundamentally different to the value proposition, cost structure and revenue model of consumer cards, the maturity and competitive landscape of four-party commercial card products also differs greatly from the more dominant yet unregulated three-party schemes where commercial products are well established.</w:t>
      </w:r>
    </w:p>
    <w:p w14:paraId="06757A77" w14:textId="77777777" w:rsidR="00710975" w:rsidRDefault="00710975" w:rsidP="00785DB4">
      <w:pPr>
        <w:pStyle w:val="Default"/>
        <w:rPr>
          <w:iCs/>
          <w:sz w:val="22"/>
          <w:szCs w:val="22"/>
        </w:rPr>
      </w:pPr>
    </w:p>
    <w:p w14:paraId="06757A78" w14:textId="77777777" w:rsidR="00710975" w:rsidRDefault="00710975" w:rsidP="00785DB4">
      <w:pPr>
        <w:pStyle w:val="Default"/>
        <w:rPr>
          <w:sz w:val="22"/>
          <w:szCs w:val="22"/>
        </w:rPr>
      </w:pPr>
      <w:r>
        <w:rPr>
          <w:sz w:val="22"/>
          <w:szCs w:val="22"/>
        </w:rPr>
        <w:t>Increasing the regulatory requirements on four-party commercial card products will limit the ability to compete in this emerging market environment, further biasing towards  unregulated three-party schemes</w:t>
      </w:r>
      <w:r w:rsidR="00750C18">
        <w:rPr>
          <w:sz w:val="22"/>
          <w:szCs w:val="22"/>
        </w:rPr>
        <w:t>,</w:t>
      </w:r>
      <w:r>
        <w:rPr>
          <w:sz w:val="22"/>
          <w:szCs w:val="22"/>
        </w:rPr>
        <w:t xml:space="preserve"> and reduce the ability to deliver innovation that would otherwise benefit suppliers and buyers, in particular in the SME sector.</w:t>
      </w:r>
    </w:p>
    <w:p w14:paraId="06757A79" w14:textId="77777777" w:rsidR="00710975" w:rsidRDefault="00710975" w:rsidP="00785DB4">
      <w:pPr>
        <w:pStyle w:val="Default"/>
        <w:rPr>
          <w:iCs/>
          <w:sz w:val="22"/>
          <w:szCs w:val="22"/>
        </w:rPr>
      </w:pPr>
    </w:p>
    <w:p w14:paraId="06757A7A" w14:textId="77777777" w:rsidR="00710975" w:rsidRDefault="00710975" w:rsidP="00785DB4">
      <w:pPr>
        <w:pStyle w:val="Default"/>
        <w:rPr>
          <w:color w:val="auto"/>
          <w:sz w:val="22"/>
          <w:szCs w:val="22"/>
        </w:rPr>
      </w:pPr>
      <w:r>
        <w:rPr>
          <w:sz w:val="22"/>
          <w:szCs w:val="22"/>
        </w:rPr>
        <w:t>B</w:t>
      </w:r>
      <w:r w:rsidRPr="00C56AED">
        <w:rPr>
          <w:sz w:val="22"/>
          <w:szCs w:val="22"/>
        </w:rPr>
        <w:t>usiness-to-business and government-to-business transactions</w:t>
      </w:r>
      <w:r>
        <w:rPr>
          <w:sz w:val="22"/>
          <w:szCs w:val="22"/>
        </w:rPr>
        <w:t xml:space="preserve"> </w:t>
      </w:r>
      <w:r w:rsidRPr="00C56AED">
        <w:rPr>
          <w:sz w:val="22"/>
          <w:szCs w:val="22"/>
        </w:rPr>
        <w:t>are more likely to reflect the outcome of commercial agreements and ‘terms of trade’ between buyers and sellers</w:t>
      </w:r>
      <w:r>
        <w:rPr>
          <w:sz w:val="22"/>
          <w:szCs w:val="22"/>
        </w:rPr>
        <w:t xml:space="preserve">, rather than a traditional consumer repayment model. This makes </w:t>
      </w:r>
      <w:r w:rsidRPr="00C56AED">
        <w:rPr>
          <w:sz w:val="22"/>
          <w:szCs w:val="22"/>
        </w:rPr>
        <w:t>pricing regulation less relevant</w:t>
      </w:r>
      <w:r>
        <w:rPr>
          <w:sz w:val="22"/>
          <w:szCs w:val="22"/>
        </w:rPr>
        <w:t xml:space="preserve"> to </w:t>
      </w:r>
      <w:r>
        <w:rPr>
          <w:sz w:val="22"/>
          <w:szCs w:val="22"/>
        </w:rPr>
        <w:lastRenderedPageBreak/>
        <w:t>the cardholder</w:t>
      </w:r>
      <w:r w:rsidRPr="00C56AED">
        <w:rPr>
          <w:sz w:val="22"/>
          <w:szCs w:val="22"/>
        </w:rPr>
        <w:t xml:space="preserve"> and </w:t>
      </w:r>
      <w:r>
        <w:rPr>
          <w:sz w:val="22"/>
          <w:szCs w:val="22"/>
        </w:rPr>
        <w:t xml:space="preserve">more </w:t>
      </w:r>
      <w:r w:rsidRPr="00C56AED">
        <w:rPr>
          <w:sz w:val="22"/>
          <w:szCs w:val="22"/>
        </w:rPr>
        <w:t>likely to encroach on the commercial arrangements and payment terms agreed</w:t>
      </w:r>
      <w:r>
        <w:rPr>
          <w:color w:val="auto"/>
          <w:sz w:val="22"/>
          <w:szCs w:val="22"/>
        </w:rPr>
        <w:t xml:space="preserve"> to by the parties to a transaction. </w:t>
      </w:r>
    </w:p>
    <w:p w14:paraId="06757A7B" w14:textId="77777777" w:rsidR="00710975" w:rsidRDefault="00710975" w:rsidP="00785DB4">
      <w:pPr>
        <w:pStyle w:val="Default"/>
        <w:rPr>
          <w:sz w:val="22"/>
          <w:szCs w:val="22"/>
        </w:rPr>
      </w:pPr>
    </w:p>
    <w:p w14:paraId="06757A7C" w14:textId="77777777" w:rsidR="00710975" w:rsidRDefault="00710975" w:rsidP="00785DB4">
      <w:pPr>
        <w:pStyle w:val="Default"/>
        <w:rPr>
          <w:sz w:val="22"/>
          <w:szCs w:val="22"/>
        </w:rPr>
      </w:pPr>
      <w:r>
        <w:rPr>
          <w:sz w:val="22"/>
          <w:szCs w:val="22"/>
        </w:rPr>
        <w:t xml:space="preserve">While Visa notes the intention of the RBA to create a secure, efficient and competitive payments landscape in Australia, we believe that commercial card products should be exempt from conforming to the proposed interchange standards in Australia. </w:t>
      </w:r>
    </w:p>
    <w:p w14:paraId="06757A7D" w14:textId="77777777" w:rsidR="00FA7C49" w:rsidRDefault="00FA7C49" w:rsidP="00785DB4">
      <w:pPr>
        <w:pStyle w:val="Default"/>
        <w:jc w:val="both"/>
        <w:rPr>
          <w:sz w:val="22"/>
          <w:szCs w:val="22"/>
        </w:rPr>
      </w:pPr>
    </w:p>
    <w:p w14:paraId="06757A7E" w14:textId="77777777" w:rsidR="003B4712" w:rsidRPr="00B16A87" w:rsidRDefault="003B4712" w:rsidP="00785DB4">
      <w:pPr>
        <w:pStyle w:val="Heading2"/>
        <w:spacing w:before="0"/>
        <w:jc w:val="both"/>
        <w:rPr>
          <w:rStyle w:val="IntenseEmphasis"/>
          <w:rFonts w:ascii="Segoe UI" w:eastAsiaTheme="minorEastAsia" w:hAnsi="Segoe UI" w:cs="Segoe UI"/>
          <w:b w:val="0"/>
          <w:i w:val="0"/>
          <w:lang w:val="en-AU"/>
        </w:rPr>
      </w:pPr>
      <w:bookmarkStart w:id="20" w:name="_Toc441829838"/>
      <w:bookmarkStart w:id="21" w:name="_Toc441830062"/>
      <w:bookmarkStart w:id="22" w:name="_Toc441830264"/>
      <w:bookmarkStart w:id="23" w:name="_Toc441833071"/>
      <w:bookmarkStart w:id="24" w:name="_Toc441833272"/>
      <w:bookmarkStart w:id="25" w:name="_Toc441834326"/>
      <w:bookmarkStart w:id="26" w:name="_Toc441919008"/>
      <w:bookmarkStart w:id="27" w:name="_Toc442261069"/>
      <w:bookmarkStart w:id="28" w:name="_Toc442261203"/>
      <w:bookmarkStart w:id="29" w:name="_Toc442273395"/>
      <w:bookmarkStart w:id="30" w:name="_Toc442273937"/>
      <w:r w:rsidRPr="00B16A87">
        <w:rPr>
          <w:rStyle w:val="IntenseEmphasis"/>
          <w:rFonts w:ascii="Segoe UI" w:eastAsiaTheme="minorEastAsia" w:hAnsi="Segoe UI" w:cs="Segoe UI"/>
          <w:i w:val="0"/>
          <w:lang w:val="en-AU"/>
        </w:rPr>
        <w:t>Interchange rate cycle compliance</w:t>
      </w:r>
      <w:bookmarkEnd w:id="20"/>
      <w:bookmarkEnd w:id="21"/>
      <w:bookmarkEnd w:id="22"/>
      <w:bookmarkEnd w:id="23"/>
      <w:bookmarkEnd w:id="24"/>
      <w:bookmarkEnd w:id="25"/>
      <w:bookmarkEnd w:id="26"/>
      <w:bookmarkEnd w:id="27"/>
      <w:bookmarkEnd w:id="28"/>
      <w:bookmarkEnd w:id="29"/>
      <w:bookmarkEnd w:id="30"/>
    </w:p>
    <w:p w14:paraId="06757A7F" w14:textId="77777777" w:rsidR="003B4712" w:rsidRDefault="003B4712" w:rsidP="00785DB4">
      <w:pPr>
        <w:pStyle w:val="Default"/>
        <w:jc w:val="both"/>
        <w:rPr>
          <w:sz w:val="22"/>
          <w:szCs w:val="22"/>
        </w:rPr>
      </w:pPr>
    </w:p>
    <w:p w14:paraId="06757A80" w14:textId="77777777" w:rsidR="00710975" w:rsidRDefault="00710975" w:rsidP="00785DB4">
      <w:pPr>
        <w:pStyle w:val="Default"/>
        <w:rPr>
          <w:sz w:val="22"/>
          <w:szCs w:val="22"/>
        </w:rPr>
      </w:pPr>
      <w:r>
        <w:rPr>
          <w:sz w:val="22"/>
          <w:szCs w:val="22"/>
        </w:rPr>
        <w:t xml:space="preserve">The proposed reduction in the interchange rate reset timeframe from three years </w:t>
      </w:r>
      <w:proofErr w:type="gramStart"/>
      <w:r>
        <w:rPr>
          <w:sz w:val="22"/>
          <w:szCs w:val="22"/>
        </w:rPr>
        <w:t>to three monthly compliance</w:t>
      </w:r>
      <w:proofErr w:type="gramEnd"/>
      <w:r>
        <w:rPr>
          <w:sz w:val="22"/>
          <w:szCs w:val="22"/>
        </w:rPr>
        <w:t xml:space="preserve"> is a significant change to the existing arrangements. Visa believes that the complexity and increased operational and compliance burden on scheme operators and issuers would create significant risk for users and </w:t>
      </w:r>
      <w:proofErr w:type="spellStart"/>
      <w:r>
        <w:rPr>
          <w:sz w:val="22"/>
          <w:szCs w:val="22"/>
        </w:rPr>
        <w:t>jeopardise</w:t>
      </w:r>
      <w:proofErr w:type="spellEnd"/>
      <w:r>
        <w:rPr>
          <w:sz w:val="22"/>
          <w:szCs w:val="22"/>
        </w:rPr>
        <w:t xml:space="preserve"> the security, stability and efficiency of the entire payments ecosystem.</w:t>
      </w:r>
    </w:p>
    <w:p w14:paraId="06757A81" w14:textId="77777777" w:rsidR="00710975" w:rsidRDefault="00710975" w:rsidP="00785DB4">
      <w:pPr>
        <w:pStyle w:val="Default"/>
        <w:rPr>
          <w:sz w:val="22"/>
          <w:szCs w:val="22"/>
        </w:rPr>
      </w:pPr>
    </w:p>
    <w:p w14:paraId="06757A82" w14:textId="77777777" w:rsidR="003B4712" w:rsidRDefault="00710975" w:rsidP="00785DB4">
      <w:pPr>
        <w:pStyle w:val="Default"/>
        <w:jc w:val="both"/>
        <w:rPr>
          <w:sz w:val="22"/>
          <w:szCs w:val="22"/>
        </w:rPr>
      </w:pPr>
      <w:r>
        <w:rPr>
          <w:sz w:val="22"/>
          <w:szCs w:val="22"/>
        </w:rPr>
        <w:t xml:space="preserve">While Visa understands the intent of the RBA’s proposal, we believe there are more effective ways of achieving the RBA’s objectives without the need for three month compliance checks. Visa recommends the RBA, as a minimum, move to a 12 month moving average and a 120 day compliance window to allow scheme participants to comply with the regulation. This timeframe will allow for system and operational implementation of required changes in a manner that ensures the ongoing integrity of the payment ecosystem and </w:t>
      </w:r>
      <w:proofErr w:type="spellStart"/>
      <w:r>
        <w:rPr>
          <w:sz w:val="22"/>
          <w:szCs w:val="22"/>
        </w:rPr>
        <w:t>minimises</w:t>
      </w:r>
      <w:proofErr w:type="spellEnd"/>
      <w:r>
        <w:rPr>
          <w:sz w:val="22"/>
          <w:szCs w:val="22"/>
        </w:rPr>
        <w:t xml:space="preserve"> costs for issuers, acquirers, and ultimately, consumers and merchants due to the need to reprice portfolios cause</w:t>
      </w:r>
      <w:r w:rsidR="00750C18">
        <w:rPr>
          <w:sz w:val="22"/>
          <w:szCs w:val="22"/>
        </w:rPr>
        <w:t>d</w:t>
      </w:r>
      <w:r>
        <w:rPr>
          <w:sz w:val="22"/>
          <w:szCs w:val="22"/>
        </w:rPr>
        <w:t xml:space="preserve"> by interchange rate</w:t>
      </w:r>
      <w:r w:rsidR="00750C18">
        <w:rPr>
          <w:sz w:val="22"/>
          <w:szCs w:val="22"/>
        </w:rPr>
        <w:t xml:space="preserve"> adjustments</w:t>
      </w:r>
      <w:r>
        <w:rPr>
          <w:sz w:val="22"/>
          <w:szCs w:val="22"/>
        </w:rPr>
        <w:t>.</w:t>
      </w:r>
    </w:p>
    <w:p w14:paraId="06757A83" w14:textId="77777777" w:rsidR="00710975" w:rsidRDefault="00710975" w:rsidP="00785DB4">
      <w:pPr>
        <w:pStyle w:val="Default"/>
        <w:jc w:val="both"/>
        <w:rPr>
          <w:sz w:val="22"/>
          <w:szCs w:val="22"/>
        </w:rPr>
      </w:pPr>
    </w:p>
    <w:p w14:paraId="06757A84" w14:textId="77777777" w:rsidR="003B4712" w:rsidRPr="00B16A87" w:rsidRDefault="003B4712" w:rsidP="00785DB4">
      <w:pPr>
        <w:pStyle w:val="Heading2"/>
        <w:spacing w:before="0"/>
        <w:jc w:val="both"/>
        <w:rPr>
          <w:rStyle w:val="IntenseEmphasis"/>
          <w:rFonts w:ascii="Segoe UI" w:eastAsiaTheme="minorEastAsia" w:hAnsi="Segoe UI" w:cs="Segoe UI"/>
          <w:b w:val="0"/>
          <w:i w:val="0"/>
          <w:iCs w:val="0"/>
          <w:lang w:val="en-AU"/>
        </w:rPr>
      </w:pPr>
      <w:bookmarkStart w:id="31" w:name="_Toc441829839"/>
      <w:bookmarkStart w:id="32" w:name="_Toc441830063"/>
      <w:bookmarkStart w:id="33" w:name="_Toc441830265"/>
      <w:bookmarkStart w:id="34" w:name="_Toc441833072"/>
      <w:bookmarkStart w:id="35" w:name="_Toc441833273"/>
      <w:bookmarkStart w:id="36" w:name="_Toc441834327"/>
      <w:bookmarkStart w:id="37" w:name="_Toc441919009"/>
      <w:bookmarkStart w:id="38" w:name="_Toc442261070"/>
      <w:bookmarkStart w:id="39" w:name="_Toc442261204"/>
      <w:bookmarkStart w:id="40" w:name="_Toc442273396"/>
      <w:bookmarkStart w:id="41" w:name="_Toc442273938"/>
      <w:r w:rsidRPr="00B16A87">
        <w:rPr>
          <w:rStyle w:val="IntenseEmphasis"/>
          <w:rFonts w:ascii="Segoe UI" w:eastAsiaTheme="minorEastAsia" w:hAnsi="Segoe UI" w:cs="Segoe UI"/>
          <w:i w:val="0"/>
          <w:lang w:val="en-AU"/>
        </w:rPr>
        <w:t>Competitive neutrality</w:t>
      </w:r>
      <w:bookmarkEnd w:id="31"/>
      <w:bookmarkEnd w:id="32"/>
      <w:bookmarkEnd w:id="33"/>
      <w:bookmarkEnd w:id="34"/>
      <w:bookmarkEnd w:id="35"/>
      <w:bookmarkEnd w:id="36"/>
      <w:bookmarkEnd w:id="37"/>
      <w:bookmarkEnd w:id="38"/>
      <w:bookmarkEnd w:id="39"/>
      <w:bookmarkEnd w:id="40"/>
      <w:bookmarkEnd w:id="41"/>
      <w:r w:rsidRPr="00B16A87">
        <w:rPr>
          <w:rStyle w:val="IntenseEmphasis"/>
          <w:rFonts w:ascii="Segoe UI" w:eastAsiaTheme="minorEastAsia" w:hAnsi="Segoe UI" w:cs="Segoe UI"/>
          <w:i w:val="0"/>
          <w:lang w:val="en-AU"/>
        </w:rPr>
        <w:t xml:space="preserve"> </w:t>
      </w:r>
    </w:p>
    <w:p w14:paraId="06757A85" w14:textId="77777777" w:rsidR="003B4712" w:rsidRPr="00BA5BBE" w:rsidRDefault="003B4712" w:rsidP="00785DB4">
      <w:pPr>
        <w:pStyle w:val="Default"/>
        <w:jc w:val="both"/>
        <w:rPr>
          <w:rStyle w:val="IntenseEmphasis"/>
          <w:rFonts w:eastAsiaTheme="minorEastAsia"/>
          <w:b/>
          <w:i w:val="0"/>
          <w:sz w:val="26"/>
          <w:szCs w:val="26"/>
          <w:lang w:val="en-AU"/>
        </w:rPr>
      </w:pPr>
    </w:p>
    <w:p w14:paraId="06757A86" w14:textId="77777777" w:rsidR="003B4712" w:rsidRDefault="003B4712" w:rsidP="00785DB4">
      <w:pPr>
        <w:jc w:val="both"/>
        <w:rPr>
          <w:rFonts w:ascii="Segoe UI" w:eastAsiaTheme="minorHAnsi" w:hAnsi="Segoe UI" w:cs="Segoe UI"/>
          <w:color w:val="000000"/>
          <w:sz w:val="22"/>
          <w:szCs w:val="22"/>
        </w:rPr>
      </w:pPr>
      <w:r w:rsidRPr="00BA5BBE">
        <w:rPr>
          <w:rFonts w:ascii="Segoe UI" w:eastAsiaTheme="minorHAnsi" w:hAnsi="Segoe UI" w:cs="Segoe UI"/>
          <w:color w:val="000000"/>
          <w:sz w:val="22"/>
          <w:szCs w:val="22"/>
        </w:rPr>
        <w:t xml:space="preserve">Visa is supportive of </w:t>
      </w:r>
      <w:r>
        <w:rPr>
          <w:rFonts w:ascii="Segoe UI" w:eastAsiaTheme="minorHAnsi" w:hAnsi="Segoe UI" w:cs="Segoe UI"/>
          <w:color w:val="000000"/>
          <w:sz w:val="22"/>
          <w:szCs w:val="22"/>
        </w:rPr>
        <w:t xml:space="preserve">the RBA’s adoption of </w:t>
      </w:r>
      <w:r w:rsidRPr="00BA5BBE">
        <w:rPr>
          <w:rFonts w:ascii="Segoe UI" w:eastAsiaTheme="minorHAnsi" w:hAnsi="Segoe UI" w:cs="Segoe UI"/>
          <w:color w:val="000000"/>
          <w:sz w:val="22"/>
          <w:szCs w:val="22"/>
        </w:rPr>
        <w:t>our long held position that the American Express companion card scheme should be regulated in a similar manner to existing four-party schemes</w:t>
      </w:r>
      <w:r>
        <w:rPr>
          <w:rFonts w:ascii="Segoe UI" w:eastAsiaTheme="minorHAnsi" w:hAnsi="Segoe UI" w:cs="Segoe UI"/>
          <w:color w:val="000000"/>
          <w:sz w:val="22"/>
          <w:szCs w:val="22"/>
        </w:rPr>
        <w:t xml:space="preserve">. However, </w:t>
      </w:r>
      <w:r w:rsidRPr="00BA5BBE">
        <w:rPr>
          <w:rFonts w:ascii="Segoe UI" w:eastAsiaTheme="minorHAnsi" w:hAnsi="Segoe UI" w:cs="Segoe UI"/>
          <w:color w:val="000000"/>
          <w:sz w:val="22"/>
          <w:szCs w:val="22"/>
        </w:rPr>
        <w:t>there are a number of other schemes that continue to operate in the Australian market without adequate regulation</w:t>
      </w:r>
      <w:r>
        <w:rPr>
          <w:rFonts w:ascii="Segoe UI" w:eastAsiaTheme="minorHAnsi" w:hAnsi="Segoe UI" w:cs="Segoe UI"/>
          <w:color w:val="000000"/>
          <w:sz w:val="22"/>
          <w:szCs w:val="22"/>
        </w:rPr>
        <w:t xml:space="preserve"> and protection for </w:t>
      </w:r>
      <w:r w:rsidR="007F080D">
        <w:rPr>
          <w:rFonts w:ascii="Segoe UI" w:eastAsiaTheme="minorHAnsi" w:hAnsi="Segoe UI" w:cs="Segoe UI"/>
          <w:color w:val="000000"/>
          <w:sz w:val="22"/>
          <w:szCs w:val="22"/>
        </w:rPr>
        <w:t>consumers, businesses</w:t>
      </w:r>
      <w:r>
        <w:rPr>
          <w:rFonts w:ascii="Segoe UI" w:eastAsiaTheme="minorHAnsi" w:hAnsi="Segoe UI" w:cs="Segoe UI"/>
          <w:color w:val="000000"/>
          <w:sz w:val="22"/>
          <w:szCs w:val="22"/>
        </w:rPr>
        <w:t xml:space="preserve"> and merchants</w:t>
      </w:r>
      <w:r w:rsidRPr="00BA5BBE">
        <w:rPr>
          <w:rFonts w:ascii="Segoe UI" w:eastAsiaTheme="minorHAnsi" w:hAnsi="Segoe UI" w:cs="Segoe UI"/>
          <w:color w:val="000000"/>
          <w:sz w:val="22"/>
          <w:szCs w:val="22"/>
        </w:rPr>
        <w:t>. Further, as an emerging submarket of the payments ecosystem, four-party commercial card products face significant</w:t>
      </w:r>
      <w:r w:rsidR="00BA5589">
        <w:rPr>
          <w:rFonts w:ascii="Segoe UI" w:eastAsiaTheme="minorHAnsi" w:hAnsi="Segoe UI" w:cs="Segoe UI"/>
          <w:color w:val="000000"/>
          <w:sz w:val="22"/>
          <w:szCs w:val="22"/>
        </w:rPr>
        <w:t xml:space="preserve"> and </w:t>
      </w:r>
      <w:r>
        <w:rPr>
          <w:rFonts w:ascii="Segoe UI" w:eastAsiaTheme="minorHAnsi" w:hAnsi="Segoe UI" w:cs="Segoe UI"/>
          <w:color w:val="000000"/>
          <w:sz w:val="22"/>
          <w:szCs w:val="22"/>
        </w:rPr>
        <w:t>disproportionate</w:t>
      </w:r>
      <w:r w:rsidRPr="00BA5BBE">
        <w:rPr>
          <w:rFonts w:ascii="Segoe UI" w:eastAsiaTheme="minorHAnsi" w:hAnsi="Segoe UI" w:cs="Segoe UI"/>
          <w:color w:val="000000"/>
          <w:sz w:val="22"/>
          <w:szCs w:val="22"/>
        </w:rPr>
        <w:t xml:space="preserve"> competitive pressures from</w:t>
      </w:r>
      <w:r w:rsidR="007F080D">
        <w:rPr>
          <w:rFonts w:ascii="Segoe UI" w:eastAsiaTheme="minorHAnsi" w:hAnsi="Segoe UI" w:cs="Segoe UI"/>
          <w:color w:val="000000"/>
          <w:sz w:val="22"/>
          <w:szCs w:val="22"/>
        </w:rPr>
        <w:t xml:space="preserve"> more costly</w:t>
      </w:r>
      <w:r w:rsidRPr="00BA5BBE">
        <w:rPr>
          <w:rFonts w:ascii="Segoe UI" w:eastAsiaTheme="minorHAnsi" w:hAnsi="Segoe UI" w:cs="Segoe UI"/>
          <w:color w:val="000000"/>
          <w:sz w:val="22"/>
          <w:szCs w:val="22"/>
        </w:rPr>
        <w:t xml:space="preserve"> three-party schemes that are able to use the</w:t>
      </w:r>
      <w:r>
        <w:rPr>
          <w:rFonts w:ascii="Segoe UI" w:eastAsiaTheme="minorHAnsi" w:hAnsi="Segoe UI" w:cs="Segoe UI"/>
          <w:color w:val="000000"/>
          <w:sz w:val="22"/>
          <w:szCs w:val="22"/>
        </w:rPr>
        <w:t>ir</w:t>
      </w:r>
      <w:r w:rsidRPr="00BA5BBE">
        <w:rPr>
          <w:rFonts w:ascii="Segoe UI" w:eastAsiaTheme="minorHAnsi" w:hAnsi="Segoe UI" w:cs="Segoe UI"/>
          <w:color w:val="000000"/>
          <w:sz w:val="22"/>
          <w:szCs w:val="22"/>
        </w:rPr>
        <w:t xml:space="preserve"> unregulated status to capture greater market share and reduce competition.</w:t>
      </w:r>
    </w:p>
    <w:p w14:paraId="06757A87" w14:textId="77777777" w:rsidR="003B4712" w:rsidRPr="00BA5BBE" w:rsidRDefault="003B4712" w:rsidP="00785DB4">
      <w:pPr>
        <w:jc w:val="both"/>
        <w:rPr>
          <w:rFonts w:ascii="Segoe UI" w:eastAsiaTheme="minorHAnsi" w:hAnsi="Segoe UI" w:cs="Segoe UI"/>
          <w:color w:val="000000"/>
          <w:sz w:val="22"/>
          <w:szCs w:val="22"/>
        </w:rPr>
      </w:pPr>
    </w:p>
    <w:p w14:paraId="06757A88" w14:textId="77777777" w:rsidR="003B4712" w:rsidRDefault="00710975" w:rsidP="00785DB4">
      <w:pPr>
        <w:pStyle w:val="Default"/>
        <w:jc w:val="both"/>
        <w:rPr>
          <w:sz w:val="22"/>
          <w:szCs w:val="22"/>
        </w:rPr>
      </w:pPr>
      <w:r>
        <w:rPr>
          <w:sz w:val="22"/>
          <w:szCs w:val="22"/>
        </w:rPr>
        <w:t>The</w:t>
      </w:r>
      <w:r w:rsidR="003B4712">
        <w:rPr>
          <w:sz w:val="22"/>
          <w:szCs w:val="22"/>
        </w:rPr>
        <w:t xml:space="preserve"> competitive disparity</w:t>
      </w:r>
      <w:r>
        <w:rPr>
          <w:sz w:val="22"/>
          <w:szCs w:val="22"/>
        </w:rPr>
        <w:t xml:space="preserve"> in the payments industry</w:t>
      </w:r>
      <w:r w:rsidR="003B4712">
        <w:rPr>
          <w:sz w:val="22"/>
          <w:szCs w:val="22"/>
        </w:rPr>
        <w:t xml:space="preserve"> has cost around A</w:t>
      </w:r>
      <w:r w:rsidR="00BA5589">
        <w:rPr>
          <w:sz w:val="22"/>
          <w:szCs w:val="22"/>
        </w:rPr>
        <w:t>U</w:t>
      </w:r>
      <w:r w:rsidR="003B4712">
        <w:rPr>
          <w:sz w:val="22"/>
          <w:szCs w:val="22"/>
        </w:rPr>
        <w:t xml:space="preserve">$770 million (in 2013 dollars) to the Australian economy since the regulation was first established in 2002. Visa considers that the best way to achieve regulatory parity is through legislative and regulatory reform that classifies all similarly structured payment systems under the same definition. We believe that further steps must be taken to address this imbalance by capturing schemes such as </w:t>
      </w:r>
      <w:proofErr w:type="spellStart"/>
      <w:r w:rsidR="003B4712">
        <w:rPr>
          <w:sz w:val="22"/>
          <w:szCs w:val="22"/>
        </w:rPr>
        <w:t>UnionPay</w:t>
      </w:r>
      <w:proofErr w:type="spellEnd"/>
      <w:r w:rsidR="003B4712">
        <w:rPr>
          <w:sz w:val="22"/>
          <w:szCs w:val="22"/>
        </w:rPr>
        <w:t xml:space="preserve"> and JCB within the RBA’s regulatory framework, and also </w:t>
      </w:r>
      <w:r w:rsidR="00BA5589">
        <w:rPr>
          <w:sz w:val="22"/>
          <w:szCs w:val="22"/>
        </w:rPr>
        <w:t xml:space="preserve">by </w:t>
      </w:r>
      <w:r w:rsidR="003B4712">
        <w:rPr>
          <w:sz w:val="22"/>
          <w:szCs w:val="22"/>
        </w:rPr>
        <w:t>ensuring that any future regulation in emerging product markets, such as commercial card products, prevents the formation of any anti-competitive trends.</w:t>
      </w:r>
    </w:p>
    <w:p w14:paraId="06757A89" w14:textId="77777777" w:rsidR="003B4712" w:rsidRDefault="003B4712" w:rsidP="00785DB4">
      <w:pPr>
        <w:pStyle w:val="Default"/>
        <w:jc w:val="both"/>
        <w:rPr>
          <w:sz w:val="22"/>
          <w:szCs w:val="22"/>
        </w:rPr>
      </w:pPr>
    </w:p>
    <w:p w14:paraId="06757A8A" w14:textId="77777777" w:rsidR="007F080D" w:rsidRDefault="007F080D" w:rsidP="00785DB4">
      <w:pPr>
        <w:pStyle w:val="Default"/>
        <w:jc w:val="both"/>
        <w:rPr>
          <w:sz w:val="22"/>
          <w:szCs w:val="22"/>
        </w:rPr>
      </w:pPr>
    </w:p>
    <w:p w14:paraId="06757A8B" w14:textId="77777777" w:rsidR="007F080D" w:rsidRDefault="007F080D" w:rsidP="00785DB4">
      <w:pPr>
        <w:pStyle w:val="Default"/>
        <w:jc w:val="both"/>
        <w:rPr>
          <w:sz w:val="22"/>
          <w:szCs w:val="22"/>
        </w:rPr>
      </w:pPr>
    </w:p>
    <w:p w14:paraId="06757A8C" w14:textId="77777777" w:rsidR="003B4712" w:rsidRPr="00B16A87" w:rsidRDefault="003B4712" w:rsidP="00785DB4">
      <w:pPr>
        <w:pStyle w:val="Heading2"/>
        <w:spacing w:before="0"/>
        <w:jc w:val="both"/>
        <w:rPr>
          <w:rStyle w:val="IntenseEmphasis"/>
          <w:rFonts w:ascii="Segoe UI" w:eastAsiaTheme="minorEastAsia" w:hAnsi="Segoe UI" w:cs="Segoe UI"/>
          <w:b w:val="0"/>
          <w:i w:val="0"/>
          <w:iCs w:val="0"/>
          <w:lang w:val="en-AU"/>
        </w:rPr>
      </w:pPr>
      <w:bookmarkStart w:id="42" w:name="_Toc441829840"/>
      <w:bookmarkStart w:id="43" w:name="_Toc441830064"/>
      <w:bookmarkStart w:id="44" w:name="_Toc441830266"/>
      <w:bookmarkStart w:id="45" w:name="_Toc441833073"/>
      <w:bookmarkStart w:id="46" w:name="_Toc441833274"/>
      <w:bookmarkStart w:id="47" w:name="_Toc441834328"/>
      <w:bookmarkStart w:id="48" w:name="_Toc441919010"/>
      <w:bookmarkStart w:id="49" w:name="_Toc442261071"/>
      <w:bookmarkStart w:id="50" w:name="_Toc442261205"/>
      <w:bookmarkStart w:id="51" w:name="_Toc442273397"/>
      <w:bookmarkStart w:id="52" w:name="_Toc442273939"/>
      <w:r w:rsidRPr="00B16A87">
        <w:rPr>
          <w:rStyle w:val="IntenseEmphasis"/>
          <w:rFonts w:ascii="Segoe UI" w:eastAsiaTheme="minorEastAsia" w:hAnsi="Segoe UI" w:cs="Segoe UI"/>
          <w:i w:val="0"/>
          <w:lang w:val="en-AU"/>
        </w:rPr>
        <w:lastRenderedPageBreak/>
        <w:t>Surcharging</w:t>
      </w:r>
      <w:bookmarkEnd w:id="42"/>
      <w:bookmarkEnd w:id="43"/>
      <w:bookmarkEnd w:id="44"/>
      <w:bookmarkEnd w:id="45"/>
      <w:bookmarkEnd w:id="46"/>
      <w:bookmarkEnd w:id="47"/>
      <w:bookmarkEnd w:id="48"/>
      <w:bookmarkEnd w:id="49"/>
      <w:bookmarkEnd w:id="50"/>
      <w:bookmarkEnd w:id="51"/>
      <w:bookmarkEnd w:id="52"/>
      <w:r w:rsidRPr="00B16A87">
        <w:rPr>
          <w:rStyle w:val="IntenseEmphasis"/>
          <w:rFonts w:ascii="Segoe UI" w:eastAsiaTheme="minorEastAsia" w:hAnsi="Segoe UI" w:cs="Segoe UI"/>
          <w:i w:val="0"/>
          <w:lang w:val="en-AU"/>
        </w:rPr>
        <w:t xml:space="preserve"> </w:t>
      </w:r>
    </w:p>
    <w:p w14:paraId="06757A8D" w14:textId="77777777" w:rsidR="003B4712" w:rsidRPr="00FF5408" w:rsidRDefault="003B4712" w:rsidP="00785DB4">
      <w:pPr>
        <w:pStyle w:val="Default"/>
        <w:jc w:val="both"/>
        <w:rPr>
          <w:i/>
          <w:iCs/>
          <w:sz w:val="22"/>
          <w:szCs w:val="22"/>
        </w:rPr>
      </w:pPr>
    </w:p>
    <w:p w14:paraId="06757A8E" w14:textId="77777777" w:rsidR="003B4712" w:rsidRPr="00EE0930" w:rsidRDefault="003B4712" w:rsidP="00785DB4">
      <w:pPr>
        <w:pStyle w:val="Default"/>
        <w:jc w:val="both"/>
        <w:rPr>
          <w:sz w:val="22"/>
          <w:szCs w:val="22"/>
        </w:rPr>
      </w:pPr>
      <w:r w:rsidRPr="00EE0930">
        <w:rPr>
          <w:sz w:val="22"/>
          <w:szCs w:val="22"/>
        </w:rPr>
        <w:t xml:space="preserve">While Visa continues to maintain its global policy of opposing merchant surcharging, we support the efforts of the RBA to ensure excessive surcharging practices in Australia are prohibited where a merchant chooses to surcharge cardholders. </w:t>
      </w:r>
    </w:p>
    <w:p w14:paraId="06757A8F" w14:textId="77777777" w:rsidR="003B4712" w:rsidRPr="00EE0930" w:rsidRDefault="003B4712" w:rsidP="00785DB4">
      <w:pPr>
        <w:pStyle w:val="Default"/>
        <w:jc w:val="both"/>
        <w:rPr>
          <w:sz w:val="22"/>
          <w:szCs w:val="22"/>
        </w:rPr>
      </w:pPr>
    </w:p>
    <w:p w14:paraId="06757A90" w14:textId="77777777" w:rsidR="00C10050" w:rsidRDefault="003B4712" w:rsidP="00785DB4">
      <w:pPr>
        <w:jc w:val="both"/>
        <w:rPr>
          <w:rFonts w:ascii="Segoe UI" w:eastAsiaTheme="majorEastAsia" w:hAnsi="Segoe UI" w:cs="Segoe UI"/>
          <w:b/>
          <w:bCs/>
          <w:color w:val="002060"/>
          <w:sz w:val="32"/>
          <w:szCs w:val="32"/>
        </w:rPr>
      </w:pPr>
      <w:r w:rsidRPr="00EE0930">
        <w:rPr>
          <w:rFonts w:ascii="Segoe UI" w:eastAsiaTheme="minorHAnsi" w:hAnsi="Segoe UI" w:cs="Segoe UI"/>
          <w:color w:val="000000"/>
          <w:sz w:val="22"/>
          <w:szCs w:val="22"/>
        </w:rPr>
        <w:t>Visa also supports the proposal to grant investigation and enforcement powers to the Australian Competition and Consumer Commission (ACCC) to ensure any newly introduced surcharging standards are enforced in an effective manner.</w:t>
      </w:r>
      <w:r w:rsidR="00C10050">
        <w:rPr>
          <w:rFonts w:ascii="Segoe UI" w:hAnsi="Segoe UI" w:cs="Segoe UI"/>
          <w:color w:val="002060"/>
        </w:rPr>
        <w:br w:type="page"/>
      </w:r>
    </w:p>
    <w:p w14:paraId="06757A91" w14:textId="77777777" w:rsidR="00C10050" w:rsidRDefault="00C10050" w:rsidP="00AB0270">
      <w:pPr>
        <w:pStyle w:val="Heading1"/>
        <w:spacing w:before="0"/>
        <w:jc w:val="both"/>
        <w:rPr>
          <w:rFonts w:ascii="Segoe UI" w:hAnsi="Segoe UI" w:cs="Segoe UI"/>
          <w:color w:val="002060"/>
        </w:rPr>
      </w:pPr>
      <w:bookmarkStart w:id="53" w:name="_Toc442273940"/>
      <w:r>
        <w:rPr>
          <w:rFonts w:ascii="Segoe UI" w:hAnsi="Segoe UI" w:cs="Segoe UI"/>
          <w:color w:val="002060"/>
        </w:rPr>
        <w:lastRenderedPageBreak/>
        <w:t xml:space="preserve">Chapter </w:t>
      </w:r>
      <w:r w:rsidR="00B16A87">
        <w:rPr>
          <w:rFonts w:ascii="Segoe UI" w:hAnsi="Segoe UI" w:cs="Segoe UI"/>
          <w:color w:val="002060"/>
        </w:rPr>
        <w:t>1</w:t>
      </w:r>
      <w:r w:rsidRPr="0089281F">
        <w:rPr>
          <w:rFonts w:ascii="Segoe UI" w:hAnsi="Segoe UI" w:cs="Segoe UI"/>
          <w:color w:val="002060"/>
        </w:rPr>
        <w:t xml:space="preserve">: </w:t>
      </w:r>
      <w:bookmarkEnd w:id="2"/>
      <w:r w:rsidR="00CC79AE">
        <w:rPr>
          <w:rFonts w:ascii="Segoe UI" w:hAnsi="Segoe UI" w:cs="Segoe UI"/>
          <w:color w:val="002060"/>
        </w:rPr>
        <w:t>Foreign-issued c</w:t>
      </w:r>
      <w:r>
        <w:rPr>
          <w:rFonts w:ascii="Segoe UI" w:hAnsi="Segoe UI" w:cs="Segoe UI"/>
          <w:color w:val="002060"/>
        </w:rPr>
        <w:t>ards</w:t>
      </w:r>
      <w:bookmarkEnd w:id="53"/>
    </w:p>
    <w:p w14:paraId="06757A92" w14:textId="77777777" w:rsidR="00C10050" w:rsidRPr="00643563" w:rsidRDefault="00C10050" w:rsidP="00AB0270">
      <w:pPr>
        <w:jc w:val="both"/>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C10050" w:rsidRPr="0001116F" w14:paraId="06757A9A" w14:textId="77777777" w:rsidTr="00F421BE">
        <w:tc>
          <w:tcPr>
            <w:tcW w:w="9280" w:type="dxa"/>
            <w:shd w:val="clear" w:color="auto" w:fill="E0E0E0"/>
          </w:tcPr>
          <w:p w14:paraId="06757A93" w14:textId="77777777" w:rsidR="00C10050" w:rsidRPr="00110678" w:rsidRDefault="00C10050" w:rsidP="00AB0270">
            <w:pPr>
              <w:pStyle w:val="Heading4"/>
              <w:spacing w:before="0"/>
              <w:jc w:val="both"/>
              <w:outlineLvl w:val="3"/>
              <w:rPr>
                <w:rFonts w:ascii="Segoe UI" w:hAnsi="Segoe UI" w:cs="Segoe UI"/>
              </w:rPr>
            </w:pPr>
            <w:r w:rsidRPr="00110678">
              <w:rPr>
                <w:rFonts w:ascii="Segoe UI" w:hAnsi="Segoe UI" w:cs="Segoe UI"/>
              </w:rPr>
              <w:t>Key points</w:t>
            </w:r>
          </w:p>
          <w:p w14:paraId="06757A94" w14:textId="77777777" w:rsidR="00CF3BD4" w:rsidRDefault="00CF3BD4"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Visa supports the adoption of Option 1 to exclude foreign-issued cards from the proposed interchange standards</w:t>
            </w:r>
          </w:p>
          <w:p w14:paraId="06757A95" w14:textId="77777777" w:rsidR="00C10050" w:rsidRDefault="00C10050"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Regulation of foreign-issued interchange is globally unprecedented</w:t>
            </w:r>
          </w:p>
          <w:p w14:paraId="06757A96" w14:textId="77777777" w:rsidR="00710975" w:rsidRDefault="00710975" w:rsidP="00710975">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Foreign-issued cards require additional investment against the costs associated with cross-border payment processing and higher fraud risk</w:t>
            </w:r>
          </w:p>
          <w:p w14:paraId="06757A97" w14:textId="77777777" w:rsidR="00C10050" w:rsidRDefault="00C10050"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 xml:space="preserve">The regulation of foreign-issued interchange </w:t>
            </w:r>
            <w:r w:rsidR="00CF3BD4">
              <w:rPr>
                <w:rFonts w:ascii="Segoe UI" w:hAnsi="Segoe UI" w:cs="Segoe UI"/>
                <w:sz w:val="22"/>
                <w:szCs w:val="22"/>
              </w:rPr>
              <w:t xml:space="preserve">would generate a number of unintended consequences and </w:t>
            </w:r>
            <w:r w:rsidR="007C2944">
              <w:rPr>
                <w:rFonts w:ascii="Segoe UI" w:hAnsi="Segoe UI" w:cs="Segoe UI"/>
                <w:sz w:val="22"/>
                <w:szCs w:val="22"/>
              </w:rPr>
              <w:t>a number of potential</w:t>
            </w:r>
            <w:r>
              <w:rPr>
                <w:rFonts w:ascii="Segoe UI" w:hAnsi="Segoe UI" w:cs="Segoe UI"/>
                <w:sz w:val="22"/>
                <w:szCs w:val="22"/>
              </w:rPr>
              <w:t xml:space="preserve"> regulatory and legal implications for markets outside Australia</w:t>
            </w:r>
          </w:p>
          <w:p w14:paraId="06757A98" w14:textId="77777777" w:rsidR="00C10050" w:rsidRDefault="00C10050">
            <w:pPr>
              <w:pStyle w:val="ListParagraph"/>
              <w:numPr>
                <w:ilvl w:val="0"/>
                <w:numId w:val="2"/>
              </w:numPr>
              <w:ind w:left="714" w:right="432" w:hanging="357"/>
              <w:contextualSpacing w:val="0"/>
              <w:jc w:val="both"/>
              <w:rPr>
                <w:rFonts w:ascii="Segoe UI" w:hAnsi="Segoe UI" w:cs="Segoe UI"/>
                <w:sz w:val="22"/>
                <w:szCs w:val="22"/>
              </w:rPr>
            </w:pPr>
            <w:r w:rsidRPr="005461AD">
              <w:rPr>
                <w:rFonts w:ascii="Segoe UI" w:hAnsi="Segoe UI" w:cs="Segoe UI"/>
                <w:sz w:val="22"/>
                <w:szCs w:val="22"/>
              </w:rPr>
              <w:t>Visa</w:t>
            </w:r>
            <w:r w:rsidR="00FA1DF7">
              <w:rPr>
                <w:rFonts w:ascii="Segoe UI" w:hAnsi="Segoe UI" w:cs="Segoe UI"/>
                <w:sz w:val="22"/>
                <w:szCs w:val="22"/>
              </w:rPr>
              <w:t>’s</w:t>
            </w:r>
            <w:r w:rsidRPr="005461AD">
              <w:rPr>
                <w:rFonts w:ascii="Segoe UI" w:hAnsi="Segoe UI" w:cs="Segoe UI"/>
                <w:sz w:val="22"/>
                <w:szCs w:val="22"/>
              </w:rPr>
              <w:t xml:space="preserve"> </w:t>
            </w:r>
            <w:r w:rsidR="00FA7C49">
              <w:rPr>
                <w:rFonts w:ascii="Segoe UI" w:hAnsi="Segoe UI" w:cs="Segoe UI"/>
                <w:sz w:val="22"/>
                <w:szCs w:val="22"/>
              </w:rPr>
              <w:t>rules already prohibit cross-border issuance and have effectively prevented</w:t>
            </w:r>
            <w:r w:rsidRPr="005461AD">
              <w:rPr>
                <w:rFonts w:ascii="Segoe UI" w:hAnsi="Segoe UI" w:cs="Segoe UI"/>
                <w:sz w:val="22"/>
                <w:szCs w:val="22"/>
              </w:rPr>
              <w:t xml:space="preserve"> circumvention of Australian</w:t>
            </w:r>
            <w:r>
              <w:rPr>
                <w:rFonts w:ascii="Segoe UI" w:hAnsi="Segoe UI" w:cs="Segoe UI"/>
                <w:sz w:val="22"/>
                <w:szCs w:val="22"/>
              </w:rPr>
              <w:t xml:space="preserve"> regulation </w:t>
            </w:r>
            <w:r w:rsidR="00FA7C49">
              <w:rPr>
                <w:rFonts w:ascii="Segoe UI" w:hAnsi="Segoe UI" w:cs="Segoe UI"/>
                <w:sz w:val="22"/>
                <w:szCs w:val="22"/>
              </w:rPr>
              <w:t>to date</w:t>
            </w:r>
            <w:r w:rsidR="00FA1DF7">
              <w:rPr>
                <w:rFonts w:ascii="Segoe UI" w:hAnsi="Segoe UI" w:cs="Segoe UI"/>
                <w:sz w:val="22"/>
                <w:szCs w:val="22"/>
              </w:rPr>
              <w:t xml:space="preserve">. Visa </w:t>
            </w:r>
            <w:r>
              <w:rPr>
                <w:rFonts w:ascii="Segoe UI" w:hAnsi="Segoe UI" w:cs="Segoe UI"/>
                <w:sz w:val="22"/>
                <w:szCs w:val="22"/>
              </w:rPr>
              <w:t xml:space="preserve">is committed to collaborating with the RBA to </w:t>
            </w:r>
            <w:r w:rsidR="00750C18">
              <w:rPr>
                <w:rFonts w:ascii="Segoe UI" w:hAnsi="Segoe UI" w:cs="Segoe UI"/>
                <w:sz w:val="22"/>
                <w:szCs w:val="22"/>
              </w:rPr>
              <w:t xml:space="preserve">provide an additional degree of assurance and encourage other industry </w:t>
            </w:r>
            <w:r w:rsidR="008B5AA6">
              <w:rPr>
                <w:rFonts w:ascii="Segoe UI" w:hAnsi="Segoe UI" w:cs="Segoe UI"/>
                <w:sz w:val="22"/>
                <w:szCs w:val="22"/>
              </w:rPr>
              <w:t xml:space="preserve">participants </w:t>
            </w:r>
            <w:r w:rsidR="00750C18">
              <w:rPr>
                <w:rFonts w:ascii="Segoe UI" w:hAnsi="Segoe UI" w:cs="Segoe UI"/>
                <w:sz w:val="22"/>
                <w:szCs w:val="22"/>
              </w:rPr>
              <w:t>to do likewise</w:t>
            </w:r>
          </w:p>
          <w:p w14:paraId="06757A99" w14:textId="77777777" w:rsidR="00C10050" w:rsidRPr="00401A1E" w:rsidRDefault="00C10050">
            <w:pPr>
              <w:pStyle w:val="ListParagraph"/>
              <w:ind w:left="714" w:right="432"/>
              <w:contextualSpacing w:val="0"/>
              <w:jc w:val="both"/>
              <w:rPr>
                <w:rFonts w:ascii="Segoe UI" w:hAnsi="Segoe UI" w:cs="Segoe UI"/>
                <w:sz w:val="22"/>
                <w:szCs w:val="22"/>
              </w:rPr>
            </w:pPr>
          </w:p>
        </w:tc>
      </w:tr>
    </w:tbl>
    <w:p w14:paraId="06757A9B" w14:textId="77777777" w:rsidR="00C10050" w:rsidRPr="000B66ED" w:rsidRDefault="00C10050" w:rsidP="00785DB4">
      <w:pPr>
        <w:keepNext/>
        <w:keepLines/>
        <w:jc w:val="both"/>
        <w:outlineLvl w:val="1"/>
        <w:rPr>
          <w:rStyle w:val="IntenseEmphasis"/>
          <w:i w:val="0"/>
          <w:lang w:val="en-AU"/>
        </w:rPr>
      </w:pPr>
    </w:p>
    <w:p w14:paraId="06757A9C" w14:textId="77777777" w:rsidR="00C10050" w:rsidRPr="000B66ED" w:rsidRDefault="003147C2" w:rsidP="000B66ED">
      <w:pPr>
        <w:pStyle w:val="Heading2"/>
        <w:spacing w:before="0"/>
        <w:rPr>
          <w:rStyle w:val="IntenseEmphasis"/>
          <w:rFonts w:ascii="Segoe UI" w:hAnsi="Segoe UI" w:cs="Segoe UI"/>
          <w:i w:val="0"/>
          <w:lang w:val="en-AU"/>
        </w:rPr>
      </w:pPr>
      <w:bookmarkStart w:id="54" w:name="_Toc442273941"/>
      <w:r w:rsidRPr="000B66ED">
        <w:rPr>
          <w:rStyle w:val="IntenseEmphasis"/>
          <w:rFonts w:ascii="Segoe UI" w:hAnsi="Segoe UI" w:cs="Segoe UI"/>
          <w:i w:val="0"/>
          <w:lang w:val="en-AU"/>
        </w:rPr>
        <w:t>1.1</w:t>
      </w:r>
      <w:r w:rsidRPr="000B66ED">
        <w:rPr>
          <w:rStyle w:val="IntenseEmphasis"/>
          <w:rFonts w:ascii="Segoe UI" w:hAnsi="Segoe UI" w:cs="Segoe UI"/>
          <w:i w:val="0"/>
          <w:lang w:val="en-AU"/>
        </w:rPr>
        <w:tab/>
      </w:r>
      <w:r w:rsidR="00C10050" w:rsidRPr="000B66ED">
        <w:rPr>
          <w:rStyle w:val="IntenseEmphasis"/>
          <w:rFonts w:ascii="Segoe UI" w:hAnsi="Segoe UI" w:cs="Segoe UI"/>
          <w:i w:val="0"/>
          <w:lang w:val="en-AU"/>
        </w:rPr>
        <w:t>Introduction</w:t>
      </w:r>
      <w:bookmarkEnd w:id="54"/>
    </w:p>
    <w:p w14:paraId="06757A9D" w14:textId="77777777" w:rsidR="00C10050" w:rsidRPr="006238A2" w:rsidRDefault="00C10050" w:rsidP="00785DB4">
      <w:pPr>
        <w:keepNext/>
        <w:keepLines/>
        <w:jc w:val="both"/>
        <w:outlineLvl w:val="1"/>
        <w:rPr>
          <w:rFonts w:ascii="Segoe UI" w:hAnsi="Segoe UI" w:cs="Segoe UI"/>
          <w:sz w:val="22"/>
          <w:szCs w:val="22"/>
        </w:rPr>
      </w:pPr>
    </w:p>
    <w:p w14:paraId="06757A9E" w14:textId="77777777" w:rsidR="00C10050" w:rsidRDefault="00C10050" w:rsidP="00785DB4">
      <w:pPr>
        <w:jc w:val="both"/>
        <w:rPr>
          <w:rFonts w:ascii="Segoe UI" w:hAnsi="Segoe UI" w:cs="Segoe UI"/>
          <w:sz w:val="22"/>
          <w:szCs w:val="22"/>
        </w:rPr>
      </w:pPr>
      <w:r w:rsidRPr="000644B8">
        <w:rPr>
          <w:rFonts w:ascii="Segoe UI" w:hAnsi="Segoe UI" w:cs="Segoe UI"/>
          <w:sz w:val="22"/>
          <w:szCs w:val="22"/>
        </w:rPr>
        <w:t>Regulation of international inte</w:t>
      </w:r>
      <w:r>
        <w:rPr>
          <w:rFonts w:ascii="Segoe UI" w:hAnsi="Segoe UI" w:cs="Segoe UI"/>
          <w:sz w:val="22"/>
          <w:szCs w:val="22"/>
        </w:rPr>
        <w:t xml:space="preserve">rchange fees is </w:t>
      </w:r>
      <w:r w:rsidR="003B4712">
        <w:rPr>
          <w:rFonts w:ascii="Segoe UI" w:hAnsi="Segoe UI" w:cs="Segoe UI"/>
          <w:sz w:val="22"/>
          <w:szCs w:val="22"/>
        </w:rPr>
        <w:t xml:space="preserve">globally </w:t>
      </w:r>
      <w:r>
        <w:rPr>
          <w:rFonts w:ascii="Segoe UI" w:hAnsi="Segoe UI" w:cs="Segoe UI"/>
          <w:sz w:val="22"/>
          <w:szCs w:val="22"/>
        </w:rPr>
        <w:t xml:space="preserve">unprecedented. </w:t>
      </w:r>
      <w:r w:rsidRPr="000644B8">
        <w:rPr>
          <w:rFonts w:ascii="Segoe UI" w:hAnsi="Segoe UI" w:cs="Segoe UI"/>
          <w:sz w:val="22"/>
          <w:szCs w:val="22"/>
        </w:rPr>
        <w:t xml:space="preserve">Although more than twenty countries </w:t>
      </w:r>
      <w:r>
        <w:rPr>
          <w:rFonts w:ascii="Segoe UI" w:hAnsi="Segoe UI" w:cs="Segoe UI"/>
          <w:sz w:val="22"/>
          <w:szCs w:val="22"/>
        </w:rPr>
        <w:t>around the world have applied some type</w:t>
      </w:r>
      <w:r w:rsidRPr="000644B8">
        <w:rPr>
          <w:rFonts w:ascii="Segoe UI" w:hAnsi="Segoe UI" w:cs="Segoe UI"/>
          <w:sz w:val="22"/>
          <w:szCs w:val="22"/>
        </w:rPr>
        <w:t xml:space="preserve"> of domestic interchange regulation, </w:t>
      </w:r>
      <w:r>
        <w:rPr>
          <w:rFonts w:ascii="Segoe UI" w:hAnsi="Segoe UI" w:cs="Segoe UI"/>
          <w:sz w:val="22"/>
          <w:szCs w:val="22"/>
        </w:rPr>
        <w:t xml:space="preserve">to date </w:t>
      </w:r>
      <w:r w:rsidRPr="000644B8">
        <w:rPr>
          <w:rFonts w:ascii="Segoe UI" w:hAnsi="Segoe UI" w:cs="Segoe UI"/>
          <w:sz w:val="22"/>
          <w:szCs w:val="22"/>
        </w:rPr>
        <w:t xml:space="preserve">no country has ever </w:t>
      </w:r>
      <w:r>
        <w:rPr>
          <w:rFonts w:ascii="Segoe UI" w:hAnsi="Segoe UI" w:cs="Segoe UI"/>
          <w:sz w:val="22"/>
          <w:szCs w:val="22"/>
        </w:rPr>
        <w:t>regulated foreign-</w:t>
      </w:r>
      <w:r w:rsidRPr="000644B8">
        <w:rPr>
          <w:rFonts w:ascii="Segoe UI" w:hAnsi="Segoe UI" w:cs="Segoe UI"/>
          <w:sz w:val="22"/>
          <w:szCs w:val="22"/>
        </w:rPr>
        <w:t>issued</w:t>
      </w:r>
      <w:r>
        <w:rPr>
          <w:rFonts w:ascii="Segoe UI" w:hAnsi="Segoe UI" w:cs="Segoe UI"/>
          <w:sz w:val="22"/>
          <w:szCs w:val="22"/>
        </w:rPr>
        <w:t xml:space="preserve"> card</w:t>
      </w:r>
      <w:r w:rsidRPr="000644B8">
        <w:rPr>
          <w:rFonts w:ascii="Segoe UI" w:hAnsi="Segoe UI" w:cs="Segoe UI"/>
          <w:sz w:val="22"/>
          <w:szCs w:val="22"/>
        </w:rPr>
        <w:t xml:space="preserve"> transactions and the</w:t>
      </w:r>
      <w:r>
        <w:rPr>
          <w:rFonts w:ascii="Segoe UI" w:hAnsi="Segoe UI" w:cs="Segoe UI"/>
          <w:sz w:val="22"/>
          <w:szCs w:val="22"/>
        </w:rPr>
        <w:t xml:space="preserve"> interchange fee paid on them. While highly regulated markets, such as the European Union, have recently </w:t>
      </w:r>
      <w:r w:rsidRPr="000644B8">
        <w:rPr>
          <w:rFonts w:ascii="Segoe UI" w:hAnsi="Segoe UI" w:cs="Segoe UI"/>
          <w:sz w:val="22"/>
          <w:szCs w:val="22"/>
        </w:rPr>
        <w:t>implemented</w:t>
      </w:r>
      <w:r>
        <w:rPr>
          <w:rFonts w:ascii="Segoe UI" w:hAnsi="Segoe UI" w:cs="Segoe UI"/>
          <w:sz w:val="22"/>
          <w:szCs w:val="22"/>
        </w:rPr>
        <w:t xml:space="preserve"> advanced</w:t>
      </w:r>
      <w:r w:rsidRPr="000644B8">
        <w:rPr>
          <w:rFonts w:ascii="Segoe UI" w:hAnsi="Segoe UI" w:cs="Segoe UI"/>
          <w:sz w:val="22"/>
          <w:szCs w:val="22"/>
        </w:rPr>
        <w:t xml:space="preserve"> </w:t>
      </w:r>
      <w:r>
        <w:rPr>
          <w:rFonts w:ascii="Segoe UI" w:hAnsi="Segoe UI" w:cs="Segoe UI"/>
          <w:sz w:val="22"/>
          <w:szCs w:val="22"/>
        </w:rPr>
        <w:t xml:space="preserve">interchange </w:t>
      </w:r>
      <w:r w:rsidRPr="000644B8">
        <w:rPr>
          <w:rFonts w:ascii="Segoe UI" w:hAnsi="Segoe UI" w:cs="Segoe UI"/>
          <w:sz w:val="22"/>
          <w:szCs w:val="22"/>
        </w:rPr>
        <w:t>regulation</w:t>
      </w:r>
      <w:r>
        <w:rPr>
          <w:rFonts w:ascii="Segoe UI" w:hAnsi="Segoe UI" w:cs="Segoe UI"/>
          <w:sz w:val="22"/>
          <w:szCs w:val="22"/>
        </w:rPr>
        <w:t>s</w:t>
      </w:r>
      <w:r w:rsidRPr="000644B8">
        <w:rPr>
          <w:rFonts w:ascii="Segoe UI" w:hAnsi="Segoe UI" w:cs="Segoe UI"/>
          <w:sz w:val="22"/>
          <w:szCs w:val="22"/>
        </w:rPr>
        <w:t xml:space="preserve"> for card-based payments</w:t>
      </w:r>
      <w:r>
        <w:rPr>
          <w:rFonts w:ascii="Segoe UI" w:hAnsi="Segoe UI" w:cs="Segoe UI"/>
          <w:sz w:val="22"/>
          <w:szCs w:val="22"/>
        </w:rPr>
        <w:t>, these markets still</w:t>
      </w:r>
      <w:r w:rsidRPr="000644B8">
        <w:rPr>
          <w:rFonts w:ascii="Segoe UI" w:hAnsi="Segoe UI" w:cs="Segoe UI"/>
          <w:sz w:val="22"/>
          <w:szCs w:val="22"/>
        </w:rPr>
        <w:t xml:space="preserve"> do not include </w:t>
      </w:r>
      <w:r>
        <w:rPr>
          <w:rFonts w:ascii="Segoe UI" w:hAnsi="Segoe UI" w:cs="Segoe UI"/>
          <w:sz w:val="22"/>
          <w:szCs w:val="22"/>
        </w:rPr>
        <w:t>foreign-issued</w:t>
      </w:r>
      <w:r w:rsidRPr="000644B8">
        <w:rPr>
          <w:rFonts w:ascii="Segoe UI" w:hAnsi="Segoe UI" w:cs="Segoe UI"/>
          <w:sz w:val="22"/>
          <w:szCs w:val="22"/>
        </w:rPr>
        <w:t xml:space="preserve"> </w:t>
      </w:r>
      <w:r>
        <w:rPr>
          <w:rFonts w:ascii="Segoe UI" w:hAnsi="Segoe UI" w:cs="Segoe UI"/>
          <w:sz w:val="22"/>
          <w:szCs w:val="22"/>
        </w:rPr>
        <w:t>card transactions within</w:t>
      </w:r>
      <w:r w:rsidRPr="000644B8">
        <w:rPr>
          <w:rFonts w:ascii="Segoe UI" w:hAnsi="Segoe UI" w:cs="Segoe UI"/>
          <w:sz w:val="22"/>
          <w:szCs w:val="22"/>
        </w:rPr>
        <w:t xml:space="preserve"> the</w:t>
      </w:r>
      <w:r>
        <w:rPr>
          <w:rFonts w:ascii="Segoe UI" w:hAnsi="Segoe UI" w:cs="Segoe UI"/>
          <w:sz w:val="22"/>
          <w:szCs w:val="22"/>
        </w:rPr>
        <w:t xml:space="preserve"> scope of the regulation. </w:t>
      </w:r>
    </w:p>
    <w:p w14:paraId="06757A9F" w14:textId="77777777" w:rsidR="00C10050" w:rsidRDefault="00C10050" w:rsidP="00785DB4">
      <w:pPr>
        <w:jc w:val="both"/>
        <w:rPr>
          <w:rFonts w:ascii="Segoe UI" w:hAnsi="Segoe UI" w:cs="Segoe UI"/>
          <w:sz w:val="22"/>
          <w:szCs w:val="22"/>
        </w:rPr>
      </w:pPr>
    </w:p>
    <w:p w14:paraId="06757AA0" w14:textId="77777777" w:rsidR="00C10050" w:rsidRPr="000644B8" w:rsidRDefault="00C10050" w:rsidP="00785DB4">
      <w:pPr>
        <w:jc w:val="both"/>
        <w:rPr>
          <w:rFonts w:ascii="Segoe UI" w:hAnsi="Segoe UI" w:cs="Segoe UI"/>
          <w:sz w:val="22"/>
          <w:szCs w:val="22"/>
        </w:rPr>
      </w:pPr>
      <w:r>
        <w:rPr>
          <w:rFonts w:ascii="Segoe UI" w:hAnsi="Segoe UI" w:cs="Segoe UI"/>
          <w:sz w:val="22"/>
          <w:szCs w:val="22"/>
        </w:rPr>
        <w:t>By seeking to regulate interchange on foreign-issued cards acquired in Australia</w:t>
      </w:r>
      <w:r>
        <w:rPr>
          <w:rStyle w:val="FootnoteReference"/>
          <w:rFonts w:ascii="Segoe UI" w:hAnsi="Segoe UI" w:cs="Segoe UI"/>
          <w:sz w:val="22"/>
          <w:szCs w:val="22"/>
        </w:rPr>
        <w:footnoteReference w:id="2"/>
      </w:r>
      <w:r w:rsidRPr="000644B8">
        <w:rPr>
          <w:rFonts w:ascii="Segoe UI" w:hAnsi="Segoe UI" w:cs="Segoe UI"/>
          <w:sz w:val="22"/>
          <w:szCs w:val="22"/>
        </w:rPr>
        <w:t xml:space="preserve">, the RBA would be </w:t>
      </w:r>
      <w:r>
        <w:rPr>
          <w:rFonts w:ascii="Segoe UI" w:hAnsi="Segoe UI" w:cs="Segoe UI"/>
          <w:sz w:val="22"/>
          <w:szCs w:val="22"/>
        </w:rPr>
        <w:t xml:space="preserve">in effect </w:t>
      </w:r>
      <w:r w:rsidR="002E4999">
        <w:rPr>
          <w:rFonts w:ascii="Segoe UI" w:hAnsi="Segoe UI" w:cs="Segoe UI"/>
          <w:sz w:val="22"/>
          <w:szCs w:val="22"/>
        </w:rPr>
        <w:t>dictating</w:t>
      </w:r>
      <w:r w:rsidRPr="000644B8">
        <w:rPr>
          <w:rFonts w:ascii="Segoe UI" w:hAnsi="Segoe UI" w:cs="Segoe UI"/>
          <w:sz w:val="22"/>
          <w:szCs w:val="22"/>
        </w:rPr>
        <w:t xml:space="preserve"> the </w:t>
      </w:r>
      <w:r w:rsidR="00CF3BD4">
        <w:rPr>
          <w:rFonts w:ascii="Segoe UI" w:hAnsi="Segoe UI" w:cs="Segoe UI"/>
          <w:sz w:val="22"/>
          <w:szCs w:val="22"/>
        </w:rPr>
        <w:t>commercial terms</w:t>
      </w:r>
      <w:r w:rsidRPr="000644B8">
        <w:rPr>
          <w:rFonts w:ascii="Segoe UI" w:hAnsi="Segoe UI" w:cs="Segoe UI"/>
          <w:sz w:val="22"/>
          <w:szCs w:val="22"/>
        </w:rPr>
        <w:t xml:space="preserve"> between more than </w:t>
      </w:r>
      <w:r w:rsidR="00366B43">
        <w:rPr>
          <w:rFonts w:ascii="Segoe UI" w:hAnsi="Segoe UI" w:cs="Segoe UI"/>
          <w:sz w:val="22"/>
          <w:szCs w:val="22"/>
        </w:rPr>
        <w:t>17,000</w:t>
      </w:r>
      <w:r w:rsidRPr="000644B8">
        <w:rPr>
          <w:rFonts w:ascii="Segoe UI" w:hAnsi="Segoe UI" w:cs="Segoe UI"/>
          <w:sz w:val="22"/>
          <w:szCs w:val="22"/>
        </w:rPr>
        <w:t xml:space="preserve"> credit-issuing financial institutions in more than </w:t>
      </w:r>
      <w:r w:rsidR="00366B43">
        <w:rPr>
          <w:rFonts w:ascii="Segoe UI" w:hAnsi="Segoe UI" w:cs="Segoe UI"/>
          <w:sz w:val="22"/>
          <w:szCs w:val="22"/>
        </w:rPr>
        <w:t>230</w:t>
      </w:r>
      <w:r>
        <w:rPr>
          <w:rFonts w:ascii="Segoe UI" w:hAnsi="Segoe UI" w:cs="Segoe UI"/>
          <w:sz w:val="22"/>
          <w:szCs w:val="22"/>
        </w:rPr>
        <w:t xml:space="preserve"> countries outside Australia</w:t>
      </w:r>
      <w:r w:rsidR="00366B43">
        <w:rPr>
          <w:rStyle w:val="FootnoteReference"/>
          <w:rFonts w:ascii="Segoe UI" w:hAnsi="Segoe UI" w:cs="Segoe UI"/>
          <w:sz w:val="22"/>
          <w:szCs w:val="22"/>
        </w:rPr>
        <w:footnoteReference w:id="3"/>
      </w:r>
      <w:r>
        <w:rPr>
          <w:rFonts w:ascii="Segoe UI" w:hAnsi="Segoe UI" w:cs="Segoe UI"/>
          <w:sz w:val="22"/>
          <w:szCs w:val="22"/>
        </w:rPr>
        <w:t xml:space="preserve">. </w:t>
      </w:r>
      <w:r w:rsidR="003B4712">
        <w:rPr>
          <w:rFonts w:ascii="Segoe UI" w:hAnsi="Segoe UI" w:cs="Segoe UI"/>
          <w:sz w:val="22"/>
          <w:szCs w:val="22"/>
        </w:rPr>
        <w:t>We</w:t>
      </w:r>
      <w:r>
        <w:rPr>
          <w:rFonts w:ascii="Segoe UI" w:hAnsi="Segoe UI" w:cs="Segoe UI"/>
          <w:sz w:val="22"/>
          <w:szCs w:val="22"/>
        </w:rPr>
        <w:t xml:space="preserve"> believe</w:t>
      </w:r>
      <w:proofErr w:type="gramStart"/>
      <w:r w:rsidRPr="000644B8">
        <w:rPr>
          <w:rFonts w:ascii="Segoe UI" w:hAnsi="Segoe UI" w:cs="Segoe UI"/>
          <w:sz w:val="22"/>
          <w:szCs w:val="22"/>
        </w:rPr>
        <w:t>,</w:t>
      </w:r>
      <w:proofErr w:type="gramEnd"/>
      <w:r w:rsidRPr="000644B8">
        <w:rPr>
          <w:rFonts w:ascii="Segoe UI" w:hAnsi="Segoe UI" w:cs="Segoe UI"/>
          <w:sz w:val="22"/>
          <w:szCs w:val="22"/>
        </w:rPr>
        <w:t xml:space="preserve"> the regulation of interchange on transactions </w:t>
      </w:r>
      <w:r>
        <w:rPr>
          <w:rFonts w:ascii="Segoe UI" w:hAnsi="Segoe UI" w:cs="Segoe UI"/>
          <w:sz w:val="22"/>
          <w:szCs w:val="22"/>
        </w:rPr>
        <w:t xml:space="preserve">for cards issued outside Australia </w:t>
      </w:r>
      <w:r w:rsidR="00710975">
        <w:rPr>
          <w:rFonts w:ascii="Segoe UI" w:hAnsi="Segoe UI" w:cs="Segoe UI"/>
          <w:sz w:val="22"/>
          <w:szCs w:val="22"/>
        </w:rPr>
        <w:t>could</w:t>
      </w:r>
      <w:r>
        <w:rPr>
          <w:rFonts w:ascii="Segoe UI" w:hAnsi="Segoe UI" w:cs="Segoe UI"/>
          <w:sz w:val="22"/>
          <w:szCs w:val="22"/>
        </w:rPr>
        <w:t xml:space="preserve"> </w:t>
      </w:r>
      <w:r w:rsidRPr="000644B8">
        <w:rPr>
          <w:rFonts w:ascii="Segoe UI" w:hAnsi="Segoe UI" w:cs="Segoe UI"/>
          <w:sz w:val="22"/>
          <w:szCs w:val="22"/>
        </w:rPr>
        <w:t xml:space="preserve">raise </w:t>
      </w:r>
      <w:r>
        <w:rPr>
          <w:rFonts w:ascii="Segoe UI" w:hAnsi="Segoe UI" w:cs="Segoe UI"/>
          <w:sz w:val="22"/>
          <w:szCs w:val="22"/>
        </w:rPr>
        <w:t xml:space="preserve">serious </w:t>
      </w:r>
      <w:r w:rsidRPr="000644B8">
        <w:rPr>
          <w:rFonts w:ascii="Segoe UI" w:hAnsi="Segoe UI" w:cs="Segoe UI"/>
          <w:sz w:val="22"/>
          <w:szCs w:val="22"/>
        </w:rPr>
        <w:t xml:space="preserve">concerns </w:t>
      </w:r>
      <w:r>
        <w:rPr>
          <w:rFonts w:ascii="Segoe UI" w:hAnsi="Segoe UI" w:cs="Segoe UI"/>
          <w:sz w:val="22"/>
          <w:szCs w:val="22"/>
        </w:rPr>
        <w:t xml:space="preserve">from </w:t>
      </w:r>
      <w:r w:rsidRPr="000644B8">
        <w:rPr>
          <w:rFonts w:ascii="Segoe UI" w:hAnsi="Segoe UI" w:cs="Segoe UI"/>
          <w:sz w:val="22"/>
          <w:szCs w:val="22"/>
        </w:rPr>
        <w:t>Australia’s trade partners</w:t>
      </w:r>
      <w:r>
        <w:rPr>
          <w:rFonts w:ascii="Segoe UI" w:hAnsi="Segoe UI" w:cs="Segoe UI"/>
          <w:sz w:val="22"/>
          <w:szCs w:val="22"/>
        </w:rPr>
        <w:t>, given the existing reciprocity of banking regulation globally</w:t>
      </w:r>
      <w:r w:rsidR="00FA1DF7">
        <w:rPr>
          <w:rFonts w:ascii="Segoe UI" w:hAnsi="Segoe UI" w:cs="Segoe UI"/>
          <w:sz w:val="22"/>
          <w:szCs w:val="22"/>
        </w:rPr>
        <w:t>,</w:t>
      </w:r>
      <w:r>
        <w:rPr>
          <w:rFonts w:ascii="Segoe UI" w:hAnsi="Segoe UI" w:cs="Segoe UI"/>
          <w:sz w:val="22"/>
          <w:szCs w:val="22"/>
        </w:rPr>
        <w:t xml:space="preserve"> and the understanding that cross-border</w:t>
      </w:r>
      <w:r w:rsidRPr="000644B8">
        <w:rPr>
          <w:rFonts w:ascii="Segoe UI" w:hAnsi="Segoe UI" w:cs="Segoe UI"/>
          <w:sz w:val="22"/>
          <w:szCs w:val="22"/>
        </w:rPr>
        <w:t xml:space="preserve"> transacti</w:t>
      </w:r>
      <w:r>
        <w:rPr>
          <w:rFonts w:ascii="Segoe UI" w:hAnsi="Segoe UI" w:cs="Segoe UI"/>
          <w:sz w:val="22"/>
          <w:szCs w:val="22"/>
        </w:rPr>
        <w:t>ons significantly differ in nature to</w:t>
      </w:r>
      <w:r w:rsidRPr="000644B8">
        <w:rPr>
          <w:rFonts w:ascii="Segoe UI" w:hAnsi="Segoe UI" w:cs="Segoe UI"/>
          <w:sz w:val="22"/>
          <w:szCs w:val="22"/>
        </w:rPr>
        <w:t xml:space="preserve"> their domestic counterparts. Visa and other stakeholders throughout the payment</w:t>
      </w:r>
      <w:r>
        <w:rPr>
          <w:rFonts w:ascii="Segoe UI" w:hAnsi="Segoe UI" w:cs="Segoe UI"/>
          <w:sz w:val="22"/>
          <w:szCs w:val="22"/>
        </w:rPr>
        <w:t xml:space="preserve"> system invest to meet the specific needs</w:t>
      </w:r>
      <w:r w:rsidRPr="000644B8">
        <w:rPr>
          <w:rFonts w:ascii="Segoe UI" w:hAnsi="Segoe UI" w:cs="Segoe UI"/>
          <w:sz w:val="22"/>
          <w:szCs w:val="22"/>
        </w:rPr>
        <w:t xml:space="preserve"> associated with processing </w:t>
      </w:r>
      <w:r>
        <w:rPr>
          <w:rFonts w:ascii="Segoe UI" w:hAnsi="Segoe UI" w:cs="Segoe UI"/>
          <w:sz w:val="22"/>
          <w:szCs w:val="22"/>
        </w:rPr>
        <w:t>cross-border payments and i</w:t>
      </w:r>
      <w:r w:rsidRPr="000644B8">
        <w:rPr>
          <w:rFonts w:ascii="Segoe UI" w:hAnsi="Segoe UI" w:cs="Segoe UI"/>
          <w:sz w:val="22"/>
          <w:szCs w:val="22"/>
        </w:rPr>
        <w:t xml:space="preserve">n doing so, facilitate </w:t>
      </w:r>
      <w:r>
        <w:rPr>
          <w:rFonts w:ascii="Segoe UI" w:hAnsi="Segoe UI" w:cs="Segoe UI"/>
          <w:sz w:val="22"/>
          <w:szCs w:val="22"/>
        </w:rPr>
        <w:t>global trade and investment,</w:t>
      </w:r>
      <w:r w:rsidRPr="000644B8">
        <w:rPr>
          <w:rFonts w:ascii="Segoe UI" w:hAnsi="Segoe UI" w:cs="Segoe UI"/>
          <w:sz w:val="22"/>
          <w:szCs w:val="22"/>
        </w:rPr>
        <w:t xml:space="preserve"> connecting </w:t>
      </w:r>
      <w:r>
        <w:rPr>
          <w:rFonts w:ascii="Segoe UI" w:hAnsi="Segoe UI" w:cs="Segoe UI"/>
          <w:sz w:val="22"/>
          <w:szCs w:val="22"/>
        </w:rPr>
        <w:t xml:space="preserve">international </w:t>
      </w:r>
      <w:r w:rsidRPr="000644B8">
        <w:rPr>
          <w:rFonts w:ascii="Segoe UI" w:hAnsi="Segoe UI" w:cs="Segoe UI"/>
          <w:sz w:val="22"/>
          <w:szCs w:val="22"/>
        </w:rPr>
        <w:t>consumers</w:t>
      </w:r>
      <w:r>
        <w:rPr>
          <w:rFonts w:ascii="Segoe UI" w:hAnsi="Segoe UI" w:cs="Segoe UI"/>
          <w:sz w:val="22"/>
          <w:szCs w:val="22"/>
        </w:rPr>
        <w:t xml:space="preserve"> to Australia.</w:t>
      </w:r>
    </w:p>
    <w:p w14:paraId="06757AA1" w14:textId="77777777" w:rsidR="00C10050" w:rsidRPr="000644B8" w:rsidRDefault="00C10050" w:rsidP="00785DB4">
      <w:pPr>
        <w:jc w:val="both"/>
        <w:rPr>
          <w:rFonts w:ascii="Segoe UI" w:hAnsi="Segoe UI" w:cs="Segoe UI"/>
          <w:sz w:val="22"/>
          <w:szCs w:val="22"/>
        </w:rPr>
      </w:pPr>
    </w:p>
    <w:p w14:paraId="06757AA2" w14:textId="77777777" w:rsidR="003B4712" w:rsidRDefault="003B4712" w:rsidP="00785DB4">
      <w:pPr>
        <w:jc w:val="both"/>
        <w:rPr>
          <w:rFonts w:ascii="Segoe UI" w:hAnsi="Segoe UI" w:cs="Segoe UI"/>
          <w:sz w:val="22"/>
          <w:szCs w:val="22"/>
        </w:rPr>
      </w:pPr>
      <w:r w:rsidRPr="003B4712">
        <w:rPr>
          <w:rFonts w:ascii="Segoe UI" w:hAnsi="Segoe UI" w:cs="Segoe UI"/>
          <w:sz w:val="22"/>
          <w:szCs w:val="22"/>
        </w:rPr>
        <w:t>Visa understands the RBA’s proposal to regulate interchange on foreign-issued cards is based on a concern that excluding international interchange creates a ‘loophole’</w:t>
      </w:r>
      <w:r w:rsidR="00710975">
        <w:rPr>
          <w:rFonts w:ascii="Segoe UI" w:hAnsi="Segoe UI" w:cs="Segoe UI"/>
          <w:sz w:val="22"/>
          <w:szCs w:val="22"/>
        </w:rPr>
        <w:t xml:space="preserve"> for circumventing the existing interchange regime</w:t>
      </w:r>
      <w:r w:rsidRPr="003B4712">
        <w:rPr>
          <w:rFonts w:ascii="Segoe UI" w:hAnsi="Segoe UI" w:cs="Segoe UI"/>
          <w:sz w:val="22"/>
          <w:szCs w:val="22"/>
        </w:rPr>
        <w:t xml:space="preserve">. </w:t>
      </w:r>
      <w:r w:rsidR="00710975">
        <w:rPr>
          <w:rFonts w:ascii="Segoe UI" w:hAnsi="Segoe UI" w:cs="Segoe UI"/>
          <w:sz w:val="22"/>
          <w:szCs w:val="22"/>
        </w:rPr>
        <w:t>Visa’s rules prohibit cross-border issuance of cards eliminating any possibility of interchange circumvention. T</w:t>
      </w:r>
      <w:r w:rsidR="00710975" w:rsidRPr="003B4712">
        <w:rPr>
          <w:rFonts w:ascii="Segoe UI" w:hAnsi="Segoe UI" w:cs="Segoe UI"/>
          <w:sz w:val="22"/>
          <w:szCs w:val="22"/>
        </w:rPr>
        <w:t xml:space="preserve">he </w:t>
      </w:r>
      <w:r w:rsidRPr="003B4712">
        <w:rPr>
          <w:rFonts w:ascii="Segoe UI" w:hAnsi="Segoe UI" w:cs="Segoe UI"/>
          <w:sz w:val="22"/>
          <w:szCs w:val="22"/>
        </w:rPr>
        <w:t xml:space="preserve">integrity of Visa’s existing scheme rules, systems, and regulations have and will continue to ensure that financial </w:t>
      </w:r>
      <w:r w:rsidRPr="003B4712">
        <w:rPr>
          <w:rFonts w:ascii="Segoe UI" w:hAnsi="Segoe UI" w:cs="Segoe UI"/>
          <w:sz w:val="22"/>
          <w:szCs w:val="22"/>
        </w:rPr>
        <w:lastRenderedPageBreak/>
        <w:t xml:space="preserve">institutions serving Australian cardholders are based in Australia, </w:t>
      </w:r>
      <w:r w:rsidR="00FA1DF7">
        <w:rPr>
          <w:rFonts w:ascii="Segoe UI" w:hAnsi="Segoe UI" w:cs="Segoe UI"/>
          <w:sz w:val="22"/>
          <w:szCs w:val="22"/>
        </w:rPr>
        <w:t xml:space="preserve">thus </w:t>
      </w:r>
      <w:r w:rsidRPr="003B4712">
        <w:rPr>
          <w:rFonts w:ascii="Segoe UI" w:hAnsi="Segoe UI" w:cs="Segoe UI"/>
          <w:sz w:val="22"/>
          <w:szCs w:val="22"/>
        </w:rPr>
        <w:t>removing this hypothetical.</w:t>
      </w:r>
      <w:r>
        <w:rPr>
          <w:rFonts w:ascii="Segoe UI" w:hAnsi="Segoe UI" w:cs="Segoe UI"/>
          <w:sz w:val="22"/>
          <w:szCs w:val="22"/>
        </w:rPr>
        <w:t xml:space="preserve"> </w:t>
      </w:r>
      <w:r w:rsidRPr="000644B8">
        <w:rPr>
          <w:rFonts w:ascii="Segoe UI" w:hAnsi="Segoe UI" w:cs="Segoe UI"/>
          <w:sz w:val="22"/>
          <w:szCs w:val="22"/>
        </w:rPr>
        <w:t>Visa remains committed to upholding our existing rules to prevent circumvention</w:t>
      </w:r>
      <w:r w:rsidR="00710975">
        <w:rPr>
          <w:rFonts w:ascii="Segoe UI" w:hAnsi="Segoe UI" w:cs="Segoe UI"/>
          <w:sz w:val="22"/>
          <w:szCs w:val="22"/>
        </w:rPr>
        <w:t>.</w:t>
      </w:r>
      <w:r w:rsidR="00710975" w:rsidRPr="000644B8">
        <w:rPr>
          <w:rFonts w:ascii="Segoe UI" w:hAnsi="Segoe UI" w:cs="Segoe UI"/>
          <w:sz w:val="22"/>
          <w:szCs w:val="22"/>
        </w:rPr>
        <w:t xml:space="preserve"> </w:t>
      </w:r>
      <w:r w:rsidR="00710975">
        <w:rPr>
          <w:rFonts w:ascii="Segoe UI" w:hAnsi="Segoe UI" w:cs="Segoe UI"/>
          <w:sz w:val="22"/>
          <w:szCs w:val="22"/>
        </w:rPr>
        <w:t>We would be willing to provide additional assurances to the RBA regarding circumvention and collaborate to ensure that other industry players step up to the same undertakings.</w:t>
      </w:r>
    </w:p>
    <w:p w14:paraId="06757AA3" w14:textId="77777777" w:rsidR="00710975" w:rsidRDefault="00710975" w:rsidP="00785DB4">
      <w:pPr>
        <w:jc w:val="both"/>
        <w:rPr>
          <w:rFonts w:ascii="Segoe UI" w:hAnsi="Segoe UI" w:cs="Segoe UI"/>
          <w:sz w:val="22"/>
          <w:szCs w:val="22"/>
        </w:rPr>
      </w:pPr>
    </w:p>
    <w:p w14:paraId="06757AA4" w14:textId="77777777" w:rsidR="00C10050" w:rsidRPr="00B16A87" w:rsidRDefault="003147C2" w:rsidP="00785DB4">
      <w:pPr>
        <w:pStyle w:val="Heading2"/>
        <w:spacing w:before="0"/>
        <w:jc w:val="both"/>
        <w:rPr>
          <w:rStyle w:val="IntenseEmphasis"/>
          <w:rFonts w:ascii="Segoe UI" w:eastAsiaTheme="minorEastAsia" w:hAnsi="Segoe UI" w:cs="Segoe UI"/>
          <w:b w:val="0"/>
          <w:bCs w:val="0"/>
          <w:i w:val="0"/>
          <w:iCs w:val="0"/>
          <w:color w:val="75787B"/>
          <w:sz w:val="24"/>
          <w:szCs w:val="24"/>
        </w:rPr>
      </w:pPr>
      <w:bookmarkStart w:id="55" w:name="_Toc442273942"/>
      <w:r>
        <w:rPr>
          <w:rStyle w:val="IntenseEmphasis"/>
          <w:rFonts w:ascii="Segoe UI" w:hAnsi="Segoe UI" w:cs="Segoe UI"/>
          <w:i w:val="0"/>
        </w:rPr>
        <w:t>1.2</w:t>
      </w:r>
      <w:r>
        <w:rPr>
          <w:rStyle w:val="IntenseEmphasis"/>
          <w:rFonts w:ascii="Segoe UI" w:hAnsi="Segoe UI" w:cs="Segoe UI"/>
          <w:i w:val="0"/>
        </w:rPr>
        <w:tab/>
      </w:r>
      <w:r w:rsidR="00C10050" w:rsidRPr="00B16A87">
        <w:rPr>
          <w:rStyle w:val="IntenseEmphasis"/>
          <w:rFonts w:ascii="Segoe UI" w:hAnsi="Segoe UI" w:cs="Segoe UI"/>
          <w:i w:val="0"/>
        </w:rPr>
        <w:t xml:space="preserve">Circumvention: Visa is </w:t>
      </w:r>
      <w:r w:rsidR="00CC79AE">
        <w:rPr>
          <w:rStyle w:val="IntenseEmphasis"/>
          <w:rFonts w:ascii="Segoe UI" w:hAnsi="Segoe UI" w:cs="Segoe UI"/>
          <w:i w:val="0"/>
        </w:rPr>
        <w:t>part of the s</w:t>
      </w:r>
      <w:r w:rsidR="00C10050" w:rsidRPr="00B16A87">
        <w:rPr>
          <w:rStyle w:val="IntenseEmphasis"/>
          <w:rFonts w:ascii="Segoe UI" w:hAnsi="Segoe UI" w:cs="Segoe UI"/>
          <w:i w:val="0"/>
        </w:rPr>
        <w:t>olution</w:t>
      </w:r>
      <w:bookmarkEnd w:id="55"/>
      <w:r w:rsidR="00C10050" w:rsidRPr="00B16A87">
        <w:rPr>
          <w:rStyle w:val="IntenseEmphasis"/>
          <w:rFonts w:ascii="Segoe UI" w:hAnsi="Segoe UI" w:cs="Segoe UI"/>
          <w:i w:val="0"/>
        </w:rPr>
        <w:t xml:space="preserve"> </w:t>
      </w:r>
    </w:p>
    <w:p w14:paraId="06757AA5" w14:textId="77777777" w:rsidR="00C10050" w:rsidRDefault="00C10050" w:rsidP="00785DB4">
      <w:pPr>
        <w:jc w:val="both"/>
        <w:rPr>
          <w:rFonts w:asciiTheme="majorHAnsi" w:hAnsiTheme="majorHAnsi" w:cstheme="minorHAnsi"/>
        </w:rPr>
      </w:pPr>
    </w:p>
    <w:p w14:paraId="06757AA6" w14:textId="77777777" w:rsidR="00C10050" w:rsidRPr="000644B8" w:rsidRDefault="00C10050" w:rsidP="00785DB4">
      <w:pPr>
        <w:jc w:val="both"/>
        <w:rPr>
          <w:rFonts w:ascii="Segoe UI" w:hAnsi="Segoe UI" w:cs="Segoe UI"/>
          <w:sz w:val="22"/>
          <w:szCs w:val="22"/>
        </w:rPr>
      </w:pPr>
      <w:r w:rsidRPr="005B29C2">
        <w:rPr>
          <w:rFonts w:ascii="Segoe UI" w:eastAsia="Segoe UI" w:hAnsi="Segoe UI" w:cs="Segoe UI"/>
          <w:sz w:val="22"/>
          <w:szCs w:val="22"/>
        </w:rPr>
        <w:t xml:space="preserve">Visa </w:t>
      </w:r>
      <w:proofErr w:type="spellStart"/>
      <w:r w:rsidR="005B29C2" w:rsidRPr="005B29C2">
        <w:rPr>
          <w:rFonts w:ascii="Segoe UI" w:eastAsia="Segoe UI" w:hAnsi="Segoe UI" w:cs="Segoe UI"/>
          <w:sz w:val="22"/>
          <w:szCs w:val="22"/>
        </w:rPr>
        <w:t>recognis</w:t>
      </w:r>
      <w:r w:rsidRPr="005B29C2">
        <w:rPr>
          <w:rFonts w:ascii="Segoe UI" w:eastAsia="Segoe UI" w:hAnsi="Segoe UI" w:cs="Segoe UI"/>
          <w:sz w:val="22"/>
          <w:szCs w:val="22"/>
        </w:rPr>
        <w:t>es</w:t>
      </w:r>
      <w:proofErr w:type="spellEnd"/>
      <w:r w:rsidRPr="005B29C2">
        <w:rPr>
          <w:rFonts w:ascii="Segoe UI" w:eastAsia="Segoe UI" w:hAnsi="Segoe UI" w:cs="Segoe UI"/>
          <w:sz w:val="22"/>
          <w:szCs w:val="22"/>
        </w:rPr>
        <w:t xml:space="preserve"> the RBA’s concern over the cost of payment card acceptance and its intention to ensure that financial institutions serving Australian cardholders cannot avoid interchange regulation by locating outside of Australia.</w:t>
      </w:r>
      <w:r w:rsidRPr="3763B8D2">
        <w:rPr>
          <w:rFonts w:ascii="Segoe UI" w:eastAsia="Segoe UI" w:hAnsi="Segoe UI" w:cs="Segoe UI"/>
          <w:sz w:val="22"/>
          <w:szCs w:val="22"/>
        </w:rPr>
        <w:t xml:space="preserve"> Visa’s rules already provide a ready-made solution to</w:t>
      </w:r>
      <w:r>
        <w:rPr>
          <w:rFonts w:ascii="Segoe UI" w:eastAsia="Segoe UI" w:hAnsi="Segoe UI" w:cs="Segoe UI"/>
          <w:sz w:val="22"/>
          <w:szCs w:val="22"/>
        </w:rPr>
        <w:t xml:space="preserve"> address that issue</w:t>
      </w:r>
      <w:r w:rsidR="003B4712">
        <w:rPr>
          <w:rFonts w:ascii="Segoe UI" w:eastAsia="Segoe UI" w:hAnsi="Segoe UI" w:cs="Segoe UI"/>
          <w:sz w:val="22"/>
          <w:szCs w:val="22"/>
        </w:rPr>
        <w:t xml:space="preserve">. </w:t>
      </w:r>
      <w:r w:rsidRPr="3763B8D2">
        <w:rPr>
          <w:rFonts w:ascii="Segoe UI" w:eastAsia="Segoe UI" w:hAnsi="Segoe UI" w:cs="Segoe UI"/>
          <w:sz w:val="22"/>
          <w:szCs w:val="22"/>
        </w:rPr>
        <w:t xml:space="preserve">Since its inception, Visa’s </w:t>
      </w:r>
      <w:r>
        <w:rPr>
          <w:rFonts w:ascii="Segoe UI" w:eastAsia="Segoe UI" w:hAnsi="Segoe UI" w:cs="Segoe UI"/>
          <w:sz w:val="22"/>
          <w:szCs w:val="22"/>
        </w:rPr>
        <w:t>Operating Rules</w:t>
      </w:r>
      <w:r w:rsidRPr="3763B8D2">
        <w:rPr>
          <w:rFonts w:ascii="Segoe UI" w:eastAsia="Segoe UI" w:hAnsi="Segoe UI" w:cs="Segoe UI"/>
          <w:sz w:val="22"/>
          <w:szCs w:val="22"/>
        </w:rPr>
        <w:t xml:space="preserve"> have included provisions</w:t>
      </w:r>
      <w:r w:rsidR="00952D5E">
        <w:rPr>
          <w:rFonts w:ascii="Segoe UI" w:eastAsia="Segoe UI" w:hAnsi="Segoe UI" w:cs="Segoe UI"/>
          <w:sz w:val="22"/>
          <w:szCs w:val="22"/>
        </w:rPr>
        <w:t xml:space="preserve"> on </w:t>
      </w:r>
      <w:r w:rsidRPr="670DE92C">
        <w:rPr>
          <w:rFonts w:ascii="Segoe UI" w:eastAsia="Segoe UI" w:hAnsi="Segoe UI" w:cs="Segoe UI"/>
          <w:sz w:val="22"/>
          <w:szCs w:val="22"/>
        </w:rPr>
        <w:t xml:space="preserve">cross-border issuance that limit </w:t>
      </w:r>
      <w:r w:rsidRPr="0E8895CA">
        <w:rPr>
          <w:rFonts w:ascii="Segoe UI" w:eastAsia="Segoe UI" w:hAnsi="Segoe UI" w:cs="Segoe UI"/>
          <w:sz w:val="22"/>
          <w:szCs w:val="22"/>
        </w:rPr>
        <w:t>a financial institution client from issuing cards to consu</w:t>
      </w:r>
      <w:r w:rsidR="008F6AF9">
        <w:rPr>
          <w:rFonts w:ascii="Segoe UI" w:eastAsia="Segoe UI" w:hAnsi="Segoe UI" w:cs="Segoe UI"/>
          <w:sz w:val="22"/>
          <w:szCs w:val="22"/>
        </w:rPr>
        <w:t xml:space="preserve">mers outside its jurisdiction. </w:t>
      </w:r>
      <w:r w:rsidRPr="0E8895CA">
        <w:rPr>
          <w:rFonts w:ascii="Segoe UI" w:eastAsia="Segoe UI" w:hAnsi="Segoe UI" w:cs="Segoe UI"/>
          <w:sz w:val="22"/>
          <w:szCs w:val="22"/>
        </w:rPr>
        <w:t>Specifically, Visa’s membership requirements provide that each issuer must apply for a license to operate within a specific country or geographic region, and issuers are not allowed to issue Visa cards to customers outside the country for which</w:t>
      </w:r>
      <w:r w:rsidR="00DF5210">
        <w:rPr>
          <w:rFonts w:ascii="Segoe UI" w:eastAsia="Segoe UI" w:hAnsi="Segoe UI" w:cs="Segoe UI"/>
          <w:sz w:val="22"/>
          <w:szCs w:val="22"/>
        </w:rPr>
        <w:t xml:space="preserve"> they are licensed. </w:t>
      </w:r>
    </w:p>
    <w:p w14:paraId="06757AA7" w14:textId="77777777" w:rsidR="00C10050" w:rsidRPr="000644B8" w:rsidRDefault="00C10050" w:rsidP="00785DB4">
      <w:pPr>
        <w:jc w:val="both"/>
        <w:rPr>
          <w:rFonts w:ascii="Segoe UI" w:hAnsi="Segoe UI" w:cs="Segoe UI"/>
          <w:sz w:val="22"/>
          <w:szCs w:val="22"/>
        </w:rPr>
      </w:pPr>
    </w:p>
    <w:p w14:paraId="06757AA8" w14:textId="77777777" w:rsidR="00C10050" w:rsidRPr="000644B8" w:rsidRDefault="00C10050" w:rsidP="00785DB4">
      <w:pPr>
        <w:jc w:val="both"/>
        <w:rPr>
          <w:rFonts w:ascii="Segoe UI" w:hAnsi="Segoe UI" w:cs="Segoe UI"/>
          <w:sz w:val="22"/>
          <w:szCs w:val="22"/>
        </w:rPr>
      </w:pPr>
      <w:r>
        <w:rPr>
          <w:rFonts w:ascii="Segoe UI" w:eastAsia="Segoe UI" w:hAnsi="Segoe UI" w:cs="Segoe UI"/>
          <w:sz w:val="22"/>
          <w:szCs w:val="22"/>
        </w:rPr>
        <w:t xml:space="preserve">As a result of </w:t>
      </w:r>
      <w:r w:rsidRPr="4E65CA45">
        <w:rPr>
          <w:rFonts w:ascii="Segoe UI" w:eastAsia="Segoe UI" w:hAnsi="Segoe UI" w:cs="Segoe UI"/>
          <w:sz w:val="22"/>
          <w:szCs w:val="22"/>
        </w:rPr>
        <w:t>Visa’s operational structure and the c</w:t>
      </w:r>
      <w:r>
        <w:rPr>
          <w:rFonts w:ascii="Segoe UI" w:eastAsia="Segoe UI" w:hAnsi="Segoe UI" w:cs="Segoe UI"/>
          <w:sz w:val="22"/>
          <w:szCs w:val="22"/>
        </w:rPr>
        <w:t>osts of</w:t>
      </w:r>
      <w:r w:rsidRPr="4E65CA45">
        <w:rPr>
          <w:rFonts w:ascii="Segoe UI" w:eastAsia="Segoe UI" w:hAnsi="Segoe UI" w:cs="Segoe UI"/>
          <w:sz w:val="22"/>
          <w:szCs w:val="22"/>
        </w:rPr>
        <w:t xml:space="preserve"> enabling </w:t>
      </w:r>
      <w:r>
        <w:rPr>
          <w:rFonts w:ascii="Segoe UI" w:eastAsia="Segoe UI" w:hAnsi="Segoe UI" w:cs="Segoe UI"/>
          <w:sz w:val="22"/>
          <w:szCs w:val="22"/>
        </w:rPr>
        <w:t>cross-border</w:t>
      </w:r>
      <w:r w:rsidRPr="4E65CA45">
        <w:rPr>
          <w:rFonts w:ascii="Segoe UI" w:eastAsia="Segoe UI" w:hAnsi="Segoe UI" w:cs="Segoe UI"/>
          <w:sz w:val="22"/>
          <w:szCs w:val="22"/>
        </w:rPr>
        <w:t xml:space="preserve"> payments, </w:t>
      </w:r>
      <w:r>
        <w:rPr>
          <w:rFonts w:ascii="Segoe UI" w:eastAsia="Segoe UI" w:hAnsi="Segoe UI" w:cs="Segoe UI"/>
          <w:sz w:val="22"/>
          <w:szCs w:val="22"/>
        </w:rPr>
        <w:t xml:space="preserve">in addition to the prohibition under our rules, </w:t>
      </w:r>
      <w:r w:rsidRPr="4E65CA45">
        <w:rPr>
          <w:rFonts w:ascii="Segoe UI" w:eastAsia="Segoe UI" w:hAnsi="Segoe UI" w:cs="Segoe UI"/>
          <w:sz w:val="22"/>
          <w:szCs w:val="22"/>
        </w:rPr>
        <w:t>clients lack</w:t>
      </w:r>
      <w:r>
        <w:rPr>
          <w:rFonts w:ascii="Segoe UI" w:eastAsia="Segoe UI" w:hAnsi="Segoe UI" w:cs="Segoe UI"/>
          <w:sz w:val="22"/>
          <w:szCs w:val="22"/>
        </w:rPr>
        <w:t xml:space="preserve"> the</w:t>
      </w:r>
      <w:r w:rsidRPr="4E65CA45">
        <w:rPr>
          <w:rFonts w:ascii="Segoe UI" w:eastAsia="Segoe UI" w:hAnsi="Segoe UI" w:cs="Segoe UI"/>
          <w:sz w:val="22"/>
          <w:szCs w:val="22"/>
        </w:rPr>
        <w:t xml:space="preserve"> financial incentive to participa</w:t>
      </w:r>
      <w:r>
        <w:rPr>
          <w:rFonts w:ascii="Segoe UI" w:eastAsia="Segoe UI" w:hAnsi="Segoe UI" w:cs="Segoe UI"/>
          <w:sz w:val="22"/>
          <w:szCs w:val="22"/>
        </w:rPr>
        <w:t>te in</w:t>
      </w:r>
      <w:r w:rsidRPr="4E65CA45">
        <w:rPr>
          <w:rFonts w:ascii="Segoe UI" w:eastAsia="Segoe UI" w:hAnsi="Segoe UI" w:cs="Segoe UI"/>
          <w:sz w:val="22"/>
          <w:szCs w:val="22"/>
        </w:rPr>
        <w:t xml:space="preserve"> circumvention</w:t>
      </w:r>
      <w:r>
        <w:rPr>
          <w:rFonts w:ascii="Segoe UI" w:eastAsia="Segoe UI" w:hAnsi="Segoe UI" w:cs="Segoe UI"/>
          <w:sz w:val="22"/>
          <w:szCs w:val="22"/>
        </w:rPr>
        <w:t xml:space="preserve"> to obtain preferential interchange rates</w:t>
      </w:r>
      <w:r w:rsidRPr="4E65CA45">
        <w:rPr>
          <w:rFonts w:ascii="Segoe UI" w:eastAsia="Segoe UI" w:hAnsi="Segoe UI" w:cs="Segoe UI"/>
          <w:sz w:val="22"/>
          <w:szCs w:val="22"/>
        </w:rPr>
        <w:t>.</w:t>
      </w:r>
      <w:r>
        <w:rPr>
          <w:rFonts w:ascii="Segoe UI" w:eastAsia="Segoe UI" w:hAnsi="Segoe UI" w:cs="Segoe UI"/>
          <w:sz w:val="22"/>
          <w:szCs w:val="22"/>
        </w:rPr>
        <w:t xml:space="preserve"> For example, to date no New Zealand subsidiary of an Australian financial institution has issued cards in Australia.</w:t>
      </w:r>
      <w:r w:rsidRPr="4E65CA45">
        <w:rPr>
          <w:rFonts w:ascii="Segoe UI" w:eastAsia="Segoe UI" w:hAnsi="Segoe UI" w:cs="Segoe UI"/>
          <w:sz w:val="22"/>
          <w:szCs w:val="22"/>
        </w:rPr>
        <w:t xml:space="preserve"> </w:t>
      </w:r>
    </w:p>
    <w:p w14:paraId="06757AA9" w14:textId="77777777" w:rsidR="00C10050" w:rsidRPr="000644B8" w:rsidRDefault="00C10050" w:rsidP="00785DB4">
      <w:pPr>
        <w:jc w:val="both"/>
        <w:rPr>
          <w:rFonts w:ascii="Segoe UI" w:hAnsi="Segoe UI" w:cs="Segoe UI"/>
          <w:sz w:val="22"/>
          <w:szCs w:val="22"/>
        </w:rPr>
      </w:pPr>
    </w:p>
    <w:p w14:paraId="06757AAA" w14:textId="77777777" w:rsidR="00C10050" w:rsidRPr="000644B8" w:rsidRDefault="00C10050" w:rsidP="00785DB4">
      <w:pPr>
        <w:jc w:val="both"/>
        <w:rPr>
          <w:rFonts w:ascii="Segoe UI" w:hAnsi="Segoe UI" w:cs="Segoe UI"/>
          <w:sz w:val="22"/>
          <w:szCs w:val="22"/>
        </w:rPr>
      </w:pPr>
      <w:r>
        <w:rPr>
          <w:rFonts w:ascii="Segoe UI" w:hAnsi="Segoe UI" w:cs="Segoe UI"/>
          <w:sz w:val="22"/>
          <w:szCs w:val="22"/>
        </w:rPr>
        <w:t>Visa</w:t>
      </w:r>
      <w:r w:rsidRPr="000644B8">
        <w:rPr>
          <w:rFonts w:ascii="Segoe UI" w:hAnsi="Segoe UI" w:cs="Segoe UI"/>
          <w:sz w:val="22"/>
          <w:szCs w:val="22"/>
        </w:rPr>
        <w:t xml:space="preserve"> would welcome the opportunity to discuss with the RBA additional and/or alternative approaches to ensure that the RBA’s concerns with the potential evasion of</w:t>
      </w:r>
      <w:r>
        <w:rPr>
          <w:rFonts w:ascii="Segoe UI" w:hAnsi="Segoe UI" w:cs="Segoe UI"/>
          <w:sz w:val="22"/>
          <w:szCs w:val="22"/>
        </w:rPr>
        <w:t xml:space="preserve"> its regulation are addressed</w:t>
      </w:r>
      <w:r w:rsidR="00750C18">
        <w:rPr>
          <w:rFonts w:ascii="Segoe UI" w:hAnsi="Segoe UI" w:cs="Segoe UI"/>
          <w:sz w:val="22"/>
          <w:szCs w:val="22"/>
        </w:rPr>
        <w:t xml:space="preserve"> comprehensively by industry</w:t>
      </w:r>
      <w:r>
        <w:rPr>
          <w:rFonts w:ascii="Segoe UI" w:hAnsi="Segoe UI" w:cs="Segoe UI"/>
          <w:sz w:val="22"/>
          <w:szCs w:val="22"/>
        </w:rPr>
        <w:t xml:space="preserve">. </w:t>
      </w:r>
      <w:r w:rsidR="00750C18">
        <w:rPr>
          <w:rFonts w:ascii="Segoe UI" w:hAnsi="Segoe UI" w:cs="Segoe UI"/>
          <w:sz w:val="22"/>
          <w:szCs w:val="22"/>
        </w:rPr>
        <w:t xml:space="preserve"> </w:t>
      </w:r>
    </w:p>
    <w:p w14:paraId="06757AAB" w14:textId="77777777" w:rsidR="00C10050" w:rsidRDefault="00C10050" w:rsidP="00785DB4">
      <w:pPr>
        <w:jc w:val="both"/>
      </w:pPr>
    </w:p>
    <w:p w14:paraId="06757AAC" w14:textId="77777777" w:rsidR="00C10050" w:rsidRPr="00B16A87" w:rsidRDefault="003147C2" w:rsidP="00785DB4">
      <w:pPr>
        <w:pStyle w:val="Heading2"/>
        <w:spacing w:before="0"/>
        <w:jc w:val="both"/>
        <w:rPr>
          <w:rStyle w:val="IntenseEmphasis"/>
          <w:rFonts w:ascii="Segoe UI" w:eastAsiaTheme="minorEastAsia" w:hAnsi="Segoe UI" w:cs="Segoe UI"/>
          <w:b w:val="0"/>
          <w:bCs w:val="0"/>
          <w:i w:val="0"/>
          <w:sz w:val="24"/>
          <w:szCs w:val="24"/>
        </w:rPr>
      </w:pPr>
      <w:bookmarkStart w:id="56" w:name="_Toc442273943"/>
      <w:r>
        <w:rPr>
          <w:rStyle w:val="IntenseEmphasis"/>
          <w:rFonts w:ascii="Segoe UI" w:hAnsi="Segoe UI" w:cs="Segoe UI"/>
          <w:i w:val="0"/>
        </w:rPr>
        <w:t>1.3</w:t>
      </w:r>
      <w:r>
        <w:rPr>
          <w:rStyle w:val="IntenseEmphasis"/>
          <w:rFonts w:ascii="Segoe UI" w:hAnsi="Segoe UI" w:cs="Segoe UI"/>
          <w:i w:val="0"/>
        </w:rPr>
        <w:tab/>
      </w:r>
      <w:r w:rsidR="00BF21FF">
        <w:rPr>
          <w:rStyle w:val="IntenseEmphasis"/>
          <w:rFonts w:ascii="Segoe UI" w:hAnsi="Segoe UI" w:cs="Segoe UI"/>
          <w:i w:val="0"/>
        </w:rPr>
        <w:t xml:space="preserve">Impact of </w:t>
      </w:r>
      <w:r w:rsidR="00CC79AE">
        <w:rPr>
          <w:rStyle w:val="IntenseEmphasis"/>
          <w:rFonts w:ascii="Segoe UI" w:hAnsi="Segoe UI" w:cs="Segoe UI"/>
          <w:i w:val="0"/>
        </w:rPr>
        <w:t>c</w:t>
      </w:r>
      <w:r w:rsidR="00BF21FF">
        <w:rPr>
          <w:rStyle w:val="IntenseEmphasis"/>
          <w:rFonts w:ascii="Segoe UI" w:hAnsi="Segoe UI" w:cs="Segoe UI"/>
          <w:i w:val="0"/>
        </w:rPr>
        <w:t xml:space="preserve">apping </w:t>
      </w:r>
      <w:r w:rsidR="00CC79AE">
        <w:rPr>
          <w:rStyle w:val="IntenseEmphasis"/>
          <w:rFonts w:ascii="Segoe UI" w:hAnsi="Segoe UI" w:cs="Segoe UI"/>
          <w:i w:val="0"/>
        </w:rPr>
        <w:t>i</w:t>
      </w:r>
      <w:r w:rsidR="00BF21FF">
        <w:rPr>
          <w:rStyle w:val="IntenseEmphasis"/>
          <w:rFonts w:ascii="Segoe UI" w:hAnsi="Segoe UI" w:cs="Segoe UI"/>
          <w:i w:val="0"/>
        </w:rPr>
        <w:t xml:space="preserve">nterchange on </w:t>
      </w:r>
      <w:r w:rsidR="00CC79AE">
        <w:rPr>
          <w:rStyle w:val="IntenseEmphasis"/>
          <w:rFonts w:ascii="Segoe UI" w:hAnsi="Segoe UI" w:cs="Segoe UI"/>
          <w:i w:val="0"/>
        </w:rPr>
        <w:t>i</w:t>
      </w:r>
      <w:r w:rsidR="00BF21FF">
        <w:rPr>
          <w:rStyle w:val="IntenseEmphasis"/>
          <w:rFonts w:ascii="Segoe UI" w:hAnsi="Segoe UI" w:cs="Segoe UI"/>
          <w:i w:val="0"/>
        </w:rPr>
        <w:t xml:space="preserve">ndustry and </w:t>
      </w:r>
      <w:r w:rsidR="00CC79AE">
        <w:rPr>
          <w:rStyle w:val="IntenseEmphasis"/>
          <w:rFonts w:ascii="Segoe UI" w:hAnsi="Segoe UI" w:cs="Segoe UI"/>
          <w:i w:val="0"/>
        </w:rPr>
        <w:t>the e</w:t>
      </w:r>
      <w:r w:rsidR="00BF21FF">
        <w:rPr>
          <w:rStyle w:val="IntenseEmphasis"/>
          <w:rFonts w:ascii="Segoe UI" w:hAnsi="Segoe UI" w:cs="Segoe UI"/>
          <w:i w:val="0"/>
        </w:rPr>
        <w:t>conomy</w:t>
      </w:r>
      <w:bookmarkEnd w:id="56"/>
      <w:r w:rsidR="00C10050" w:rsidRPr="00B16A87">
        <w:rPr>
          <w:rStyle w:val="IntenseEmphasis"/>
          <w:rFonts w:ascii="Segoe UI" w:hAnsi="Segoe UI" w:cs="Segoe UI"/>
          <w:i w:val="0"/>
        </w:rPr>
        <w:t xml:space="preserve"> </w:t>
      </w:r>
    </w:p>
    <w:p w14:paraId="06757AAD" w14:textId="77777777" w:rsidR="00BF21FF" w:rsidRDefault="00BF21FF" w:rsidP="00785DB4">
      <w:pPr>
        <w:jc w:val="both"/>
        <w:rPr>
          <w:rFonts w:ascii="Segoe UI" w:hAnsi="Segoe UI" w:cs="Segoe UI"/>
          <w:sz w:val="22"/>
          <w:szCs w:val="22"/>
        </w:rPr>
      </w:pPr>
    </w:p>
    <w:p w14:paraId="06757AAE" w14:textId="77777777" w:rsidR="00BF21FF" w:rsidRDefault="00BF21FF" w:rsidP="00785DB4">
      <w:pPr>
        <w:jc w:val="both"/>
        <w:rPr>
          <w:rFonts w:ascii="Segoe UI" w:hAnsi="Segoe UI" w:cs="Segoe UI"/>
          <w:sz w:val="22"/>
          <w:szCs w:val="22"/>
        </w:rPr>
      </w:pPr>
      <w:r>
        <w:rPr>
          <w:rFonts w:ascii="Segoe UI" w:hAnsi="Segoe UI" w:cs="Segoe UI"/>
          <w:sz w:val="22"/>
          <w:szCs w:val="22"/>
        </w:rPr>
        <w:t xml:space="preserve">In a </w:t>
      </w:r>
      <w:proofErr w:type="spellStart"/>
      <w:r>
        <w:rPr>
          <w:rFonts w:ascii="Segoe UI" w:hAnsi="Segoe UI" w:cs="Segoe UI"/>
          <w:sz w:val="22"/>
          <w:szCs w:val="22"/>
        </w:rPr>
        <w:t>globalised</w:t>
      </w:r>
      <w:proofErr w:type="spellEnd"/>
      <w:r>
        <w:rPr>
          <w:rFonts w:ascii="Segoe UI" w:hAnsi="Segoe UI" w:cs="Segoe UI"/>
          <w:sz w:val="22"/>
          <w:szCs w:val="22"/>
        </w:rPr>
        <w:t xml:space="preserve"> economy, the use of foreign-issued cards will continue to grow as cross-border travel and trade increases. This increased economic activity will be vital to the future of the Australian economy.</w:t>
      </w:r>
      <w:r w:rsidR="007C2944">
        <w:rPr>
          <w:rFonts w:ascii="Segoe UI" w:hAnsi="Segoe UI" w:cs="Segoe UI"/>
          <w:sz w:val="22"/>
          <w:szCs w:val="22"/>
        </w:rPr>
        <w:t xml:space="preserve"> It is important that the RBA and government take steps to support and encourage cross-border transactions as a means of encouraging international business, investment and improved export activity in Australia.</w:t>
      </w:r>
    </w:p>
    <w:p w14:paraId="06757AAF" w14:textId="77777777" w:rsidR="00BF21FF" w:rsidRDefault="00BF21FF" w:rsidP="00785DB4">
      <w:pPr>
        <w:jc w:val="both"/>
        <w:rPr>
          <w:rFonts w:ascii="Segoe UI" w:hAnsi="Segoe UI" w:cs="Segoe UI"/>
          <w:sz w:val="22"/>
          <w:szCs w:val="22"/>
        </w:rPr>
      </w:pPr>
    </w:p>
    <w:p w14:paraId="06757AB0" w14:textId="77777777" w:rsidR="00BF21FF" w:rsidRDefault="00BF21FF" w:rsidP="00785DB4">
      <w:pPr>
        <w:jc w:val="both"/>
        <w:rPr>
          <w:rFonts w:ascii="Segoe UI" w:hAnsi="Segoe UI" w:cs="Segoe UI"/>
          <w:sz w:val="22"/>
          <w:szCs w:val="22"/>
        </w:rPr>
      </w:pPr>
      <w:r w:rsidRPr="000644B8">
        <w:rPr>
          <w:rFonts w:ascii="Segoe UI" w:hAnsi="Segoe UI" w:cs="Segoe UI"/>
          <w:sz w:val="22"/>
          <w:szCs w:val="22"/>
        </w:rPr>
        <w:t xml:space="preserve">Processing and ensuring the expediency and security of </w:t>
      </w:r>
      <w:r>
        <w:rPr>
          <w:rFonts w:ascii="Segoe UI" w:hAnsi="Segoe UI" w:cs="Segoe UI"/>
          <w:sz w:val="22"/>
          <w:szCs w:val="22"/>
        </w:rPr>
        <w:t>foreign-issued</w:t>
      </w:r>
      <w:r w:rsidRPr="000644B8">
        <w:rPr>
          <w:rFonts w:ascii="Segoe UI" w:hAnsi="Segoe UI" w:cs="Segoe UI"/>
          <w:sz w:val="22"/>
          <w:szCs w:val="22"/>
        </w:rPr>
        <w:t xml:space="preserve"> payments requires additional investment and scrutiny by the payment parties. </w:t>
      </w:r>
      <w:r>
        <w:rPr>
          <w:rFonts w:ascii="Segoe UI" w:hAnsi="Segoe UI" w:cs="Segoe UI"/>
          <w:sz w:val="22"/>
          <w:szCs w:val="22"/>
        </w:rPr>
        <w:t>Foreign-issued</w:t>
      </w:r>
      <w:r>
        <w:rPr>
          <w:rFonts w:ascii="Segoe UI" w:eastAsia="Segoe UI" w:hAnsi="Segoe UI" w:cs="Segoe UI"/>
          <w:sz w:val="22"/>
          <w:szCs w:val="22"/>
        </w:rPr>
        <w:t xml:space="preserve"> transactions differ </w:t>
      </w:r>
      <w:r w:rsidRPr="1878AEBC">
        <w:rPr>
          <w:rFonts w:ascii="Segoe UI" w:eastAsia="Segoe UI" w:hAnsi="Segoe UI" w:cs="Segoe UI"/>
          <w:sz w:val="22"/>
          <w:szCs w:val="22"/>
        </w:rPr>
        <w:t xml:space="preserve">from domestic transactions in terms of fraud characteristics, chargeback processing, and currency conversion mechanisms. </w:t>
      </w:r>
      <w:r>
        <w:rPr>
          <w:rFonts w:ascii="Segoe UI" w:eastAsia="Segoe UI" w:hAnsi="Segoe UI" w:cs="Segoe UI"/>
          <w:sz w:val="22"/>
          <w:szCs w:val="22"/>
        </w:rPr>
        <w:t>Visa records substantially higher rates of fraud on cross-border</w:t>
      </w:r>
      <w:r w:rsidRPr="1878AEBC">
        <w:rPr>
          <w:rFonts w:ascii="Segoe UI" w:eastAsia="Segoe UI" w:hAnsi="Segoe UI" w:cs="Segoe UI"/>
          <w:sz w:val="22"/>
          <w:szCs w:val="22"/>
        </w:rPr>
        <w:t xml:space="preserve"> purchases</w:t>
      </w:r>
      <w:r w:rsidR="005967FF">
        <w:rPr>
          <w:rFonts w:ascii="Segoe UI" w:eastAsia="Segoe UI" w:hAnsi="Segoe UI" w:cs="Segoe UI"/>
          <w:sz w:val="22"/>
          <w:szCs w:val="22"/>
        </w:rPr>
        <w:t xml:space="preserve"> – </w:t>
      </w:r>
      <w:r w:rsidR="00BC5D7F">
        <w:rPr>
          <w:rFonts w:ascii="Segoe UI" w:eastAsia="Segoe UI" w:hAnsi="Segoe UI" w:cs="Segoe UI"/>
          <w:sz w:val="22"/>
          <w:szCs w:val="22"/>
        </w:rPr>
        <w:t xml:space="preserve">on </w:t>
      </w:r>
      <w:r w:rsidRPr="1878AEBC">
        <w:rPr>
          <w:rFonts w:ascii="Segoe UI" w:eastAsia="Segoe UI" w:hAnsi="Segoe UI" w:cs="Segoe UI"/>
          <w:sz w:val="22"/>
          <w:szCs w:val="22"/>
        </w:rPr>
        <w:t>averag</w:t>
      </w:r>
      <w:r w:rsidR="002E4999">
        <w:rPr>
          <w:rFonts w:ascii="Segoe UI" w:eastAsia="Segoe UI" w:hAnsi="Segoe UI" w:cs="Segoe UI"/>
          <w:sz w:val="22"/>
          <w:szCs w:val="22"/>
        </w:rPr>
        <w:t xml:space="preserve">e </w:t>
      </w:r>
      <w:r w:rsidR="008F6AF9">
        <w:rPr>
          <w:rFonts w:ascii="Segoe UI" w:eastAsia="Segoe UI" w:hAnsi="Segoe UI" w:cs="Segoe UI"/>
          <w:sz w:val="22"/>
          <w:szCs w:val="22"/>
        </w:rPr>
        <w:t>cross-</w:t>
      </w:r>
      <w:r w:rsidR="00BC5D7F">
        <w:rPr>
          <w:rFonts w:ascii="Segoe UI" w:eastAsia="Segoe UI" w:hAnsi="Segoe UI" w:cs="Segoe UI"/>
          <w:sz w:val="22"/>
          <w:szCs w:val="22"/>
        </w:rPr>
        <w:t>border transaction</w:t>
      </w:r>
      <w:r w:rsidR="00665FDA">
        <w:rPr>
          <w:rFonts w:ascii="Segoe UI" w:eastAsia="Segoe UI" w:hAnsi="Segoe UI" w:cs="Segoe UI"/>
          <w:sz w:val="22"/>
          <w:szCs w:val="22"/>
        </w:rPr>
        <w:t>s</w:t>
      </w:r>
      <w:r w:rsidR="00BC5D7F">
        <w:rPr>
          <w:rFonts w:ascii="Segoe UI" w:eastAsia="Segoe UI" w:hAnsi="Segoe UI" w:cs="Segoe UI"/>
          <w:sz w:val="22"/>
          <w:szCs w:val="22"/>
        </w:rPr>
        <w:t xml:space="preserve"> </w:t>
      </w:r>
      <w:r w:rsidR="00665FDA">
        <w:rPr>
          <w:rFonts w:ascii="Segoe UI" w:eastAsia="Segoe UI" w:hAnsi="Segoe UI" w:cs="Segoe UI"/>
          <w:sz w:val="22"/>
          <w:szCs w:val="22"/>
        </w:rPr>
        <w:t xml:space="preserve">have 10 times the rate of </w:t>
      </w:r>
      <w:r w:rsidR="008F6AF9">
        <w:rPr>
          <w:rFonts w:ascii="Segoe UI" w:eastAsia="Segoe UI" w:hAnsi="Segoe UI" w:cs="Segoe UI"/>
          <w:sz w:val="22"/>
          <w:szCs w:val="22"/>
        </w:rPr>
        <w:t>fraud to a domestic transaction</w:t>
      </w:r>
      <w:r w:rsidRPr="000644B8">
        <w:rPr>
          <w:rStyle w:val="FootnoteReference"/>
          <w:rFonts w:ascii="Segoe UI" w:hAnsi="Segoe UI" w:cs="Segoe UI"/>
          <w:sz w:val="22"/>
          <w:szCs w:val="22"/>
        </w:rPr>
        <w:footnoteReference w:id="4"/>
      </w:r>
      <w:r w:rsidRPr="000644B8">
        <w:rPr>
          <w:rFonts w:ascii="Segoe UI" w:hAnsi="Segoe UI" w:cs="Segoe UI"/>
          <w:sz w:val="22"/>
          <w:szCs w:val="22"/>
        </w:rPr>
        <w:t>. Further, primarily due</w:t>
      </w:r>
      <w:r>
        <w:rPr>
          <w:rFonts w:ascii="Segoe UI" w:hAnsi="Segoe UI" w:cs="Segoe UI"/>
          <w:sz w:val="22"/>
          <w:szCs w:val="22"/>
        </w:rPr>
        <w:t xml:space="preserve"> to the larger size of these transactions, cross-border </w:t>
      </w:r>
      <w:r w:rsidRPr="000644B8">
        <w:rPr>
          <w:rFonts w:ascii="Segoe UI" w:hAnsi="Segoe UI" w:cs="Segoe UI"/>
          <w:sz w:val="22"/>
          <w:szCs w:val="22"/>
        </w:rPr>
        <w:t xml:space="preserve">payments carry a greater risk for the issuer, </w:t>
      </w:r>
      <w:r>
        <w:rPr>
          <w:rFonts w:ascii="Segoe UI" w:hAnsi="Segoe UI" w:cs="Segoe UI"/>
          <w:sz w:val="22"/>
          <w:szCs w:val="22"/>
        </w:rPr>
        <w:t xml:space="preserve">leading to more fragile </w:t>
      </w:r>
      <w:r w:rsidR="00665FDA">
        <w:rPr>
          <w:rFonts w:ascii="Segoe UI" w:hAnsi="Segoe UI" w:cs="Segoe UI"/>
          <w:sz w:val="22"/>
          <w:szCs w:val="22"/>
        </w:rPr>
        <w:t xml:space="preserve">economics which </w:t>
      </w:r>
      <w:r w:rsidR="002E4999">
        <w:rPr>
          <w:rFonts w:ascii="Segoe UI" w:hAnsi="Segoe UI" w:cs="Segoe UI"/>
          <w:sz w:val="22"/>
          <w:szCs w:val="22"/>
        </w:rPr>
        <w:t>can be expected to adversely influence</w:t>
      </w:r>
      <w:r w:rsidR="00665FDA">
        <w:rPr>
          <w:rFonts w:ascii="Segoe UI" w:hAnsi="Segoe UI" w:cs="Segoe UI"/>
          <w:sz w:val="22"/>
          <w:szCs w:val="22"/>
        </w:rPr>
        <w:t xml:space="preserve"> the</w:t>
      </w:r>
      <w:r>
        <w:rPr>
          <w:rFonts w:ascii="Segoe UI" w:hAnsi="Segoe UI" w:cs="Segoe UI"/>
          <w:sz w:val="22"/>
          <w:szCs w:val="22"/>
        </w:rPr>
        <w:t xml:space="preserve"> </w:t>
      </w:r>
      <w:proofErr w:type="spellStart"/>
      <w:r>
        <w:rPr>
          <w:rFonts w:ascii="Segoe UI" w:hAnsi="Segoe UI" w:cs="Segoe UI"/>
          <w:sz w:val="22"/>
          <w:szCs w:val="22"/>
        </w:rPr>
        <w:t>authoris</w:t>
      </w:r>
      <w:r w:rsidRPr="000644B8">
        <w:rPr>
          <w:rFonts w:ascii="Segoe UI" w:hAnsi="Segoe UI" w:cs="Segoe UI"/>
          <w:sz w:val="22"/>
          <w:szCs w:val="22"/>
        </w:rPr>
        <w:t>ation</w:t>
      </w:r>
      <w:proofErr w:type="spellEnd"/>
      <w:r w:rsidRPr="000644B8">
        <w:rPr>
          <w:rFonts w:ascii="Segoe UI" w:hAnsi="Segoe UI" w:cs="Segoe UI"/>
          <w:sz w:val="22"/>
          <w:szCs w:val="22"/>
        </w:rPr>
        <w:t xml:space="preserve"> rates</w:t>
      </w:r>
      <w:r w:rsidR="00665FDA">
        <w:rPr>
          <w:rFonts w:ascii="Segoe UI" w:hAnsi="Segoe UI" w:cs="Segoe UI"/>
          <w:sz w:val="22"/>
          <w:szCs w:val="22"/>
        </w:rPr>
        <w:t xml:space="preserve"> for these transactions</w:t>
      </w:r>
      <w:r w:rsidRPr="000644B8">
        <w:rPr>
          <w:rFonts w:ascii="Segoe UI" w:hAnsi="Segoe UI" w:cs="Segoe UI"/>
          <w:sz w:val="22"/>
          <w:szCs w:val="22"/>
        </w:rPr>
        <w:t xml:space="preserve">. </w:t>
      </w:r>
    </w:p>
    <w:p w14:paraId="06757AB1" w14:textId="77777777" w:rsidR="00BF21FF" w:rsidRDefault="00BF21FF" w:rsidP="00785DB4">
      <w:pPr>
        <w:jc w:val="both"/>
        <w:rPr>
          <w:rFonts w:ascii="Segoe UI" w:hAnsi="Segoe UI" w:cs="Segoe UI"/>
          <w:sz w:val="22"/>
          <w:szCs w:val="22"/>
        </w:rPr>
      </w:pPr>
    </w:p>
    <w:p w14:paraId="06757AB2" w14:textId="77777777" w:rsidR="00BF21FF" w:rsidRDefault="00BF21FF" w:rsidP="00785DB4">
      <w:pPr>
        <w:jc w:val="both"/>
        <w:rPr>
          <w:rFonts w:ascii="Segoe UI" w:hAnsi="Segoe UI" w:cs="Segoe UI"/>
          <w:sz w:val="22"/>
          <w:szCs w:val="22"/>
        </w:rPr>
      </w:pPr>
      <w:r w:rsidRPr="000644B8">
        <w:rPr>
          <w:rFonts w:ascii="Segoe UI" w:hAnsi="Segoe UI" w:cs="Segoe UI"/>
          <w:sz w:val="22"/>
          <w:szCs w:val="22"/>
        </w:rPr>
        <w:lastRenderedPageBreak/>
        <w:t xml:space="preserve">Given the costs and risk associated with these transactions, </w:t>
      </w:r>
      <w:r>
        <w:rPr>
          <w:rFonts w:ascii="Segoe UI" w:hAnsi="Segoe UI" w:cs="Segoe UI"/>
          <w:sz w:val="22"/>
          <w:szCs w:val="22"/>
        </w:rPr>
        <w:t xml:space="preserve">the </w:t>
      </w:r>
      <w:proofErr w:type="spellStart"/>
      <w:r>
        <w:rPr>
          <w:rFonts w:ascii="Segoe UI" w:hAnsi="Segoe UI" w:cs="Segoe UI"/>
          <w:sz w:val="22"/>
          <w:szCs w:val="22"/>
        </w:rPr>
        <w:t>authorisation</w:t>
      </w:r>
      <w:proofErr w:type="spellEnd"/>
      <w:r>
        <w:rPr>
          <w:rFonts w:ascii="Segoe UI" w:hAnsi="Segoe UI" w:cs="Segoe UI"/>
          <w:sz w:val="22"/>
          <w:szCs w:val="22"/>
        </w:rPr>
        <w:t xml:space="preserve"> rate of international </w:t>
      </w:r>
      <w:r w:rsidRPr="000644B8">
        <w:rPr>
          <w:rFonts w:ascii="Segoe UI" w:hAnsi="Segoe UI" w:cs="Segoe UI"/>
          <w:sz w:val="22"/>
          <w:szCs w:val="22"/>
        </w:rPr>
        <w:t>purchase transactions</w:t>
      </w:r>
      <w:r w:rsidRPr="000644B8">
        <w:rPr>
          <w:rStyle w:val="FootnoteReference"/>
          <w:rFonts w:ascii="Segoe UI" w:hAnsi="Segoe UI" w:cs="Segoe UI"/>
          <w:sz w:val="22"/>
          <w:szCs w:val="22"/>
        </w:rPr>
        <w:footnoteReference w:id="5"/>
      </w:r>
      <w:r>
        <w:rPr>
          <w:rFonts w:ascii="Segoe UI" w:hAnsi="Segoe UI" w:cs="Segoe UI"/>
          <w:sz w:val="22"/>
          <w:szCs w:val="22"/>
        </w:rPr>
        <w:t xml:space="preserve"> is 5 per cent lower than for domestic transactions. </w:t>
      </w:r>
      <w:r w:rsidRPr="000644B8">
        <w:rPr>
          <w:rFonts w:ascii="Segoe UI" w:hAnsi="Segoe UI" w:cs="Segoe UI"/>
          <w:sz w:val="22"/>
          <w:szCs w:val="22"/>
        </w:rPr>
        <w:t>This is significant for Australian merchants. Regulating internationa</w:t>
      </w:r>
      <w:r w:rsidR="008F6AF9">
        <w:rPr>
          <w:rFonts w:ascii="Segoe UI" w:hAnsi="Segoe UI" w:cs="Segoe UI"/>
          <w:sz w:val="22"/>
          <w:szCs w:val="22"/>
        </w:rPr>
        <w:t>l interchange would result in a decline</w:t>
      </w:r>
      <w:r w:rsidRPr="000644B8">
        <w:rPr>
          <w:rFonts w:ascii="Segoe UI" w:hAnsi="Segoe UI" w:cs="Segoe UI"/>
          <w:sz w:val="22"/>
          <w:szCs w:val="22"/>
        </w:rPr>
        <w:t xml:space="preserve"> in </w:t>
      </w:r>
      <w:proofErr w:type="spellStart"/>
      <w:r w:rsidRPr="000644B8">
        <w:rPr>
          <w:rFonts w:ascii="Segoe UI" w:hAnsi="Segoe UI" w:cs="Segoe UI"/>
          <w:sz w:val="22"/>
          <w:szCs w:val="22"/>
        </w:rPr>
        <w:t>authori</w:t>
      </w:r>
      <w:r>
        <w:rPr>
          <w:rFonts w:ascii="Segoe UI" w:hAnsi="Segoe UI" w:cs="Segoe UI"/>
          <w:sz w:val="22"/>
          <w:szCs w:val="22"/>
        </w:rPr>
        <w:t>s</w:t>
      </w:r>
      <w:r w:rsidRPr="000644B8">
        <w:rPr>
          <w:rFonts w:ascii="Segoe UI" w:hAnsi="Segoe UI" w:cs="Segoe UI"/>
          <w:sz w:val="22"/>
          <w:szCs w:val="22"/>
        </w:rPr>
        <w:t>ations</w:t>
      </w:r>
      <w:proofErr w:type="spellEnd"/>
      <w:r w:rsidRPr="000644B8">
        <w:rPr>
          <w:rFonts w:ascii="Segoe UI" w:hAnsi="Segoe UI" w:cs="Segoe UI"/>
          <w:sz w:val="22"/>
          <w:szCs w:val="22"/>
        </w:rPr>
        <w:t xml:space="preserve"> </w:t>
      </w:r>
      <w:r w:rsidR="00665FDA">
        <w:rPr>
          <w:rFonts w:ascii="Segoe UI" w:hAnsi="Segoe UI" w:cs="Segoe UI"/>
          <w:sz w:val="22"/>
          <w:szCs w:val="22"/>
        </w:rPr>
        <w:t>of</w:t>
      </w:r>
      <w:r>
        <w:rPr>
          <w:rFonts w:ascii="Segoe UI" w:hAnsi="Segoe UI" w:cs="Segoe UI"/>
          <w:sz w:val="22"/>
          <w:szCs w:val="22"/>
        </w:rPr>
        <w:t xml:space="preserve"> </w:t>
      </w:r>
      <w:r w:rsidRPr="000644B8">
        <w:rPr>
          <w:rFonts w:ascii="Segoe UI" w:hAnsi="Segoe UI" w:cs="Segoe UI"/>
          <w:sz w:val="22"/>
          <w:szCs w:val="22"/>
        </w:rPr>
        <w:t>transactions where the costs are higher than interchange</w:t>
      </w:r>
      <w:r>
        <w:rPr>
          <w:rFonts w:ascii="Segoe UI" w:hAnsi="Segoe UI" w:cs="Segoe UI"/>
          <w:sz w:val="22"/>
          <w:szCs w:val="22"/>
        </w:rPr>
        <w:t xml:space="preserve"> received, creating a disincentive</w:t>
      </w:r>
      <w:r w:rsidRPr="000644B8">
        <w:rPr>
          <w:rFonts w:ascii="Segoe UI" w:hAnsi="Segoe UI" w:cs="Segoe UI"/>
          <w:sz w:val="22"/>
          <w:szCs w:val="22"/>
        </w:rPr>
        <w:t xml:space="preserve"> for issuers to approve the transaction. </w:t>
      </w:r>
      <w:r>
        <w:rPr>
          <w:rFonts w:ascii="Segoe UI" w:hAnsi="Segoe UI" w:cs="Segoe UI"/>
          <w:sz w:val="22"/>
          <w:szCs w:val="22"/>
        </w:rPr>
        <w:t xml:space="preserve">This </w:t>
      </w:r>
      <w:r w:rsidRPr="000644B8">
        <w:rPr>
          <w:rFonts w:ascii="Segoe UI" w:hAnsi="Segoe UI" w:cs="Segoe UI"/>
          <w:sz w:val="22"/>
          <w:szCs w:val="22"/>
        </w:rPr>
        <w:t xml:space="preserve">scenario </w:t>
      </w:r>
      <w:r>
        <w:rPr>
          <w:rFonts w:ascii="Segoe UI" w:hAnsi="Segoe UI" w:cs="Segoe UI"/>
          <w:sz w:val="22"/>
          <w:szCs w:val="22"/>
        </w:rPr>
        <w:t xml:space="preserve">would </w:t>
      </w:r>
      <w:r w:rsidRPr="000644B8">
        <w:rPr>
          <w:rFonts w:ascii="Segoe UI" w:hAnsi="Segoe UI" w:cs="Segoe UI"/>
          <w:sz w:val="22"/>
          <w:szCs w:val="22"/>
        </w:rPr>
        <w:t xml:space="preserve">lead to a rise in declines, directly and adversely impacting </w:t>
      </w:r>
      <w:r>
        <w:rPr>
          <w:rFonts w:ascii="Segoe UI" w:hAnsi="Segoe UI" w:cs="Segoe UI"/>
          <w:sz w:val="22"/>
          <w:szCs w:val="22"/>
        </w:rPr>
        <w:t>the Australian merchant, the consumer, and more broadly, total non-resident inbound visitor spend and the downstream benefit this drives for the Australian economy.</w:t>
      </w:r>
    </w:p>
    <w:p w14:paraId="06757AB3" w14:textId="77777777" w:rsidR="00BF21FF" w:rsidRDefault="00BF21FF" w:rsidP="00785DB4">
      <w:pPr>
        <w:jc w:val="both"/>
        <w:rPr>
          <w:rFonts w:ascii="Segoe UI" w:hAnsi="Segoe UI" w:cs="Segoe UI"/>
          <w:sz w:val="22"/>
          <w:szCs w:val="22"/>
        </w:rPr>
      </w:pPr>
    </w:p>
    <w:p w14:paraId="06757AB4" w14:textId="77777777" w:rsidR="00BF21FF" w:rsidRPr="000644B8" w:rsidRDefault="00BF21FF" w:rsidP="00785DB4">
      <w:pPr>
        <w:jc w:val="both"/>
        <w:rPr>
          <w:rFonts w:ascii="Segoe UI" w:hAnsi="Segoe UI" w:cs="Segoe UI"/>
          <w:sz w:val="22"/>
          <w:szCs w:val="22"/>
        </w:rPr>
      </w:pPr>
      <w:r>
        <w:rPr>
          <w:rFonts w:ascii="Segoe UI" w:hAnsi="Segoe UI" w:cs="Segoe UI"/>
          <w:sz w:val="22"/>
          <w:szCs w:val="22"/>
        </w:rPr>
        <w:t xml:space="preserve">These market pressures are not limited to face-to-face transactions. In fact, the growing e-commerce industry allows Australian merchants to reach entire new populations of consumers across the globe. With the Australian export e-commerce sector still relatively nascent relative to other markets, should the RBA proceed with regulating foreign-issued transactions, Australian e-commerce merchants that experience a lowering of </w:t>
      </w:r>
      <w:proofErr w:type="spellStart"/>
      <w:r>
        <w:rPr>
          <w:rFonts w:ascii="Segoe UI" w:hAnsi="Segoe UI" w:cs="Segoe UI"/>
          <w:sz w:val="22"/>
          <w:szCs w:val="22"/>
        </w:rPr>
        <w:t>auth</w:t>
      </w:r>
      <w:r w:rsidR="00665FDA">
        <w:rPr>
          <w:rFonts w:ascii="Segoe UI" w:hAnsi="Segoe UI" w:cs="Segoe UI"/>
          <w:sz w:val="22"/>
          <w:szCs w:val="22"/>
        </w:rPr>
        <w:t>ori</w:t>
      </w:r>
      <w:r w:rsidR="005967FF">
        <w:rPr>
          <w:rFonts w:ascii="Segoe UI" w:hAnsi="Segoe UI" w:cs="Segoe UI"/>
          <w:sz w:val="22"/>
          <w:szCs w:val="22"/>
        </w:rPr>
        <w:t>s</w:t>
      </w:r>
      <w:r w:rsidR="00665FDA">
        <w:rPr>
          <w:rFonts w:ascii="Segoe UI" w:hAnsi="Segoe UI" w:cs="Segoe UI"/>
          <w:sz w:val="22"/>
          <w:szCs w:val="22"/>
        </w:rPr>
        <w:t>ation</w:t>
      </w:r>
      <w:proofErr w:type="spellEnd"/>
      <w:r>
        <w:rPr>
          <w:rFonts w:ascii="Segoe UI" w:hAnsi="Segoe UI" w:cs="Segoe UI"/>
          <w:sz w:val="22"/>
          <w:szCs w:val="22"/>
        </w:rPr>
        <w:t xml:space="preserve"> rates may not capture or retain customers they otherwise may have, limiting the potential growth in the sector. This may limit future innovative solutions that help Australian merchants grow and </w:t>
      </w:r>
      <w:r w:rsidR="00710975">
        <w:rPr>
          <w:rFonts w:ascii="Segoe UI" w:hAnsi="Segoe UI" w:cs="Segoe UI"/>
          <w:sz w:val="22"/>
          <w:szCs w:val="22"/>
        </w:rPr>
        <w:t>take</w:t>
      </w:r>
      <w:r>
        <w:rPr>
          <w:rFonts w:ascii="Segoe UI" w:hAnsi="Segoe UI" w:cs="Segoe UI"/>
          <w:sz w:val="22"/>
          <w:szCs w:val="22"/>
        </w:rPr>
        <w:t xml:space="preserve"> their brands beyond Australia’s borders.</w:t>
      </w:r>
    </w:p>
    <w:p w14:paraId="06757AB5" w14:textId="77777777" w:rsidR="00BF21FF" w:rsidRDefault="00BF21FF" w:rsidP="00785DB4">
      <w:pPr>
        <w:jc w:val="both"/>
        <w:rPr>
          <w:rFonts w:ascii="Segoe UI" w:hAnsi="Segoe UI" w:cs="Segoe UI"/>
          <w:sz w:val="22"/>
          <w:szCs w:val="22"/>
        </w:rPr>
      </w:pPr>
    </w:p>
    <w:p w14:paraId="06757AB6" w14:textId="77777777" w:rsidR="00C10050" w:rsidRDefault="00DF5210" w:rsidP="00785DB4">
      <w:pPr>
        <w:jc w:val="both"/>
        <w:rPr>
          <w:rFonts w:ascii="Segoe UI" w:hAnsi="Segoe UI" w:cs="Segoe UI"/>
          <w:sz w:val="22"/>
          <w:szCs w:val="22"/>
        </w:rPr>
      </w:pPr>
      <w:r>
        <w:rPr>
          <w:rFonts w:ascii="Segoe UI" w:hAnsi="Segoe UI" w:cs="Segoe UI"/>
          <w:sz w:val="22"/>
          <w:szCs w:val="22"/>
        </w:rPr>
        <w:t xml:space="preserve">International visitor transactions are </w:t>
      </w:r>
      <w:proofErr w:type="gramStart"/>
      <w:r>
        <w:rPr>
          <w:rFonts w:ascii="Segoe UI" w:hAnsi="Segoe UI" w:cs="Segoe UI"/>
          <w:sz w:val="22"/>
          <w:szCs w:val="22"/>
        </w:rPr>
        <w:t>key</w:t>
      </w:r>
      <w:proofErr w:type="gramEnd"/>
      <w:r>
        <w:rPr>
          <w:rFonts w:ascii="Segoe UI" w:hAnsi="Segoe UI" w:cs="Segoe UI"/>
          <w:sz w:val="22"/>
          <w:szCs w:val="22"/>
        </w:rPr>
        <w:t xml:space="preserve"> to the strength of the visitor</w:t>
      </w:r>
      <w:r w:rsidR="00665FDA">
        <w:rPr>
          <w:rFonts w:ascii="Segoe UI" w:hAnsi="Segoe UI" w:cs="Segoe UI"/>
          <w:sz w:val="22"/>
          <w:szCs w:val="22"/>
        </w:rPr>
        <w:t xml:space="preserve"> and online</w:t>
      </w:r>
      <w:r>
        <w:rPr>
          <w:rFonts w:ascii="Segoe UI" w:hAnsi="Segoe UI" w:cs="Segoe UI"/>
          <w:sz w:val="22"/>
          <w:szCs w:val="22"/>
        </w:rPr>
        <w:t xml:space="preserve"> economy in Australia, and the long term sustainability of Australia’s export industry. </w:t>
      </w:r>
      <w:r w:rsidR="00C10050">
        <w:rPr>
          <w:rFonts w:ascii="Segoe UI" w:hAnsi="Segoe UI" w:cs="Segoe UI"/>
          <w:sz w:val="22"/>
          <w:szCs w:val="22"/>
        </w:rPr>
        <w:t xml:space="preserve">Throughout FY2014-15, the tourism </w:t>
      </w:r>
      <w:r>
        <w:rPr>
          <w:rFonts w:ascii="Segoe UI" w:hAnsi="Segoe UI" w:cs="Segoe UI"/>
          <w:sz w:val="22"/>
          <w:szCs w:val="22"/>
        </w:rPr>
        <w:t>sector</w:t>
      </w:r>
      <w:r w:rsidR="00C10050">
        <w:rPr>
          <w:rFonts w:ascii="Segoe UI" w:hAnsi="Segoe UI" w:cs="Segoe UI"/>
          <w:sz w:val="22"/>
          <w:szCs w:val="22"/>
        </w:rPr>
        <w:t xml:space="preserve"> generated a direct contribution of </w:t>
      </w:r>
      <w:r w:rsidR="00023763">
        <w:rPr>
          <w:rFonts w:ascii="Segoe UI" w:hAnsi="Segoe UI" w:cs="Segoe UI"/>
          <w:sz w:val="22"/>
          <w:szCs w:val="22"/>
        </w:rPr>
        <w:t>AU</w:t>
      </w:r>
      <w:r w:rsidR="00C10050">
        <w:rPr>
          <w:rFonts w:ascii="Segoe UI" w:hAnsi="Segoe UI" w:cs="Segoe UI"/>
          <w:sz w:val="22"/>
          <w:szCs w:val="22"/>
        </w:rPr>
        <w:t>$43.4 billion to the Australian economy, an increase of 3 per cent on the previous year. More than 6.6 million international visitors arrived in Australia over the period, with China becoming Australia’s largest inbound market for the first time in late 2015, eclipsing travel between Australia and New Zealand</w:t>
      </w:r>
      <w:r w:rsidR="00C10050">
        <w:rPr>
          <w:rStyle w:val="FootnoteReference"/>
          <w:rFonts w:ascii="Segoe UI" w:hAnsi="Segoe UI" w:cs="Segoe UI"/>
          <w:sz w:val="22"/>
          <w:szCs w:val="22"/>
        </w:rPr>
        <w:footnoteReference w:id="6"/>
      </w:r>
      <w:r w:rsidR="00C10050">
        <w:rPr>
          <w:rStyle w:val="FootnoteReference"/>
          <w:rFonts w:ascii="Segoe UI" w:hAnsi="Segoe UI" w:cs="Segoe UI"/>
          <w:sz w:val="22"/>
          <w:szCs w:val="22"/>
        </w:rPr>
        <w:footnoteReference w:id="7"/>
      </w:r>
      <w:r w:rsidR="00C10050">
        <w:rPr>
          <w:rFonts w:ascii="Segoe UI" w:hAnsi="Segoe UI" w:cs="Segoe UI"/>
          <w:sz w:val="22"/>
          <w:szCs w:val="22"/>
        </w:rPr>
        <w:t>. Digital</w:t>
      </w:r>
      <w:r w:rsidR="00C10050" w:rsidRPr="000644B8">
        <w:rPr>
          <w:rFonts w:ascii="Segoe UI" w:hAnsi="Segoe UI" w:cs="Segoe UI"/>
          <w:sz w:val="22"/>
          <w:szCs w:val="22"/>
        </w:rPr>
        <w:t xml:space="preserve"> payment infrastructure allows foreign travelers to </w:t>
      </w:r>
      <w:r w:rsidR="008319F3">
        <w:rPr>
          <w:rFonts w:ascii="Segoe UI" w:hAnsi="Segoe UI" w:cs="Segoe UI"/>
          <w:sz w:val="22"/>
          <w:szCs w:val="22"/>
        </w:rPr>
        <w:t>spend</w:t>
      </w:r>
      <w:r w:rsidR="00C10050" w:rsidRPr="000644B8">
        <w:rPr>
          <w:rFonts w:ascii="Segoe UI" w:hAnsi="Segoe UI" w:cs="Segoe UI"/>
          <w:sz w:val="22"/>
          <w:szCs w:val="22"/>
        </w:rPr>
        <w:t xml:space="preserve"> in Australia seamlessly and securely</w:t>
      </w:r>
      <w:r w:rsidR="00C10050">
        <w:rPr>
          <w:rFonts w:ascii="Segoe UI" w:hAnsi="Segoe UI" w:cs="Segoe UI"/>
          <w:sz w:val="22"/>
          <w:szCs w:val="22"/>
        </w:rPr>
        <w:t xml:space="preserve">, supporting the inbound tourism sector and </w:t>
      </w:r>
      <w:r w:rsidR="008319F3">
        <w:rPr>
          <w:rFonts w:ascii="Segoe UI" w:hAnsi="Segoe UI" w:cs="Segoe UI"/>
          <w:sz w:val="22"/>
          <w:szCs w:val="22"/>
        </w:rPr>
        <w:t xml:space="preserve">increasing the </w:t>
      </w:r>
      <w:r w:rsidR="00C10050">
        <w:rPr>
          <w:rFonts w:ascii="Segoe UI" w:hAnsi="Segoe UI" w:cs="Segoe UI"/>
          <w:sz w:val="22"/>
          <w:szCs w:val="22"/>
        </w:rPr>
        <w:t>visitor spend at Australian merchants. E</w:t>
      </w:r>
      <w:r w:rsidR="00C10050" w:rsidRPr="000644B8">
        <w:rPr>
          <w:rFonts w:ascii="Segoe UI" w:hAnsi="Segoe UI" w:cs="Segoe UI"/>
          <w:sz w:val="22"/>
          <w:szCs w:val="22"/>
        </w:rPr>
        <w:t>nsuring a consumer expe</w:t>
      </w:r>
      <w:r w:rsidR="00C10050">
        <w:rPr>
          <w:rFonts w:ascii="Segoe UI" w:hAnsi="Segoe UI" w:cs="Segoe UI"/>
          <w:sz w:val="22"/>
          <w:szCs w:val="22"/>
        </w:rPr>
        <w:t xml:space="preserve">rience that promotes </w:t>
      </w:r>
      <w:r w:rsidR="00C10050" w:rsidRPr="000644B8">
        <w:rPr>
          <w:rFonts w:ascii="Segoe UI" w:hAnsi="Segoe UI" w:cs="Segoe UI"/>
          <w:sz w:val="22"/>
          <w:szCs w:val="22"/>
        </w:rPr>
        <w:t>spend</w:t>
      </w:r>
      <w:r w:rsidR="00C10050">
        <w:rPr>
          <w:rFonts w:ascii="Segoe UI" w:hAnsi="Segoe UI" w:cs="Segoe UI"/>
          <w:sz w:val="22"/>
          <w:szCs w:val="22"/>
        </w:rPr>
        <w:t>ing</w:t>
      </w:r>
      <w:r w:rsidR="00C10050" w:rsidRPr="000644B8">
        <w:rPr>
          <w:rFonts w:ascii="Segoe UI" w:hAnsi="Segoe UI" w:cs="Segoe UI"/>
          <w:sz w:val="22"/>
          <w:szCs w:val="22"/>
        </w:rPr>
        <w:t xml:space="preserve"> </w:t>
      </w:r>
      <w:r w:rsidR="008319F3">
        <w:rPr>
          <w:rFonts w:ascii="Segoe UI" w:hAnsi="Segoe UI" w:cs="Segoe UI"/>
          <w:sz w:val="22"/>
          <w:szCs w:val="22"/>
        </w:rPr>
        <w:t>because of the</w:t>
      </w:r>
      <w:r w:rsidR="00C10050">
        <w:rPr>
          <w:rFonts w:ascii="Segoe UI" w:hAnsi="Segoe UI" w:cs="Segoe UI"/>
          <w:sz w:val="22"/>
          <w:szCs w:val="22"/>
        </w:rPr>
        <w:t xml:space="preserve"> </w:t>
      </w:r>
      <w:r w:rsidR="00C10050" w:rsidRPr="000644B8">
        <w:rPr>
          <w:rFonts w:ascii="Segoe UI" w:hAnsi="Segoe UI" w:cs="Segoe UI"/>
          <w:sz w:val="22"/>
          <w:szCs w:val="22"/>
        </w:rPr>
        <w:t>convenience, ubiquity, and security of electronic payments</w:t>
      </w:r>
      <w:r w:rsidR="00C10050">
        <w:rPr>
          <w:rFonts w:ascii="Segoe UI" w:hAnsi="Segoe UI" w:cs="Segoe UI"/>
          <w:sz w:val="22"/>
          <w:szCs w:val="22"/>
        </w:rPr>
        <w:t xml:space="preserve"> is in the longer-term interests of the Australian economy</w:t>
      </w:r>
      <w:r w:rsidR="00C10050" w:rsidRPr="000644B8">
        <w:rPr>
          <w:rFonts w:ascii="Segoe UI" w:hAnsi="Segoe UI" w:cs="Segoe UI"/>
          <w:sz w:val="22"/>
          <w:szCs w:val="22"/>
        </w:rPr>
        <w:t>.</w:t>
      </w:r>
    </w:p>
    <w:p w14:paraId="06757AB7" w14:textId="77777777" w:rsidR="00C10050" w:rsidRDefault="00C10050" w:rsidP="00785DB4">
      <w:pPr>
        <w:jc w:val="both"/>
        <w:rPr>
          <w:rFonts w:ascii="Segoe UI" w:hAnsi="Segoe UI" w:cs="Segoe UI"/>
          <w:sz w:val="22"/>
          <w:szCs w:val="22"/>
        </w:rPr>
      </w:pPr>
    </w:p>
    <w:p w14:paraId="06757AB8" w14:textId="77777777" w:rsidR="00C10050" w:rsidRDefault="00C10050" w:rsidP="00785DB4">
      <w:pPr>
        <w:jc w:val="both"/>
        <w:rPr>
          <w:rFonts w:ascii="Segoe UI" w:eastAsia="Segoe UI" w:hAnsi="Segoe UI" w:cs="Segoe UI"/>
          <w:sz w:val="22"/>
          <w:szCs w:val="22"/>
        </w:rPr>
      </w:pPr>
      <w:r w:rsidRPr="72611147">
        <w:rPr>
          <w:rFonts w:ascii="Segoe UI" w:eastAsia="Segoe UI" w:hAnsi="Segoe UI" w:cs="Segoe UI"/>
          <w:sz w:val="22"/>
          <w:szCs w:val="22"/>
        </w:rPr>
        <w:t xml:space="preserve">Placing a cap on </w:t>
      </w:r>
      <w:r>
        <w:rPr>
          <w:rFonts w:ascii="Segoe UI" w:eastAsia="Segoe UI" w:hAnsi="Segoe UI" w:cs="Segoe UI"/>
          <w:sz w:val="22"/>
          <w:szCs w:val="22"/>
        </w:rPr>
        <w:t>foreign-issued</w:t>
      </w:r>
      <w:r w:rsidRPr="72611147">
        <w:rPr>
          <w:rFonts w:ascii="Segoe UI" w:eastAsia="Segoe UI" w:hAnsi="Segoe UI" w:cs="Segoe UI"/>
          <w:sz w:val="22"/>
          <w:szCs w:val="22"/>
        </w:rPr>
        <w:t xml:space="preserve"> interchange payments and/or including those transactions as part of the weighted </w:t>
      </w:r>
      <w:r>
        <w:rPr>
          <w:rFonts w:ascii="Segoe UI" w:eastAsia="Segoe UI" w:hAnsi="Segoe UI" w:cs="Segoe UI"/>
          <w:sz w:val="22"/>
          <w:szCs w:val="22"/>
        </w:rPr>
        <w:t xml:space="preserve">interchange basket </w:t>
      </w:r>
      <w:r w:rsidR="00665FDA">
        <w:rPr>
          <w:rFonts w:ascii="Segoe UI" w:eastAsia="Segoe UI" w:hAnsi="Segoe UI" w:cs="Segoe UI"/>
          <w:sz w:val="22"/>
          <w:szCs w:val="22"/>
        </w:rPr>
        <w:t>of regulated networks</w:t>
      </w:r>
      <w:r>
        <w:rPr>
          <w:rFonts w:ascii="Segoe UI" w:eastAsia="Segoe UI" w:hAnsi="Segoe UI" w:cs="Segoe UI"/>
          <w:sz w:val="22"/>
          <w:szCs w:val="22"/>
        </w:rPr>
        <w:t xml:space="preserve"> not only sets a negative </w:t>
      </w:r>
      <w:r w:rsidRPr="72611147">
        <w:rPr>
          <w:rFonts w:ascii="Segoe UI" w:eastAsia="Segoe UI" w:hAnsi="Segoe UI" w:cs="Segoe UI"/>
          <w:sz w:val="22"/>
          <w:szCs w:val="22"/>
        </w:rPr>
        <w:t xml:space="preserve">precedent globally, it fails to account for the unique composition of </w:t>
      </w:r>
      <w:r>
        <w:rPr>
          <w:rFonts w:ascii="Segoe UI" w:eastAsia="Segoe UI" w:hAnsi="Segoe UI" w:cs="Segoe UI"/>
          <w:sz w:val="22"/>
          <w:szCs w:val="22"/>
        </w:rPr>
        <w:t>foreign-issued</w:t>
      </w:r>
      <w:r w:rsidRPr="72611147">
        <w:rPr>
          <w:rFonts w:ascii="Segoe UI" w:eastAsia="Segoe UI" w:hAnsi="Segoe UI" w:cs="Segoe UI"/>
          <w:sz w:val="22"/>
          <w:szCs w:val="22"/>
        </w:rPr>
        <w:t xml:space="preserve"> cards</w:t>
      </w:r>
      <w:r>
        <w:rPr>
          <w:rFonts w:ascii="Segoe UI" w:eastAsia="Segoe UI" w:hAnsi="Segoe UI" w:cs="Segoe UI"/>
          <w:sz w:val="22"/>
          <w:szCs w:val="22"/>
        </w:rPr>
        <w:t>.</w:t>
      </w:r>
    </w:p>
    <w:p w14:paraId="06757AB9" w14:textId="77777777" w:rsidR="00C10050" w:rsidRDefault="00C10050" w:rsidP="00785DB4">
      <w:pPr>
        <w:jc w:val="both"/>
        <w:rPr>
          <w:rFonts w:ascii="Segoe UI" w:eastAsia="Segoe UI" w:hAnsi="Segoe UI" w:cs="Segoe UI"/>
          <w:sz w:val="22"/>
          <w:szCs w:val="22"/>
        </w:rPr>
      </w:pPr>
    </w:p>
    <w:p w14:paraId="06757ABA" w14:textId="77777777" w:rsidR="00C10050" w:rsidRPr="000644B8" w:rsidRDefault="00C10050" w:rsidP="00785DB4">
      <w:pPr>
        <w:jc w:val="both"/>
        <w:rPr>
          <w:rFonts w:ascii="Segoe UI" w:hAnsi="Segoe UI" w:cs="Segoe UI"/>
          <w:sz w:val="22"/>
          <w:szCs w:val="22"/>
        </w:rPr>
      </w:pPr>
      <w:r>
        <w:rPr>
          <w:rFonts w:ascii="Segoe UI" w:eastAsia="Segoe UI" w:hAnsi="Segoe UI" w:cs="Segoe UI"/>
          <w:sz w:val="22"/>
          <w:szCs w:val="22"/>
        </w:rPr>
        <w:t>Should the RBA include foreign-issued cards in the interchange standards</w:t>
      </w:r>
      <w:r w:rsidRPr="72611147">
        <w:rPr>
          <w:rFonts w:ascii="Segoe UI" w:eastAsia="Segoe UI" w:hAnsi="Segoe UI" w:cs="Segoe UI"/>
          <w:sz w:val="22"/>
          <w:szCs w:val="22"/>
        </w:rPr>
        <w:t xml:space="preserve">, </w:t>
      </w:r>
      <w:r>
        <w:rPr>
          <w:rFonts w:ascii="Segoe UI" w:eastAsia="Segoe UI" w:hAnsi="Segoe UI" w:cs="Segoe UI"/>
          <w:sz w:val="22"/>
          <w:szCs w:val="22"/>
        </w:rPr>
        <w:t>these transactions would</w:t>
      </w:r>
      <w:r w:rsidRPr="72611147">
        <w:rPr>
          <w:rFonts w:ascii="Segoe UI" w:eastAsia="Segoe UI" w:hAnsi="Segoe UI" w:cs="Segoe UI"/>
          <w:sz w:val="22"/>
          <w:szCs w:val="22"/>
        </w:rPr>
        <w:t xml:space="preserve"> </w:t>
      </w:r>
      <w:r>
        <w:rPr>
          <w:rFonts w:ascii="Segoe UI" w:eastAsia="Segoe UI" w:hAnsi="Segoe UI" w:cs="Segoe UI"/>
          <w:sz w:val="22"/>
          <w:szCs w:val="22"/>
        </w:rPr>
        <w:t>affect the</w:t>
      </w:r>
      <w:r w:rsidRPr="72611147">
        <w:rPr>
          <w:rFonts w:ascii="Segoe UI" w:eastAsia="Segoe UI" w:hAnsi="Segoe UI" w:cs="Segoe UI"/>
          <w:sz w:val="22"/>
          <w:szCs w:val="22"/>
        </w:rPr>
        <w:t xml:space="preserve"> calibration of the 50 bps weighted basket</w:t>
      </w:r>
      <w:r>
        <w:rPr>
          <w:rFonts w:ascii="Segoe UI" w:eastAsia="Segoe UI" w:hAnsi="Segoe UI" w:cs="Segoe UI"/>
          <w:sz w:val="22"/>
          <w:szCs w:val="22"/>
        </w:rPr>
        <w:t xml:space="preserve"> across issuer portfolios and likely require substantial recalculation</w:t>
      </w:r>
      <w:r w:rsidRPr="72611147">
        <w:rPr>
          <w:rFonts w:ascii="Segoe UI" w:eastAsia="Segoe UI" w:hAnsi="Segoe UI" w:cs="Segoe UI"/>
          <w:sz w:val="22"/>
          <w:szCs w:val="22"/>
        </w:rPr>
        <w:t xml:space="preserve">. </w:t>
      </w:r>
      <w:r>
        <w:rPr>
          <w:rFonts w:ascii="Segoe UI" w:hAnsi="Segoe UI" w:cs="Segoe UI"/>
          <w:sz w:val="22"/>
          <w:szCs w:val="22"/>
        </w:rPr>
        <w:t>Foreign-issued</w:t>
      </w:r>
      <w:r w:rsidRPr="000644B8">
        <w:rPr>
          <w:rFonts w:ascii="Segoe UI" w:hAnsi="Segoe UI" w:cs="Segoe UI"/>
          <w:sz w:val="22"/>
          <w:szCs w:val="22"/>
        </w:rPr>
        <w:t xml:space="preserve"> credit and debit transactions are far more heav</w:t>
      </w:r>
      <w:r>
        <w:rPr>
          <w:rFonts w:ascii="Segoe UI" w:hAnsi="Segoe UI" w:cs="Segoe UI"/>
          <w:sz w:val="22"/>
          <w:szCs w:val="22"/>
        </w:rPr>
        <w:t>ily concentrated in the travel and</w:t>
      </w:r>
      <w:r w:rsidRPr="000644B8">
        <w:rPr>
          <w:rFonts w:ascii="Segoe UI" w:hAnsi="Segoe UI" w:cs="Segoe UI"/>
          <w:sz w:val="22"/>
          <w:szCs w:val="22"/>
        </w:rPr>
        <w:t xml:space="preserve"> entertainment and high-end retail segments, where paying by </w:t>
      </w:r>
      <w:r>
        <w:rPr>
          <w:rFonts w:ascii="Segoe UI" w:hAnsi="Segoe UI" w:cs="Segoe UI"/>
          <w:sz w:val="22"/>
          <w:szCs w:val="22"/>
        </w:rPr>
        <w:t>cash is less convenient and practical</w:t>
      </w:r>
      <w:r w:rsidR="008F6AF9">
        <w:rPr>
          <w:rFonts w:ascii="Segoe UI" w:hAnsi="Segoe UI" w:cs="Segoe UI"/>
          <w:sz w:val="22"/>
          <w:szCs w:val="22"/>
        </w:rPr>
        <w:t xml:space="preserve">. </w:t>
      </w:r>
      <w:r w:rsidRPr="000644B8">
        <w:rPr>
          <w:rFonts w:ascii="Segoe UI" w:hAnsi="Segoe UI" w:cs="Segoe UI"/>
          <w:sz w:val="22"/>
          <w:szCs w:val="22"/>
        </w:rPr>
        <w:t xml:space="preserve">Within </w:t>
      </w:r>
      <w:r>
        <w:rPr>
          <w:rFonts w:ascii="Segoe UI" w:hAnsi="Segoe UI" w:cs="Segoe UI"/>
          <w:sz w:val="22"/>
          <w:szCs w:val="22"/>
        </w:rPr>
        <w:t>the five</w:t>
      </w:r>
      <w:r w:rsidRPr="000644B8">
        <w:rPr>
          <w:rFonts w:ascii="Segoe UI" w:hAnsi="Segoe UI" w:cs="Segoe UI"/>
          <w:sz w:val="22"/>
          <w:szCs w:val="22"/>
        </w:rPr>
        <w:t xml:space="preserve"> segments of </w:t>
      </w:r>
      <w:r>
        <w:rPr>
          <w:rFonts w:ascii="Segoe UI" w:hAnsi="Segoe UI" w:cs="Segoe UI"/>
          <w:sz w:val="22"/>
          <w:szCs w:val="22"/>
        </w:rPr>
        <w:t>these merchant categories</w:t>
      </w:r>
      <w:r w:rsidRPr="000644B8">
        <w:rPr>
          <w:rFonts w:ascii="Segoe UI" w:hAnsi="Segoe UI" w:cs="Segoe UI"/>
          <w:sz w:val="22"/>
          <w:szCs w:val="22"/>
        </w:rPr>
        <w:t xml:space="preserve">, </w:t>
      </w:r>
      <w:r>
        <w:rPr>
          <w:rFonts w:ascii="Segoe UI" w:hAnsi="Segoe UI" w:cs="Segoe UI"/>
          <w:sz w:val="22"/>
          <w:szCs w:val="22"/>
        </w:rPr>
        <w:t>cross-border</w:t>
      </w:r>
      <w:r w:rsidRPr="000644B8">
        <w:rPr>
          <w:rFonts w:ascii="Segoe UI" w:hAnsi="Segoe UI" w:cs="Segoe UI"/>
          <w:sz w:val="22"/>
          <w:szCs w:val="22"/>
        </w:rPr>
        <w:t xml:space="preserve"> transactions comprise 29</w:t>
      </w:r>
      <w:r>
        <w:rPr>
          <w:rFonts w:ascii="Segoe UI" w:hAnsi="Segoe UI" w:cs="Segoe UI"/>
          <w:sz w:val="22"/>
          <w:szCs w:val="22"/>
        </w:rPr>
        <w:t xml:space="preserve"> per cent</w:t>
      </w:r>
      <w:r w:rsidRPr="000644B8">
        <w:rPr>
          <w:rFonts w:ascii="Segoe UI" w:hAnsi="Segoe UI" w:cs="Segoe UI"/>
          <w:sz w:val="22"/>
          <w:szCs w:val="22"/>
        </w:rPr>
        <w:t xml:space="preserve"> of sales, versus </w:t>
      </w:r>
      <w:r w:rsidRPr="003C50BB">
        <w:rPr>
          <w:rFonts w:ascii="Segoe UI" w:hAnsi="Segoe UI" w:cs="Segoe UI"/>
          <w:sz w:val="22"/>
          <w:szCs w:val="22"/>
        </w:rPr>
        <w:t>just 9</w:t>
      </w:r>
      <w:r>
        <w:rPr>
          <w:rFonts w:ascii="Segoe UI" w:hAnsi="Segoe UI" w:cs="Segoe UI"/>
          <w:sz w:val="22"/>
          <w:szCs w:val="22"/>
        </w:rPr>
        <w:t xml:space="preserve"> per cent</w:t>
      </w:r>
      <w:r w:rsidRPr="1878AEBC">
        <w:rPr>
          <w:rFonts w:ascii="Segoe UI" w:eastAsia="Segoe UI" w:hAnsi="Segoe UI" w:cs="Segoe UI"/>
          <w:sz w:val="22"/>
          <w:szCs w:val="22"/>
        </w:rPr>
        <w:t xml:space="preserve"> of domestic sales in the same merchant </w:t>
      </w:r>
      <w:r>
        <w:rPr>
          <w:rFonts w:ascii="Segoe UI" w:eastAsia="Segoe UI" w:hAnsi="Segoe UI" w:cs="Segoe UI"/>
          <w:sz w:val="22"/>
          <w:szCs w:val="22"/>
        </w:rPr>
        <w:t>segments</w:t>
      </w:r>
      <w:r>
        <w:rPr>
          <w:rStyle w:val="FootnoteReference"/>
          <w:rFonts w:ascii="Segoe UI" w:eastAsia="Segoe UI" w:hAnsi="Segoe UI" w:cs="Segoe UI"/>
          <w:sz w:val="22"/>
          <w:szCs w:val="22"/>
        </w:rPr>
        <w:footnoteReference w:id="8"/>
      </w:r>
      <w:r>
        <w:rPr>
          <w:rStyle w:val="FootnoteReference"/>
          <w:rFonts w:ascii="Segoe UI" w:eastAsia="Segoe UI" w:hAnsi="Segoe UI" w:cs="Segoe UI"/>
          <w:sz w:val="22"/>
          <w:szCs w:val="22"/>
        </w:rPr>
        <w:footnoteReference w:id="9"/>
      </w:r>
      <w:r w:rsidRPr="1878AEBC">
        <w:rPr>
          <w:rFonts w:ascii="Segoe UI" w:eastAsia="Segoe UI" w:hAnsi="Segoe UI" w:cs="Segoe UI"/>
          <w:sz w:val="22"/>
          <w:szCs w:val="22"/>
        </w:rPr>
        <w:t xml:space="preserve">. Consequently, merchants in these </w:t>
      </w:r>
      <w:r w:rsidRPr="1878AEBC">
        <w:rPr>
          <w:rFonts w:ascii="Segoe UI" w:eastAsia="Segoe UI" w:hAnsi="Segoe UI" w:cs="Segoe UI"/>
          <w:sz w:val="22"/>
          <w:szCs w:val="22"/>
        </w:rPr>
        <w:lastRenderedPageBreak/>
        <w:t xml:space="preserve">segments benefit heavily </w:t>
      </w:r>
      <w:r>
        <w:rPr>
          <w:rFonts w:ascii="Segoe UI" w:eastAsia="Segoe UI" w:hAnsi="Segoe UI" w:cs="Segoe UI"/>
          <w:sz w:val="22"/>
          <w:szCs w:val="22"/>
        </w:rPr>
        <w:t>from</w:t>
      </w:r>
      <w:r w:rsidRPr="1878AEBC">
        <w:rPr>
          <w:rFonts w:ascii="Segoe UI" w:eastAsia="Segoe UI" w:hAnsi="Segoe UI" w:cs="Segoe UI"/>
          <w:sz w:val="22"/>
          <w:szCs w:val="22"/>
        </w:rPr>
        <w:t xml:space="preserve"> </w:t>
      </w:r>
      <w:r>
        <w:rPr>
          <w:rFonts w:ascii="Segoe UI" w:hAnsi="Segoe UI" w:cs="Segoe UI"/>
          <w:sz w:val="22"/>
          <w:szCs w:val="22"/>
        </w:rPr>
        <w:t>cross-border</w:t>
      </w:r>
      <w:r w:rsidRPr="000644B8">
        <w:rPr>
          <w:rFonts w:ascii="Segoe UI" w:hAnsi="Segoe UI" w:cs="Segoe UI"/>
          <w:sz w:val="22"/>
          <w:szCs w:val="22"/>
        </w:rPr>
        <w:t xml:space="preserve"> purchases</w:t>
      </w:r>
      <w:r>
        <w:rPr>
          <w:rFonts w:ascii="Segoe UI" w:hAnsi="Segoe UI" w:cs="Segoe UI"/>
          <w:sz w:val="22"/>
          <w:szCs w:val="22"/>
        </w:rPr>
        <w:t xml:space="preserve"> and often rely on the influx of inbound visitor spend to remain commercially viable</w:t>
      </w:r>
      <w:r w:rsidRPr="000644B8">
        <w:rPr>
          <w:rFonts w:ascii="Segoe UI" w:hAnsi="Segoe UI" w:cs="Segoe UI"/>
          <w:sz w:val="22"/>
          <w:szCs w:val="22"/>
        </w:rPr>
        <w:t xml:space="preserve">. </w:t>
      </w:r>
    </w:p>
    <w:p w14:paraId="06757ABB" w14:textId="77777777" w:rsidR="00C10050" w:rsidRPr="000644B8" w:rsidRDefault="00C10050" w:rsidP="00785DB4">
      <w:pPr>
        <w:jc w:val="both"/>
        <w:rPr>
          <w:rFonts w:ascii="Segoe UI" w:hAnsi="Segoe UI" w:cs="Segoe UI"/>
          <w:sz w:val="22"/>
          <w:szCs w:val="22"/>
        </w:rPr>
      </w:pPr>
    </w:p>
    <w:p w14:paraId="06757ABC" w14:textId="77777777" w:rsidR="00C10050" w:rsidRDefault="00C10050" w:rsidP="00785DB4">
      <w:pPr>
        <w:jc w:val="both"/>
        <w:rPr>
          <w:rFonts w:ascii="Segoe UI" w:eastAsia="Segoe UI" w:hAnsi="Segoe UI" w:cs="Segoe UI"/>
          <w:sz w:val="22"/>
          <w:szCs w:val="22"/>
        </w:rPr>
      </w:pPr>
      <w:r w:rsidRPr="000644B8">
        <w:rPr>
          <w:rFonts w:ascii="Segoe UI" w:hAnsi="Segoe UI" w:cs="Segoe UI"/>
          <w:sz w:val="22"/>
          <w:szCs w:val="22"/>
        </w:rPr>
        <w:t>When</w:t>
      </w:r>
      <w:r>
        <w:rPr>
          <w:rFonts w:ascii="Segoe UI" w:hAnsi="Segoe UI" w:cs="Segoe UI"/>
          <w:sz w:val="22"/>
          <w:szCs w:val="22"/>
        </w:rPr>
        <w:t xml:space="preserve"> non-resident</w:t>
      </w:r>
      <w:r w:rsidRPr="000644B8">
        <w:rPr>
          <w:rFonts w:ascii="Segoe UI" w:hAnsi="Segoe UI" w:cs="Segoe UI"/>
          <w:sz w:val="22"/>
          <w:szCs w:val="22"/>
        </w:rPr>
        <w:t xml:space="preserve"> consumers travel to and transact in Australia, they are far more likely to do so using a credit product. Visa data shows that 73</w:t>
      </w:r>
      <w:r>
        <w:rPr>
          <w:rFonts w:ascii="Segoe UI" w:hAnsi="Segoe UI" w:cs="Segoe UI"/>
          <w:sz w:val="22"/>
          <w:szCs w:val="22"/>
        </w:rPr>
        <w:t xml:space="preserve"> per cent</w:t>
      </w:r>
      <w:r w:rsidRPr="000644B8">
        <w:rPr>
          <w:rFonts w:ascii="Segoe UI" w:hAnsi="Segoe UI" w:cs="Segoe UI"/>
          <w:sz w:val="22"/>
          <w:szCs w:val="22"/>
        </w:rPr>
        <w:t xml:space="preserve"> of </w:t>
      </w:r>
      <w:r>
        <w:rPr>
          <w:rFonts w:ascii="Segoe UI" w:hAnsi="Segoe UI" w:cs="Segoe UI"/>
          <w:sz w:val="22"/>
          <w:szCs w:val="22"/>
        </w:rPr>
        <w:t>cross-border</w:t>
      </w:r>
      <w:r w:rsidRPr="000644B8">
        <w:rPr>
          <w:rFonts w:ascii="Segoe UI" w:hAnsi="Segoe UI" w:cs="Segoe UI"/>
          <w:sz w:val="22"/>
          <w:szCs w:val="22"/>
        </w:rPr>
        <w:t xml:space="preserve"> transactions</w:t>
      </w:r>
      <w:r w:rsidRPr="000644B8">
        <w:rPr>
          <w:rStyle w:val="FootnoteReference"/>
          <w:rFonts w:ascii="Segoe UI" w:hAnsi="Segoe UI" w:cs="Segoe UI"/>
          <w:sz w:val="22"/>
          <w:szCs w:val="22"/>
        </w:rPr>
        <w:footnoteReference w:id="10"/>
      </w:r>
      <w:r w:rsidRPr="000644B8">
        <w:rPr>
          <w:rFonts w:ascii="Segoe UI" w:hAnsi="Segoe UI" w:cs="Segoe UI"/>
          <w:sz w:val="22"/>
          <w:szCs w:val="22"/>
        </w:rPr>
        <w:t xml:space="preserve"> occur on credit, </w:t>
      </w:r>
      <w:r>
        <w:rPr>
          <w:rFonts w:ascii="Segoe UI" w:hAnsi="Segoe UI" w:cs="Segoe UI"/>
          <w:sz w:val="22"/>
          <w:szCs w:val="22"/>
        </w:rPr>
        <w:t xml:space="preserve">offering cardholders greater flexibility and choice during their stay in Australia. </w:t>
      </w:r>
      <w:r>
        <w:rPr>
          <w:rFonts w:ascii="Segoe UI" w:eastAsia="Segoe UI" w:hAnsi="Segoe UI" w:cs="Segoe UI"/>
          <w:sz w:val="22"/>
          <w:szCs w:val="22"/>
        </w:rPr>
        <w:t>With the steady growth in electronic payments,</w:t>
      </w:r>
      <w:r w:rsidRPr="7FA492C3">
        <w:rPr>
          <w:rFonts w:ascii="Segoe UI" w:eastAsia="Segoe UI" w:hAnsi="Segoe UI" w:cs="Segoe UI"/>
          <w:sz w:val="22"/>
          <w:szCs w:val="22"/>
        </w:rPr>
        <w:t xml:space="preserve"> cash </w:t>
      </w:r>
      <w:r>
        <w:rPr>
          <w:rFonts w:ascii="Segoe UI" w:eastAsia="Segoe UI" w:hAnsi="Segoe UI" w:cs="Segoe UI"/>
          <w:sz w:val="22"/>
          <w:szCs w:val="22"/>
        </w:rPr>
        <w:t>has become a less convenient medium</w:t>
      </w:r>
      <w:r w:rsidRPr="7FA492C3">
        <w:rPr>
          <w:rFonts w:ascii="Segoe UI" w:eastAsia="Segoe UI" w:hAnsi="Segoe UI" w:cs="Segoe UI"/>
          <w:sz w:val="22"/>
          <w:szCs w:val="22"/>
        </w:rPr>
        <w:t xml:space="preserve"> for international transactions, </w:t>
      </w:r>
      <w:r>
        <w:rPr>
          <w:rFonts w:ascii="Segoe UI" w:eastAsia="Segoe UI" w:hAnsi="Segoe UI" w:cs="Segoe UI"/>
          <w:sz w:val="22"/>
          <w:szCs w:val="22"/>
        </w:rPr>
        <w:t>due to its inflexibility and complexity, particularly when paying for large or expensive goods or services</w:t>
      </w:r>
      <w:r w:rsidRPr="7FA492C3">
        <w:rPr>
          <w:rFonts w:ascii="Segoe UI" w:eastAsia="Segoe UI" w:hAnsi="Segoe UI" w:cs="Segoe UI"/>
          <w:sz w:val="22"/>
          <w:szCs w:val="22"/>
        </w:rPr>
        <w:t xml:space="preserve">, and </w:t>
      </w:r>
      <w:r>
        <w:rPr>
          <w:rFonts w:ascii="Segoe UI" w:eastAsia="Segoe UI" w:hAnsi="Segoe UI" w:cs="Segoe UI"/>
          <w:sz w:val="22"/>
          <w:szCs w:val="22"/>
        </w:rPr>
        <w:t>lack of security and safety in holding physical currency</w:t>
      </w:r>
      <w:r w:rsidRPr="7FA492C3">
        <w:rPr>
          <w:rFonts w:ascii="Segoe UI" w:eastAsia="Segoe UI" w:hAnsi="Segoe UI" w:cs="Segoe UI"/>
          <w:sz w:val="22"/>
          <w:szCs w:val="22"/>
        </w:rPr>
        <w:t xml:space="preserve">. </w:t>
      </w:r>
    </w:p>
    <w:p w14:paraId="06757ABD" w14:textId="77777777" w:rsidR="00CF7678" w:rsidRDefault="00CF7678" w:rsidP="00785DB4">
      <w:pPr>
        <w:jc w:val="both"/>
        <w:rPr>
          <w:rFonts w:ascii="Segoe UI" w:eastAsia="Segoe UI" w:hAnsi="Segoe UI" w:cs="Segoe UI"/>
          <w:sz w:val="22"/>
          <w:szCs w:val="22"/>
        </w:rPr>
      </w:pPr>
    </w:p>
    <w:p w14:paraId="06757ABE" w14:textId="77777777" w:rsidR="008319F3" w:rsidRDefault="00C10050" w:rsidP="00785DB4">
      <w:pPr>
        <w:jc w:val="both"/>
        <w:rPr>
          <w:rFonts w:ascii="Segoe UI" w:eastAsia="Segoe UI" w:hAnsi="Segoe UI" w:cs="Segoe UI"/>
          <w:sz w:val="22"/>
          <w:szCs w:val="22"/>
        </w:rPr>
      </w:pPr>
      <w:r>
        <w:rPr>
          <w:rFonts w:ascii="Segoe UI" w:eastAsia="Segoe UI" w:hAnsi="Segoe UI" w:cs="Segoe UI"/>
          <w:sz w:val="22"/>
          <w:szCs w:val="22"/>
        </w:rPr>
        <w:t>Foreign-issued</w:t>
      </w:r>
      <w:r w:rsidRPr="7FA492C3">
        <w:rPr>
          <w:rFonts w:ascii="Segoe UI" w:eastAsia="Segoe UI" w:hAnsi="Segoe UI" w:cs="Segoe UI"/>
          <w:sz w:val="22"/>
          <w:szCs w:val="22"/>
        </w:rPr>
        <w:t xml:space="preserve"> card transactions therefore drive </w:t>
      </w:r>
      <w:r>
        <w:rPr>
          <w:rFonts w:ascii="Segoe UI" w:eastAsia="Segoe UI" w:hAnsi="Segoe UI" w:cs="Segoe UI"/>
          <w:sz w:val="22"/>
          <w:szCs w:val="22"/>
        </w:rPr>
        <w:t>increased consumption yield per customer, increased diversity of product spend and improved likelihood of repeat consumer purchasing. Consumers use their cards as travel finance, budget management and as a secure alternative to cash. The</w:t>
      </w:r>
      <w:r w:rsidRPr="7FA492C3">
        <w:rPr>
          <w:rFonts w:ascii="Segoe UI" w:eastAsia="Segoe UI" w:hAnsi="Segoe UI" w:cs="Segoe UI"/>
          <w:sz w:val="22"/>
          <w:szCs w:val="22"/>
        </w:rPr>
        <w:t xml:space="preserve"> </w:t>
      </w:r>
      <w:r>
        <w:rPr>
          <w:rFonts w:ascii="Segoe UI" w:eastAsia="Segoe UI" w:hAnsi="Segoe UI" w:cs="Segoe UI"/>
          <w:sz w:val="22"/>
          <w:szCs w:val="22"/>
        </w:rPr>
        <w:t xml:space="preserve">cash-based </w:t>
      </w:r>
      <w:r w:rsidRPr="7FA492C3">
        <w:rPr>
          <w:rFonts w:ascii="Segoe UI" w:eastAsia="Segoe UI" w:hAnsi="Segoe UI" w:cs="Segoe UI"/>
          <w:sz w:val="22"/>
          <w:szCs w:val="22"/>
        </w:rPr>
        <w:t xml:space="preserve">alternative </w:t>
      </w:r>
      <w:r>
        <w:rPr>
          <w:rFonts w:ascii="Segoe UI" w:eastAsia="Segoe UI" w:hAnsi="Segoe UI" w:cs="Segoe UI"/>
          <w:sz w:val="22"/>
          <w:szCs w:val="22"/>
        </w:rPr>
        <w:t xml:space="preserve">may see some merchants miss out on purchases as a result of the consumer having to find an ATM or currency exchange facility. Due to </w:t>
      </w:r>
      <w:r w:rsidRPr="7FA492C3">
        <w:rPr>
          <w:rFonts w:ascii="Segoe UI" w:eastAsia="Segoe UI" w:hAnsi="Segoe UI" w:cs="Segoe UI"/>
          <w:sz w:val="22"/>
          <w:szCs w:val="22"/>
        </w:rPr>
        <w:t>the size and nature of</w:t>
      </w:r>
      <w:r>
        <w:rPr>
          <w:rFonts w:ascii="Segoe UI" w:eastAsia="Segoe UI" w:hAnsi="Segoe UI" w:cs="Segoe UI"/>
          <w:sz w:val="22"/>
          <w:szCs w:val="22"/>
        </w:rPr>
        <w:t xml:space="preserve"> average</w:t>
      </w:r>
      <w:r w:rsidRPr="7FA492C3">
        <w:rPr>
          <w:rFonts w:ascii="Segoe UI" w:eastAsia="Segoe UI" w:hAnsi="Segoe UI" w:cs="Segoe UI"/>
          <w:sz w:val="22"/>
          <w:szCs w:val="22"/>
        </w:rPr>
        <w:t xml:space="preserve"> </w:t>
      </w:r>
      <w:r>
        <w:rPr>
          <w:rFonts w:ascii="Segoe UI" w:eastAsia="Segoe UI" w:hAnsi="Segoe UI" w:cs="Segoe UI"/>
          <w:sz w:val="22"/>
          <w:szCs w:val="22"/>
        </w:rPr>
        <w:t>inbound visitor</w:t>
      </w:r>
      <w:r w:rsidRPr="7FA492C3">
        <w:rPr>
          <w:rFonts w:ascii="Segoe UI" w:eastAsia="Segoe UI" w:hAnsi="Segoe UI" w:cs="Segoe UI"/>
          <w:sz w:val="22"/>
          <w:szCs w:val="22"/>
        </w:rPr>
        <w:t xml:space="preserve"> transactions,</w:t>
      </w:r>
      <w:r>
        <w:rPr>
          <w:rFonts w:ascii="Segoe UI" w:eastAsia="Segoe UI" w:hAnsi="Segoe UI" w:cs="Segoe UI"/>
          <w:sz w:val="22"/>
          <w:szCs w:val="22"/>
        </w:rPr>
        <w:t xml:space="preserve"> particularly at merchants where the goods or services purchased are expensive</w:t>
      </w:r>
      <w:r w:rsidR="008319F3">
        <w:rPr>
          <w:rFonts w:ascii="Segoe UI" w:eastAsia="Segoe UI" w:hAnsi="Segoe UI" w:cs="Segoe UI"/>
          <w:sz w:val="22"/>
          <w:szCs w:val="22"/>
        </w:rPr>
        <w:t>,</w:t>
      </w:r>
      <w:r w:rsidR="008319F3" w:rsidRPr="008319F3">
        <w:rPr>
          <w:rFonts w:ascii="Segoe UI" w:eastAsia="Segoe UI" w:hAnsi="Segoe UI" w:cs="Segoe UI"/>
          <w:sz w:val="22"/>
          <w:szCs w:val="22"/>
        </w:rPr>
        <w:t xml:space="preserve"> </w:t>
      </w:r>
      <w:r w:rsidR="008319F3" w:rsidRPr="7FA492C3">
        <w:rPr>
          <w:rFonts w:ascii="Segoe UI" w:eastAsia="Segoe UI" w:hAnsi="Segoe UI" w:cs="Segoe UI"/>
          <w:sz w:val="22"/>
          <w:szCs w:val="22"/>
        </w:rPr>
        <w:t xml:space="preserve">merchants are </w:t>
      </w:r>
      <w:r w:rsidR="008319F3">
        <w:rPr>
          <w:rFonts w:ascii="Segoe UI" w:eastAsia="Segoe UI" w:hAnsi="Segoe UI" w:cs="Segoe UI"/>
          <w:sz w:val="22"/>
          <w:szCs w:val="22"/>
        </w:rPr>
        <w:t xml:space="preserve">reluctant </w:t>
      </w:r>
      <w:r w:rsidR="008319F3" w:rsidRPr="7FA492C3">
        <w:rPr>
          <w:rFonts w:ascii="Segoe UI" w:eastAsia="Segoe UI" w:hAnsi="Segoe UI" w:cs="Segoe UI"/>
          <w:sz w:val="22"/>
          <w:szCs w:val="22"/>
        </w:rPr>
        <w:t xml:space="preserve">to receive cash payments </w:t>
      </w:r>
      <w:r w:rsidR="008319F3">
        <w:rPr>
          <w:rFonts w:ascii="Segoe UI" w:eastAsia="Segoe UI" w:hAnsi="Segoe UI" w:cs="Segoe UI"/>
          <w:sz w:val="22"/>
          <w:szCs w:val="22"/>
        </w:rPr>
        <w:t>because of the associated security, reconciliation and transportation issues.</w:t>
      </w:r>
    </w:p>
    <w:p w14:paraId="06757ABF" w14:textId="77777777" w:rsidR="00C10050" w:rsidRPr="00CF75F3" w:rsidRDefault="00C10050" w:rsidP="00785DB4">
      <w:pPr>
        <w:jc w:val="both"/>
        <w:rPr>
          <w:rFonts w:asciiTheme="majorHAnsi" w:hAnsiTheme="majorHAnsi"/>
        </w:rPr>
      </w:pPr>
    </w:p>
    <w:p w14:paraId="06757AC0" w14:textId="77777777" w:rsidR="00C10050" w:rsidRPr="00B16A87" w:rsidRDefault="003147C2" w:rsidP="00785DB4">
      <w:pPr>
        <w:pStyle w:val="Heading2"/>
        <w:spacing w:before="0"/>
        <w:jc w:val="both"/>
        <w:rPr>
          <w:rStyle w:val="IntenseEmphasis"/>
          <w:rFonts w:ascii="Segoe UI" w:eastAsiaTheme="minorEastAsia" w:hAnsi="Segoe UI" w:cs="Segoe UI"/>
          <w:b w:val="0"/>
          <w:bCs w:val="0"/>
          <w:i w:val="0"/>
          <w:sz w:val="24"/>
          <w:szCs w:val="24"/>
        </w:rPr>
      </w:pPr>
      <w:bookmarkStart w:id="57" w:name="_Toc442273944"/>
      <w:r>
        <w:rPr>
          <w:rStyle w:val="IntenseEmphasis"/>
          <w:rFonts w:ascii="Segoe UI" w:hAnsi="Segoe UI" w:cs="Segoe UI"/>
          <w:i w:val="0"/>
        </w:rPr>
        <w:t>1.4</w:t>
      </w:r>
      <w:r>
        <w:rPr>
          <w:rStyle w:val="IntenseEmphasis"/>
          <w:rFonts w:ascii="Segoe UI" w:hAnsi="Segoe UI" w:cs="Segoe UI"/>
          <w:i w:val="0"/>
        </w:rPr>
        <w:tab/>
      </w:r>
      <w:r w:rsidR="00CC79AE">
        <w:rPr>
          <w:rStyle w:val="IntenseEmphasis"/>
          <w:rFonts w:ascii="Segoe UI" w:hAnsi="Segoe UI" w:cs="Segoe UI"/>
          <w:i w:val="0"/>
        </w:rPr>
        <w:t>Global i</w:t>
      </w:r>
      <w:r w:rsidR="00C10050" w:rsidRPr="00B16A87">
        <w:rPr>
          <w:rStyle w:val="IntenseEmphasis"/>
          <w:rFonts w:ascii="Segoe UI" w:hAnsi="Segoe UI" w:cs="Segoe UI"/>
          <w:i w:val="0"/>
        </w:rPr>
        <w:t xml:space="preserve">mplications </w:t>
      </w:r>
      <w:r w:rsidR="00BF07BF">
        <w:rPr>
          <w:rStyle w:val="IntenseEmphasis"/>
          <w:rFonts w:ascii="Segoe UI" w:hAnsi="Segoe UI" w:cs="Segoe UI"/>
          <w:i w:val="0"/>
        </w:rPr>
        <w:t>of</w:t>
      </w:r>
      <w:r w:rsidR="00C10050" w:rsidRPr="00B16A87">
        <w:rPr>
          <w:rStyle w:val="IntenseEmphasis"/>
          <w:rFonts w:ascii="Segoe UI" w:hAnsi="Segoe UI" w:cs="Segoe UI"/>
          <w:i w:val="0"/>
        </w:rPr>
        <w:t xml:space="preserve"> </w:t>
      </w:r>
      <w:r w:rsidR="00CC79AE">
        <w:rPr>
          <w:rStyle w:val="IntenseEmphasis"/>
          <w:rFonts w:ascii="Segoe UI" w:hAnsi="Segoe UI" w:cs="Segoe UI"/>
          <w:i w:val="0"/>
        </w:rPr>
        <w:t>r</w:t>
      </w:r>
      <w:r w:rsidR="00C10050" w:rsidRPr="00B16A87">
        <w:rPr>
          <w:rStyle w:val="IntenseEmphasis"/>
          <w:rFonts w:ascii="Segoe UI" w:hAnsi="Segoe UI" w:cs="Segoe UI"/>
          <w:i w:val="0"/>
        </w:rPr>
        <w:t xml:space="preserve">egulating </w:t>
      </w:r>
      <w:r w:rsidR="00CC79AE">
        <w:rPr>
          <w:rStyle w:val="IntenseEmphasis"/>
          <w:rFonts w:ascii="Segoe UI" w:hAnsi="Segoe UI" w:cs="Segoe UI"/>
          <w:i w:val="0"/>
        </w:rPr>
        <w:t>f</w:t>
      </w:r>
      <w:r w:rsidR="00C10050" w:rsidRPr="00B16A87">
        <w:rPr>
          <w:rStyle w:val="IntenseEmphasis"/>
          <w:rFonts w:ascii="Segoe UI" w:hAnsi="Segoe UI" w:cs="Segoe UI"/>
          <w:i w:val="0"/>
        </w:rPr>
        <w:t>oreign-issued</w:t>
      </w:r>
      <w:r w:rsidR="00CC79AE">
        <w:rPr>
          <w:rStyle w:val="IntenseEmphasis"/>
          <w:rFonts w:ascii="Segoe UI" w:hAnsi="Segoe UI" w:cs="Segoe UI"/>
          <w:i w:val="0"/>
        </w:rPr>
        <w:t xml:space="preserve"> card</w:t>
      </w:r>
      <w:r w:rsidR="00C10050" w:rsidRPr="00B16A87">
        <w:rPr>
          <w:rStyle w:val="IntenseEmphasis"/>
          <w:rFonts w:ascii="Segoe UI" w:hAnsi="Segoe UI" w:cs="Segoe UI"/>
          <w:i w:val="0"/>
        </w:rPr>
        <w:t xml:space="preserve"> </w:t>
      </w:r>
      <w:r w:rsidR="00CC79AE">
        <w:rPr>
          <w:rStyle w:val="IntenseEmphasis"/>
          <w:rFonts w:ascii="Segoe UI" w:hAnsi="Segoe UI" w:cs="Segoe UI"/>
          <w:i w:val="0"/>
        </w:rPr>
        <w:t>t</w:t>
      </w:r>
      <w:r w:rsidR="00C10050" w:rsidRPr="00B16A87">
        <w:rPr>
          <w:rStyle w:val="IntenseEmphasis"/>
          <w:rFonts w:ascii="Segoe UI" w:hAnsi="Segoe UI" w:cs="Segoe UI"/>
          <w:i w:val="0"/>
        </w:rPr>
        <w:t>ransactions</w:t>
      </w:r>
      <w:bookmarkEnd w:id="57"/>
    </w:p>
    <w:p w14:paraId="06757AC1" w14:textId="77777777" w:rsidR="00C10050" w:rsidRDefault="00C10050" w:rsidP="00785DB4">
      <w:pPr>
        <w:jc w:val="both"/>
        <w:rPr>
          <w:rFonts w:ascii="Segoe UI" w:hAnsi="Segoe UI" w:cs="Segoe UI"/>
          <w:sz w:val="22"/>
          <w:szCs w:val="22"/>
        </w:rPr>
      </w:pPr>
    </w:p>
    <w:p w14:paraId="06757AC2" w14:textId="77777777" w:rsidR="00C10050" w:rsidRPr="00C74FFD" w:rsidRDefault="00DF5210" w:rsidP="00785DB4">
      <w:pPr>
        <w:jc w:val="both"/>
        <w:rPr>
          <w:rFonts w:ascii="Segoe UI" w:hAnsi="Segoe UI" w:cs="Segoe UI"/>
          <w:sz w:val="22"/>
          <w:szCs w:val="22"/>
        </w:rPr>
      </w:pPr>
      <w:r>
        <w:rPr>
          <w:rFonts w:ascii="Segoe UI" w:hAnsi="Segoe UI" w:cs="Segoe UI"/>
          <w:sz w:val="22"/>
          <w:szCs w:val="22"/>
        </w:rPr>
        <w:t xml:space="preserve">Changes to the nature of cross-border international payments in Australia </w:t>
      </w:r>
      <w:r w:rsidR="00710975">
        <w:rPr>
          <w:rFonts w:ascii="Segoe UI" w:hAnsi="Segoe UI" w:cs="Segoe UI"/>
          <w:sz w:val="22"/>
          <w:szCs w:val="22"/>
        </w:rPr>
        <w:t xml:space="preserve">could </w:t>
      </w:r>
      <w:proofErr w:type="spellStart"/>
      <w:r>
        <w:rPr>
          <w:rFonts w:ascii="Segoe UI" w:hAnsi="Segoe UI" w:cs="Segoe UI"/>
          <w:sz w:val="22"/>
          <w:szCs w:val="22"/>
        </w:rPr>
        <w:t>jeopardise</w:t>
      </w:r>
      <w:proofErr w:type="spellEnd"/>
      <w:r>
        <w:rPr>
          <w:rFonts w:ascii="Segoe UI" w:hAnsi="Segoe UI" w:cs="Segoe UI"/>
          <w:sz w:val="22"/>
          <w:szCs w:val="22"/>
        </w:rPr>
        <w:t xml:space="preserve"> the growth and sustainability of international visitor transactions in the Australian market, placing at risk the stability, efficiency and security of inbound spending. </w:t>
      </w:r>
      <w:r w:rsidR="00C10050" w:rsidRPr="00C74FFD">
        <w:rPr>
          <w:rFonts w:ascii="Segoe UI" w:hAnsi="Segoe UI" w:cs="Segoe UI"/>
          <w:sz w:val="22"/>
          <w:szCs w:val="22"/>
        </w:rPr>
        <w:t xml:space="preserve">International payment networks play a vital role in facilitating </w:t>
      </w:r>
      <w:r w:rsidR="00C10050">
        <w:rPr>
          <w:rFonts w:ascii="Segoe UI" w:hAnsi="Segoe UI" w:cs="Segoe UI"/>
          <w:sz w:val="22"/>
          <w:szCs w:val="22"/>
        </w:rPr>
        <w:t>cross-border</w:t>
      </w:r>
      <w:r w:rsidR="00C10050" w:rsidRPr="00C74FFD">
        <w:rPr>
          <w:rFonts w:ascii="Segoe UI" w:hAnsi="Segoe UI" w:cs="Segoe UI"/>
          <w:sz w:val="22"/>
          <w:szCs w:val="22"/>
        </w:rPr>
        <w:t xml:space="preserve"> commerce by allowing individual c</w:t>
      </w:r>
      <w:r w:rsidR="00C10050">
        <w:rPr>
          <w:rFonts w:ascii="Segoe UI" w:hAnsi="Segoe UI" w:cs="Segoe UI"/>
          <w:sz w:val="22"/>
          <w:szCs w:val="22"/>
        </w:rPr>
        <w:t>onsumers to transact globally. </w:t>
      </w:r>
      <w:r w:rsidR="00C10050" w:rsidRPr="00C74FFD">
        <w:rPr>
          <w:rFonts w:ascii="Segoe UI" w:hAnsi="Segoe UI" w:cs="Segoe UI"/>
          <w:sz w:val="22"/>
          <w:szCs w:val="22"/>
        </w:rPr>
        <w:t xml:space="preserve">Networks like Visa create the </w:t>
      </w:r>
      <w:r w:rsidR="00E03F99">
        <w:rPr>
          <w:rFonts w:ascii="Segoe UI" w:hAnsi="Segoe UI" w:cs="Segoe UI"/>
          <w:sz w:val="22"/>
          <w:szCs w:val="22"/>
        </w:rPr>
        <w:t xml:space="preserve">ideal </w:t>
      </w:r>
      <w:r w:rsidR="00C10050" w:rsidRPr="00C74FFD">
        <w:rPr>
          <w:rFonts w:ascii="Segoe UI" w:hAnsi="Segoe UI" w:cs="Segoe UI"/>
          <w:sz w:val="22"/>
          <w:szCs w:val="22"/>
        </w:rPr>
        <w:t xml:space="preserve">balance of incentives </w:t>
      </w:r>
      <w:r w:rsidR="00C10050">
        <w:rPr>
          <w:rFonts w:ascii="Segoe UI" w:hAnsi="Segoe UI" w:cs="Segoe UI"/>
          <w:sz w:val="22"/>
          <w:szCs w:val="22"/>
        </w:rPr>
        <w:t xml:space="preserve">for cardholders and merchants </w:t>
      </w:r>
      <w:r w:rsidR="00C10050" w:rsidRPr="00C74FFD">
        <w:rPr>
          <w:rFonts w:ascii="Segoe UI" w:hAnsi="Segoe UI" w:cs="Segoe UI"/>
          <w:sz w:val="22"/>
          <w:szCs w:val="22"/>
        </w:rPr>
        <w:t xml:space="preserve">to </w:t>
      </w:r>
      <w:proofErr w:type="spellStart"/>
      <w:r w:rsidR="00C10050" w:rsidRPr="00C74FFD">
        <w:rPr>
          <w:rFonts w:ascii="Segoe UI" w:hAnsi="Segoe UI" w:cs="Segoe UI"/>
          <w:sz w:val="22"/>
          <w:szCs w:val="22"/>
        </w:rPr>
        <w:t>maximise</w:t>
      </w:r>
      <w:proofErr w:type="spellEnd"/>
      <w:r w:rsidR="00C10050" w:rsidRPr="00C74FFD">
        <w:rPr>
          <w:rFonts w:ascii="Segoe UI" w:hAnsi="Segoe UI" w:cs="Segoe UI"/>
          <w:sz w:val="22"/>
          <w:szCs w:val="22"/>
        </w:rPr>
        <w:t xml:space="preserve"> international transactions </w:t>
      </w:r>
      <w:r w:rsidR="00C10050">
        <w:rPr>
          <w:rFonts w:ascii="Segoe UI" w:hAnsi="Segoe UI" w:cs="Segoe UI"/>
          <w:sz w:val="22"/>
          <w:szCs w:val="22"/>
        </w:rPr>
        <w:t>in pivotal globally focused sectors, such as</w:t>
      </w:r>
      <w:r w:rsidR="00C10050" w:rsidRPr="00C74FFD">
        <w:rPr>
          <w:rFonts w:ascii="Segoe UI" w:hAnsi="Segoe UI" w:cs="Segoe UI"/>
          <w:sz w:val="22"/>
          <w:szCs w:val="22"/>
        </w:rPr>
        <w:t xml:space="preserve"> tourism, trade, and </w:t>
      </w:r>
      <w:r w:rsidR="00C10050">
        <w:rPr>
          <w:rFonts w:ascii="Segoe UI" w:hAnsi="Segoe UI" w:cs="Segoe UI"/>
          <w:sz w:val="22"/>
          <w:szCs w:val="22"/>
        </w:rPr>
        <w:t>e-</w:t>
      </w:r>
      <w:r w:rsidR="00C10050" w:rsidRPr="00C74FFD">
        <w:rPr>
          <w:rFonts w:ascii="Segoe UI" w:hAnsi="Segoe UI" w:cs="Segoe UI"/>
          <w:sz w:val="22"/>
          <w:szCs w:val="22"/>
        </w:rPr>
        <w:t>commerce.</w:t>
      </w:r>
      <w:r w:rsidR="00C10050" w:rsidRPr="007A3E6E">
        <w:rPr>
          <w:rFonts w:ascii="Segoe UI" w:hAnsi="Segoe UI" w:cs="Segoe UI"/>
          <w:sz w:val="22"/>
          <w:szCs w:val="22"/>
        </w:rPr>
        <w:t xml:space="preserve"> </w:t>
      </w:r>
      <w:r w:rsidR="003C0CCF">
        <w:rPr>
          <w:rFonts w:ascii="Segoe UI" w:hAnsi="Segoe UI" w:cs="Segoe UI"/>
          <w:sz w:val="22"/>
          <w:szCs w:val="22"/>
        </w:rPr>
        <w:t>T</w:t>
      </w:r>
      <w:r w:rsidR="00C10050" w:rsidRPr="007A3E6E">
        <w:rPr>
          <w:rFonts w:ascii="Segoe UI" w:hAnsi="Segoe UI" w:cs="Segoe UI"/>
          <w:sz w:val="22"/>
          <w:szCs w:val="22"/>
        </w:rPr>
        <w:t xml:space="preserve">here needs to be adequate revenue and consistency across the </w:t>
      </w:r>
      <w:r w:rsidR="008319F3">
        <w:rPr>
          <w:rFonts w:ascii="Segoe UI" w:hAnsi="Segoe UI" w:cs="Segoe UI"/>
          <w:sz w:val="22"/>
          <w:szCs w:val="22"/>
        </w:rPr>
        <w:t>globe</w:t>
      </w:r>
      <w:r w:rsidR="00C10050" w:rsidRPr="007A3E6E">
        <w:rPr>
          <w:rFonts w:ascii="Segoe UI" w:hAnsi="Segoe UI" w:cs="Segoe UI"/>
          <w:sz w:val="22"/>
          <w:szCs w:val="22"/>
        </w:rPr>
        <w:t xml:space="preserve"> for issuers to support their international card programs. </w:t>
      </w:r>
      <w:r w:rsidR="00C10050" w:rsidRPr="00C74FFD">
        <w:rPr>
          <w:rFonts w:ascii="Segoe UI" w:hAnsi="Segoe UI" w:cs="Segoe UI"/>
          <w:sz w:val="22"/>
          <w:szCs w:val="22"/>
        </w:rPr>
        <w:t xml:space="preserve">Limiting the ability of international networks to </w:t>
      </w:r>
      <w:proofErr w:type="spellStart"/>
      <w:r w:rsidR="00C10050" w:rsidRPr="00C74FFD">
        <w:rPr>
          <w:rFonts w:ascii="Segoe UI" w:hAnsi="Segoe UI" w:cs="Segoe UI"/>
          <w:sz w:val="22"/>
          <w:szCs w:val="22"/>
        </w:rPr>
        <w:t>optimise</w:t>
      </w:r>
      <w:proofErr w:type="spellEnd"/>
      <w:r w:rsidR="00C10050" w:rsidRPr="00C74FFD">
        <w:rPr>
          <w:rFonts w:ascii="Segoe UI" w:hAnsi="Segoe UI" w:cs="Segoe UI"/>
          <w:sz w:val="22"/>
          <w:szCs w:val="22"/>
        </w:rPr>
        <w:t xml:space="preserve"> the pricing of international transactions would create a market imbalance and es</w:t>
      </w:r>
      <w:r w:rsidR="00C10050">
        <w:rPr>
          <w:rFonts w:ascii="Segoe UI" w:hAnsi="Segoe UI" w:cs="Segoe UI"/>
          <w:sz w:val="22"/>
          <w:szCs w:val="22"/>
        </w:rPr>
        <w:t>tablish a global precedent. </w:t>
      </w:r>
      <w:r w:rsidR="00C10050" w:rsidRPr="00C74FFD">
        <w:rPr>
          <w:rFonts w:ascii="Segoe UI" w:hAnsi="Segoe UI" w:cs="Segoe UI"/>
          <w:sz w:val="22"/>
          <w:szCs w:val="22"/>
        </w:rPr>
        <w:t>Over the longer-term, Australian business and consumers could be adversely affected</w:t>
      </w:r>
      <w:r w:rsidR="00C10050">
        <w:rPr>
          <w:rFonts w:ascii="Segoe UI" w:hAnsi="Segoe UI" w:cs="Segoe UI"/>
          <w:sz w:val="22"/>
          <w:szCs w:val="22"/>
        </w:rPr>
        <w:t xml:space="preserve"> through a trend away from safe, reliable and convenient payment</w:t>
      </w:r>
      <w:r w:rsidR="00E03F99">
        <w:rPr>
          <w:rFonts w:ascii="Segoe UI" w:hAnsi="Segoe UI" w:cs="Segoe UI"/>
          <w:sz w:val="22"/>
          <w:szCs w:val="22"/>
        </w:rPr>
        <w:t>s,</w:t>
      </w:r>
      <w:r w:rsidR="00C10050">
        <w:rPr>
          <w:rFonts w:ascii="Segoe UI" w:hAnsi="Segoe UI" w:cs="Segoe UI"/>
          <w:sz w:val="22"/>
          <w:szCs w:val="22"/>
        </w:rPr>
        <w:t xml:space="preserve"> back to less efficient and convenient payment methods, including </w:t>
      </w:r>
      <w:proofErr w:type="spellStart"/>
      <w:r w:rsidR="00C10050">
        <w:rPr>
          <w:rFonts w:ascii="Segoe UI" w:hAnsi="Segoe UI" w:cs="Segoe UI"/>
          <w:sz w:val="22"/>
          <w:szCs w:val="22"/>
        </w:rPr>
        <w:t>cheque</w:t>
      </w:r>
      <w:proofErr w:type="spellEnd"/>
      <w:r w:rsidR="00C10050">
        <w:rPr>
          <w:rFonts w:ascii="Segoe UI" w:hAnsi="Segoe UI" w:cs="Segoe UI"/>
          <w:sz w:val="22"/>
          <w:szCs w:val="22"/>
        </w:rPr>
        <w:t xml:space="preserve"> or money orders</w:t>
      </w:r>
      <w:r w:rsidR="008F6AF9">
        <w:rPr>
          <w:rFonts w:ascii="Segoe UI" w:hAnsi="Segoe UI" w:cs="Segoe UI"/>
          <w:sz w:val="22"/>
          <w:szCs w:val="22"/>
        </w:rPr>
        <w:t>.</w:t>
      </w:r>
    </w:p>
    <w:p w14:paraId="06757AC3" w14:textId="77777777" w:rsidR="00C10050" w:rsidRPr="00C74FFD" w:rsidRDefault="00C10050" w:rsidP="00785DB4">
      <w:pPr>
        <w:jc w:val="both"/>
        <w:rPr>
          <w:rFonts w:ascii="Segoe UI" w:hAnsi="Segoe UI" w:cs="Segoe UI"/>
          <w:sz w:val="22"/>
          <w:szCs w:val="22"/>
        </w:rPr>
      </w:pPr>
    </w:p>
    <w:p w14:paraId="06757AC4" w14:textId="77777777" w:rsidR="00AD6269" w:rsidRPr="00AD6269" w:rsidRDefault="00C10050" w:rsidP="00785DB4">
      <w:pPr>
        <w:jc w:val="both"/>
        <w:rPr>
          <w:rFonts w:ascii="Segoe UI" w:hAnsi="Segoe UI" w:cs="Segoe UI"/>
          <w:color w:val="000000" w:themeColor="text1"/>
          <w:sz w:val="22"/>
          <w:szCs w:val="22"/>
        </w:rPr>
      </w:pPr>
      <w:r w:rsidRPr="00C74FFD">
        <w:rPr>
          <w:rFonts w:ascii="Segoe UI" w:hAnsi="Segoe UI" w:cs="Segoe UI"/>
          <w:sz w:val="22"/>
          <w:szCs w:val="22"/>
        </w:rPr>
        <w:t>It is the right of every sovereign government to develop a regulatory regime that establishes common rules and standards for participants in</w:t>
      </w:r>
      <w:r>
        <w:rPr>
          <w:rFonts w:ascii="Segoe UI" w:hAnsi="Segoe UI" w:cs="Segoe UI"/>
          <w:sz w:val="22"/>
          <w:szCs w:val="22"/>
        </w:rPr>
        <w:t xml:space="preserve"> its domestic financial system.</w:t>
      </w:r>
      <w:r w:rsidRPr="00C74FFD">
        <w:rPr>
          <w:rFonts w:ascii="Segoe UI" w:hAnsi="Segoe UI" w:cs="Segoe UI"/>
          <w:sz w:val="22"/>
          <w:szCs w:val="22"/>
        </w:rPr>
        <w:t xml:space="preserve"> However, when one country enacts regulation that impacts the businesses of entities </w:t>
      </w:r>
      <w:r w:rsidRPr="00AD6269">
        <w:rPr>
          <w:rFonts w:ascii="Segoe UI" w:hAnsi="Segoe UI" w:cs="Segoe UI"/>
          <w:color w:val="000000" w:themeColor="text1"/>
          <w:sz w:val="22"/>
          <w:szCs w:val="22"/>
        </w:rPr>
        <w:t>operating within the jurisdiction of another sovereign nation, international comity issues may arise. </w:t>
      </w:r>
      <w:r w:rsidR="00AD6269" w:rsidRPr="00AD6269">
        <w:rPr>
          <w:rFonts w:ascii="Segoe UI" w:hAnsi="Segoe UI" w:cs="Segoe UI"/>
          <w:color w:val="000000" w:themeColor="text1"/>
          <w:sz w:val="22"/>
          <w:szCs w:val="22"/>
        </w:rPr>
        <w:t xml:space="preserve">Bilateral or multilateral cooperation agreements between antitrust enforcement authorities typically contain a negative comity’ principle pursuant to which an antitrust enforcer in one country needs to take into account the ‘important interests’ of the other country (countries). It </w:t>
      </w:r>
      <w:r w:rsidR="00AD6269" w:rsidRPr="00AD6269">
        <w:rPr>
          <w:rFonts w:ascii="Segoe UI" w:hAnsi="Segoe UI" w:cs="Segoe UI"/>
          <w:color w:val="000000" w:themeColor="text1"/>
          <w:sz w:val="22"/>
          <w:szCs w:val="22"/>
        </w:rPr>
        <w:lastRenderedPageBreak/>
        <w:t xml:space="preserve">follows that, if it believes anti-competitive harm has occurred in its own jurisdiction, it must ask itself whether the remedy for that harm will not cause similar or greater harm elsewhere. </w:t>
      </w:r>
    </w:p>
    <w:p w14:paraId="06757AC5" w14:textId="77777777" w:rsidR="00AD6269" w:rsidRPr="00AD6269" w:rsidRDefault="00AD6269" w:rsidP="00785DB4">
      <w:pPr>
        <w:jc w:val="both"/>
        <w:rPr>
          <w:rFonts w:ascii="Segoe UI" w:hAnsi="Segoe UI" w:cs="Segoe UI"/>
          <w:color w:val="000000" w:themeColor="text1"/>
          <w:sz w:val="22"/>
          <w:szCs w:val="22"/>
        </w:rPr>
      </w:pPr>
    </w:p>
    <w:p w14:paraId="06757AC6" w14:textId="77777777" w:rsidR="00AD6269" w:rsidRPr="00AD6269" w:rsidRDefault="00AD6269" w:rsidP="00785DB4">
      <w:pPr>
        <w:jc w:val="both"/>
        <w:rPr>
          <w:rFonts w:ascii="Segoe UI" w:hAnsi="Segoe UI" w:cs="Segoe UI"/>
          <w:color w:val="000000" w:themeColor="text1"/>
          <w:sz w:val="22"/>
          <w:szCs w:val="22"/>
        </w:rPr>
      </w:pPr>
      <w:r w:rsidRPr="00AD6269">
        <w:rPr>
          <w:rFonts w:ascii="Segoe UI" w:hAnsi="Segoe UI" w:cs="Segoe UI"/>
          <w:color w:val="000000" w:themeColor="text1"/>
          <w:sz w:val="22"/>
          <w:szCs w:val="22"/>
        </w:rPr>
        <w:t>There are many ways in which an interchange cap on transactions made with foreign-issued cards in Australia could cause such harm. First, foreign issuers might seek to recoup the resulting losses by raising costs for their customer/cardholders. Second, the cap might distort the balance between issuing and acquiring banks globally. Take an Australian bank like ANZ and a US-based bank like Chase. Payments with a Chase-issued card accepted by an ANZ-acquired merchant in Australia (inbound traffic) would yield far lower international interchange for Chase as issuer than the equivalent interchange Chase would pay as acquirer when payments are made with an ANZ-issued card at the premises of merchants acquired in the US or any other country outside Australia (outbound traffic). As a result, in their bilateral relationship, Chase would be losing out to ANZ.  Third, international merchants located outside Australia who accept card payments at their points-of-sale and face merchant discount rates that include uncapped international interchange might opportunistically decide to relocate to Australia in order to benefit from merchant service charges that would be lower as a result of the cap introduced by the RBA. International comity requires that the RBA assess that harm and refrains from intervening unless the gains of its intervention outweigh the harm at a global level.</w:t>
      </w:r>
    </w:p>
    <w:p w14:paraId="06757AC7" w14:textId="77777777" w:rsidR="00AD6269" w:rsidRDefault="00AD6269" w:rsidP="00785DB4">
      <w:pPr>
        <w:jc w:val="both"/>
        <w:rPr>
          <w:rFonts w:ascii="Segoe UI" w:hAnsi="Segoe UI" w:cs="Segoe UI"/>
          <w:sz w:val="22"/>
          <w:szCs w:val="22"/>
        </w:rPr>
      </w:pPr>
    </w:p>
    <w:p w14:paraId="06757AC8" w14:textId="77777777" w:rsidR="0048787D" w:rsidRDefault="00C10050" w:rsidP="00785DB4">
      <w:pPr>
        <w:jc w:val="both"/>
        <w:rPr>
          <w:rFonts w:ascii="Segoe UI" w:hAnsi="Segoe UI" w:cs="Segoe UI"/>
          <w:sz w:val="22"/>
          <w:szCs w:val="22"/>
        </w:rPr>
      </w:pPr>
      <w:r w:rsidRPr="00C74FFD">
        <w:rPr>
          <w:rFonts w:ascii="Segoe UI" w:hAnsi="Segoe UI" w:cs="Segoe UI"/>
          <w:sz w:val="22"/>
          <w:szCs w:val="22"/>
        </w:rPr>
        <w:t xml:space="preserve">Notwithstanding the increase in </w:t>
      </w:r>
      <w:r>
        <w:rPr>
          <w:rFonts w:ascii="Segoe UI" w:hAnsi="Segoe UI" w:cs="Segoe UI"/>
          <w:sz w:val="22"/>
          <w:szCs w:val="22"/>
        </w:rPr>
        <w:t>government/regulatory</w:t>
      </w:r>
      <w:r w:rsidRPr="00C74FFD">
        <w:rPr>
          <w:rFonts w:ascii="Segoe UI" w:hAnsi="Segoe UI" w:cs="Segoe UI"/>
          <w:sz w:val="22"/>
          <w:szCs w:val="22"/>
        </w:rPr>
        <w:t xml:space="preserve"> involvement in payment system economics over the past two decades, no national government has imposed price controls on interchange fees f</w:t>
      </w:r>
      <w:r>
        <w:rPr>
          <w:rFonts w:ascii="Segoe UI" w:hAnsi="Segoe UI" w:cs="Segoe UI"/>
          <w:sz w:val="22"/>
          <w:szCs w:val="22"/>
        </w:rPr>
        <w:t>or international transactions. </w:t>
      </w:r>
      <w:r w:rsidRPr="00C74FFD">
        <w:rPr>
          <w:rFonts w:ascii="Segoe UI" w:hAnsi="Segoe UI" w:cs="Segoe UI"/>
          <w:sz w:val="22"/>
          <w:szCs w:val="22"/>
        </w:rPr>
        <w:t>This is partly due to a respect for comity in international law, but there are practical conce</w:t>
      </w:r>
      <w:r>
        <w:rPr>
          <w:rFonts w:ascii="Segoe UI" w:hAnsi="Segoe UI" w:cs="Segoe UI"/>
          <w:sz w:val="22"/>
          <w:szCs w:val="22"/>
        </w:rPr>
        <w:t>rns as well. </w:t>
      </w:r>
    </w:p>
    <w:p w14:paraId="06757AC9" w14:textId="77777777" w:rsidR="0048787D" w:rsidRDefault="0048787D" w:rsidP="00785DB4">
      <w:pPr>
        <w:jc w:val="both"/>
        <w:rPr>
          <w:rFonts w:ascii="Segoe UI" w:hAnsi="Segoe UI" w:cs="Segoe UI"/>
          <w:sz w:val="22"/>
          <w:szCs w:val="22"/>
        </w:rPr>
      </w:pPr>
    </w:p>
    <w:p w14:paraId="06757ACA" w14:textId="77777777" w:rsidR="008319F3" w:rsidRPr="00C74FFD" w:rsidRDefault="008319F3" w:rsidP="00785DB4">
      <w:pPr>
        <w:jc w:val="both"/>
        <w:rPr>
          <w:rFonts w:ascii="Segoe UI" w:hAnsi="Segoe UI" w:cs="Segoe UI"/>
          <w:sz w:val="22"/>
          <w:szCs w:val="22"/>
        </w:rPr>
      </w:pPr>
      <w:r w:rsidRPr="00C74FFD">
        <w:rPr>
          <w:rFonts w:ascii="Segoe UI" w:hAnsi="Segoe UI" w:cs="Segoe UI"/>
          <w:sz w:val="22"/>
          <w:szCs w:val="22"/>
        </w:rPr>
        <w:t xml:space="preserve">Forcing foreign financial institutions to </w:t>
      </w:r>
      <w:proofErr w:type="spellStart"/>
      <w:r w:rsidRPr="00C74FFD">
        <w:rPr>
          <w:rFonts w:ascii="Segoe UI" w:hAnsi="Segoe UI" w:cs="Segoe UI"/>
          <w:sz w:val="22"/>
          <w:szCs w:val="22"/>
        </w:rPr>
        <w:t>internalise</w:t>
      </w:r>
      <w:proofErr w:type="spellEnd"/>
      <w:r w:rsidRPr="00C74FFD">
        <w:rPr>
          <w:rFonts w:ascii="Segoe UI" w:hAnsi="Segoe UI" w:cs="Segoe UI"/>
          <w:sz w:val="22"/>
          <w:szCs w:val="22"/>
        </w:rPr>
        <w:t xml:space="preserve"> losses associated with fraud, currency volatility, or other factors</w:t>
      </w:r>
      <w:r>
        <w:rPr>
          <w:rFonts w:ascii="Segoe UI" w:hAnsi="Segoe UI" w:cs="Segoe UI"/>
          <w:sz w:val="22"/>
          <w:szCs w:val="22"/>
        </w:rPr>
        <w:t xml:space="preserve"> that are heightened in a cross-border context</w:t>
      </w:r>
      <w:r w:rsidRPr="00C74FFD">
        <w:rPr>
          <w:rFonts w:ascii="Segoe UI" w:hAnsi="Segoe UI" w:cs="Segoe UI"/>
          <w:sz w:val="22"/>
          <w:szCs w:val="22"/>
        </w:rPr>
        <w:t xml:space="preserve">, disrupts the balance in the </w:t>
      </w:r>
      <w:r>
        <w:rPr>
          <w:rFonts w:ascii="Segoe UI" w:hAnsi="Segoe UI" w:cs="Segoe UI"/>
          <w:sz w:val="22"/>
          <w:szCs w:val="22"/>
        </w:rPr>
        <w:t xml:space="preserve">payment </w:t>
      </w:r>
      <w:r w:rsidRPr="00C74FFD">
        <w:rPr>
          <w:rFonts w:ascii="Segoe UI" w:hAnsi="Segoe UI" w:cs="Segoe UI"/>
          <w:sz w:val="22"/>
          <w:szCs w:val="22"/>
        </w:rPr>
        <w:t xml:space="preserve">system and could lead to </w:t>
      </w:r>
      <w:r>
        <w:rPr>
          <w:rFonts w:ascii="Segoe UI" w:hAnsi="Segoe UI" w:cs="Segoe UI"/>
          <w:sz w:val="22"/>
          <w:szCs w:val="22"/>
        </w:rPr>
        <w:t>an increase in declined transactions in Australia because the cost to issuers outweighs the revenue generated by cross-borde</w:t>
      </w:r>
      <w:r w:rsidR="008F6AF9">
        <w:rPr>
          <w:rFonts w:ascii="Segoe UI" w:hAnsi="Segoe UI" w:cs="Segoe UI"/>
          <w:sz w:val="22"/>
          <w:szCs w:val="22"/>
        </w:rPr>
        <w:t xml:space="preserve">r transactions. </w:t>
      </w:r>
      <w:r>
        <w:rPr>
          <w:rFonts w:ascii="Segoe UI" w:hAnsi="Segoe UI" w:cs="Segoe UI"/>
          <w:sz w:val="22"/>
          <w:szCs w:val="22"/>
        </w:rPr>
        <w:t>S</w:t>
      </w:r>
      <w:r w:rsidRPr="00C74FFD">
        <w:rPr>
          <w:rFonts w:ascii="Segoe UI" w:hAnsi="Segoe UI" w:cs="Segoe UI"/>
          <w:sz w:val="22"/>
          <w:szCs w:val="22"/>
        </w:rPr>
        <w:t xml:space="preserve">uch policies </w:t>
      </w:r>
      <w:r>
        <w:rPr>
          <w:rFonts w:ascii="Segoe UI" w:hAnsi="Segoe UI" w:cs="Segoe UI"/>
          <w:sz w:val="22"/>
          <w:szCs w:val="22"/>
        </w:rPr>
        <w:t>are likely to negatively impact the Australian economy as consumers find it more difficult to pay for goods and services in Australia in a secure, efficient and reliable manner.</w:t>
      </w:r>
      <w:r w:rsidRPr="00C74FFD">
        <w:rPr>
          <w:rFonts w:ascii="Segoe UI" w:hAnsi="Segoe UI" w:cs="Segoe UI"/>
          <w:sz w:val="22"/>
          <w:szCs w:val="22"/>
        </w:rPr>
        <w:t xml:space="preserve"> </w:t>
      </w:r>
      <w:r>
        <w:rPr>
          <w:rFonts w:ascii="Segoe UI" w:hAnsi="Segoe UI" w:cs="Segoe UI"/>
          <w:sz w:val="22"/>
          <w:szCs w:val="22"/>
        </w:rPr>
        <w:t>Visa is concerned that</w:t>
      </w:r>
      <w:r w:rsidRPr="00C74FFD">
        <w:rPr>
          <w:rFonts w:ascii="Segoe UI" w:hAnsi="Segoe UI" w:cs="Segoe UI"/>
          <w:sz w:val="22"/>
          <w:szCs w:val="22"/>
        </w:rPr>
        <w:t xml:space="preserve"> enacting regulation on foreign-issued cards</w:t>
      </w:r>
      <w:r>
        <w:rPr>
          <w:rFonts w:ascii="Segoe UI" w:hAnsi="Segoe UI" w:cs="Segoe UI"/>
          <w:sz w:val="22"/>
          <w:szCs w:val="22"/>
        </w:rPr>
        <w:t xml:space="preserve"> will result in reciprocal policies in other countries which would place greater cost pressures on Australian issuers and lead to a contraction of international acceptance.</w:t>
      </w:r>
    </w:p>
    <w:p w14:paraId="06757ACB" w14:textId="77777777" w:rsidR="00C10050" w:rsidRPr="00C74FFD" w:rsidRDefault="00C10050" w:rsidP="00785DB4">
      <w:pPr>
        <w:jc w:val="both"/>
        <w:rPr>
          <w:rFonts w:ascii="Segoe UI" w:hAnsi="Segoe UI" w:cs="Segoe UI"/>
          <w:sz w:val="22"/>
          <w:szCs w:val="22"/>
        </w:rPr>
      </w:pPr>
    </w:p>
    <w:p w14:paraId="06757ACC" w14:textId="77777777" w:rsidR="000F4D6F" w:rsidRDefault="008319F3" w:rsidP="00785DB4">
      <w:pPr>
        <w:jc w:val="both"/>
        <w:rPr>
          <w:rFonts w:ascii="Segoe UI" w:hAnsi="Segoe UI" w:cs="Segoe UI"/>
          <w:sz w:val="22"/>
          <w:szCs w:val="22"/>
        </w:rPr>
      </w:pPr>
      <w:r>
        <w:rPr>
          <w:rFonts w:ascii="Segoe UI" w:hAnsi="Segoe UI" w:cs="Segoe UI"/>
          <w:sz w:val="22"/>
          <w:szCs w:val="22"/>
        </w:rPr>
        <w:t xml:space="preserve">As stated before, </w:t>
      </w:r>
      <w:r w:rsidRPr="00C74FFD">
        <w:rPr>
          <w:rFonts w:ascii="Segoe UI" w:hAnsi="Segoe UI" w:cs="Segoe UI"/>
          <w:sz w:val="22"/>
          <w:szCs w:val="22"/>
        </w:rPr>
        <w:t>re</w:t>
      </w:r>
      <w:r w:rsidR="008F6AF9">
        <w:rPr>
          <w:rFonts w:ascii="Segoe UI" w:hAnsi="Segoe UI" w:cs="Segoe UI"/>
          <w:sz w:val="22"/>
          <w:szCs w:val="22"/>
        </w:rPr>
        <w:t>gulating interchange on foreign-</w:t>
      </w:r>
      <w:r w:rsidRPr="00C74FFD">
        <w:rPr>
          <w:rFonts w:ascii="Segoe UI" w:hAnsi="Segoe UI" w:cs="Segoe UI"/>
          <w:sz w:val="22"/>
          <w:szCs w:val="22"/>
        </w:rPr>
        <w:t>issued cards</w:t>
      </w:r>
      <w:r>
        <w:rPr>
          <w:rFonts w:ascii="Segoe UI" w:hAnsi="Segoe UI" w:cs="Segoe UI"/>
          <w:sz w:val="22"/>
          <w:szCs w:val="22"/>
        </w:rPr>
        <w:t xml:space="preserve"> will </w:t>
      </w:r>
      <w:r w:rsidRPr="00C74FFD">
        <w:rPr>
          <w:rFonts w:ascii="Segoe UI" w:hAnsi="Segoe UI" w:cs="Segoe UI"/>
          <w:sz w:val="22"/>
          <w:szCs w:val="22"/>
        </w:rPr>
        <w:t xml:space="preserve">directly affect </w:t>
      </w:r>
      <w:r>
        <w:rPr>
          <w:rFonts w:ascii="Segoe UI" w:hAnsi="Segoe UI" w:cs="Segoe UI"/>
          <w:sz w:val="22"/>
          <w:szCs w:val="22"/>
        </w:rPr>
        <w:t xml:space="preserve">the </w:t>
      </w:r>
      <w:r w:rsidRPr="00C74FFD">
        <w:rPr>
          <w:rFonts w:ascii="Segoe UI" w:hAnsi="Segoe UI" w:cs="Segoe UI"/>
          <w:sz w:val="22"/>
          <w:szCs w:val="22"/>
        </w:rPr>
        <w:t xml:space="preserve">international competitiveness of Visa versus </w:t>
      </w:r>
      <w:r>
        <w:rPr>
          <w:rFonts w:ascii="Segoe UI" w:hAnsi="Segoe UI" w:cs="Segoe UI"/>
          <w:sz w:val="22"/>
          <w:szCs w:val="22"/>
        </w:rPr>
        <w:t xml:space="preserve">unregulated </w:t>
      </w:r>
      <w:r w:rsidRPr="00C74FFD">
        <w:rPr>
          <w:rFonts w:ascii="Segoe UI" w:hAnsi="Segoe UI" w:cs="Segoe UI"/>
          <w:sz w:val="22"/>
          <w:szCs w:val="22"/>
        </w:rPr>
        <w:t xml:space="preserve">schemes within Australia. </w:t>
      </w:r>
      <w:r>
        <w:rPr>
          <w:rFonts w:ascii="Segoe UI" w:hAnsi="Segoe UI" w:cs="Segoe UI"/>
          <w:sz w:val="22"/>
          <w:szCs w:val="22"/>
        </w:rPr>
        <w:t xml:space="preserve">For instance, where </w:t>
      </w:r>
      <w:proofErr w:type="spellStart"/>
      <w:r>
        <w:rPr>
          <w:rFonts w:ascii="Segoe UI" w:hAnsi="Segoe UI" w:cs="Segoe UI"/>
          <w:sz w:val="22"/>
          <w:szCs w:val="22"/>
        </w:rPr>
        <w:t>Union</w:t>
      </w:r>
      <w:r w:rsidRPr="00C74FFD">
        <w:rPr>
          <w:rFonts w:ascii="Segoe UI" w:hAnsi="Segoe UI" w:cs="Segoe UI"/>
          <w:sz w:val="22"/>
          <w:szCs w:val="22"/>
        </w:rPr>
        <w:t>Pay</w:t>
      </w:r>
      <w:proofErr w:type="spellEnd"/>
      <w:r w:rsidRPr="00C74FFD">
        <w:rPr>
          <w:rFonts w:ascii="Segoe UI" w:hAnsi="Segoe UI" w:cs="Segoe UI"/>
          <w:sz w:val="22"/>
          <w:szCs w:val="22"/>
        </w:rPr>
        <w:t xml:space="preserve"> </w:t>
      </w:r>
      <w:r>
        <w:rPr>
          <w:rFonts w:ascii="Segoe UI" w:hAnsi="Segoe UI" w:cs="Segoe UI"/>
          <w:sz w:val="22"/>
          <w:szCs w:val="22"/>
        </w:rPr>
        <w:t>or</w:t>
      </w:r>
      <w:r w:rsidRPr="00C74FFD">
        <w:rPr>
          <w:rFonts w:ascii="Segoe UI" w:hAnsi="Segoe UI" w:cs="Segoe UI"/>
          <w:sz w:val="22"/>
          <w:szCs w:val="22"/>
        </w:rPr>
        <w:t xml:space="preserve"> JCB compete alongside Visa and MasterCard for business in markets such as China and Japan, issuing banks will have </w:t>
      </w:r>
      <w:r>
        <w:rPr>
          <w:rFonts w:ascii="Segoe UI" w:hAnsi="Segoe UI" w:cs="Segoe UI"/>
          <w:sz w:val="22"/>
          <w:szCs w:val="22"/>
        </w:rPr>
        <w:t>far greater</w:t>
      </w:r>
      <w:r w:rsidRPr="00C74FFD">
        <w:rPr>
          <w:rFonts w:ascii="Segoe UI" w:hAnsi="Segoe UI" w:cs="Segoe UI"/>
          <w:sz w:val="22"/>
          <w:szCs w:val="22"/>
        </w:rPr>
        <w:t xml:space="preserve"> </w:t>
      </w:r>
      <w:r>
        <w:rPr>
          <w:rFonts w:ascii="Segoe UI" w:hAnsi="Segoe UI" w:cs="Segoe UI"/>
          <w:sz w:val="22"/>
          <w:szCs w:val="22"/>
        </w:rPr>
        <w:t xml:space="preserve">incentive to choose </w:t>
      </w:r>
      <w:proofErr w:type="spellStart"/>
      <w:r>
        <w:rPr>
          <w:rFonts w:ascii="Segoe UI" w:hAnsi="Segoe UI" w:cs="Segoe UI"/>
          <w:sz w:val="22"/>
          <w:szCs w:val="22"/>
        </w:rPr>
        <w:t>Union</w:t>
      </w:r>
      <w:r w:rsidRPr="00C74FFD">
        <w:rPr>
          <w:rFonts w:ascii="Segoe UI" w:hAnsi="Segoe UI" w:cs="Segoe UI"/>
          <w:sz w:val="22"/>
          <w:szCs w:val="22"/>
        </w:rPr>
        <w:t>Pay</w:t>
      </w:r>
      <w:proofErr w:type="spellEnd"/>
      <w:r w:rsidRPr="00C74FFD">
        <w:rPr>
          <w:rFonts w:ascii="Segoe UI" w:hAnsi="Segoe UI" w:cs="Segoe UI"/>
          <w:sz w:val="22"/>
          <w:szCs w:val="22"/>
        </w:rPr>
        <w:t xml:space="preserve"> </w:t>
      </w:r>
      <w:r>
        <w:rPr>
          <w:rFonts w:ascii="Segoe UI" w:hAnsi="Segoe UI" w:cs="Segoe UI"/>
          <w:sz w:val="22"/>
          <w:szCs w:val="22"/>
        </w:rPr>
        <w:t>or</w:t>
      </w:r>
      <w:r w:rsidRPr="00C74FFD">
        <w:rPr>
          <w:rFonts w:ascii="Segoe UI" w:hAnsi="Segoe UI" w:cs="Segoe UI"/>
          <w:sz w:val="22"/>
          <w:szCs w:val="22"/>
        </w:rPr>
        <w:t xml:space="preserve"> JCB</w:t>
      </w:r>
      <w:r>
        <w:rPr>
          <w:rFonts w:ascii="Segoe UI" w:hAnsi="Segoe UI" w:cs="Segoe UI"/>
          <w:sz w:val="22"/>
          <w:szCs w:val="22"/>
        </w:rPr>
        <w:t xml:space="preserve"> products</w:t>
      </w:r>
      <w:r w:rsidRPr="00C74FFD">
        <w:rPr>
          <w:rFonts w:ascii="Segoe UI" w:hAnsi="Segoe UI" w:cs="Segoe UI"/>
          <w:sz w:val="22"/>
          <w:szCs w:val="22"/>
        </w:rPr>
        <w:t xml:space="preserve"> </w:t>
      </w:r>
      <w:r>
        <w:rPr>
          <w:rFonts w:ascii="Segoe UI" w:hAnsi="Segoe UI" w:cs="Segoe UI"/>
          <w:sz w:val="22"/>
          <w:szCs w:val="22"/>
        </w:rPr>
        <w:t xml:space="preserve">because of </w:t>
      </w:r>
      <w:r w:rsidRPr="00C74FFD">
        <w:rPr>
          <w:rFonts w:ascii="Segoe UI" w:hAnsi="Segoe UI" w:cs="Segoe UI"/>
          <w:sz w:val="22"/>
          <w:szCs w:val="22"/>
        </w:rPr>
        <w:t xml:space="preserve">the </w:t>
      </w:r>
      <w:r>
        <w:rPr>
          <w:rFonts w:ascii="Segoe UI" w:hAnsi="Segoe UI" w:cs="Segoe UI"/>
          <w:sz w:val="22"/>
          <w:szCs w:val="22"/>
        </w:rPr>
        <w:t>higher</w:t>
      </w:r>
      <w:r w:rsidRPr="00C74FFD">
        <w:rPr>
          <w:rFonts w:ascii="Segoe UI" w:hAnsi="Segoe UI" w:cs="Segoe UI"/>
          <w:sz w:val="22"/>
          <w:szCs w:val="22"/>
        </w:rPr>
        <w:t xml:space="preserve"> revenue on cross</w:t>
      </w:r>
      <w:r>
        <w:rPr>
          <w:rFonts w:ascii="Segoe UI" w:hAnsi="Segoe UI" w:cs="Segoe UI"/>
          <w:sz w:val="22"/>
          <w:szCs w:val="22"/>
        </w:rPr>
        <w:t>-</w:t>
      </w:r>
      <w:r w:rsidRPr="00C74FFD">
        <w:rPr>
          <w:rFonts w:ascii="Segoe UI" w:hAnsi="Segoe UI" w:cs="Segoe UI"/>
          <w:sz w:val="22"/>
          <w:szCs w:val="22"/>
        </w:rPr>
        <w:t>border interchange they will receive.</w:t>
      </w:r>
    </w:p>
    <w:p w14:paraId="06757ACD" w14:textId="77777777" w:rsidR="008319F3" w:rsidRDefault="008319F3" w:rsidP="00785DB4">
      <w:pPr>
        <w:jc w:val="both"/>
        <w:rPr>
          <w:rFonts w:ascii="Segoe UI" w:hAnsi="Segoe UI" w:cs="Segoe UI"/>
          <w:sz w:val="22"/>
          <w:szCs w:val="22"/>
        </w:rPr>
      </w:pPr>
    </w:p>
    <w:p w14:paraId="06757ACE" w14:textId="77777777" w:rsidR="00C10050" w:rsidRDefault="00C10050" w:rsidP="00785DB4">
      <w:pPr>
        <w:jc w:val="both"/>
        <w:rPr>
          <w:rFonts w:ascii="Segoe UI" w:hAnsi="Segoe UI" w:cs="Segoe UI"/>
          <w:sz w:val="22"/>
          <w:szCs w:val="22"/>
        </w:rPr>
      </w:pPr>
      <w:r w:rsidRPr="00C74FFD">
        <w:rPr>
          <w:rFonts w:ascii="Segoe UI" w:hAnsi="Segoe UI" w:cs="Segoe UI"/>
          <w:sz w:val="22"/>
          <w:szCs w:val="22"/>
        </w:rPr>
        <w:t>In light of the deep economic t</w:t>
      </w:r>
      <w:r>
        <w:rPr>
          <w:rFonts w:ascii="Segoe UI" w:hAnsi="Segoe UI" w:cs="Segoe UI"/>
          <w:sz w:val="22"/>
          <w:szCs w:val="22"/>
        </w:rPr>
        <w:t>ies between China and Australia</w:t>
      </w:r>
      <w:r w:rsidRPr="00C74FFD">
        <w:rPr>
          <w:rFonts w:ascii="Segoe UI" w:hAnsi="Segoe UI" w:cs="Segoe UI"/>
          <w:sz w:val="22"/>
          <w:szCs w:val="22"/>
        </w:rPr>
        <w:t xml:space="preserve"> and the </w:t>
      </w:r>
      <w:r>
        <w:rPr>
          <w:rFonts w:ascii="Segoe UI" w:hAnsi="Segoe UI" w:cs="Segoe UI"/>
          <w:sz w:val="22"/>
          <w:szCs w:val="22"/>
        </w:rPr>
        <w:t xml:space="preserve">growing </w:t>
      </w:r>
      <w:r w:rsidRPr="00C74FFD">
        <w:rPr>
          <w:rFonts w:ascii="Segoe UI" w:hAnsi="Segoe UI" w:cs="Segoe UI"/>
          <w:sz w:val="22"/>
          <w:szCs w:val="22"/>
        </w:rPr>
        <w:t xml:space="preserve">inbound </w:t>
      </w:r>
      <w:r>
        <w:rPr>
          <w:rFonts w:ascii="Segoe UI" w:hAnsi="Segoe UI" w:cs="Segoe UI"/>
          <w:sz w:val="22"/>
          <w:szCs w:val="22"/>
        </w:rPr>
        <w:t>visitation from</w:t>
      </w:r>
      <w:r w:rsidRPr="00C74FFD">
        <w:rPr>
          <w:rFonts w:ascii="Segoe UI" w:hAnsi="Segoe UI" w:cs="Segoe UI"/>
          <w:sz w:val="22"/>
          <w:szCs w:val="22"/>
        </w:rPr>
        <w:t xml:space="preserve"> Chine</w:t>
      </w:r>
      <w:r>
        <w:rPr>
          <w:rFonts w:ascii="Segoe UI" w:hAnsi="Segoe UI" w:cs="Segoe UI"/>
          <w:sz w:val="22"/>
          <w:szCs w:val="22"/>
        </w:rPr>
        <w:t>se travelers</w:t>
      </w:r>
      <w:r w:rsidR="009B674F">
        <w:rPr>
          <w:rFonts w:ascii="Segoe UI" w:hAnsi="Segoe UI" w:cs="Segoe UI"/>
          <w:sz w:val="22"/>
          <w:szCs w:val="22"/>
        </w:rPr>
        <w:t xml:space="preserve"> and online buyers</w:t>
      </w:r>
      <w:r>
        <w:rPr>
          <w:rFonts w:ascii="Segoe UI" w:hAnsi="Segoe UI" w:cs="Segoe UI"/>
          <w:sz w:val="22"/>
          <w:szCs w:val="22"/>
        </w:rPr>
        <w:t xml:space="preserve">, </w:t>
      </w:r>
      <w:r w:rsidRPr="00C74FFD">
        <w:rPr>
          <w:rFonts w:ascii="Segoe UI" w:hAnsi="Segoe UI" w:cs="Segoe UI"/>
          <w:sz w:val="22"/>
          <w:szCs w:val="22"/>
        </w:rPr>
        <w:t>this</w:t>
      </w:r>
      <w:r>
        <w:rPr>
          <w:rFonts w:ascii="Segoe UI" w:hAnsi="Segoe UI" w:cs="Segoe UI"/>
          <w:sz w:val="22"/>
          <w:szCs w:val="22"/>
        </w:rPr>
        <w:t xml:space="preserve"> prospect presents</w:t>
      </w:r>
      <w:r w:rsidRPr="00C74FFD">
        <w:rPr>
          <w:rFonts w:ascii="Segoe UI" w:hAnsi="Segoe UI" w:cs="Segoe UI"/>
          <w:sz w:val="22"/>
          <w:szCs w:val="22"/>
        </w:rPr>
        <w:t xml:space="preserve"> a serious concern for Visa with real implications for the merchant community</w:t>
      </w:r>
      <w:r>
        <w:rPr>
          <w:rFonts w:ascii="Segoe UI" w:hAnsi="Segoe UI" w:cs="Segoe UI"/>
          <w:sz w:val="22"/>
          <w:szCs w:val="22"/>
        </w:rPr>
        <w:t xml:space="preserve">. During 2015, over 1 million </w:t>
      </w:r>
      <w:r>
        <w:rPr>
          <w:rFonts w:ascii="Segoe UI" w:hAnsi="Segoe UI" w:cs="Segoe UI"/>
          <w:sz w:val="22"/>
          <w:szCs w:val="22"/>
        </w:rPr>
        <w:lastRenderedPageBreak/>
        <w:t xml:space="preserve">Chinese visitors spent more than </w:t>
      </w:r>
      <w:r w:rsidR="00023763">
        <w:rPr>
          <w:rFonts w:ascii="Segoe UI" w:hAnsi="Segoe UI" w:cs="Segoe UI"/>
          <w:sz w:val="22"/>
          <w:szCs w:val="22"/>
        </w:rPr>
        <w:t>AU</w:t>
      </w:r>
      <w:r>
        <w:rPr>
          <w:rFonts w:ascii="Segoe UI" w:hAnsi="Segoe UI" w:cs="Segoe UI"/>
          <w:sz w:val="22"/>
          <w:szCs w:val="22"/>
        </w:rPr>
        <w:t>$5.7 billion in Australia, an increase of 17</w:t>
      </w:r>
      <w:r w:rsidR="00952D5E">
        <w:rPr>
          <w:rFonts w:ascii="Segoe UI" w:hAnsi="Segoe UI" w:cs="Segoe UI"/>
          <w:sz w:val="22"/>
          <w:szCs w:val="22"/>
        </w:rPr>
        <w:t xml:space="preserve"> per cent</w:t>
      </w:r>
      <w:r>
        <w:rPr>
          <w:rFonts w:ascii="Segoe UI" w:hAnsi="Segoe UI" w:cs="Segoe UI"/>
          <w:sz w:val="22"/>
          <w:szCs w:val="22"/>
        </w:rPr>
        <w:t xml:space="preserve"> on 2014, representing an average of </w:t>
      </w:r>
      <w:r w:rsidR="00023763">
        <w:rPr>
          <w:rFonts w:ascii="Segoe UI" w:hAnsi="Segoe UI" w:cs="Segoe UI"/>
          <w:sz w:val="22"/>
          <w:szCs w:val="22"/>
        </w:rPr>
        <w:t>AU</w:t>
      </w:r>
      <w:r>
        <w:rPr>
          <w:rFonts w:ascii="Segoe UI" w:hAnsi="Segoe UI" w:cs="Segoe UI"/>
          <w:sz w:val="22"/>
          <w:szCs w:val="22"/>
        </w:rPr>
        <w:t>$4,201 per trip, per person</w:t>
      </w:r>
      <w:r>
        <w:rPr>
          <w:rStyle w:val="FootnoteReference"/>
          <w:rFonts w:ascii="Segoe UI" w:hAnsi="Segoe UI" w:cs="Segoe UI"/>
          <w:sz w:val="22"/>
          <w:szCs w:val="22"/>
        </w:rPr>
        <w:footnoteReference w:id="11"/>
      </w:r>
      <w:r>
        <w:rPr>
          <w:rFonts w:ascii="Segoe UI" w:hAnsi="Segoe UI" w:cs="Segoe UI"/>
          <w:sz w:val="22"/>
          <w:szCs w:val="22"/>
        </w:rPr>
        <w:t xml:space="preserve">. A significant proportion of this inbound spend takes place via electronic payment mediums, and the vast majority occurring through the unregulated </w:t>
      </w:r>
      <w:proofErr w:type="spellStart"/>
      <w:r>
        <w:rPr>
          <w:rFonts w:ascii="Segoe UI" w:hAnsi="Segoe UI" w:cs="Segoe UI"/>
          <w:sz w:val="22"/>
          <w:szCs w:val="22"/>
        </w:rPr>
        <w:t>UnionPay</w:t>
      </w:r>
      <w:proofErr w:type="spellEnd"/>
      <w:r>
        <w:rPr>
          <w:rFonts w:ascii="Segoe UI" w:hAnsi="Segoe UI" w:cs="Segoe UI"/>
          <w:sz w:val="22"/>
          <w:szCs w:val="22"/>
        </w:rPr>
        <w:t xml:space="preserve"> system</w:t>
      </w:r>
      <w:r w:rsidR="009B674F">
        <w:rPr>
          <w:rFonts w:ascii="Segoe UI" w:hAnsi="Segoe UI" w:cs="Segoe UI"/>
          <w:sz w:val="22"/>
          <w:szCs w:val="22"/>
        </w:rPr>
        <w:t xml:space="preserve"> which is accepted by all major acquirers in Australia</w:t>
      </w:r>
      <w:r>
        <w:rPr>
          <w:rFonts w:ascii="Segoe UI" w:hAnsi="Segoe UI" w:cs="Segoe UI"/>
          <w:sz w:val="22"/>
          <w:szCs w:val="22"/>
        </w:rPr>
        <w:t>.</w:t>
      </w:r>
      <w:r w:rsidR="008F6AF9">
        <w:rPr>
          <w:rFonts w:ascii="Segoe UI" w:hAnsi="Segoe UI" w:cs="Segoe UI"/>
          <w:sz w:val="22"/>
          <w:szCs w:val="22"/>
        </w:rPr>
        <w:t xml:space="preserve"> </w:t>
      </w:r>
      <w:proofErr w:type="gramStart"/>
      <w:r w:rsidR="009B674F">
        <w:rPr>
          <w:rFonts w:ascii="Segoe UI" w:hAnsi="Segoe UI" w:cs="Segoe UI"/>
          <w:sz w:val="22"/>
          <w:szCs w:val="22"/>
        </w:rPr>
        <w:t xml:space="preserve">If the intention of the proposed regulation is to further lower cost to merchants this </w:t>
      </w:r>
      <w:r w:rsidR="00A315C1">
        <w:rPr>
          <w:rFonts w:ascii="Segoe UI" w:hAnsi="Segoe UI" w:cs="Segoe UI"/>
          <w:sz w:val="22"/>
          <w:szCs w:val="22"/>
        </w:rPr>
        <w:t>will not be</w:t>
      </w:r>
      <w:r w:rsidR="009B674F">
        <w:rPr>
          <w:rFonts w:ascii="Segoe UI" w:hAnsi="Segoe UI" w:cs="Segoe UI"/>
          <w:sz w:val="22"/>
          <w:szCs w:val="22"/>
        </w:rPr>
        <w:t xml:space="preserve"> achieved in an equitable manner as the consumers from Australia’s largest and fastest growing inbound market using </w:t>
      </w:r>
      <w:proofErr w:type="spellStart"/>
      <w:r w:rsidR="009B674F">
        <w:rPr>
          <w:rFonts w:ascii="Segoe UI" w:hAnsi="Segoe UI" w:cs="Segoe UI"/>
          <w:sz w:val="22"/>
          <w:szCs w:val="22"/>
        </w:rPr>
        <w:t>UnionPay</w:t>
      </w:r>
      <w:proofErr w:type="spellEnd"/>
      <w:r w:rsidR="009B674F">
        <w:rPr>
          <w:rFonts w:ascii="Segoe UI" w:hAnsi="Segoe UI" w:cs="Segoe UI"/>
          <w:sz w:val="22"/>
          <w:szCs w:val="22"/>
        </w:rPr>
        <w:t xml:space="preserve"> are not captured under the RBA’s draft standards.</w:t>
      </w:r>
      <w:proofErr w:type="gramEnd"/>
      <w:r w:rsidR="009B674F">
        <w:rPr>
          <w:rFonts w:ascii="Segoe UI" w:hAnsi="Segoe UI" w:cs="Segoe UI"/>
          <w:sz w:val="22"/>
          <w:szCs w:val="22"/>
        </w:rPr>
        <w:t xml:space="preserve"> </w:t>
      </w:r>
    </w:p>
    <w:p w14:paraId="06757ACF" w14:textId="77777777" w:rsidR="00742171" w:rsidRDefault="00742171" w:rsidP="00785DB4">
      <w:pPr>
        <w:jc w:val="both"/>
        <w:rPr>
          <w:rFonts w:ascii="Segoe UI" w:hAnsi="Segoe UI" w:cs="Segoe UI"/>
          <w:sz w:val="22"/>
          <w:szCs w:val="22"/>
        </w:rPr>
      </w:pPr>
    </w:p>
    <w:p w14:paraId="06757AD0" w14:textId="77777777" w:rsidR="00C10050" w:rsidRPr="00B16A87" w:rsidRDefault="003147C2" w:rsidP="00785DB4">
      <w:pPr>
        <w:pStyle w:val="Heading2"/>
        <w:spacing w:before="0"/>
        <w:jc w:val="both"/>
        <w:rPr>
          <w:rStyle w:val="IntenseEmphasis"/>
          <w:rFonts w:ascii="Segoe UI" w:eastAsiaTheme="minorEastAsia" w:hAnsi="Segoe UI" w:cs="Segoe UI"/>
          <w:b w:val="0"/>
          <w:bCs w:val="0"/>
          <w:i w:val="0"/>
          <w:sz w:val="24"/>
          <w:szCs w:val="24"/>
          <w:lang w:val="en-AU"/>
        </w:rPr>
      </w:pPr>
      <w:bookmarkStart w:id="58" w:name="_Toc442273945"/>
      <w:r>
        <w:rPr>
          <w:rStyle w:val="IntenseEmphasis"/>
          <w:rFonts w:ascii="Segoe UI" w:hAnsi="Segoe UI" w:cs="Segoe UI"/>
          <w:i w:val="0"/>
          <w:lang w:val="en-AU"/>
        </w:rPr>
        <w:t>1.5</w:t>
      </w:r>
      <w:r>
        <w:rPr>
          <w:rStyle w:val="IntenseEmphasis"/>
          <w:rFonts w:ascii="Segoe UI" w:hAnsi="Segoe UI" w:cs="Segoe UI"/>
          <w:i w:val="0"/>
          <w:lang w:val="en-AU"/>
        </w:rPr>
        <w:tab/>
      </w:r>
      <w:r w:rsidR="00C10050" w:rsidRPr="00B16A87">
        <w:rPr>
          <w:rStyle w:val="IntenseEmphasis"/>
          <w:rFonts w:ascii="Segoe UI" w:hAnsi="Segoe UI" w:cs="Segoe UI"/>
          <w:i w:val="0"/>
          <w:lang w:val="en-AU"/>
        </w:rPr>
        <w:t>Conclusion</w:t>
      </w:r>
      <w:bookmarkEnd w:id="58"/>
    </w:p>
    <w:p w14:paraId="06757AD1" w14:textId="77777777" w:rsidR="00C10050" w:rsidRPr="000644B8" w:rsidRDefault="00C10050" w:rsidP="00785DB4">
      <w:pPr>
        <w:jc w:val="both"/>
        <w:rPr>
          <w:rFonts w:ascii="Segoe UI" w:hAnsi="Segoe UI" w:cs="Segoe UI"/>
          <w:sz w:val="22"/>
          <w:szCs w:val="22"/>
        </w:rPr>
      </w:pPr>
    </w:p>
    <w:p w14:paraId="06757AD2" w14:textId="77777777" w:rsidR="008319F3" w:rsidRPr="000644B8" w:rsidRDefault="008319F3" w:rsidP="00785DB4">
      <w:pPr>
        <w:jc w:val="both"/>
        <w:rPr>
          <w:rFonts w:ascii="Segoe UI" w:hAnsi="Segoe UI" w:cs="Segoe UI"/>
          <w:sz w:val="22"/>
          <w:szCs w:val="22"/>
        </w:rPr>
      </w:pPr>
      <w:r>
        <w:rPr>
          <w:rFonts w:ascii="Segoe UI" w:eastAsia="Segoe UI" w:hAnsi="Segoe UI" w:cs="Segoe UI"/>
          <w:sz w:val="22"/>
          <w:szCs w:val="22"/>
        </w:rPr>
        <w:t>Visa believes</w:t>
      </w:r>
      <w:r w:rsidRPr="415AC02D">
        <w:rPr>
          <w:rFonts w:ascii="Segoe UI" w:eastAsia="Segoe UI" w:hAnsi="Segoe UI" w:cs="Segoe UI"/>
          <w:sz w:val="22"/>
          <w:szCs w:val="22"/>
        </w:rPr>
        <w:t xml:space="preserve"> the RBA should consider the significant challenges that mu</w:t>
      </w:r>
      <w:r>
        <w:rPr>
          <w:rFonts w:ascii="Segoe UI" w:eastAsia="Segoe UI" w:hAnsi="Segoe UI" w:cs="Segoe UI"/>
          <w:sz w:val="22"/>
          <w:szCs w:val="22"/>
        </w:rPr>
        <w:t xml:space="preserve">ltiple stakeholders will face should it choose to proceed with regulation of </w:t>
      </w:r>
      <w:r w:rsidRPr="415AC02D">
        <w:rPr>
          <w:rFonts w:ascii="Segoe UI" w:eastAsia="Segoe UI" w:hAnsi="Segoe UI" w:cs="Segoe UI"/>
          <w:sz w:val="22"/>
          <w:szCs w:val="22"/>
        </w:rPr>
        <w:t>interchange</w:t>
      </w:r>
      <w:r>
        <w:rPr>
          <w:rFonts w:ascii="Segoe UI" w:eastAsia="Segoe UI" w:hAnsi="Segoe UI" w:cs="Segoe UI"/>
          <w:sz w:val="22"/>
          <w:szCs w:val="22"/>
        </w:rPr>
        <w:t xml:space="preserve"> on foreign-issued cards</w:t>
      </w:r>
      <w:r w:rsidR="008F6AF9">
        <w:rPr>
          <w:rFonts w:ascii="Segoe UI" w:eastAsia="Segoe UI" w:hAnsi="Segoe UI" w:cs="Segoe UI"/>
          <w:sz w:val="22"/>
          <w:szCs w:val="22"/>
        </w:rPr>
        <w:t xml:space="preserve">. </w:t>
      </w:r>
      <w:r w:rsidRPr="415AC02D">
        <w:rPr>
          <w:rFonts w:ascii="Segoe UI" w:eastAsia="Segoe UI" w:hAnsi="Segoe UI" w:cs="Segoe UI"/>
          <w:sz w:val="22"/>
          <w:szCs w:val="22"/>
        </w:rPr>
        <w:t xml:space="preserve">No country has ever regulated interchange on </w:t>
      </w:r>
      <w:r>
        <w:rPr>
          <w:rFonts w:ascii="Segoe UI" w:eastAsia="Segoe UI" w:hAnsi="Segoe UI" w:cs="Segoe UI"/>
          <w:sz w:val="22"/>
          <w:szCs w:val="22"/>
        </w:rPr>
        <w:t>foreign-issued</w:t>
      </w:r>
      <w:r w:rsidRPr="415AC02D">
        <w:rPr>
          <w:rFonts w:ascii="Segoe UI" w:eastAsia="Segoe UI" w:hAnsi="Segoe UI" w:cs="Segoe UI"/>
          <w:sz w:val="22"/>
          <w:szCs w:val="22"/>
        </w:rPr>
        <w:t xml:space="preserve"> payment transactions</w:t>
      </w:r>
      <w:r>
        <w:rPr>
          <w:rFonts w:ascii="Segoe UI" w:eastAsia="Segoe UI" w:hAnsi="Segoe UI" w:cs="Segoe UI"/>
          <w:sz w:val="22"/>
          <w:szCs w:val="22"/>
        </w:rPr>
        <w:t>, in part because of the political complexity and potential jurisdictional over-reach required. We maintain that</w:t>
      </w:r>
      <w:r w:rsidRPr="415AC02D">
        <w:rPr>
          <w:rFonts w:ascii="Segoe UI" w:eastAsia="Segoe UI" w:hAnsi="Segoe UI" w:cs="Segoe UI"/>
          <w:sz w:val="22"/>
          <w:szCs w:val="22"/>
        </w:rPr>
        <w:t xml:space="preserve"> Visa’s current </w:t>
      </w:r>
      <w:r w:rsidR="00DB5E84">
        <w:rPr>
          <w:rFonts w:ascii="Segoe UI" w:eastAsia="Segoe UI" w:hAnsi="Segoe UI" w:cs="Segoe UI"/>
          <w:sz w:val="22"/>
          <w:szCs w:val="22"/>
        </w:rPr>
        <w:t>Operating S</w:t>
      </w:r>
      <w:r w:rsidR="00E03F99">
        <w:rPr>
          <w:rFonts w:ascii="Segoe UI" w:eastAsia="Segoe UI" w:hAnsi="Segoe UI" w:cs="Segoe UI"/>
          <w:sz w:val="22"/>
          <w:szCs w:val="22"/>
        </w:rPr>
        <w:t>ystems already</w:t>
      </w:r>
      <w:r w:rsidR="00E03F99" w:rsidRPr="415AC02D">
        <w:rPr>
          <w:rFonts w:ascii="Segoe UI" w:eastAsia="Segoe UI" w:hAnsi="Segoe UI" w:cs="Segoe UI"/>
          <w:sz w:val="22"/>
          <w:szCs w:val="22"/>
        </w:rPr>
        <w:t xml:space="preserve"> </w:t>
      </w:r>
      <w:r w:rsidRPr="415AC02D">
        <w:rPr>
          <w:rFonts w:ascii="Segoe UI" w:eastAsia="Segoe UI" w:hAnsi="Segoe UI" w:cs="Segoe UI"/>
          <w:sz w:val="22"/>
          <w:szCs w:val="22"/>
        </w:rPr>
        <w:t xml:space="preserve">limit </w:t>
      </w:r>
      <w:r>
        <w:rPr>
          <w:rFonts w:ascii="Segoe UI" w:eastAsia="Segoe UI" w:hAnsi="Segoe UI" w:cs="Segoe UI"/>
          <w:sz w:val="22"/>
          <w:szCs w:val="22"/>
        </w:rPr>
        <w:t xml:space="preserve">any </w:t>
      </w:r>
      <w:r w:rsidRPr="415AC02D">
        <w:rPr>
          <w:rFonts w:ascii="Segoe UI" w:eastAsia="Segoe UI" w:hAnsi="Segoe UI" w:cs="Segoe UI"/>
          <w:sz w:val="22"/>
          <w:szCs w:val="22"/>
        </w:rPr>
        <w:t xml:space="preserve">risk </w:t>
      </w:r>
      <w:r w:rsidR="003C427B">
        <w:rPr>
          <w:rFonts w:ascii="Segoe UI" w:eastAsia="Segoe UI" w:hAnsi="Segoe UI" w:cs="Segoe UI"/>
          <w:sz w:val="22"/>
          <w:szCs w:val="22"/>
        </w:rPr>
        <w:t>of regulatory circumvention</w:t>
      </w:r>
      <w:r w:rsidRPr="415AC02D">
        <w:rPr>
          <w:rFonts w:ascii="Segoe UI" w:eastAsia="Segoe UI" w:hAnsi="Segoe UI" w:cs="Segoe UI"/>
          <w:sz w:val="22"/>
          <w:szCs w:val="22"/>
        </w:rPr>
        <w:t xml:space="preserve"> and, to the extent the RBA still has any concern, we are willing to deepen our partnership and provide a solution that better serves </w:t>
      </w:r>
      <w:r>
        <w:rPr>
          <w:rFonts w:ascii="Segoe UI" w:eastAsia="Segoe UI" w:hAnsi="Segoe UI" w:cs="Segoe UI"/>
          <w:sz w:val="22"/>
          <w:szCs w:val="22"/>
        </w:rPr>
        <w:t>the interests of all parties.</w:t>
      </w:r>
    </w:p>
    <w:p w14:paraId="06757AD3" w14:textId="77777777" w:rsidR="00C10050" w:rsidRDefault="00C10050" w:rsidP="00785DB4">
      <w:pPr>
        <w:jc w:val="both"/>
        <w:rPr>
          <w:rFonts w:ascii="Segoe UI" w:hAnsi="Segoe UI" w:cs="Segoe UI"/>
          <w:sz w:val="22"/>
          <w:szCs w:val="22"/>
        </w:rPr>
      </w:pPr>
    </w:p>
    <w:p w14:paraId="06757AD4" w14:textId="77777777" w:rsidR="00C10050" w:rsidRDefault="00C10050" w:rsidP="00785DB4">
      <w:pPr>
        <w:jc w:val="both"/>
        <w:rPr>
          <w:rFonts w:ascii="Segoe UI" w:hAnsi="Segoe UI" w:cs="Segoe UI"/>
          <w:sz w:val="22"/>
          <w:szCs w:val="22"/>
        </w:rPr>
      </w:pPr>
      <w:r>
        <w:rPr>
          <w:rFonts w:ascii="Segoe UI" w:hAnsi="Segoe UI" w:cs="Segoe UI"/>
          <w:sz w:val="22"/>
          <w:szCs w:val="22"/>
        </w:rPr>
        <w:t xml:space="preserve">Visa therefore recommends the RBA adopt Option 1 and retain the current approach to foreign-issued card </w:t>
      </w:r>
      <w:r w:rsidR="00D60CC6">
        <w:rPr>
          <w:rFonts w:ascii="Segoe UI" w:hAnsi="Segoe UI" w:cs="Segoe UI"/>
          <w:sz w:val="22"/>
          <w:szCs w:val="22"/>
        </w:rPr>
        <w:t xml:space="preserve">transactions within </w:t>
      </w:r>
      <w:r>
        <w:rPr>
          <w:rFonts w:ascii="Segoe UI" w:hAnsi="Segoe UI" w:cs="Segoe UI"/>
          <w:sz w:val="22"/>
          <w:szCs w:val="22"/>
        </w:rPr>
        <w:t>in the interchange standards.</w:t>
      </w:r>
    </w:p>
    <w:p w14:paraId="06757AD5" w14:textId="77777777" w:rsidR="00C10050" w:rsidRDefault="00C10050" w:rsidP="00785DB4">
      <w:pPr>
        <w:jc w:val="both"/>
        <w:rPr>
          <w:rFonts w:ascii="Segoe UI" w:hAnsi="Segoe UI" w:cs="Segoe UI"/>
          <w:sz w:val="22"/>
          <w:szCs w:val="22"/>
        </w:rPr>
      </w:pPr>
    </w:p>
    <w:p w14:paraId="06757AD6" w14:textId="77777777" w:rsidR="00C10050" w:rsidRPr="00D27CF3" w:rsidRDefault="008319F3" w:rsidP="00785DB4">
      <w:pPr>
        <w:jc w:val="both"/>
        <w:rPr>
          <w:rFonts w:ascii="Segoe UI" w:hAnsi="Segoe UI" w:cs="Segoe UI"/>
          <w:sz w:val="22"/>
          <w:szCs w:val="22"/>
        </w:rPr>
      </w:pPr>
      <w:r>
        <w:rPr>
          <w:rFonts w:ascii="Segoe UI" w:hAnsi="Segoe UI" w:cs="Segoe UI"/>
          <w:sz w:val="22"/>
          <w:szCs w:val="22"/>
        </w:rPr>
        <w:t>S</w:t>
      </w:r>
      <w:r w:rsidR="00C10050">
        <w:rPr>
          <w:rFonts w:ascii="Segoe UI" w:hAnsi="Segoe UI" w:cs="Segoe UI"/>
          <w:sz w:val="22"/>
          <w:szCs w:val="22"/>
        </w:rPr>
        <w:t>hould the RBA believe that cross-border transactions are permitted to remain outside the 80</w:t>
      </w:r>
      <w:r w:rsidR="002E4999">
        <w:rPr>
          <w:rFonts w:ascii="Segoe UI" w:hAnsi="Segoe UI" w:cs="Segoe UI"/>
          <w:sz w:val="22"/>
          <w:szCs w:val="22"/>
        </w:rPr>
        <w:t xml:space="preserve"> </w:t>
      </w:r>
      <w:r w:rsidR="00C10050">
        <w:rPr>
          <w:rFonts w:ascii="Segoe UI" w:hAnsi="Segoe UI" w:cs="Segoe UI"/>
          <w:sz w:val="22"/>
          <w:szCs w:val="22"/>
        </w:rPr>
        <w:t>bps cap, Visa firmly believes that these transactions should also fall outside of the 50</w:t>
      </w:r>
      <w:r w:rsidR="002E4999">
        <w:rPr>
          <w:rFonts w:ascii="Segoe UI" w:hAnsi="Segoe UI" w:cs="Segoe UI"/>
          <w:sz w:val="22"/>
          <w:szCs w:val="22"/>
        </w:rPr>
        <w:t xml:space="preserve"> </w:t>
      </w:r>
      <w:r w:rsidR="00C10050">
        <w:rPr>
          <w:rFonts w:ascii="Segoe UI" w:hAnsi="Segoe UI" w:cs="Segoe UI"/>
          <w:sz w:val="22"/>
          <w:szCs w:val="22"/>
        </w:rPr>
        <w:t xml:space="preserve">bps weighted average basket. The different cost structure and framework associated with interchange revenue on foreign-issued cards vs domestically-issued cards, including higher </w:t>
      </w:r>
      <w:proofErr w:type="spellStart"/>
      <w:r w:rsidR="00C10050">
        <w:rPr>
          <w:rFonts w:ascii="Segoe UI" w:hAnsi="Segoe UI" w:cs="Segoe UI"/>
          <w:sz w:val="22"/>
          <w:szCs w:val="22"/>
        </w:rPr>
        <w:t>authorisation</w:t>
      </w:r>
      <w:proofErr w:type="spellEnd"/>
      <w:r w:rsidR="00C10050">
        <w:rPr>
          <w:rFonts w:ascii="Segoe UI" w:hAnsi="Segoe UI" w:cs="Segoe UI"/>
          <w:sz w:val="22"/>
          <w:szCs w:val="22"/>
        </w:rPr>
        <w:t xml:space="preserve">, settlement, fraud and chargeback costs, would create difficulties for issuers and schemes in managing the </w:t>
      </w:r>
      <w:r>
        <w:rPr>
          <w:rFonts w:ascii="Segoe UI" w:hAnsi="Segoe UI" w:cs="Segoe UI"/>
          <w:sz w:val="22"/>
          <w:szCs w:val="22"/>
        </w:rPr>
        <w:t xml:space="preserve">domestic </w:t>
      </w:r>
      <w:r w:rsidR="00C10050">
        <w:rPr>
          <w:rFonts w:ascii="Segoe UI" w:hAnsi="Segoe UI" w:cs="Segoe UI"/>
          <w:sz w:val="22"/>
          <w:szCs w:val="22"/>
        </w:rPr>
        <w:t>50</w:t>
      </w:r>
      <w:r w:rsidR="002E4999">
        <w:rPr>
          <w:rFonts w:ascii="Segoe UI" w:hAnsi="Segoe UI" w:cs="Segoe UI"/>
          <w:sz w:val="22"/>
          <w:szCs w:val="22"/>
        </w:rPr>
        <w:t xml:space="preserve"> </w:t>
      </w:r>
      <w:r w:rsidR="00C10050">
        <w:rPr>
          <w:rFonts w:ascii="Segoe UI" w:hAnsi="Segoe UI" w:cs="Segoe UI"/>
          <w:sz w:val="22"/>
          <w:szCs w:val="22"/>
        </w:rPr>
        <w:t xml:space="preserve">bps basket. Further, </w:t>
      </w:r>
      <w:r>
        <w:rPr>
          <w:rFonts w:ascii="Segoe UI" w:hAnsi="Segoe UI" w:cs="Segoe UI"/>
          <w:sz w:val="22"/>
          <w:szCs w:val="22"/>
        </w:rPr>
        <w:t>including</w:t>
      </w:r>
      <w:r w:rsidR="00C10050">
        <w:rPr>
          <w:rFonts w:ascii="Segoe UI" w:hAnsi="Segoe UI" w:cs="Segoe UI"/>
          <w:sz w:val="22"/>
          <w:szCs w:val="22"/>
        </w:rPr>
        <w:t xml:space="preserve"> uncapped cross-border transactions in the weighted average basket would require a greater number of resets, increasing compliance costs and complexity across the payment ecosystem. </w:t>
      </w:r>
      <w:r w:rsidR="00C10050">
        <w:rPr>
          <w:rFonts w:ascii="Segoe UI" w:hAnsi="Segoe UI" w:cs="Segoe UI"/>
          <w:color w:val="002060"/>
        </w:rPr>
        <w:br w:type="page"/>
      </w:r>
    </w:p>
    <w:p w14:paraId="06757AD7" w14:textId="77777777" w:rsidR="00C10050" w:rsidRPr="00DB09E8" w:rsidRDefault="00C10050" w:rsidP="00E7094C">
      <w:pPr>
        <w:pStyle w:val="Heading1"/>
        <w:spacing w:before="0"/>
        <w:jc w:val="both"/>
        <w:rPr>
          <w:rFonts w:ascii="Segoe UI" w:hAnsi="Segoe UI" w:cs="Segoe UI"/>
          <w:color w:val="002060"/>
        </w:rPr>
      </w:pPr>
      <w:bookmarkStart w:id="59" w:name="_Toc442273946"/>
      <w:r w:rsidRPr="00DB09E8">
        <w:rPr>
          <w:rFonts w:ascii="Segoe UI" w:hAnsi="Segoe UI" w:cs="Segoe UI"/>
          <w:color w:val="002060"/>
        </w:rPr>
        <w:lastRenderedPageBreak/>
        <w:t xml:space="preserve">Chapter </w:t>
      </w:r>
      <w:r w:rsidR="00B16A87">
        <w:rPr>
          <w:rFonts w:ascii="Segoe UI" w:hAnsi="Segoe UI" w:cs="Segoe UI"/>
          <w:color w:val="002060"/>
        </w:rPr>
        <w:t>2</w:t>
      </w:r>
      <w:r w:rsidRPr="00DB09E8">
        <w:rPr>
          <w:rFonts w:ascii="Segoe UI" w:hAnsi="Segoe UI" w:cs="Segoe UI"/>
          <w:color w:val="002060"/>
        </w:rPr>
        <w:t xml:space="preserve">: </w:t>
      </w:r>
      <w:r>
        <w:rPr>
          <w:rFonts w:ascii="Segoe UI" w:hAnsi="Segoe UI" w:cs="Segoe UI"/>
          <w:color w:val="002060"/>
        </w:rPr>
        <w:t>Commercial</w:t>
      </w:r>
      <w:r w:rsidRPr="00DB09E8">
        <w:rPr>
          <w:rFonts w:ascii="Segoe UI" w:hAnsi="Segoe UI" w:cs="Segoe UI"/>
          <w:color w:val="002060"/>
        </w:rPr>
        <w:t xml:space="preserve"> </w:t>
      </w:r>
      <w:r w:rsidR="00CC79AE">
        <w:rPr>
          <w:rFonts w:ascii="Segoe UI" w:hAnsi="Segoe UI" w:cs="Segoe UI"/>
          <w:color w:val="002060"/>
        </w:rPr>
        <w:t>c</w:t>
      </w:r>
      <w:r w:rsidRPr="00DB09E8">
        <w:rPr>
          <w:rFonts w:ascii="Segoe UI" w:hAnsi="Segoe UI" w:cs="Segoe UI"/>
          <w:color w:val="002060"/>
        </w:rPr>
        <w:t>ards</w:t>
      </w:r>
      <w:bookmarkEnd w:id="59"/>
    </w:p>
    <w:p w14:paraId="06757AD8" w14:textId="77777777" w:rsidR="00C10050" w:rsidRPr="00A05EBC" w:rsidRDefault="00C10050" w:rsidP="00E7094C">
      <w:pPr>
        <w:jc w:val="both"/>
        <w:rPr>
          <w:rFonts w:ascii="Segoe UI" w:hAnsi="Segoe UI" w:cs="Segoe UI"/>
          <w:sz w:val="22"/>
          <w:szCs w:val="22"/>
        </w:rPr>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C10050" w:rsidRPr="00A05EBC" w14:paraId="06757ADE" w14:textId="77777777" w:rsidTr="00F421BE">
        <w:tc>
          <w:tcPr>
            <w:tcW w:w="9280" w:type="dxa"/>
            <w:shd w:val="clear" w:color="auto" w:fill="E0E0E0"/>
          </w:tcPr>
          <w:p w14:paraId="06757AD9" w14:textId="77777777" w:rsidR="00C10050" w:rsidRPr="00A05EBC" w:rsidRDefault="00C10050" w:rsidP="00E7094C">
            <w:pPr>
              <w:pStyle w:val="Heading4"/>
              <w:spacing w:before="0"/>
              <w:jc w:val="both"/>
              <w:outlineLvl w:val="3"/>
              <w:rPr>
                <w:rFonts w:ascii="Segoe UI" w:hAnsi="Segoe UI" w:cs="Segoe UI"/>
                <w:sz w:val="22"/>
                <w:szCs w:val="22"/>
              </w:rPr>
            </w:pPr>
            <w:r w:rsidRPr="00A05EBC">
              <w:rPr>
                <w:rFonts w:ascii="Segoe UI" w:hAnsi="Segoe UI" w:cs="Segoe UI"/>
                <w:sz w:val="22"/>
                <w:szCs w:val="22"/>
              </w:rPr>
              <w:t>Key points</w:t>
            </w:r>
          </w:p>
          <w:p w14:paraId="06757ADA" w14:textId="77777777" w:rsidR="00C10050" w:rsidRDefault="00C10050"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Commercial card payments differ from consumer payments in maturity, economic impact</w:t>
            </w:r>
            <w:r w:rsidR="00601C9C">
              <w:rPr>
                <w:rFonts w:ascii="Segoe UI" w:hAnsi="Segoe UI" w:cs="Segoe UI"/>
                <w:sz w:val="22"/>
                <w:szCs w:val="22"/>
              </w:rPr>
              <w:t>, product costs and competition</w:t>
            </w:r>
          </w:p>
          <w:p w14:paraId="06757ADB" w14:textId="77777777" w:rsidR="00C10050" w:rsidRDefault="00C10050">
            <w:pPr>
              <w:pStyle w:val="ListParagraph"/>
              <w:numPr>
                <w:ilvl w:val="0"/>
                <w:numId w:val="2"/>
              </w:numPr>
              <w:ind w:left="714" w:right="432" w:hanging="357"/>
              <w:contextualSpacing w:val="0"/>
              <w:jc w:val="both"/>
              <w:rPr>
                <w:rFonts w:ascii="Segoe UI" w:hAnsi="Segoe UI" w:cs="Segoe UI"/>
                <w:sz w:val="22"/>
                <w:szCs w:val="22"/>
              </w:rPr>
            </w:pPr>
            <w:r>
              <w:rPr>
                <w:rFonts w:ascii="Segoe UI" w:eastAsia="Segoe UI" w:hAnsi="Segoe UI" w:cs="Segoe UI"/>
                <w:sz w:val="22"/>
                <w:szCs w:val="22"/>
              </w:rPr>
              <w:t>Further</w:t>
            </w:r>
            <w:r w:rsidRPr="2D0342FE">
              <w:rPr>
                <w:rFonts w:ascii="Segoe UI" w:eastAsia="Segoe UI" w:hAnsi="Segoe UI" w:cs="Segoe UI"/>
                <w:sz w:val="22"/>
                <w:szCs w:val="22"/>
              </w:rPr>
              <w:t xml:space="preserve"> regulation of commercial card products would </w:t>
            </w:r>
            <w:r w:rsidR="002C54EF">
              <w:rPr>
                <w:rFonts w:ascii="Segoe UI" w:eastAsia="Segoe UI" w:hAnsi="Segoe UI" w:cs="Segoe UI"/>
                <w:sz w:val="22"/>
                <w:szCs w:val="22"/>
              </w:rPr>
              <w:t>reduce the incentive for banks to serve the commercial market segment, potentially driv</w:t>
            </w:r>
            <w:r w:rsidR="00D55CFE">
              <w:rPr>
                <w:rFonts w:ascii="Segoe UI" w:eastAsia="Segoe UI" w:hAnsi="Segoe UI" w:cs="Segoe UI"/>
                <w:sz w:val="22"/>
                <w:szCs w:val="22"/>
              </w:rPr>
              <w:t>ing</w:t>
            </w:r>
            <w:r w:rsidR="002C54EF">
              <w:rPr>
                <w:rFonts w:ascii="Segoe UI" w:eastAsia="Segoe UI" w:hAnsi="Segoe UI" w:cs="Segoe UI"/>
                <w:sz w:val="22"/>
                <w:szCs w:val="22"/>
              </w:rPr>
              <w:t xml:space="preserve"> business to higher cost solutions for credit or cash</w:t>
            </w:r>
          </w:p>
          <w:p w14:paraId="06757ADC" w14:textId="77777777" w:rsidR="00C10050" w:rsidRPr="00A87938" w:rsidRDefault="00C1005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Visa recommends adopting Option 2 allowing commercial cards to be excluded from the regulatory regime and not included in the weighted average interchang</w:t>
            </w:r>
            <w:r w:rsidR="00601C9C">
              <w:rPr>
                <w:rFonts w:ascii="Segoe UI" w:hAnsi="Segoe UI" w:cs="Segoe UI"/>
                <w:sz w:val="22"/>
                <w:szCs w:val="22"/>
              </w:rPr>
              <w:t>e basket</w:t>
            </w:r>
          </w:p>
          <w:p w14:paraId="06757ADD" w14:textId="77777777" w:rsidR="00C10050" w:rsidRPr="00700065" w:rsidRDefault="00C10050">
            <w:pPr>
              <w:pStyle w:val="ListParagraph"/>
              <w:ind w:left="714" w:right="432"/>
              <w:contextualSpacing w:val="0"/>
              <w:jc w:val="both"/>
              <w:rPr>
                <w:rFonts w:ascii="Segoe UI" w:hAnsi="Segoe UI" w:cs="Segoe UI"/>
                <w:sz w:val="22"/>
                <w:szCs w:val="22"/>
              </w:rPr>
            </w:pPr>
          </w:p>
        </w:tc>
      </w:tr>
    </w:tbl>
    <w:p w14:paraId="06757ADF" w14:textId="77777777" w:rsidR="00C10050" w:rsidRDefault="00C10050" w:rsidP="000B66ED">
      <w:pPr>
        <w:jc w:val="both"/>
        <w:rPr>
          <w:rFonts w:ascii="Segoe UI" w:hAnsi="Segoe UI" w:cs="Segoe UI"/>
          <w:sz w:val="22"/>
          <w:szCs w:val="22"/>
        </w:rPr>
      </w:pPr>
    </w:p>
    <w:p w14:paraId="06757AE0" w14:textId="77777777" w:rsidR="00C10050" w:rsidRPr="000B66ED" w:rsidRDefault="003147C2" w:rsidP="000B66ED">
      <w:pPr>
        <w:pStyle w:val="Heading2"/>
        <w:spacing w:before="0"/>
        <w:rPr>
          <w:rFonts w:ascii="Segoe UI" w:hAnsi="Segoe UI" w:cs="Segoe UI"/>
          <w:b w:val="0"/>
        </w:rPr>
      </w:pPr>
      <w:bookmarkStart w:id="60" w:name="_Toc442273947"/>
      <w:r w:rsidRPr="000B66ED">
        <w:rPr>
          <w:rFonts w:ascii="Segoe UI" w:hAnsi="Segoe UI" w:cs="Segoe UI"/>
        </w:rPr>
        <w:t>2</w:t>
      </w:r>
      <w:r w:rsidRPr="000B66ED">
        <w:rPr>
          <w:rStyle w:val="Heading2Char"/>
          <w:rFonts w:ascii="Segoe UI" w:hAnsi="Segoe UI" w:cs="Segoe UI"/>
          <w:b/>
        </w:rPr>
        <w:t>.1</w:t>
      </w:r>
      <w:r w:rsidRPr="000B66ED">
        <w:rPr>
          <w:rStyle w:val="Heading2Char"/>
          <w:rFonts w:ascii="Segoe UI" w:hAnsi="Segoe UI" w:cs="Segoe UI"/>
          <w:b/>
        </w:rPr>
        <w:tab/>
      </w:r>
      <w:r w:rsidR="00C10050" w:rsidRPr="000B66ED">
        <w:rPr>
          <w:rStyle w:val="Heading2Char"/>
          <w:rFonts w:ascii="Segoe UI" w:hAnsi="Segoe UI" w:cs="Segoe UI"/>
          <w:b/>
        </w:rPr>
        <w:t>Introduction</w:t>
      </w:r>
      <w:bookmarkEnd w:id="60"/>
    </w:p>
    <w:p w14:paraId="06757AE1" w14:textId="77777777" w:rsidR="00C10050" w:rsidRDefault="00C10050" w:rsidP="000B66ED">
      <w:pPr>
        <w:jc w:val="both"/>
        <w:rPr>
          <w:rFonts w:ascii="Segoe UI" w:hAnsi="Segoe UI" w:cs="Segoe UI"/>
          <w:sz w:val="22"/>
          <w:szCs w:val="22"/>
        </w:rPr>
      </w:pPr>
    </w:p>
    <w:p w14:paraId="06757AE2" w14:textId="77777777" w:rsidR="00C10050" w:rsidRDefault="00C10050" w:rsidP="000B66ED">
      <w:pPr>
        <w:jc w:val="both"/>
        <w:rPr>
          <w:rFonts w:ascii="Segoe UI" w:hAnsi="Segoe UI" w:cs="Segoe UI"/>
          <w:sz w:val="22"/>
          <w:szCs w:val="22"/>
        </w:rPr>
      </w:pPr>
      <w:r w:rsidRPr="00A05EBC">
        <w:rPr>
          <w:rFonts w:ascii="Segoe UI" w:hAnsi="Segoe UI" w:cs="Segoe UI"/>
          <w:sz w:val="22"/>
          <w:szCs w:val="22"/>
        </w:rPr>
        <w:t xml:space="preserve">Visa </w:t>
      </w:r>
      <w:r>
        <w:rPr>
          <w:rFonts w:ascii="Segoe UI" w:hAnsi="Segoe UI" w:cs="Segoe UI"/>
          <w:sz w:val="22"/>
          <w:szCs w:val="22"/>
        </w:rPr>
        <w:t>continues to recommend that c</w:t>
      </w:r>
      <w:r w:rsidRPr="00A05EBC">
        <w:rPr>
          <w:rFonts w:ascii="Segoe UI" w:hAnsi="Segoe UI" w:cs="Segoe UI"/>
          <w:sz w:val="22"/>
          <w:szCs w:val="22"/>
        </w:rPr>
        <w:t xml:space="preserve">ommercial </w:t>
      </w:r>
      <w:r>
        <w:rPr>
          <w:rFonts w:ascii="Segoe UI" w:hAnsi="Segoe UI" w:cs="Segoe UI"/>
          <w:sz w:val="22"/>
          <w:szCs w:val="22"/>
        </w:rPr>
        <w:t>card products</w:t>
      </w:r>
      <w:r w:rsidRPr="00A05EBC">
        <w:rPr>
          <w:rFonts w:ascii="Segoe UI" w:hAnsi="Segoe UI" w:cs="Segoe UI"/>
          <w:sz w:val="22"/>
          <w:szCs w:val="22"/>
        </w:rPr>
        <w:t xml:space="preserve"> be excluded from the regulatory regime</w:t>
      </w:r>
      <w:r>
        <w:rPr>
          <w:rStyle w:val="FootnoteReference"/>
          <w:rFonts w:ascii="Segoe UI" w:hAnsi="Segoe UI" w:cs="Segoe UI"/>
          <w:sz w:val="22"/>
          <w:szCs w:val="22"/>
        </w:rPr>
        <w:footnoteReference w:id="12"/>
      </w:r>
      <w:r w:rsidRPr="00A05EBC">
        <w:rPr>
          <w:rFonts w:ascii="Segoe UI" w:hAnsi="Segoe UI" w:cs="Segoe UI"/>
          <w:sz w:val="22"/>
          <w:szCs w:val="22"/>
        </w:rPr>
        <w:t>.</w:t>
      </w:r>
      <w:r>
        <w:rPr>
          <w:rFonts w:ascii="Segoe UI" w:hAnsi="Segoe UI" w:cs="Segoe UI"/>
          <w:sz w:val="22"/>
          <w:szCs w:val="22"/>
        </w:rPr>
        <w:t xml:space="preserve"> </w:t>
      </w:r>
      <w:r w:rsidRPr="00A05EBC">
        <w:rPr>
          <w:rFonts w:ascii="Segoe UI" w:hAnsi="Segoe UI" w:cs="Segoe UI"/>
          <w:sz w:val="22"/>
          <w:szCs w:val="22"/>
        </w:rPr>
        <w:t>The marketplace dynamics in business to business (B2B)</w:t>
      </w:r>
      <w:r w:rsidR="00D55CFE">
        <w:rPr>
          <w:rFonts w:ascii="Segoe UI" w:hAnsi="Segoe UI" w:cs="Segoe UI"/>
          <w:sz w:val="22"/>
          <w:szCs w:val="22"/>
        </w:rPr>
        <w:t>, travel and entertainment</w:t>
      </w:r>
      <w:r w:rsidRPr="00A05EBC">
        <w:rPr>
          <w:rFonts w:ascii="Segoe UI" w:hAnsi="Segoe UI" w:cs="Segoe UI"/>
          <w:sz w:val="22"/>
          <w:szCs w:val="22"/>
        </w:rPr>
        <w:t xml:space="preserve"> </w:t>
      </w:r>
      <w:r w:rsidR="00D55CFE">
        <w:rPr>
          <w:rFonts w:ascii="Segoe UI" w:hAnsi="Segoe UI" w:cs="Segoe UI"/>
          <w:sz w:val="22"/>
          <w:szCs w:val="22"/>
        </w:rPr>
        <w:t>(T&amp;E</w:t>
      </w:r>
      <w:r w:rsidRPr="00A05EBC">
        <w:rPr>
          <w:rFonts w:ascii="Segoe UI" w:hAnsi="Segoe UI" w:cs="Segoe UI"/>
          <w:sz w:val="22"/>
          <w:szCs w:val="22"/>
        </w:rPr>
        <w:t xml:space="preserve">) and government to business (G2B) </w:t>
      </w:r>
      <w:r>
        <w:rPr>
          <w:rFonts w:ascii="Segoe UI" w:hAnsi="Segoe UI" w:cs="Segoe UI"/>
          <w:sz w:val="22"/>
          <w:szCs w:val="22"/>
        </w:rPr>
        <w:t>payments differ significantly</w:t>
      </w:r>
      <w:r w:rsidRPr="00A05EBC">
        <w:rPr>
          <w:rFonts w:ascii="Segoe UI" w:hAnsi="Segoe UI" w:cs="Segoe UI"/>
          <w:sz w:val="22"/>
          <w:szCs w:val="22"/>
        </w:rPr>
        <w:t xml:space="preserve"> to consumer payments in Australia in terms of </w:t>
      </w:r>
      <w:r w:rsidRPr="00497645">
        <w:rPr>
          <w:rFonts w:ascii="Segoe UI" w:hAnsi="Segoe UI" w:cs="Segoe UI"/>
          <w:sz w:val="22"/>
          <w:szCs w:val="22"/>
        </w:rPr>
        <w:t>maturity, wider economic impact, and competition</w:t>
      </w:r>
      <w:r w:rsidRPr="00A05EBC">
        <w:rPr>
          <w:rFonts w:ascii="Segoe UI" w:hAnsi="Segoe UI" w:cs="Segoe UI"/>
          <w:sz w:val="22"/>
          <w:szCs w:val="22"/>
        </w:rPr>
        <w:t xml:space="preserve">. These three areas of divergence </w:t>
      </w:r>
      <w:r>
        <w:rPr>
          <w:rFonts w:ascii="Segoe UI" w:hAnsi="Segoe UI" w:cs="Segoe UI"/>
          <w:sz w:val="22"/>
          <w:szCs w:val="22"/>
        </w:rPr>
        <w:t>should be taken into consideration in developing the approach to commercial card regulation</w:t>
      </w:r>
      <w:r w:rsidRPr="00A05EBC">
        <w:rPr>
          <w:rFonts w:ascii="Segoe UI" w:hAnsi="Segoe UI" w:cs="Segoe UI"/>
          <w:sz w:val="22"/>
          <w:szCs w:val="22"/>
        </w:rPr>
        <w:t>.</w:t>
      </w:r>
      <w:r>
        <w:rPr>
          <w:rFonts w:ascii="Segoe UI" w:hAnsi="Segoe UI" w:cs="Segoe UI"/>
          <w:sz w:val="22"/>
          <w:szCs w:val="22"/>
        </w:rPr>
        <w:t xml:space="preserve"> </w:t>
      </w:r>
    </w:p>
    <w:p w14:paraId="06757AE3" w14:textId="77777777" w:rsidR="00C10050" w:rsidRPr="00A05EBC" w:rsidRDefault="00C10050" w:rsidP="00785DB4">
      <w:pPr>
        <w:jc w:val="both"/>
        <w:rPr>
          <w:rFonts w:ascii="Segoe UI" w:hAnsi="Segoe UI" w:cs="Segoe UI"/>
          <w:sz w:val="22"/>
          <w:szCs w:val="22"/>
        </w:rPr>
      </w:pPr>
    </w:p>
    <w:p w14:paraId="06757AE4" w14:textId="77777777" w:rsidR="00C10050" w:rsidRDefault="00C10050" w:rsidP="00785DB4">
      <w:pPr>
        <w:jc w:val="both"/>
        <w:rPr>
          <w:rFonts w:ascii="Segoe UI" w:hAnsi="Segoe UI" w:cs="Segoe UI"/>
          <w:sz w:val="22"/>
          <w:szCs w:val="22"/>
        </w:rPr>
      </w:pPr>
      <w:r w:rsidRPr="67D6BC92">
        <w:rPr>
          <w:rFonts w:ascii="Segoe UI" w:eastAsia="Segoe UI" w:hAnsi="Segoe UI" w:cs="Segoe UI"/>
          <w:sz w:val="22"/>
          <w:szCs w:val="22"/>
        </w:rPr>
        <w:t xml:space="preserve">Commercial scheme credit payments provide tremendous added value to participating business on both sides of the transaction. </w:t>
      </w:r>
      <w:r w:rsidRPr="00A05EBC">
        <w:rPr>
          <w:rFonts w:ascii="Segoe UI" w:hAnsi="Segoe UI" w:cs="Segoe UI"/>
          <w:sz w:val="22"/>
          <w:szCs w:val="22"/>
        </w:rPr>
        <w:t xml:space="preserve">The potential impact on the wider economy </w:t>
      </w:r>
      <w:r>
        <w:rPr>
          <w:rFonts w:ascii="Segoe UI" w:hAnsi="Segoe UI" w:cs="Segoe UI"/>
          <w:sz w:val="22"/>
          <w:szCs w:val="22"/>
        </w:rPr>
        <w:t>of a</w:t>
      </w:r>
      <w:r w:rsidRPr="00A05EBC">
        <w:rPr>
          <w:rFonts w:ascii="Segoe UI" w:hAnsi="Segoe UI" w:cs="Segoe UI"/>
          <w:sz w:val="22"/>
          <w:szCs w:val="22"/>
        </w:rPr>
        <w:t xml:space="preserve"> reduction of bank-provided credit</w:t>
      </w:r>
      <w:r>
        <w:rPr>
          <w:rFonts w:ascii="Segoe UI" w:hAnsi="Segoe UI" w:cs="Segoe UI"/>
          <w:sz w:val="22"/>
          <w:szCs w:val="22"/>
        </w:rPr>
        <w:t xml:space="preserve"> through commercial cards</w:t>
      </w:r>
      <w:r w:rsidRPr="00A05EBC">
        <w:rPr>
          <w:rFonts w:ascii="Segoe UI" w:hAnsi="Segoe UI" w:cs="Segoe UI"/>
          <w:sz w:val="22"/>
          <w:szCs w:val="22"/>
        </w:rPr>
        <w:t xml:space="preserve"> will be most keenly fel</w:t>
      </w:r>
      <w:r w:rsidR="005B29C2">
        <w:rPr>
          <w:rFonts w:ascii="Segoe UI" w:hAnsi="Segoe UI" w:cs="Segoe UI"/>
          <w:sz w:val="22"/>
          <w:szCs w:val="22"/>
        </w:rPr>
        <w:t>t in the small business segment as</w:t>
      </w:r>
      <w:r>
        <w:rPr>
          <w:rFonts w:ascii="Segoe UI" w:hAnsi="Segoe UI" w:cs="Segoe UI"/>
          <w:sz w:val="22"/>
          <w:szCs w:val="22"/>
        </w:rPr>
        <w:t xml:space="preserve"> SMEs</w:t>
      </w:r>
      <w:r w:rsidRPr="00A05EBC">
        <w:rPr>
          <w:rFonts w:ascii="Segoe UI" w:hAnsi="Segoe UI" w:cs="Segoe UI"/>
          <w:sz w:val="22"/>
          <w:szCs w:val="22"/>
        </w:rPr>
        <w:t xml:space="preserve"> often rely on unsecured credit for</w:t>
      </w:r>
      <w:r w:rsidR="005B29C2">
        <w:rPr>
          <w:rFonts w:ascii="Segoe UI" w:hAnsi="Segoe UI" w:cs="Segoe UI"/>
          <w:sz w:val="22"/>
          <w:szCs w:val="22"/>
        </w:rPr>
        <w:t xml:space="preserve"> managing sustainable cash flow</w:t>
      </w:r>
      <w:r w:rsidRPr="00A05EBC">
        <w:rPr>
          <w:rFonts w:ascii="Segoe UI" w:hAnsi="Segoe UI" w:cs="Segoe UI"/>
          <w:sz w:val="22"/>
          <w:szCs w:val="22"/>
        </w:rPr>
        <w:t xml:space="preserve">. When </w:t>
      </w:r>
      <w:r>
        <w:rPr>
          <w:rFonts w:ascii="Segoe UI" w:hAnsi="Segoe UI" w:cs="Segoe UI"/>
          <w:sz w:val="22"/>
          <w:szCs w:val="22"/>
        </w:rPr>
        <w:t>SMEs are often</w:t>
      </w:r>
      <w:r w:rsidRPr="00A05EBC">
        <w:rPr>
          <w:rFonts w:ascii="Segoe UI" w:hAnsi="Segoe UI" w:cs="Segoe UI"/>
          <w:sz w:val="22"/>
          <w:szCs w:val="22"/>
        </w:rPr>
        <w:t xml:space="preserve"> operating on thin margins, the value of </w:t>
      </w:r>
      <w:r>
        <w:rPr>
          <w:rFonts w:ascii="Segoe UI" w:hAnsi="Segoe UI" w:cs="Segoe UI"/>
          <w:sz w:val="22"/>
          <w:szCs w:val="22"/>
        </w:rPr>
        <w:t xml:space="preserve">cash flow </w:t>
      </w:r>
      <w:r w:rsidRPr="00A05EBC">
        <w:rPr>
          <w:rFonts w:ascii="Segoe UI" w:hAnsi="Segoe UI" w:cs="Segoe UI"/>
          <w:sz w:val="22"/>
          <w:szCs w:val="22"/>
        </w:rPr>
        <w:t xml:space="preserve">efficiency and security provided </w:t>
      </w:r>
      <w:proofErr w:type="gramStart"/>
      <w:r w:rsidRPr="00A05EBC">
        <w:rPr>
          <w:rFonts w:ascii="Segoe UI" w:hAnsi="Segoe UI" w:cs="Segoe UI"/>
          <w:sz w:val="22"/>
          <w:szCs w:val="22"/>
        </w:rPr>
        <w:t>by a scheme product</w:t>
      </w:r>
      <w:r w:rsidR="0048787D">
        <w:rPr>
          <w:rFonts w:ascii="Segoe UI" w:hAnsi="Segoe UI" w:cs="Segoe UI"/>
          <w:sz w:val="22"/>
          <w:szCs w:val="22"/>
        </w:rPr>
        <w:t>s</w:t>
      </w:r>
      <w:proofErr w:type="gramEnd"/>
      <w:r w:rsidRPr="00A05EBC">
        <w:rPr>
          <w:rFonts w:ascii="Segoe UI" w:hAnsi="Segoe UI" w:cs="Segoe UI"/>
          <w:sz w:val="22"/>
          <w:szCs w:val="22"/>
        </w:rPr>
        <w:t xml:space="preserve"> makes </w:t>
      </w:r>
      <w:r>
        <w:rPr>
          <w:rFonts w:ascii="Segoe UI" w:hAnsi="Segoe UI" w:cs="Segoe UI"/>
          <w:sz w:val="22"/>
          <w:szCs w:val="22"/>
        </w:rPr>
        <w:t>a significant diff</w:t>
      </w:r>
      <w:r w:rsidR="008F6AF9">
        <w:rPr>
          <w:rFonts w:ascii="Segoe UI" w:hAnsi="Segoe UI" w:cs="Segoe UI"/>
          <w:sz w:val="22"/>
          <w:szCs w:val="22"/>
        </w:rPr>
        <w:t>erence to business operations.</w:t>
      </w:r>
    </w:p>
    <w:p w14:paraId="06757AE5" w14:textId="77777777" w:rsidR="00C10050" w:rsidRDefault="00C10050" w:rsidP="00785DB4">
      <w:pPr>
        <w:jc w:val="both"/>
        <w:rPr>
          <w:rFonts w:ascii="Segoe UI" w:hAnsi="Segoe UI" w:cs="Segoe UI"/>
          <w:sz w:val="22"/>
          <w:szCs w:val="22"/>
        </w:rPr>
      </w:pPr>
    </w:p>
    <w:p w14:paraId="06757AE6" w14:textId="77777777" w:rsidR="00C10050" w:rsidRDefault="00C10050" w:rsidP="00785DB4">
      <w:pPr>
        <w:jc w:val="both"/>
        <w:rPr>
          <w:rFonts w:ascii="Segoe UI" w:hAnsi="Segoe UI" w:cs="Segoe UI"/>
          <w:sz w:val="22"/>
          <w:szCs w:val="22"/>
        </w:rPr>
      </w:pPr>
      <w:r w:rsidRPr="00A05EBC">
        <w:rPr>
          <w:rFonts w:ascii="Segoe UI" w:hAnsi="Segoe UI" w:cs="Segoe UI"/>
          <w:sz w:val="22"/>
          <w:szCs w:val="22"/>
        </w:rPr>
        <w:t xml:space="preserve">As such, investing in emerging technologies in the commercial </w:t>
      </w:r>
      <w:r>
        <w:rPr>
          <w:rFonts w:ascii="Segoe UI" w:hAnsi="Segoe UI" w:cs="Segoe UI"/>
          <w:sz w:val="22"/>
          <w:szCs w:val="22"/>
        </w:rPr>
        <w:t>product market</w:t>
      </w:r>
      <w:r w:rsidRPr="00A05EBC">
        <w:rPr>
          <w:rFonts w:ascii="Segoe UI" w:hAnsi="Segoe UI" w:cs="Segoe UI"/>
          <w:sz w:val="22"/>
          <w:szCs w:val="22"/>
        </w:rPr>
        <w:t xml:space="preserve"> provides a real economic benefit for multiple players in the value chain. However, reducing the revenue for banks</w:t>
      </w:r>
      <w:r>
        <w:rPr>
          <w:rFonts w:ascii="Segoe UI" w:hAnsi="Segoe UI" w:cs="Segoe UI"/>
          <w:sz w:val="22"/>
          <w:szCs w:val="22"/>
        </w:rPr>
        <w:t xml:space="preserve"> through </w:t>
      </w:r>
      <w:r w:rsidRPr="67D6BC92">
        <w:rPr>
          <w:rFonts w:ascii="Segoe UI" w:eastAsia="Segoe UI" w:hAnsi="Segoe UI" w:cs="Segoe UI"/>
          <w:sz w:val="22"/>
          <w:szCs w:val="22"/>
        </w:rPr>
        <w:t xml:space="preserve">capping interchange on commercial cards will make the segment increasingly less attractive; this could reduce both the willingness to offer the product and investment </w:t>
      </w:r>
      <w:r w:rsidR="002C54EF">
        <w:rPr>
          <w:rFonts w:ascii="Segoe UI" w:eastAsia="Segoe UI" w:hAnsi="Segoe UI" w:cs="Segoe UI"/>
          <w:sz w:val="22"/>
          <w:szCs w:val="22"/>
        </w:rPr>
        <w:t>in new commercial card services</w:t>
      </w:r>
      <w:r>
        <w:rPr>
          <w:rFonts w:ascii="Segoe UI" w:hAnsi="Segoe UI" w:cs="Segoe UI"/>
          <w:sz w:val="22"/>
          <w:szCs w:val="22"/>
        </w:rPr>
        <w:t>.</w:t>
      </w:r>
      <w:r w:rsidRPr="00A05EBC">
        <w:rPr>
          <w:rFonts w:ascii="Segoe UI" w:hAnsi="Segoe UI" w:cs="Segoe UI"/>
          <w:sz w:val="22"/>
          <w:szCs w:val="22"/>
        </w:rPr>
        <w:t xml:space="preserve"> </w:t>
      </w:r>
      <w:r w:rsidR="0CE26CD5" w:rsidRPr="0CE26CD5">
        <w:rPr>
          <w:rFonts w:ascii="Segoe UI" w:eastAsia="Segoe UI" w:hAnsi="Segoe UI" w:cs="Segoe UI"/>
          <w:sz w:val="22"/>
          <w:szCs w:val="22"/>
        </w:rPr>
        <w:t>Additionally, commercial card users differ from consumers; a commercial user is generally unaffected by merchant steering, i.e. the practice of a merchant influencing a consumer</w:t>
      </w:r>
      <w:r w:rsidR="00271AF2">
        <w:rPr>
          <w:rFonts w:ascii="Segoe UI" w:eastAsia="Segoe UI" w:hAnsi="Segoe UI" w:cs="Segoe UI"/>
          <w:sz w:val="22"/>
          <w:szCs w:val="22"/>
        </w:rPr>
        <w:t>’</w:t>
      </w:r>
      <w:r w:rsidR="0CE26CD5" w:rsidRPr="0CE26CD5">
        <w:rPr>
          <w:rFonts w:ascii="Segoe UI" w:eastAsia="Segoe UI" w:hAnsi="Segoe UI" w:cs="Segoe UI"/>
          <w:sz w:val="22"/>
          <w:szCs w:val="22"/>
        </w:rPr>
        <w:t>s purchase method decision through financial (surcharging) or other means, and the user is generally mandated to use the card so that the user’s company can track spend and integrate the accounting data into enterprise systems.</w:t>
      </w:r>
    </w:p>
    <w:p w14:paraId="06757AE7" w14:textId="77777777" w:rsidR="00C10050" w:rsidRDefault="00C10050" w:rsidP="00785DB4">
      <w:pPr>
        <w:jc w:val="both"/>
        <w:rPr>
          <w:rFonts w:ascii="Segoe UI" w:hAnsi="Segoe UI" w:cs="Segoe UI"/>
          <w:sz w:val="22"/>
          <w:szCs w:val="22"/>
        </w:rPr>
      </w:pPr>
    </w:p>
    <w:p w14:paraId="06757AE8" w14:textId="77777777" w:rsidR="00C10050" w:rsidRDefault="00C10050" w:rsidP="00785DB4">
      <w:pPr>
        <w:jc w:val="both"/>
        <w:rPr>
          <w:rFonts w:ascii="Segoe UI" w:hAnsi="Segoe UI" w:cs="Segoe UI"/>
          <w:sz w:val="22"/>
          <w:szCs w:val="22"/>
        </w:rPr>
      </w:pPr>
      <w:r>
        <w:rPr>
          <w:rFonts w:ascii="Segoe UI" w:hAnsi="Segoe UI" w:cs="Segoe UI"/>
          <w:sz w:val="22"/>
          <w:szCs w:val="22"/>
        </w:rPr>
        <w:t>On the issue of competitive neutrality, Visa believes the proposed regulation of commercial cards issued by the four-party payment schemes</w:t>
      </w:r>
      <w:r w:rsidRPr="00A05EBC">
        <w:rPr>
          <w:rFonts w:ascii="Segoe UI" w:hAnsi="Segoe UI" w:cs="Segoe UI"/>
          <w:sz w:val="22"/>
          <w:szCs w:val="22"/>
        </w:rPr>
        <w:t xml:space="preserve"> will further exacerbate the lack of </w:t>
      </w:r>
      <w:r w:rsidRPr="67D6BC92">
        <w:rPr>
          <w:rFonts w:ascii="Segoe UI" w:eastAsia="Segoe UI" w:hAnsi="Segoe UI" w:cs="Segoe UI"/>
          <w:sz w:val="22"/>
          <w:szCs w:val="22"/>
        </w:rPr>
        <w:t xml:space="preserve">competitive neutrality that already exists in the Australian B2B payments marketplace. While </w:t>
      </w:r>
      <w:r w:rsidRPr="67D6BC92">
        <w:rPr>
          <w:rFonts w:ascii="Segoe UI" w:eastAsia="Segoe UI" w:hAnsi="Segoe UI" w:cs="Segoe UI"/>
          <w:sz w:val="22"/>
          <w:szCs w:val="22"/>
        </w:rPr>
        <w:lastRenderedPageBreak/>
        <w:t>there is an absence of reliable industry data, the commercial cards segment is largely dominated by the three-party schemes</w:t>
      </w:r>
      <w:r w:rsidRPr="003558B7">
        <w:rPr>
          <w:rFonts w:ascii="Segoe UI" w:hAnsi="Segoe UI" w:cs="Segoe UI"/>
          <w:sz w:val="22"/>
          <w:szCs w:val="22"/>
        </w:rPr>
        <w:t xml:space="preserve">. This has the unfortunate consequence of allowing unregulated schemes to compete on price in the form of rebates that regulated parties cannot match. </w:t>
      </w:r>
    </w:p>
    <w:p w14:paraId="06757AE9" w14:textId="77777777" w:rsidR="00C10050" w:rsidRDefault="00C10050" w:rsidP="00785DB4">
      <w:pPr>
        <w:jc w:val="both"/>
        <w:rPr>
          <w:rFonts w:ascii="Segoe UI" w:hAnsi="Segoe UI" w:cs="Segoe UI"/>
          <w:sz w:val="22"/>
          <w:szCs w:val="22"/>
        </w:rPr>
      </w:pPr>
    </w:p>
    <w:p w14:paraId="06757AEA" w14:textId="77777777" w:rsidR="00C10050" w:rsidRDefault="00C10050" w:rsidP="00785DB4">
      <w:pPr>
        <w:jc w:val="both"/>
        <w:rPr>
          <w:rFonts w:ascii="Segoe UI" w:hAnsi="Segoe UI" w:cs="Segoe UI"/>
          <w:sz w:val="22"/>
          <w:szCs w:val="22"/>
        </w:rPr>
      </w:pPr>
      <w:r w:rsidRPr="0CE26CD5">
        <w:rPr>
          <w:rFonts w:ascii="Segoe UI" w:eastAsia="Segoe UI" w:hAnsi="Segoe UI" w:cs="Segoe UI"/>
          <w:sz w:val="22"/>
          <w:szCs w:val="22"/>
        </w:rPr>
        <w:t>Visa has surveyed our issuers and understand</w:t>
      </w:r>
      <w:r w:rsidR="00271AF2">
        <w:rPr>
          <w:rFonts w:ascii="Segoe UI" w:eastAsia="Segoe UI" w:hAnsi="Segoe UI" w:cs="Segoe UI"/>
          <w:sz w:val="22"/>
          <w:szCs w:val="22"/>
        </w:rPr>
        <w:t>s</w:t>
      </w:r>
      <w:r w:rsidRPr="0CE26CD5">
        <w:rPr>
          <w:rFonts w:ascii="Segoe UI" w:eastAsia="Segoe UI" w:hAnsi="Segoe UI" w:cs="Segoe UI"/>
          <w:sz w:val="22"/>
          <w:szCs w:val="22"/>
        </w:rPr>
        <w:t xml:space="preserve"> that across business, corporate and purchasing charge cards with corporate liability, rebates are attributed to only approximately 1 per cent of Visa scheme four-party commercial card contracts. This would appear to refute the RBA’s assertion on rebate prevalence, unless this, as we would assert, is more common for unregulated issuers.</w:t>
      </w:r>
      <w:r w:rsidR="0CE26CD5" w:rsidRPr="0CE26CD5">
        <w:rPr>
          <w:rFonts w:ascii="Segoe UI" w:eastAsia="Segoe UI" w:hAnsi="Segoe UI" w:cs="Segoe UI"/>
          <w:sz w:val="22"/>
          <w:szCs w:val="22"/>
        </w:rPr>
        <w:t xml:space="preserve"> The focus of large corporate clients, and indeed government, has necessitated issuers participate in rebate schemes to pass procurement assessment criteria. </w:t>
      </w:r>
    </w:p>
    <w:p w14:paraId="06757AEB" w14:textId="77777777" w:rsidR="00C10050" w:rsidRPr="00A05EBC" w:rsidRDefault="00C10050" w:rsidP="00785DB4">
      <w:pPr>
        <w:jc w:val="both"/>
        <w:rPr>
          <w:rFonts w:ascii="Segoe UI" w:hAnsi="Segoe UI" w:cs="Segoe UI"/>
          <w:sz w:val="22"/>
          <w:szCs w:val="22"/>
        </w:rPr>
      </w:pPr>
    </w:p>
    <w:p w14:paraId="06757AEC" w14:textId="77777777" w:rsidR="0048787D" w:rsidRDefault="00C10050" w:rsidP="00785DB4">
      <w:pPr>
        <w:jc w:val="both"/>
        <w:rPr>
          <w:rFonts w:ascii="Segoe UI" w:hAnsi="Segoe UI" w:cs="Segoe UI"/>
          <w:sz w:val="22"/>
          <w:szCs w:val="22"/>
        </w:rPr>
      </w:pPr>
      <w:r w:rsidRPr="00A05EBC">
        <w:rPr>
          <w:rFonts w:ascii="Segoe UI" w:hAnsi="Segoe UI" w:cs="Segoe UI"/>
          <w:sz w:val="22"/>
          <w:szCs w:val="22"/>
        </w:rPr>
        <w:t xml:space="preserve">Should the RBA not </w:t>
      </w:r>
      <w:r>
        <w:rPr>
          <w:rFonts w:ascii="Segoe UI" w:hAnsi="Segoe UI" w:cs="Segoe UI"/>
          <w:sz w:val="22"/>
          <w:szCs w:val="22"/>
        </w:rPr>
        <w:t>alter</w:t>
      </w:r>
      <w:r w:rsidRPr="003558B7">
        <w:rPr>
          <w:rFonts w:ascii="Segoe UI" w:hAnsi="Segoe UI" w:cs="Segoe UI"/>
          <w:sz w:val="22"/>
          <w:szCs w:val="22"/>
        </w:rPr>
        <w:t xml:space="preserve"> its preliminary view that it remains appropriate to include transactions on commercial cards in the regulatory framework for interchange payments and </w:t>
      </w:r>
      <w:r w:rsidR="00271AF2">
        <w:rPr>
          <w:rFonts w:ascii="Segoe UI" w:hAnsi="Segoe UI" w:cs="Segoe UI"/>
          <w:sz w:val="22"/>
          <w:szCs w:val="22"/>
        </w:rPr>
        <w:t xml:space="preserve">be </w:t>
      </w:r>
      <w:r w:rsidRPr="003558B7">
        <w:rPr>
          <w:rFonts w:ascii="Segoe UI" w:hAnsi="Segoe UI" w:cs="Segoe UI"/>
          <w:sz w:val="22"/>
          <w:szCs w:val="22"/>
        </w:rPr>
        <w:t xml:space="preserve">assessed as part of the credit basket, Visa would suggest an additional option be reviewed and adopted beyond the two options initially proposed </w:t>
      </w:r>
      <w:r w:rsidR="0048787D">
        <w:rPr>
          <w:rFonts w:ascii="Segoe UI" w:hAnsi="Segoe UI" w:cs="Segoe UI"/>
          <w:sz w:val="22"/>
          <w:szCs w:val="22"/>
        </w:rPr>
        <w:t>in the discussion paper</w:t>
      </w:r>
      <w:r w:rsidRPr="00A05EBC">
        <w:rPr>
          <w:rFonts w:ascii="Segoe UI" w:hAnsi="Segoe UI" w:cs="Segoe UI"/>
          <w:sz w:val="22"/>
          <w:szCs w:val="22"/>
        </w:rPr>
        <w:t xml:space="preserve">. </w:t>
      </w:r>
    </w:p>
    <w:p w14:paraId="06757AED" w14:textId="77777777" w:rsidR="0048787D" w:rsidRDefault="0048787D" w:rsidP="00785DB4">
      <w:pPr>
        <w:jc w:val="both"/>
        <w:rPr>
          <w:rFonts w:ascii="Segoe UI" w:hAnsi="Segoe UI" w:cs="Segoe UI"/>
          <w:sz w:val="22"/>
          <w:szCs w:val="22"/>
        </w:rPr>
      </w:pPr>
    </w:p>
    <w:p w14:paraId="06757AEE" w14:textId="77777777" w:rsidR="00C10050" w:rsidRPr="00F937BA" w:rsidRDefault="00A75FF7" w:rsidP="00785DB4">
      <w:pPr>
        <w:jc w:val="both"/>
      </w:pPr>
      <w:r>
        <w:rPr>
          <w:rFonts w:ascii="Segoe UI" w:hAnsi="Segoe UI" w:cs="Segoe UI"/>
          <w:sz w:val="22"/>
          <w:szCs w:val="22"/>
        </w:rPr>
        <w:t xml:space="preserve">To ensure the sustainability of the commercial segment, </w:t>
      </w:r>
      <w:r w:rsidR="0048787D">
        <w:rPr>
          <w:rFonts w:ascii="Segoe UI" w:hAnsi="Segoe UI" w:cs="Segoe UI"/>
          <w:sz w:val="22"/>
          <w:szCs w:val="22"/>
        </w:rPr>
        <w:t>Visa recommends</w:t>
      </w:r>
      <w:r w:rsidR="00C10050" w:rsidRPr="003558B7">
        <w:rPr>
          <w:rFonts w:ascii="Segoe UI" w:hAnsi="Segoe UI" w:cs="Segoe UI"/>
          <w:sz w:val="22"/>
          <w:szCs w:val="22"/>
        </w:rPr>
        <w:t xml:space="preserve"> that commercial cards</w:t>
      </w:r>
      <w:r w:rsidR="00C10050" w:rsidRPr="00A05EBC">
        <w:rPr>
          <w:rFonts w:ascii="Segoe UI" w:hAnsi="Segoe UI" w:cs="Segoe UI"/>
          <w:sz w:val="22"/>
          <w:szCs w:val="22"/>
        </w:rPr>
        <w:t xml:space="preserve"> </w:t>
      </w:r>
      <w:r w:rsidR="00C10050">
        <w:rPr>
          <w:rFonts w:ascii="Segoe UI" w:hAnsi="Segoe UI" w:cs="Segoe UI"/>
          <w:sz w:val="22"/>
          <w:szCs w:val="22"/>
        </w:rPr>
        <w:t>attract</w:t>
      </w:r>
      <w:r w:rsidR="00C10050" w:rsidRPr="00A05EBC">
        <w:rPr>
          <w:rFonts w:ascii="Segoe UI" w:hAnsi="Segoe UI" w:cs="Segoe UI"/>
          <w:sz w:val="22"/>
          <w:szCs w:val="22"/>
        </w:rPr>
        <w:t xml:space="preserve"> a </w:t>
      </w:r>
      <w:r w:rsidR="00C10050" w:rsidRPr="00497645">
        <w:rPr>
          <w:rFonts w:ascii="Segoe UI" w:hAnsi="Segoe UI" w:cs="Segoe UI"/>
          <w:sz w:val="22"/>
          <w:szCs w:val="22"/>
        </w:rPr>
        <w:t xml:space="preserve">higher upper limit of </w:t>
      </w:r>
      <w:r w:rsidR="0CE26CD5" w:rsidRPr="0074225A">
        <w:rPr>
          <w:rFonts w:ascii="Segoe UI" w:eastAsia="Segoe UI" w:hAnsi="Segoe UI" w:cs="Segoe UI"/>
          <w:sz w:val="22"/>
          <w:szCs w:val="22"/>
        </w:rPr>
        <w:t>120</w:t>
      </w:r>
      <w:r w:rsidR="0CE26CD5" w:rsidRPr="0CE26CD5">
        <w:rPr>
          <w:rFonts w:ascii="Segoe UI" w:eastAsia="Segoe UI" w:hAnsi="Segoe UI" w:cs="Segoe UI"/>
          <w:sz w:val="22"/>
          <w:szCs w:val="22"/>
        </w:rPr>
        <w:t xml:space="preserve"> </w:t>
      </w:r>
      <w:r w:rsidR="00C10050" w:rsidRPr="0CE26CD5">
        <w:rPr>
          <w:rFonts w:ascii="Segoe UI" w:eastAsia="Segoe UI" w:hAnsi="Segoe UI" w:cs="Segoe UI"/>
          <w:sz w:val="22"/>
          <w:szCs w:val="22"/>
        </w:rPr>
        <w:t>bps</w:t>
      </w:r>
      <w:r w:rsidR="00C10050" w:rsidRPr="00A05EBC">
        <w:rPr>
          <w:rFonts w:ascii="Segoe UI" w:hAnsi="Segoe UI" w:cs="Segoe UI"/>
          <w:sz w:val="22"/>
          <w:szCs w:val="22"/>
        </w:rPr>
        <w:t xml:space="preserve"> </w:t>
      </w:r>
      <w:r w:rsidR="00C10050">
        <w:rPr>
          <w:rFonts w:ascii="Segoe UI" w:hAnsi="Segoe UI" w:cs="Segoe UI"/>
          <w:sz w:val="22"/>
          <w:szCs w:val="22"/>
        </w:rPr>
        <w:t xml:space="preserve">in interchange </w:t>
      </w:r>
      <w:r w:rsidR="00C10050" w:rsidRPr="00A05EBC">
        <w:rPr>
          <w:rFonts w:ascii="Segoe UI" w:hAnsi="Segoe UI" w:cs="Segoe UI"/>
          <w:sz w:val="22"/>
          <w:szCs w:val="22"/>
        </w:rPr>
        <w:t>than the currently proposed 80</w:t>
      </w:r>
      <w:r w:rsidR="0074225A">
        <w:rPr>
          <w:rFonts w:ascii="Segoe UI" w:hAnsi="Segoe UI" w:cs="Segoe UI"/>
          <w:sz w:val="22"/>
          <w:szCs w:val="22"/>
        </w:rPr>
        <w:t xml:space="preserve"> </w:t>
      </w:r>
      <w:r w:rsidR="00C10050" w:rsidRPr="00A05EBC">
        <w:rPr>
          <w:rFonts w:ascii="Segoe UI" w:hAnsi="Segoe UI" w:cs="Segoe UI"/>
          <w:sz w:val="22"/>
          <w:szCs w:val="22"/>
        </w:rPr>
        <w:t xml:space="preserve">bps with </w:t>
      </w:r>
      <w:r w:rsidR="00C10050" w:rsidRPr="00497645">
        <w:rPr>
          <w:rFonts w:ascii="Segoe UI" w:hAnsi="Segoe UI" w:cs="Segoe UI"/>
          <w:sz w:val="22"/>
          <w:szCs w:val="22"/>
        </w:rPr>
        <w:t>clear rules for adoption and compliance program of work to avoid circumvention.</w:t>
      </w:r>
      <w:r w:rsidR="00C10050" w:rsidRPr="0CE26CD5">
        <w:rPr>
          <w:rFonts w:ascii="Segoe UI" w:eastAsia="Segoe UI" w:hAnsi="Segoe UI" w:cs="Segoe UI"/>
          <w:sz w:val="22"/>
          <w:szCs w:val="22"/>
        </w:rPr>
        <w:t xml:space="preserve"> T</w:t>
      </w:r>
      <w:r w:rsidR="0074225A">
        <w:rPr>
          <w:rFonts w:ascii="Segoe UI" w:eastAsia="Segoe UI" w:hAnsi="Segoe UI" w:cs="Segoe UI"/>
          <w:sz w:val="22"/>
          <w:szCs w:val="22"/>
        </w:rPr>
        <w:t xml:space="preserve">he additional 40 </w:t>
      </w:r>
      <w:r w:rsidR="0CE26CD5" w:rsidRPr="0CE26CD5">
        <w:rPr>
          <w:rFonts w:ascii="Segoe UI" w:eastAsia="Segoe UI" w:hAnsi="Segoe UI" w:cs="Segoe UI"/>
          <w:sz w:val="22"/>
          <w:szCs w:val="22"/>
        </w:rPr>
        <w:t>bps of revenue</w:t>
      </w:r>
      <w:r w:rsidR="00C10050" w:rsidRPr="0CE26CD5">
        <w:rPr>
          <w:rFonts w:ascii="Segoe UI" w:eastAsia="Segoe UI" w:hAnsi="Segoe UI" w:cs="Segoe UI"/>
          <w:sz w:val="22"/>
          <w:szCs w:val="22"/>
        </w:rPr>
        <w:t xml:space="preserve"> would allow regulated issuers</w:t>
      </w:r>
      <w:r w:rsidR="00F937BA">
        <w:rPr>
          <w:rFonts w:ascii="Segoe UI" w:eastAsia="Segoe UI" w:hAnsi="Segoe UI" w:cs="Segoe UI"/>
          <w:sz w:val="22"/>
          <w:szCs w:val="22"/>
        </w:rPr>
        <w:t>,</w:t>
      </w:r>
      <w:r w:rsidR="00C10050" w:rsidRPr="0CE26CD5">
        <w:rPr>
          <w:rFonts w:ascii="Segoe UI" w:eastAsia="Segoe UI" w:hAnsi="Segoe UI" w:cs="Segoe UI"/>
          <w:sz w:val="22"/>
          <w:szCs w:val="22"/>
        </w:rPr>
        <w:t xml:space="preserve"> </w:t>
      </w:r>
      <w:r w:rsidR="0CE26CD5" w:rsidRPr="0CE26CD5">
        <w:rPr>
          <w:rFonts w:ascii="Segoe UI" w:eastAsia="Segoe UI" w:hAnsi="Segoe UI" w:cs="Segoe UI"/>
          <w:sz w:val="22"/>
          <w:szCs w:val="22"/>
        </w:rPr>
        <w:t>who rely on interchange for 97% of their revenue</w:t>
      </w:r>
      <w:r w:rsidR="00F937BA">
        <w:rPr>
          <w:rFonts w:ascii="Segoe UI" w:eastAsia="Segoe UI" w:hAnsi="Segoe UI" w:cs="Segoe UI"/>
          <w:sz w:val="22"/>
          <w:szCs w:val="22"/>
        </w:rPr>
        <w:t>,</w:t>
      </w:r>
      <w:r w:rsidR="0CE26CD5" w:rsidRPr="0CE26CD5">
        <w:rPr>
          <w:rFonts w:ascii="Segoe UI" w:eastAsia="Segoe UI" w:hAnsi="Segoe UI" w:cs="Segoe UI"/>
          <w:sz w:val="22"/>
          <w:szCs w:val="22"/>
        </w:rPr>
        <w:t xml:space="preserve"> </w:t>
      </w:r>
      <w:r w:rsidR="00C10050" w:rsidRPr="0CE26CD5">
        <w:rPr>
          <w:rFonts w:ascii="Segoe UI" w:eastAsia="Segoe UI" w:hAnsi="Segoe UI" w:cs="Segoe UI"/>
          <w:sz w:val="22"/>
          <w:szCs w:val="22"/>
        </w:rPr>
        <w:t xml:space="preserve">to effectively compete with unregulated issuers </w:t>
      </w:r>
      <w:r w:rsidR="0CE26CD5" w:rsidRPr="0CE26CD5">
        <w:rPr>
          <w:rFonts w:ascii="Segoe UI" w:eastAsia="Segoe UI" w:hAnsi="Segoe UI" w:cs="Segoe UI"/>
          <w:sz w:val="22"/>
          <w:szCs w:val="22"/>
        </w:rPr>
        <w:t>and in some part</w:t>
      </w:r>
      <w:r w:rsidR="00C10050" w:rsidRPr="0CE26CD5">
        <w:rPr>
          <w:rFonts w:ascii="Segoe UI" w:eastAsia="Segoe UI" w:hAnsi="Segoe UI" w:cs="Segoe UI"/>
          <w:sz w:val="22"/>
          <w:szCs w:val="22"/>
        </w:rPr>
        <w:t xml:space="preserve"> address the cost differential between consumer and commercial</w:t>
      </w:r>
      <w:r w:rsidR="0CE26CD5" w:rsidRPr="0CE26CD5">
        <w:rPr>
          <w:rFonts w:ascii="Segoe UI" w:eastAsia="Segoe UI" w:hAnsi="Segoe UI" w:cs="Segoe UI"/>
          <w:sz w:val="22"/>
          <w:szCs w:val="22"/>
        </w:rPr>
        <w:t xml:space="preserve"> as it relates to </w:t>
      </w:r>
      <w:r w:rsidR="00C10050" w:rsidRPr="0CE26CD5">
        <w:rPr>
          <w:rFonts w:ascii="Segoe UI" w:eastAsia="Segoe UI" w:hAnsi="Segoe UI" w:cs="Segoe UI"/>
          <w:sz w:val="22"/>
          <w:szCs w:val="22"/>
        </w:rPr>
        <w:t>service</w:t>
      </w:r>
      <w:r w:rsidR="0CE26CD5" w:rsidRPr="0CE26CD5">
        <w:rPr>
          <w:rFonts w:ascii="Segoe UI" w:eastAsia="Segoe UI" w:hAnsi="Segoe UI" w:cs="Segoe UI"/>
          <w:sz w:val="22"/>
          <w:szCs w:val="22"/>
        </w:rPr>
        <w:t xml:space="preserve"> - business customers prefer a face-to-face relationship</w:t>
      </w:r>
      <w:r w:rsidR="00F937BA">
        <w:rPr>
          <w:rFonts w:ascii="Segoe UI" w:eastAsia="Segoe UI" w:hAnsi="Segoe UI" w:cs="Segoe UI"/>
          <w:sz w:val="22"/>
          <w:szCs w:val="22"/>
        </w:rPr>
        <w:t>,</w:t>
      </w:r>
      <w:r w:rsidR="0CE26CD5" w:rsidRPr="0CE26CD5">
        <w:rPr>
          <w:rFonts w:ascii="Segoe UI" w:eastAsia="Segoe UI" w:hAnsi="Segoe UI" w:cs="Segoe UI"/>
          <w:sz w:val="22"/>
          <w:szCs w:val="22"/>
        </w:rPr>
        <w:t xml:space="preserve"> a</w:t>
      </w:r>
      <w:r w:rsidR="00C10050" w:rsidRPr="0CE26CD5">
        <w:rPr>
          <w:rFonts w:ascii="Segoe UI" w:eastAsia="Segoe UI" w:hAnsi="Segoe UI" w:cs="Segoe UI"/>
          <w:sz w:val="22"/>
          <w:szCs w:val="22"/>
        </w:rPr>
        <w:t xml:space="preserve">nd credit </w:t>
      </w:r>
      <w:r w:rsidR="0CE26CD5" w:rsidRPr="0CE26CD5">
        <w:rPr>
          <w:rFonts w:ascii="Segoe UI" w:eastAsia="Segoe UI" w:hAnsi="Segoe UI" w:cs="Segoe UI"/>
          <w:sz w:val="22"/>
          <w:szCs w:val="22"/>
        </w:rPr>
        <w:t xml:space="preserve">- double limits </w:t>
      </w:r>
      <w:r w:rsidR="00F937BA">
        <w:rPr>
          <w:rFonts w:ascii="Segoe UI" w:eastAsia="Segoe UI" w:hAnsi="Segoe UI" w:cs="Segoe UI"/>
          <w:sz w:val="22"/>
          <w:szCs w:val="22"/>
        </w:rPr>
        <w:t>are required</w:t>
      </w:r>
      <w:r w:rsidR="0CE26CD5" w:rsidRPr="0CE26CD5">
        <w:rPr>
          <w:rFonts w:ascii="Segoe UI" w:eastAsia="Segoe UI" w:hAnsi="Segoe UI" w:cs="Segoe UI"/>
          <w:sz w:val="22"/>
          <w:szCs w:val="22"/>
        </w:rPr>
        <w:t xml:space="preserve"> for charge cards.</w:t>
      </w:r>
      <w:r w:rsidR="00F937BA">
        <w:t xml:space="preserve"> </w:t>
      </w:r>
      <w:r w:rsidR="00F937BA">
        <w:rPr>
          <w:rFonts w:ascii="Segoe UI" w:eastAsia="Segoe UI" w:hAnsi="Segoe UI" w:cs="Segoe UI"/>
          <w:sz w:val="22"/>
          <w:szCs w:val="22"/>
        </w:rPr>
        <w:t xml:space="preserve">This </w:t>
      </w:r>
      <w:r w:rsidR="0CE26CD5" w:rsidRPr="0CE26CD5">
        <w:rPr>
          <w:rFonts w:ascii="Segoe UI" w:eastAsia="Segoe UI" w:hAnsi="Segoe UI" w:cs="Segoe UI"/>
          <w:sz w:val="22"/>
          <w:szCs w:val="22"/>
        </w:rPr>
        <w:t xml:space="preserve">is </w:t>
      </w:r>
      <w:r w:rsidR="00F937BA">
        <w:rPr>
          <w:rFonts w:ascii="Segoe UI" w:eastAsia="Segoe UI" w:hAnsi="Segoe UI" w:cs="Segoe UI"/>
          <w:sz w:val="22"/>
          <w:szCs w:val="22"/>
        </w:rPr>
        <w:t>also</w:t>
      </w:r>
      <w:r w:rsidR="0CE26CD5" w:rsidRPr="0CE26CD5">
        <w:rPr>
          <w:rFonts w:ascii="Segoe UI" w:eastAsia="Segoe UI" w:hAnsi="Segoe UI" w:cs="Segoe UI"/>
          <w:sz w:val="22"/>
          <w:szCs w:val="22"/>
        </w:rPr>
        <w:t xml:space="preserve"> warranted given the significantly different risk profiles and skills required to assess that risk. Lastly the differential would </w:t>
      </w:r>
      <w:r w:rsidR="00C10050" w:rsidRPr="0CE26CD5">
        <w:rPr>
          <w:rFonts w:ascii="Segoe UI" w:eastAsia="Segoe UI" w:hAnsi="Segoe UI" w:cs="Segoe UI"/>
          <w:sz w:val="22"/>
          <w:szCs w:val="22"/>
        </w:rPr>
        <w:t>maintain the development and innovation in B2B payments that w</w:t>
      </w:r>
      <w:r w:rsidR="0CE26CD5" w:rsidRPr="0CE26CD5">
        <w:rPr>
          <w:rFonts w:ascii="Segoe UI" w:eastAsia="Segoe UI" w:hAnsi="Segoe UI" w:cs="Segoe UI"/>
          <w:sz w:val="22"/>
          <w:szCs w:val="22"/>
        </w:rPr>
        <w:t xml:space="preserve">ill </w:t>
      </w:r>
      <w:r w:rsidR="00C10050" w:rsidRPr="0CE26CD5">
        <w:rPr>
          <w:rFonts w:ascii="Segoe UI" w:eastAsia="Segoe UI" w:hAnsi="Segoe UI" w:cs="Segoe UI"/>
          <w:sz w:val="22"/>
          <w:szCs w:val="22"/>
        </w:rPr>
        <w:t>move Australian business payments forward.</w:t>
      </w:r>
    </w:p>
    <w:p w14:paraId="06757AEF" w14:textId="77777777" w:rsidR="00C10050" w:rsidRPr="00A05EBC" w:rsidRDefault="00C10050" w:rsidP="00785DB4">
      <w:pPr>
        <w:jc w:val="both"/>
        <w:rPr>
          <w:rFonts w:ascii="Segoe UI" w:hAnsi="Segoe UI" w:cs="Segoe UI"/>
          <w:sz w:val="22"/>
          <w:szCs w:val="22"/>
        </w:rPr>
      </w:pPr>
    </w:p>
    <w:p w14:paraId="06757AF0" w14:textId="77777777" w:rsidR="00C10050" w:rsidRDefault="003147C2" w:rsidP="00785DB4">
      <w:pPr>
        <w:pStyle w:val="Heading2"/>
        <w:spacing w:before="0"/>
        <w:jc w:val="both"/>
        <w:rPr>
          <w:rFonts w:ascii="Segoe UI" w:hAnsi="Segoe UI" w:cs="Segoe UI"/>
        </w:rPr>
      </w:pPr>
      <w:bookmarkStart w:id="61" w:name="_Toc442273948"/>
      <w:r>
        <w:rPr>
          <w:rFonts w:ascii="Segoe UI" w:hAnsi="Segoe UI" w:cs="Segoe UI"/>
        </w:rPr>
        <w:t>2.2</w:t>
      </w:r>
      <w:r>
        <w:rPr>
          <w:rFonts w:ascii="Segoe UI" w:hAnsi="Segoe UI" w:cs="Segoe UI"/>
        </w:rPr>
        <w:tab/>
      </w:r>
      <w:r w:rsidR="00C10050" w:rsidRPr="00A05EBC">
        <w:rPr>
          <w:rFonts w:ascii="Segoe UI" w:hAnsi="Segoe UI" w:cs="Segoe UI"/>
        </w:rPr>
        <w:t>B2B</w:t>
      </w:r>
      <w:r w:rsidR="00CC79AE">
        <w:rPr>
          <w:rFonts w:ascii="Segoe UI" w:hAnsi="Segoe UI" w:cs="Segoe UI"/>
        </w:rPr>
        <w:t xml:space="preserve"> p</w:t>
      </w:r>
      <w:r>
        <w:rPr>
          <w:rFonts w:ascii="Segoe UI" w:hAnsi="Segoe UI" w:cs="Segoe UI"/>
        </w:rPr>
        <w:t xml:space="preserve">ayments </w:t>
      </w:r>
      <w:r w:rsidR="00CC79AE">
        <w:rPr>
          <w:rFonts w:ascii="Segoe UI" w:hAnsi="Segoe UI" w:cs="Segoe UI"/>
        </w:rPr>
        <w:t>m</w:t>
      </w:r>
      <w:r>
        <w:rPr>
          <w:rFonts w:ascii="Segoe UI" w:hAnsi="Segoe UI" w:cs="Segoe UI"/>
        </w:rPr>
        <w:t xml:space="preserve">aturity: </w:t>
      </w:r>
      <w:r w:rsidR="00C10050" w:rsidRPr="00A05EBC">
        <w:rPr>
          <w:rFonts w:ascii="Segoe UI" w:hAnsi="Segoe UI" w:cs="Segoe UI"/>
        </w:rPr>
        <w:t xml:space="preserve">an </w:t>
      </w:r>
      <w:r w:rsidR="00CC79AE">
        <w:rPr>
          <w:rFonts w:ascii="Segoe UI" w:hAnsi="Segoe UI" w:cs="Segoe UI"/>
        </w:rPr>
        <w:t>e</w:t>
      </w:r>
      <w:r w:rsidR="00C10050" w:rsidRPr="00A05EBC">
        <w:rPr>
          <w:rFonts w:ascii="Segoe UI" w:hAnsi="Segoe UI" w:cs="Segoe UI"/>
        </w:rPr>
        <w:t xml:space="preserve">merging </w:t>
      </w:r>
      <w:r w:rsidR="00CC79AE">
        <w:rPr>
          <w:rFonts w:ascii="Segoe UI" w:hAnsi="Segoe UI" w:cs="Segoe UI"/>
        </w:rPr>
        <w:t>p</w:t>
      </w:r>
      <w:r w:rsidR="00C10050" w:rsidRPr="00A05EBC">
        <w:rPr>
          <w:rFonts w:ascii="Segoe UI" w:hAnsi="Segoe UI" w:cs="Segoe UI"/>
        </w:rPr>
        <w:t xml:space="preserve">ayments </w:t>
      </w:r>
      <w:r w:rsidR="00CC79AE">
        <w:rPr>
          <w:rFonts w:ascii="Segoe UI" w:hAnsi="Segoe UI" w:cs="Segoe UI"/>
        </w:rPr>
        <w:t>s</w:t>
      </w:r>
      <w:r w:rsidR="00C10050" w:rsidRPr="00A05EBC">
        <w:rPr>
          <w:rFonts w:ascii="Segoe UI" w:hAnsi="Segoe UI" w:cs="Segoe UI"/>
        </w:rPr>
        <w:t>ystem</w:t>
      </w:r>
      <w:bookmarkEnd w:id="61"/>
    </w:p>
    <w:p w14:paraId="06757AF1" w14:textId="77777777" w:rsidR="00C10050" w:rsidRPr="00A05EBC" w:rsidRDefault="00C10050" w:rsidP="00785DB4">
      <w:pPr>
        <w:jc w:val="both"/>
      </w:pPr>
    </w:p>
    <w:p w14:paraId="06757AF2" w14:textId="77777777" w:rsidR="00C10050" w:rsidRDefault="003147C2" w:rsidP="00785DB4">
      <w:pPr>
        <w:pStyle w:val="Heading3"/>
        <w:spacing w:before="0"/>
        <w:jc w:val="both"/>
        <w:rPr>
          <w:rFonts w:ascii="Segoe UI" w:hAnsi="Segoe UI" w:cs="Segoe UI"/>
          <w:b w:val="0"/>
          <w:sz w:val="22"/>
          <w:szCs w:val="22"/>
        </w:rPr>
      </w:pPr>
      <w:bookmarkStart w:id="62" w:name="_Toc442273949"/>
      <w:r>
        <w:rPr>
          <w:rFonts w:ascii="Segoe UI" w:hAnsi="Segoe UI" w:cs="Segoe UI"/>
          <w:sz w:val="22"/>
          <w:szCs w:val="22"/>
        </w:rPr>
        <w:t>2.2.1</w:t>
      </w:r>
      <w:r>
        <w:rPr>
          <w:rFonts w:ascii="Segoe UI" w:hAnsi="Segoe UI" w:cs="Segoe UI"/>
          <w:sz w:val="22"/>
          <w:szCs w:val="22"/>
        </w:rPr>
        <w:tab/>
      </w:r>
      <w:r w:rsidR="00C10050" w:rsidRPr="00A05EBC">
        <w:rPr>
          <w:rFonts w:ascii="Segoe UI" w:hAnsi="Segoe UI" w:cs="Segoe UI"/>
          <w:sz w:val="22"/>
          <w:szCs w:val="22"/>
        </w:rPr>
        <w:t xml:space="preserve">Evolution of </w:t>
      </w:r>
      <w:r w:rsidR="00CC79AE">
        <w:rPr>
          <w:rFonts w:ascii="Segoe UI" w:hAnsi="Segoe UI" w:cs="Segoe UI"/>
          <w:sz w:val="22"/>
          <w:szCs w:val="22"/>
        </w:rPr>
        <w:t>c</w:t>
      </w:r>
      <w:r w:rsidR="00C10050" w:rsidRPr="00A05EBC">
        <w:rPr>
          <w:rFonts w:ascii="Segoe UI" w:hAnsi="Segoe UI" w:cs="Segoe UI"/>
          <w:sz w:val="22"/>
          <w:szCs w:val="22"/>
        </w:rPr>
        <w:t xml:space="preserve">ommercial </w:t>
      </w:r>
      <w:r w:rsidR="00CC79AE">
        <w:rPr>
          <w:rFonts w:ascii="Segoe UI" w:hAnsi="Segoe UI" w:cs="Segoe UI"/>
          <w:sz w:val="22"/>
          <w:szCs w:val="22"/>
        </w:rPr>
        <w:t>p</w:t>
      </w:r>
      <w:r w:rsidR="00C10050" w:rsidRPr="00A05EBC">
        <w:rPr>
          <w:rFonts w:ascii="Segoe UI" w:hAnsi="Segoe UI" w:cs="Segoe UI"/>
          <w:sz w:val="22"/>
          <w:szCs w:val="22"/>
        </w:rPr>
        <w:t>ayments</w:t>
      </w:r>
      <w:bookmarkEnd w:id="62"/>
    </w:p>
    <w:p w14:paraId="06757AF3" w14:textId="77777777" w:rsidR="00C10050" w:rsidRPr="00B016F1" w:rsidRDefault="00C10050" w:rsidP="00785DB4">
      <w:pPr>
        <w:jc w:val="both"/>
      </w:pPr>
    </w:p>
    <w:p w14:paraId="06757AF4" w14:textId="77777777" w:rsidR="00C10050" w:rsidRPr="003558B7" w:rsidRDefault="00071F6A" w:rsidP="00785DB4">
      <w:pPr>
        <w:jc w:val="both"/>
        <w:rPr>
          <w:rFonts w:ascii="Segoe UI" w:eastAsia="Segoe UI" w:hAnsi="Segoe UI" w:cs="Segoe UI"/>
          <w:sz w:val="22"/>
          <w:szCs w:val="22"/>
        </w:rPr>
      </w:pPr>
      <w:r>
        <w:rPr>
          <w:rFonts w:ascii="Segoe UI" w:eastAsia="Segoe UI" w:hAnsi="Segoe UI" w:cs="Segoe UI"/>
          <w:sz w:val="22"/>
          <w:szCs w:val="22"/>
        </w:rPr>
        <w:t xml:space="preserve">The needs of commercial cardholders </w:t>
      </w:r>
      <w:r w:rsidR="00A75FF7">
        <w:rPr>
          <w:rFonts w:ascii="Segoe UI" w:eastAsia="Segoe UI" w:hAnsi="Segoe UI" w:cs="Segoe UI"/>
          <w:sz w:val="22"/>
          <w:szCs w:val="22"/>
        </w:rPr>
        <w:t>are</w:t>
      </w:r>
      <w:r>
        <w:rPr>
          <w:rFonts w:ascii="Segoe UI" w:eastAsia="Segoe UI" w:hAnsi="Segoe UI" w:cs="Segoe UI"/>
          <w:sz w:val="22"/>
          <w:szCs w:val="22"/>
        </w:rPr>
        <w:t xml:space="preserve"> materially different to the needs of consumer cardholders, and this has influenced the evolution and development of commercial card products. </w:t>
      </w:r>
      <w:r w:rsidR="00C10050" w:rsidRPr="003558B7">
        <w:rPr>
          <w:rFonts w:ascii="Segoe UI" w:eastAsia="Segoe UI" w:hAnsi="Segoe UI" w:cs="Segoe UI"/>
          <w:sz w:val="22"/>
          <w:szCs w:val="22"/>
        </w:rPr>
        <w:t>From paper processes and paper payments to e</w:t>
      </w:r>
      <w:r w:rsidR="00D55CFE">
        <w:rPr>
          <w:rFonts w:ascii="Segoe UI" w:eastAsia="Segoe UI" w:hAnsi="Segoe UI" w:cs="Segoe UI"/>
          <w:sz w:val="22"/>
          <w:szCs w:val="22"/>
        </w:rPr>
        <w:t>-i</w:t>
      </w:r>
      <w:r w:rsidR="00C10050" w:rsidRPr="003558B7">
        <w:rPr>
          <w:rFonts w:ascii="Segoe UI" w:eastAsia="Segoe UI" w:hAnsi="Segoe UI" w:cs="Segoe UI"/>
          <w:sz w:val="22"/>
          <w:szCs w:val="22"/>
        </w:rPr>
        <w:t xml:space="preserve">nvoicing and EFT or card scheme payments, the capabilities required for business payments are vastly different in comparison to consumer payments. Payment data for efficient reconciliation and </w:t>
      </w:r>
      <w:proofErr w:type="spellStart"/>
      <w:r w:rsidR="00C10050" w:rsidRPr="003558B7">
        <w:rPr>
          <w:rFonts w:ascii="Segoe UI" w:eastAsia="Segoe UI" w:hAnsi="Segoe UI" w:cs="Segoe UI"/>
          <w:sz w:val="22"/>
          <w:szCs w:val="22"/>
        </w:rPr>
        <w:t>maximising</w:t>
      </w:r>
      <w:proofErr w:type="spellEnd"/>
      <w:r w:rsidR="00C10050" w:rsidRPr="003558B7">
        <w:rPr>
          <w:rFonts w:ascii="Segoe UI" w:eastAsia="Segoe UI" w:hAnsi="Segoe UI" w:cs="Segoe UI"/>
          <w:sz w:val="22"/>
          <w:szCs w:val="22"/>
        </w:rPr>
        <w:t xml:space="preserve"> cash flow are the primary requirements for both the buyer and supplier for a B2B transaction. </w:t>
      </w:r>
    </w:p>
    <w:p w14:paraId="06757AF5" w14:textId="77777777" w:rsidR="00C10050" w:rsidRPr="003558B7" w:rsidRDefault="00C10050" w:rsidP="00785DB4">
      <w:pPr>
        <w:jc w:val="both"/>
        <w:rPr>
          <w:rFonts w:ascii="Segoe UI" w:eastAsia="Segoe UI" w:hAnsi="Segoe UI" w:cs="Segoe UI"/>
          <w:sz w:val="22"/>
          <w:szCs w:val="22"/>
        </w:rPr>
      </w:pPr>
    </w:p>
    <w:p w14:paraId="06757AF6" w14:textId="77777777" w:rsidR="00C10050" w:rsidRDefault="00C10050" w:rsidP="00785DB4">
      <w:pPr>
        <w:jc w:val="both"/>
        <w:rPr>
          <w:rFonts w:ascii="Segoe UI" w:hAnsi="Segoe UI" w:cs="Segoe UI"/>
          <w:sz w:val="22"/>
          <w:szCs w:val="22"/>
        </w:rPr>
      </w:pPr>
      <w:r w:rsidRPr="003558B7">
        <w:rPr>
          <w:rFonts w:ascii="Segoe UI" w:eastAsia="Segoe UI" w:hAnsi="Segoe UI" w:cs="Segoe UI"/>
          <w:sz w:val="22"/>
          <w:szCs w:val="22"/>
        </w:rPr>
        <w:t xml:space="preserve">Visa would argue that differentiation between the consumer and commercial systems is relevant and necessary when assessing the draft standards that should be applied. To take the position that the Australian B2B payments infrastructure or adoption is 'mature' and should have tighter regulation of interchange has, we believe, the capacity to constrain its future development. Of the estimated </w:t>
      </w:r>
      <w:r w:rsidR="00023763">
        <w:rPr>
          <w:rFonts w:ascii="Segoe UI" w:eastAsia="Segoe UI" w:hAnsi="Segoe UI" w:cs="Segoe UI"/>
          <w:sz w:val="22"/>
          <w:szCs w:val="22"/>
        </w:rPr>
        <w:t>AU</w:t>
      </w:r>
      <w:r w:rsidRPr="003558B7">
        <w:rPr>
          <w:rFonts w:ascii="Segoe UI" w:eastAsia="Segoe UI" w:hAnsi="Segoe UI" w:cs="Segoe UI"/>
          <w:sz w:val="22"/>
          <w:szCs w:val="22"/>
        </w:rPr>
        <w:t xml:space="preserve">$2.2 </w:t>
      </w:r>
      <w:r w:rsidR="00CE2B51">
        <w:rPr>
          <w:rFonts w:ascii="Segoe UI" w:eastAsia="Segoe UI" w:hAnsi="Segoe UI" w:cs="Segoe UI"/>
          <w:sz w:val="22"/>
          <w:szCs w:val="22"/>
        </w:rPr>
        <w:t>t</w:t>
      </w:r>
      <w:r w:rsidRPr="003558B7">
        <w:rPr>
          <w:rFonts w:ascii="Segoe UI" w:eastAsia="Segoe UI" w:hAnsi="Segoe UI" w:cs="Segoe UI"/>
          <w:sz w:val="22"/>
          <w:szCs w:val="22"/>
        </w:rPr>
        <w:t>rillion</w:t>
      </w:r>
      <w:r w:rsidRPr="0048787D">
        <w:rPr>
          <w:rFonts w:eastAsia="Segoe UI"/>
          <w:sz w:val="16"/>
          <w:szCs w:val="16"/>
          <w:vertAlign w:val="superscript"/>
        </w:rPr>
        <w:footnoteReference w:id="13"/>
      </w:r>
      <w:r w:rsidRPr="003558B7">
        <w:rPr>
          <w:rFonts w:ascii="Segoe UI" w:eastAsia="Segoe UI" w:hAnsi="Segoe UI" w:cs="Segoe UI"/>
          <w:sz w:val="22"/>
          <w:szCs w:val="22"/>
        </w:rPr>
        <w:t xml:space="preserve"> that Australian businesses spent in </w:t>
      </w:r>
      <w:r w:rsidRPr="003558B7">
        <w:rPr>
          <w:rFonts w:ascii="Segoe UI" w:eastAsia="Segoe UI" w:hAnsi="Segoe UI" w:cs="Segoe UI"/>
          <w:sz w:val="22"/>
          <w:szCs w:val="22"/>
        </w:rPr>
        <w:lastRenderedPageBreak/>
        <w:t>2015, Visa estim</w:t>
      </w:r>
      <w:r>
        <w:rPr>
          <w:rFonts w:ascii="Segoe UI" w:eastAsia="Segoe UI" w:hAnsi="Segoe UI" w:cs="Segoe UI"/>
          <w:sz w:val="22"/>
          <w:szCs w:val="22"/>
        </w:rPr>
        <w:t>ates from RBA data, that only 3 per cent</w:t>
      </w:r>
      <w:r w:rsidRPr="003558B7">
        <w:rPr>
          <w:rFonts w:ascii="Segoe UI" w:eastAsia="Segoe UI" w:hAnsi="Segoe UI" w:cs="Segoe UI"/>
          <w:sz w:val="22"/>
          <w:szCs w:val="22"/>
        </w:rPr>
        <w:t xml:space="preserve"> was transacted through scheme accounts (including both three- and fo</w:t>
      </w:r>
      <w:r w:rsidRPr="00A05EBC">
        <w:rPr>
          <w:rFonts w:ascii="Segoe UI" w:hAnsi="Segoe UI" w:cs="Segoe UI"/>
          <w:sz w:val="22"/>
          <w:szCs w:val="22"/>
        </w:rPr>
        <w:t xml:space="preserve">ur-party models) while </w:t>
      </w:r>
      <w:proofErr w:type="spellStart"/>
      <w:r w:rsidRPr="00A05EBC">
        <w:rPr>
          <w:rFonts w:ascii="Segoe UI" w:hAnsi="Segoe UI" w:cs="Segoe UI"/>
          <w:sz w:val="22"/>
          <w:szCs w:val="22"/>
        </w:rPr>
        <w:t>cheques</w:t>
      </w:r>
      <w:proofErr w:type="spellEnd"/>
      <w:r w:rsidRPr="00A05EBC">
        <w:rPr>
          <w:rFonts w:ascii="Segoe UI" w:hAnsi="Segoe UI" w:cs="Segoe UI"/>
          <w:sz w:val="22"/>
          <w:szCs w:val="22"/>
        </w:rPr>
        <w:t xml:space="preserve"> still account for 4</w:t>
      </w:r>
      <w:r>
        <w:rPr>
          <w:rFonts w:ascii="Segoe UI" w:hAnsi="Segoe UI" w:cs="Segoe UI"/>
          <w:sz w:val="22"/>
          <w:szCs w:val="22"/>
        </w:rPr>
        <w:t xml:space="preserve"> per cent</w:t>
      </w:r>
      <w:r w:rsidRPr="00A05EBC">
        <w:rPr>
          <w:rFonts w:ascii="Segoe UI" w:hAnsi="Segoe UI" w:cs="Segoe UI"/>
          <w:sz w:val="22"/>
          <w:szCs w:val="22"/>
        </w:rPr>
        <w:t xml:space="preserve"> and EFT (direct debit, direct credit and RTGS) accounts for the lion's share at 91</w:t>
      </w:r>
      <w:r>
        <w:rPr>
          <w:rFonts w:ascii="Segoe UI" w:hAnsi="Segoe UI" w:cs="Segoe UI"/>
          <w:sz w:val="22"/>
          <w:szCs w:val="22"/>
        </w:rPr>
        <w:t xml:space="preserve"> per cent</w:t>
      </w:r>
      <w:r w:rsidRPr="00A05EBC">
        <w:rPr>
          <w:rStyle w:val="FootnoteReference"/>
          <w:rFonts w:ascii="Segoe UI" w:hAnsi="Segoe UI" w:cs="Segoe UI"/>
          <w:sz w:val="22"/>
          <w:szCs w:val="22"/>
        </w:rPr>
        <w:footnoteReference w:id="14"/>
      </w:r>
      <w:r w:rsidRPr="00A05EBC">
        <w:rPr>
          <w:rFonts w:ascii="Segoe UI" w:hAnsi="Segoe UI" w:cs="Segoe UI"/>
          <w:sz w:val="22"/>
          <w:szCs w:val="22"/>
        </w:rPr>
        <w:t>.</w:t>
      </w:r>
    </w:p>
    <w:p w14:paraId="06757AF7" w14:textId="77777777" w:rsidR="00C10050" w:rsidRPr="00A05EBC" w:rsidRDefault="00C10050" w:rsidP="00785DB4">
      <w:pPr>
        <w:jc w:val="both"/>
        <w:rPr>
          <w:rFonts w:ascii="Segoe UI" w:hAnsi="Segoe UI" w:cs="Segoe UI"/>
          <w:sz w:val="22"/>
          <w:szCs w:val="22"/>
        </w:rPr>
      </w:pPr>
    </w:p>
    <w:p w14:paraId="06757AF8" w14:textId="77777777" w:rsidR="00C10050" w:rsidRDefault="00C10050" w:rsidP="00785DB4">
      <w:pPr>
        <w:jc w:val="both"/>
        <w:rPr>
          <w:rFonts w:ascii="Segoe UI" w:hAnsi="Segoe UI" w:cs="Segoe UI"/>
          <w:sz w:val="22"/>
          <w:szCs w:val="22"/>
        </w:rPr>
      </w:pPr>
      <w:r w:rsidRPr="00A05EBC">
        <w:rPr>
          <w:rFonts w:ascii="Segoe UI" w:hAnsi="Segoe UI" w:cs="Segoe UI"/>
          <w:sz w:val="22"/>
          <w:szCs w:val="22"/>
        </w:rPr>
        <w:t xml:space="preserve">Visa and our partners are committed to continuing our investment in the space, providing value to business, governments, and the broader economy alike. However, by regulating commercial interchange, particularly at the proposed rate, banks and schemes will be financially </w:t>
      </w:r>
      <w:r>
        <w:rPr>
          <w:rFonts w:ascii="Segoe UI" w:hAnsi="Segoe UI" w:cs="Segoe UI"/>
          <w:sz w:val="22"/>
          <w:szCs w:val="22"/>
        </w:rPr>
        <w:t xml:space="preserve">discouraged </w:t>
      </w:r>
      <w:r w:rsidRPr="00A05EBC">
        <w:rPr>
          <w:rFonts w:ascii="Segoe UI" w:hAnsi="Segoe UI" w:cs="Segoe UI"/>
          <w:sz w:val="22"/>
          <w:szCs w:val="22"/>
        </w:rPr>
        <w:t>from investing in commercial programs</w:t>
      </w:r>
      <w:r w:rsidRPr="67D6BC92">
        <w:rPr>
          <w:rFonts w:ascii="Segoe UI" w:eastAsia="Segoe UI" w:hAnsi="Segoe UI" w:cs="Segoe UI"/>
          <w:sz w:val="22"/>
          <w:szCs w:val="22"/>
        </w:rPr>
        <w:t xml:space="preserve"> to the detriment of business.</w:t>
      </w:r>
    </w:p>
    <w:p w14:paraId="06757AF9" w14:textId="77777777" w:rsidR="00C10050" w:rsidRPr="00A05EBC" w:rsidRDefault="00C10050" w:rsidP="00785DB4">
      <w:pPr>
        <w:jc w:val="both"/>
        <w:rPr>
          <w:rFonts w:ascii="Segoe UI" w:hAnsi="Segoe UI" w:cs="Segoe UI"/>
          <w:sz w:val="22"/>
          <w:szCs w:val="22"/>
        </w:rPr>
      </w:pPr>
    </w:p>
    <w:p w14:paraId="06757AFA" w14:textId="77777777" w:rsidR="00C10050" w:rsidRPr="00A05EBC" w:rsidRDefault="003147C2" w:rsidP="00785DB4">
      <w:pPr>
        <w:pStyle w:val="Heading3"/>
        <w:spacing w:before="0"/>
        <w:jc w:val="both"/>
        <w:rPr>
          <w:rFonts w:ascii="Segoe UI" w:hAnsi="Segoe UI" w:cs="Segoe UI"/>
          <w:b w:val="0"/>
          <w:sz w:val="22"/>
          <w:szCs w:val="22"/>
        </w:rPr>
      </w:pPr>
      <w:bookmarkStart w:id="63" w:name="_Toc442273950"/>
      <w:r>
        <w:rPr>
          <w:rFonts w:ascii="Segoe UI" w:hAnsi="Segoe UI" w:cs="Segoe UI"/>
          <w:sz w:val="22"/>
          <w:szCs w:val="22"/>
        </w:rPr>
        <w:t>2.2.2</w:t>
      </w:r>
      <w:r>
        <w:rPr>
          <w:rFonts w:ascii="Segoe UI" w:hAnsi="Segoe UI" w:cs="Segoe UI"/>
          <w:sz w:val="22"/>
          <w:szCs w:val="22"/>
        </w:rPr>
        <w:tab/>
      </w:r>
      <w:r w:rsidR="00C10050" w:rsidRPr="00A05EBC">
        <w:rPr>
          <w:rFonts w:ascii="Segoe UI" w:hAnsi="Segoe UI" w:cs="Segoe UI"/>
          <w:sz w:val="22"/>
          <w:szCs w:val="22"/>
        </w:rPr>
        <w:t xml:space="preserve">Issuer </w:t>
      </w:r>
      <w:r w:rsidR="00CC79AE">
        <w:rPr>
          <w:rFonts w:ascii="Segoe UI" w:hAnsi="Segoe UI" w:cs="Segoe UI"/>
          <w:sz w:val="22"/>
          <w:szCs w:val="22"/>
        </w:rPr>
        <w:t>e</w:t>
      </w:r>
      <w:r w:rsidR="00C10050" w:rsidRPr="00A05EBC">
        <w:rPr>
          <w:rFonts w:ascii="Segoe UI" w:hAnsi="Segoe UI" w:cs="Segoe UI"/>
          <w:sz w:val="22"/>
          <w:szCs w:val="22"/>
        </w:rPr>
        <w:t xml:space="preserve">conomics and </w:t>
      </w:r>
      <w:r w:rsidR="00CC79AE">
        <w:rPr>
          <w:rFonts w:ascii="Segoe UI" w:hAnsi="Segoe UI" w:cs="Segoe UI"/>
          <w:sz w:val="22"/>
          <w:szCs w:val="22"/>
        </w:rPr>
        <w:t>the i</w:t>
      </w:r>
      <w:r w:rsidR="00C10050" w:rsidRPr="00A05EBC">
        <w:rPr>
          <w:rFonts w:ascii="Segoe UI" w:hAnsi="Segoe UI" w:cs="Segoe UI"/>
          <w:sz w:val="22"/>
          <w:szCs w:val="22"/>
        </w:rPr>
        <w:t xml:space="preserve">mpact on </w:t>
      </w:r>
      <w:r w:rsidR="00CC79AE">
        <w:rPr>
          <w:rFonts w:ascii="Segoe UI" w:hAnsi="Segoe UI" w:cs="Segoe UI"/>
          <w:sz w:val="22"/>
          <w:szCs w:val="22"/>
        </w:rPr>
        <w:t>p</w:t>
      </w:r>
      <w:r w:rsidR="00C10050" w:rsidRPr="00A05EBC">
        <w:rPr>
          <w:rFonts w:ascii="Segoe UI" w:hAnsi="Segoe UI" w:cs="Segoe UI"/>
          <w:sz w:val="22"/>
          <w:szCs w:val="22"/>
        </w:rPr>
        <w:t xml:space="preserve">roduct </w:t>
      </w:r>
      <w:r w:rsidR="00CC79AE">
        <w:rPr>
          <w:rFonts w:ascii="Segoe UI" w:hAnsi="Segoe UI" w:cs="Segoe UI"/>
          <w:sz w:val="22"/>
          <w:szCs w:val="22"/>
        </w:rPr>
        <w:t>d</w:t>
      </w:r>
      <w:r w:rsidR="00C10050" w:rsidRPr="00A05EBC">
        <w:rPr>
          <w:rFonts w:ascii="Segoe UI" w:hAnsi="Segoe UI" w:cs="Segoe UI"/>
          <w:sz w:val="22"/>
          <w:szCs w:val="22"/>
        </w:rPr>
        <w:t>evelopment</w:t>
      </w:r>
      <w:bookmarkEnd w:id="63"/>
    </w:p>
    <w:p w14:paraId="06757AFB" w14:textId="77777777" w:rsidR="00C10050" w:rsidRPr="00A05EBC" w:rsidRDefault="00C10050" w:rsidP="00785DB4">
      <w:pPr>
        <w:jc w:val="both"/>
        <w:rPr>
          <w:lang w:val="en-AU"/>
        </w:rPr>
      </w:pPr>
    </w:p>
    <w:p w14:paraId="06757AFC" w14:textId="77777777" w:rsidR="00C10050" w:rsidRDefault="00C10050" w:rsidP="00785DB4">
      <w:pPr>
        <w:jc w:val="both"/>
        <w:rPr>
          <w:rFonts w:ascii="Segoe UI" w:hAnsi="Segoe UI" w:cs="Segoe UI"/>
          <w:sz w:val="22"/>
          <w:szCs w:val="22"/>
        </w:rPr>
      </w:pPr>
      <w:r w:rsidRPr="00A05EBC">
        <w:rPr>
          <w:rFonts w:ascii="Segoe UI" w:hAnsi="Segoe UI" w:cs="Segoe UI"/>
          <w:sz w:val="22"/>
          <w:szCs w:val="22"/>
        </w:rPr>
        <w:t xml:space="preserve">A number of factors impact the commercial card issuing business model that are unique </w:t>
      </w:r>
      <w:r>
        <w:rPr>
          <w:rFonts w:ascii="Segoe UI" w:hAnsi="Segoe UI" w:cs="Segoe UI"/>
          <w:sz w:val="22"/>
          <w:szCs w:val="22"/>
        </w:rPr>
        <w:t>when</w:t>
      </w:r>
      <w:r w:rsidRPr="00A05EBC">
        <w:rPr>
          <w:rFonts w:ascii="Segoe UI" w:hAnsi="Segoe UI" w:cs="Segoe UI"/>
          <w:sz w:val="22"/>
          <w:szCs w:val="22"/>
        </w:rPr>
        <w:t xml:space="preserve"> compared with the consumer cards model.</w:t>
      </w:r>
    </w:p>
    <w:p w14:paraId="06757AFD" w14:textId="77777777" w:rsidR="00C10050" w:rsidRDefault="00C10050" w:rsidP="00785DB4">
      <w:pPr>
        <w:jc w:val="both"/>
        <w:rPr>
          <w:rFonts w:ascii="Segoe UI" w:hAnsi="Segoe UI" w:cs="Segoe UI"/>
          <w:b/>
          <w:sz w:val="22"/>
          <w:szCs w:val="22"/>
        </w:rPr>
      </w:pPr>
    </w:p>
    <w:p w14:paraId="06757AFE" w14:textId="77777777" w:rsidR="00C10050" w:rsidRDefault="00C10050" w:rsidP="00785DB4">
      <w:pPr>
        <w:jc w:val="both"/>
        <w:rPr>
          <w:rFonts w:ascii="Segoe UI" w:hAnsi="Segoe UI" w:cs="Segoe UI"/>
          <w:sz w:val="22"/>
          <w:szCs w:val="22"/>
        </w:rPr>
      </w:pPr>
      <w:r w:rsidRPr="00A05EBC">
        <w:rPr>
          <w:rFonts w:ascii="Segoe UI" w:hAnsi="Segoe UI" w:cs="Segoe UI"/>
          <w:b/>
          <w:sz w:val="22"/>
          <w:szCs w:val="22"/>
        </w:rPr>
        <w:t>Cost of acquisition and servicing</w:t>
      </w:r>
      <w:r w:rsidRPr="00A05EBC">
        <w:rPr>
          <w:rFonts w:ascii="Segoe UI" w:hAnsi="Segoe UI" w:cs="Segoe UI"/>
          <w:sz w:val="22"/>
          <w:szCs w:val="22"/>
        </w:rPr>
        <w:t xml:space="preserve"> - Across all commercial scheme payment products there is</w:t>
      </w:r>
      <w:r w:rsidR="00A75FF7">
        <w:rPr>
          <w:rFonts w:ascii="Segoe UI" w:hAnsi="Segoe UI" w:cs="Segoe UI"/>
          <w:sz w:val="22"/>
          <w:szCs w:val="22"/>
        </w:rPr>
        <w:t xml:space="preserve"> a high cost of acquisition and customer service. </w:t>
      </w:r>
      <w:r w:rsidRPr="00A05EBC">
        <w:rPr>
          <w:rFonts w:ascii="Segoe UI" w:hAnsi="Segoe UI" w:cs="Segoe UI"/>
          <w:sz w:val="22"/>
          <w:szCs w:val="22"/>
        </w:rPr>
        <w:t>Acquisition costs include credit assessment</w:t>
      </w:r>
      <w:r>
        <w:rPr>
          <w:rFonts w:ascii="Segoe UI" w:hAnsi="Segoe UI" w:cs="Segoe UI"/>
          <w:sz w:val="22"/>
          <w:szCs w:val="22"/>
        </w:rPr>
        <w:t>,</w:t>
      </w:r>
      <w:r w:rsidRPr="00A05EBC">
        <w:rPr>
          <w:rFonts w:ascii="Segoe UI" w:hAnsi="Segoe UI" w:cs="Segoe UI"/>
          <w:sz w:val="22"/>
          <w:szCs w:val="22"/>
        </w:rPr>
        <w:t xml:space="preserve"> </w:t>
      </w:r>
      <w:r w:rsidR="00A75FF7">
        <w:rPr>
          <w:rFonts w:ascii="Segoe UI" w:hAnsi="Segoe UI" w:cs="Segoe UI"/>
          <w:sz w:val="22"/>
          <w:szCs w:val="22"/>
        </w:rPr>
        <w:t>which is costly, time consuming and essential</w:t>
      </w:r>
      <w:r w:rsidRPr="00A05EBC">
        <w:rPr>
          <w:rFonts w:ascii="Segoe UI" w:hAnsi="Segoe UI" w:cs="Segoe UI"/>
          <w:sz w:val="22"/>
          <w:szCs w:val="22"/>
        </w:rPr>
        <w:t>. Business liability, while being costly to manage, does ensure that credit limits are appropriately set to allow a business to manage the generally larger value and higher frequency of transactions.</w:t>
      </w:r>
    </w:p>
    <w:p w14:paraId="06757AFF" w14:textId="77777777" w:rsidR="00C10050" w:rsidRPr="00A05EBC" w:rsidRDefault="00C10050" w:rsidP="00785DB4">
      <w:pPr>
        <w:jc w:val="both"/>
        <w:rPr>
          <w:rFonts w:ascii="Segoe UI" w:hAnsi="Segoe UI" w:cs="Segoe UI"/>
          <w:sz w:val="22"/>
          <w:szCs w:val="22"/>
        </w:rPr>
      </w:pPr>
    </w:p>
    <w:p w14:paraId="06757B00" w14:textId="77777777" w:rsidR="00C10050" w:rsidRDefault="00C10050" w:rsidP="00785DB4">
      <w:pPr>
        <w:jc w:val="both"/>
        <w:rPr>
          <w:rFonts w:ascii="Segoe UI" w:hAnsi="Segoe UI" w:cs="Segoe UI"/>
          <w:sz w:val="22"/>
          <w:szCs w:val="22"/>
        </w:rPr>
      </w:pPr>
      <w:r w:rsidRPr="67D6BC92">
        <w:rPr>
          <w:rFonts w:ascii="Segoe UI" w:eastAsia="Segoe UI" w:hAnsi="Segoe UI" w:cs="Segoe UI"/>
          <w:b/>
          <w:bCs/>
          <w:sz w:val="22"/>
          <w:szCs w:val="22"/>
        </w:rPr>
        <w:t>Cost of credit for commercial issuers</w:t>
      </w:r>
      <w:r w:rsidRPr="67D6BC92">
        <w:rPr>
          <w:rFonts w:ascii="Segoe UI" w:eastAsia="Segoe UI" w:hAnsi="Segoe UI" w:cs="Segoe UI"/>
          <w:sz w:val="22"/>
          <w:szCs w:val="22"/>
        </w:rPr>
        <w:t xml:space="preserve"> – Australian banks issue charge card products with normal payment terms being greater than 14 days past statement date. This increases the cost of credit provision to a commercial </w:t>
      </w:r>
      <w:r w:rsidRPr="2D0342FE">
        <w:rPr>
          <w:rFonts w:ascii="Segoe UI" w:eastAsia="Segoe UI" w:hAnsi="Segoe UI" w:cs="Segoe UI"/>
          <w:sz w:val="22"/>
          <w:szCs w:val="22"/>
        </w:rPr>
        <w:t>charge card issuer as they must assess for double the exposure of the credit limit available. Limits for commercial facilities are, in general, much higher than consumer cards regardless of whether the product is charge or a revolving line of credit.</w:t>
      </w:r>
    </w:p>
    <w:p w14:paraId="06757B01" w14:textId="77777777" w:rsidR="00C10050" w:rsidRPr="00A05EBC" w:rsidRDefault="00C10050" w:rsidP="00785DB4">
      <w:pPr>
        <w:jc w:val="both"/>
        <w:rPr>
          <w:rFonts w:ascii="Segoe UI" w:hAnsi="Segoe UI" w:cs="Segoe UI"/>
          <w:b/>
          <w:sz w:val="22"/>
          <w:szCs w:val="22"/>
        </w:rPr>
      </w:pPr>
    </w:p>
    <w:p w14:paraId="06757B02" w14:textId="77777777" w:rsidR="00C10050" w:rsidRDefault="00C10050" w:rsidP="00785DB4">
      <w:pPr>
        <w:jc w:val="both"/>
        <w:rPr>
          <w:rFonts w:ascii="Segoe UI" w:hAnsi="Segoe UI" w:cs="Segoe UI"/>
          <w:sz w:val="22"/>
          <w:szCs w:val="22"/>
        </w:rPr>
      </w:pPr>
      <w:r w:rsidRPr="00A05EBC">
        <w:rPr>
          <w:rFonts w:ascii="Segoe UI" w:hAnsi="Segoe UI" w:cs="Segoe UI"/>
          <w:b/>
          <w:sz w:val="22"/>
          <w:szCs w:val="22"/>
        </w:rPr>
        <w:t xml:space="preserve">Interchange revenue is a higher proportion of overall revenue - </w:t>
      </w:r>
      <w:r w:rsidRPr="00A05EBC">
        <w:rPr>
          <w:rFonts w:ascii="Segoe UI" w:hAnsi="Segoe UI" w:cs="Segoe UI"/>
          <w:sz w:val="22"/>
          <w:szCs w:val="22"/>
        </w:rPr>
        <w:t>Those institutions that issue commercial products rely heavily on interchange reve</w:t>
      </w:r>
      <w:r w:rsidR="008F6AF9">
        <w:rPr>
          <w:rFonts w:ascii="Segoe UI" w:hAnsi="Segoe UI" w:cs="Segoe UI"/>
          <w:sz w:val="22"/>
          <w:szCs w:val="22"/>
        </w:rPr>
        <w:t xml:space="preserve">nue to support </w:t>
      </w:r>
      <w:r w:rsidR="0045236E">
        <w:rPr>
          <w:rFonts w:ascii="Segoe UI" w:hAnsi="Segoe UI" w:cs="Segoe UI"/>
          <w:sz w:val="22"/>
          <w:szCs w:val="22"/>
        </w:rPr>
        <w:t>the economics of their</w:t>
      </w:r>
      <w:r w:rsidR="008F6AF9">
        <w:rPr>
          <w:rFonts w:ascii="Segoe UI" w:hAnsi="Segoe UI" w:cs="Segoe UI"/>
          <w:sz w:val="22"/>
          <w:szCs w:val="22"/>
        </w:rPr>
        <w:t xml:space="preserve"> programs. </w:t>
      </w:r>
      <w:r w:rsidRPr="00A05EBC">
        <w:rPr>
          <w:rFonts w:ascii="Segoe UI" w:hAnsi="Segoe UI" w:cs="Segoe UI"/>
          <w:sz w:val="22"/>
          <w:szCs w:val="22"/>
        </w:rPr>
        <w:t xml:space="preserve">For issuers of commercial products targeted at large corporate and government </w:t>
      </w:r>
      <w:proofErr w:type="spellStart"/>
      <w:r w:rsidRPr="00A05EBC">
        <w:rPr>
          <w:rFonts w:ascii="Segoe UI" w:hAnsi="Segoe UI" w:cs="Segoe UI"/>
          <w:sz w:val="22"/>
          <w:szCs w:val="22"/>
        </w:rPr>
        <w:t>organisations</w:t>
      </w:r>
      <w:proofErr w:type="spellEnd"/>
      <w:r w:rsidRPr="00A05EBC">
        <w:rPr>
          <w:rFonts w:ascii="Segoe UI" w:hAnsi="Segoe UI" w:cs="Segoe UI"/>
          <w:sz w:val="22"/>
          <w:szCs w:val="22"/>
        </w:rPr>
        <w:t xml:space="preserve"> (corporate and purchasing cards) approximately 97</w:t>
      </w:r>
      <w:r w:rsidR="00952D5E">
        <w:rPr>
          <w:rFonts w:ascii="Segoe UI" w:hAnsi="Segoe UI" w:cs="Segoe UI"/>
          <w:sz w:val="22"/>
          <w:szCs w:val="22"/>
        </w:rPr>
        <w:t xml:space="preserve"> per cent</w:t>
      </w:r>
      <w:r w:rsidRPr="00A05EBC">
        <w:rPr>
          <w:rFonts w:ascii="Segoe UI" w:hAnsi="Segoe UI" w:cs="Segoe UI"/>
          <w:sz w:val="22"/>
          <w:szCs w:val="22"/>
        </w:rPr>
        <w:t xml:space="preserve"> of </w:t>
      </w:r>
      <w:r w:rsidR="00A75FF7">
        <w:rPr>
          <w:rFonts w:ascii="Segoe UI" w:hAnsi="Segoe UI" w:cs="Segoe UI"/>
          <w:sz w:val="22"/>
          <w:szCs w:val="22"/>
        </w:rPr>
        <w:t xml:space="preserve">their commercial card </w:t>
      </w:r>
      <w:r w:rsidRPr="00A05EBC">
        <w:rPr>
          <w:rFonts w:ascii="Segoe UI" w:hAnsi="Segoe UI" w:cs="Segoe UI"/>
          <w:sz w:val="22"/>
          <w:szCs w:val="22"/>
        </w:rPr>
        <w:t xml:space="preserve">revenue originates from interchange. In this large market segment, </w:t>
      </w:r>
      <w:proofErr w:type="spellStart"/>
      <w:r w:rsidRPr="00A05EBC">
        <w:rPr>
          <w:rFonts w:ascii="Segoe UI" w:hAnsi="Segoe UI" w:cs="Segoe UI"/>
          <w:sz w:val="22"/>
          <w:szCs w:val="22"/>
        </w:rPr>
        <w:t>organisations</w:t>
      </w:r>
      <w:proofErr w:type="spellEnd"/>
      <w:r w:rsidRPr="00A05EBC">
        <w:rPr>
          <w:rFonts w:ascii="Segoe UI" w:hAnsi="Segoe UI" w:cs="Segoe UI"/>
          <w:sz w:val="22"/>
          <w:szCs w:val="22"/>
        </w:rPr>
        <w:t xml:space="preserve"> are generally cash positive and do not look for additional longer-term lending i.e. revolving balances. This means issuers do not earn interest income. For lower margin issuers, there is the strong possibility that </w:t>
      </w:r>
      <w:r w:rsidR="00A75FF7">
        <w:rPr>
          <w:rFonts w:ascii="Segoe UI" w:hAnsi="Segoe UI" w:cs="Segoe UI"/>
          <w:sz w:val="22"/>
          <w:szCs w:val="22"/>
        </w:rPr>
        <w:t>lower interchange levels mean the commercial segment is not viable</w:t>
      </w:r>
      <w:r w:rsidR="0045236E">
        <w:rPr>
          <w:rFonts w:ascii="Segoe UI" w:hAnsi="Segoe UI" w:cs="Segoe UI"/>
          <w:sz w:val="22"/>
          <w:szCs w:val="22"/>
        </w:rPr>
        <w:t>,</w:t>
      </w:r>
      <w:r w:rsidR="00D55CFE">
        <w:rPr>
          <w:rFonts w:ascii="Segoe UI" w:hAnsi="Segoe UI" w:cs="Segoe UI"/>
          <w:sz w:val="22"/>
          <w:szCs w:val="22"/>
        </w:rPr>
        <w:t xml:space="preserve"> removing competition</w:t>
      </w:r>
      <w:r w:rsidR="0045236E">
        <w:rPr>
          <w:rFonts w:ascii="Segoe UI" w:hAnsi="Segoe UI" w:cs="Segoe UI"/>
          <w:sz w:val="22"/>
          <w:szCs w:val="22"/>
        </w:rPr>
        <w:t xml:space="preserve"> across the market</w:t>
      </w:r>
      <w:r w:rsidR="008F6AF9">
        <w:rPr>
          <w:rFonts w:ascii="Segoe UI" w:hAnsi="Segoe UI" w:cs="Segoe UI"/>
          <w:sz w:val="22"/>
          <w:szCs w:val="22"/>
        </w:rPr>
        <w:t>.</w:t>
      </w:r>
    </w:p>
    <w:p w14:paraId="06757B03" w14:textId="77777777" w:rsidR="00C10050" w:rsidRPr="00A05EBC" w:rsidRDefault="00C10050" w:rsidP="00785DB4">
      <w:pPr>
        <w:jc w:val="both"/>
        <w:rPr>
          <w:rFonts w:ascii="Segoe UI" w:hAnsi="Segoe UI" w:cs="Segoe UI"/>
          <w:sz w:val="22"/>
          <w:szCs w:val="22"/>
        </w:rPr>
      </w:pPr>
    </w:p>
    <w:p w14:paraId="06757B04" w14:textId="77777777" w:rsidR="00C10050" w:rsidRPr="00A05EBC" w:rsidRDefault="003147C2" w:rsidP="00785DB4">
      <w:pPr>
        <w:pStyle w:val="Heading2"/>
        <w:spacing w:before="0"/>
        <w:jc w:val="both"/>
        <w:rPr>
          <w:rFonts w:ascii="Segoe UI" w:hAnsi="Segoe UI" w:cs="Segoe UI"/>
        </w:rPr>
      </w:pPr>
      <w:bookmarkStart w:id="64" w:name="_Toc442273951"/>
      <w:r>
        <w:rPr>
          <w:rFonts w:ascii="Segoe UI" w:hAnsi="Segoe UI" w:cs="Segoe UI"/>
        </w:rPr>
        <w:t>2.3</w:t>
      </w:r>
      <w:r>
        <w:rPr>
          <w:rFonts w:ascii="Segoe UI" w:hAnsi="Segoe UI" w:cs="Segoe UI"/>
        </w:rPr>
        <w:tab/>
      </w:r>
      <w:r w:rsidR="00C10050" w:rsidRPr="00A05EBC">
        <w:rPr>
          <w:rFonts w:ascii="Segoe UI" w:hAnsi="Segoe UI" w:cs="Segoe UI"/>
        </w:rPr>
        <w:t>Mac</w:t>
      </w:r>
      <w:r w:rsidR="00CC79AE">
        <w:rPr>
          <w:rFonts w:ascii="Segoe UI" w:hAnsi="Segoe UI" w:cs="Segoe UI"/>
        </w:rPr>
        <w:t>ro i</w:t>
      </w:r>
      <w:r w:rsidR="00C10050" w:rsidRPr="00A05EBC">
        <w:rPr>
          <w:rFonts w:ascii="Segoe UI" w:hAnsi="Segoe UI" w:cs="Segoe UI"/>
        </w:rPr>
        <w:t xml:space="preserve">mplications of </w:t>
      </w:r>
      <w:r w:rsidR="00CC79AE">
        <w:rPr>
          <w:rFonts w:ascii="Segoe UI" w:hAnsi="Segoe UI" w:cs="Segoe UI"/>
        </w:rPr>
        <w:t>c</w:t>
      </w:r>
      <w:r w:rsidR="00C10050" w:rsidRPr="00A05EBC">
        <w:rPr>
          <w:rFonts w:ascii="Segoe UI" w:hAnsi="Segoe UI" w:cs="Segoe UI"/>
        </w:rPr>
        <w:t xml:space="preserve">urrent </w:t>
      </w:r>
      <w:r w:rsidR="00CC79AE">
        <w:rPr>
          <w:rFonts w:ascii="Segoe UI" w:hAnsi="Segoe UI" w:cs="Segoe UI"/>
        </w:rPr>
        <w:t>d</w:t>
      </w:r>
      <w:r w:rsidR="00C10050" w:rsidRPr="00A05EBC">
        <w:rPr>
          <w:rFonts w:ascii="Segoe UI" w:hAnsi="Segoe UI" w:cs="Segoe UI"/>
        </w:rPr>
        <w:t xml:space="preserve">raft </w:t>
      </w:r>
      <w:r w:rsidR="00CC79AE">
        <w:rPr>
          <w:rFonts w:ascii="Segoe UI" w:hAnsi="Segoe UI" w:cs="Segoe UI"/>
        </w:rPr>
        <w:t>s</w:t>
      </w:r>
      <w:r w:rsidR="00C10050" w:rsidRPr="00A05EBC">
        <w:rPr>
          <w:rFonts w:ascii="Segoe UI" w:hAnsi="Segoe UI" w:cs="Segoe UI"/>
        </w:rPr>
        <w:t>tandards</w:t>
      </w:r>
      <w:bookmarkEnd w:id="64"/>
    </w:p>
    <w:p w14:paraId="06757B05" w14:textId="77777777" w:rsidR="00C10050" w:rsidRPr="00A05EBC" w:rsidRDefault="00C10050" w:rsidP="00785DB4">
      <w:pPr>
        <w:jc w:val="both"/>
        <w:rPr>
          <w:b/>
        </w:rPr>
      </w:pPr>
    </w:p>
    <w:p w14:paraId="06757B06" w14:textId="77777777" w:rsidR="00C10050" w:rsidRPr="00A05EBC" w:rsidRDefault="003147C2" w:rsidP="00785DB4">
      <w:pPr>
        <w:pStyle w:val="Heading3"/>
        <w:spacing w:before="0"/>
        <w:jc w:val="both"/>
      </w:pPr>
      <w:bookmarkStart w:id="65" w:name="_Toc442273952"/>
      <w:r w:rsidRPr="00071F6A">
        <w:rPr>
          <w:rFonts w:ascii="Segoe UI" w:eastAsia="Segoe UI" w:hAnsi="Segoe UI" w:cs="Segoe UI"/>
          <w:sz w:val="22"/>
        </w:rPr>
        <w:t>2.3.1</w:t>
      </w:r>
      <w:r w:rsidRPr="00071F6A">
        <w:rPr>
          <w:rFonts w:ascii="Segoe UI" w:eastAsia="Segoe UI" w:hAnsi="Segoe UI" w:cs="Segoe UI"/>
          <w:sz w:val="22"/>
        </w:rPr>
        <w:tab/>
      </w:r>
      <w:r w:rsidR="00A75FF7">
        <w:rPr>
          <w:rFonts w:ascii="Segoe UI" w:eastAsia="Segoe UI" w:hAnsi="Segoe UI" w:cs="Segoe UI"/>
          <w:sz w:val="22"/>
        </w:rPr>
        <w:t>Implications for SMEs</w:t>
      </w:r>
      <w:bookmarkEnd w:id="65"/>
    </w:p>
    <w:p w14:paraId="06757B07" w14:textId="77777777" w:rsidR="00C10050" w:rsidRPr="00A05EBC" w:rsidRDefault="00C10050" w:rsidP="00785DB4">
      <w:pPr>
        <w:jc w:val="both"/>
      </w:pPr>
    </w:p>
    <w:p w14:paraId="06757B08" w14:textId="77777777" w:rsidR="003E0DA3" w:rsidRDefault="00071F6A" w:rsidP="00785DB4">
      <w:pPr>
        <w:jc w:val="both"/>
        <w:rPr>
          <w:rFonts w:ascii="Segoe UI" w:eastAsia="Segoe UI" w:hAnsi="Segoe UI" w:cs="Segoe UI"/>
          <w:sz w:val="22"/>
          <w:szCs w:val="22"/>
        </w:rPr>
      </w:pPr>
      <w:r>
        <w:rPr>
          <w:rFonts w:ascii="Segoe UI" w:eastAsia="Segoe UI" w:hAnsi="Segoe UI" w:cs="Segoe UI"/>
          <w:sz w:val="22"/>
          <w:szCs w:val="22"/>
        </w:rPr>
        <w:t xml:space="preserve">Credit availability for business is vital for its ongoing sustainability, particularly where business relies on narrow margins for survival. </w:t>
      </w:r>
      <w:r w:rsidR="00C10050" w:rsidRPr="67D6BC92">
        <w:rPr>
          <w:rFonts w:ascii="Segoe UI" w:eastAsia="Segoe UI" w:hAnsi="Segoe UI" w:cs="Segoe UI"/>
          <w:sz w:val="22"/>
          <w:szCs w:val="22"/>
        </w:rPr>
        <w:t xml:space="preserve">One of the benefits of card- or scheme- based </w:t>
      </w:r>
      <w:r w:rsidR="00C10050" w:rsidRPr="67D6BC92">
        <w:rPr>
          <w:rFonts w:ascii="Segoe UI" w:eastAsia="Segoe UI" w:hAnsi="Segoe UI" w:cs="Segoe UI"/>
          <w:sz w:val="22"/>
          <w:szCs w:val="22"/>
        </w:rPr>
        <w:lastRenderedPageBreak/>
        <w:t>payments is</w:t>
      </w:r>
      <w:r w:rsidR="00D60CC6">
        <w:rPr>
          <w:rFonts w:ascii="Segoe UI" w:eastAsia="Segoe UI" w:hAnsi="Segoe UI" w:cs="Segoe UI"/>
          <w:sz w:val="22"/>
          <w:szCs w:val="22"/>
        </w:rPr>
        <w:t xml:space="preserve"> that</w:t>
      </w:r>
      <w:r w:rsidR="00C10050" w:rsidRPr="67D6BC92">
        <w:rPr>
          <w:rFonts w:ascii="Segoe UI" w:eastAsia="Segoe UI" w:hAnsi="Segoe UI" w:cs="Segoe UI"/>
          <w:sz w:val="22"/>
          <w:szCs w:val="22"/>
        </w:rPr>
        <w:t xml:space="preserve"> </w:t>
      </w:r>
      <w:r w:rsidR="00B820D2">
        <w:rPr>
          <w:rFonts w:ascii="Segoe UI" w:eastAsia="Segoe UI" w:hAnsi="Segoe UI" w:cs="Segoe UI"/>
          <w:sz w:val="22"/>
          <w:szCs w:val="22"/>
        </w:rPr>
        <w:t xml:space="preserve">they </w:t>
      </w:r>
      <w:r w:rsidR="00C10050">
        <w:rPr>
          <w:rFonts w:ascii="Segoe UI" w:eastAsia="Segoe UI" w:hAnsi="Segoe UI" w:cs="Segoe UI"/>
          <w:sz w:val="22"/>
          <w:szCs w:val="22"/>
        </w:rPr>
        <w:t>provide</w:t>
      </w:r>
      <w:r w:rsidR="00C10050" w:rsidRPr="67D6BC92">
        <w:rPr>
          <w:rFonts w:ascii="Segoe UI" w:eastAsia="Segoe UI" w:hAnsi="Segoe UI" w:cs="Segoe UI"/>
          <w:sz w:val="22"/>
          <w:szCs w:val="22"/>
        </w:rPr>
        <w:t xml:space="preserve"> additional liquidity into the marketplace</w:t>
      </w:r>
      <w:r w:rsidR="00C10050">
        <w:rPr>
          <w:rFonts w:ascii="Segoe UI" w:eastAsia="Segoe UI" w:hAnsi="Segoe UI" w:cs="Segoe UI"/>
          <w:sz w:val="22"/>
          <w:szCs w:val="22"/>
        </w:rPr>
        <w:t>,</w:t>
      </w:r>
      <w:r w:rsidR="00C10050" w:rsidRPr="67D6BC92">
        <w:rPr>
          <w:rFonts w:ascii="Segoe UI" w:eastAsia="Segoe UI" w:hAnsi="Segoe UI" w:cs="Segoe UI"/>
          <w:sz w:val="22"/>
          <w:szCs w:val="22"/>
        </w:rPr>
        <w:t xml:space="preserve"> specifically </w:t>
      </w:r>
      <w:r w:rsidR="003E0DA3">
        <w:rPr>
          <w:rFonts w:ascii="Segoe UI" w:eastAsia="Segoe UI" w:hAnsi="Segoe UI" w:cs="Segoe UI"/>
          <w:sz w:val="22"/>
          <w:szCs w:val="22"/>
        </w:rPr>
        <w:t>in the SME segment</w:t>
      </w:r>
      <w:r w:rsidR="00C10050" w:rsidRPr="67D6BC92">
        <w:rPr>
          <w:rFonts w:ascii="Segoe UI" w:eastAsia="Segoe UI" w:hAnsi="Segoe UI" w:cs="Segoe UI"/>
          <w:sz w:val="22"/>
          <w:szCs w:val="22"/>
        </w:rPr>
        <w:t>. Large corporate buyers are renowned for putting their supply chains under financial strain to benefit their own working capital position</w:t>
      </w:r>
      <w:r w:rsidR="003E0DA3">
        <w:rPr>
          <w:rFonts w:ascii="Segoe UI" w:eastAsia="Segoe UI" w:hAnsi="Segoe UI" w:cs="Segoe UI"/>
          <w:sz w:val="22"/>
          <w:szCs w:val="22"/>
        </w:rPr>
        <w:t>, and SMEs often feel the pinch of these restrictive payment terms</w:t>
      </w:r>
      <w:r w:rsidR="00C10050" w:rsidRPr="67D6BC92">
        <w:rPr>
          <w:rFonts w:ascii="Segoe UI" w:eastAsia="Segoe UI" w:hAnsi="Segoe UI" w:cs="Segoe UI"/>
          <w:sz w:val="22"/>
          <w:szCs w:val="22"/>
        </w:rPr>
        <w:t>. Most recently in the UK</w:t>
      </w:r>
      <w:r w:rsidR="00F937BA">
        <w:rPr>
          <w:rStyle w:val="FootnoteReference"/>
          <w:rFonts w:ascii="Segoe UI" w:eastAsia="Segoe UI" w:hAnsi="Segoe UI" w:cs="Segoe UI"/>
          <w:sz w:val="22"/>
          <w:szCs w:val="22"/>
        </w:rPr>
        <w:footnoteReference w:id="15"/>
      </w:r>
      <w:r w:rsidR="00C10050" w:rsidRPr="67D6BC92">
        <w:rPr>
          <w:rFonts w:ascii="Segoe UI" w:eastAsia="Segoe UI" w:hAnsi="Segoe UI" w:cs="Segoe UI"/>
          <w:sz w:val="22"/>
          <w:szCs w:val="22"/>
        </w:rPr>
        <w:t>, Diageo</w:t>
      </w:r>
      <w:r w:rsidR="00C10050">
        <w:rPr>
          <w:rFonts w:ascii="Segoe UI" w:eastAsia="Segoe UI" w:hAnsi="Segoe UI" w:cs="Segoe UI"/>
          <w:sz w:val="22"/>
          <w:szCs w:val="22"/>
        </w:rPr>
        <w:t>, an international beverages manufacturer,</w:t>
      </w:r>
      <w:r w:rsidR="00C10050" w:rsidRPr="67D6BC92">
        <w:rPr>
          <w:rFonts w:ascii="Segoe UI" w:eastAsia="Segoe UI" w:hAnsi="Segoe UI" w:cs="Segoe UI"/>
          <w:sz w:val="22"/>
          <w:szCs w:val="22"/>
        </w:rPr>
        <w:t xml:space="preserve"> extended their terms of invoice payment to 90 days</w:t>
      </w:r>
      <w:r w:rsidR="003E0DA3">
        <w:rPr>
          <w:rFonts w:ascii="Segoe UI" w:eastAsia="Segoe UI" w:hAnsi="Segoe UI" w:cs="Segoe UI"/>
          <w:sz w:val="22"/>
          <w:szCs w:val="22"/>
        </w:rPr>
        <w:t>, beyond the traditional payment term that many SMEs rely upon</w:t>
      </w:r>
      <w:r w:rsidR="00C10050" w:rsidRPr="67D6BC92">
        <w:rPr>
          <w:rFonts w:ascii="Segoe UI" w:eastAsia="Segoe UI" w:hAnsi="Segoe UI" w:cs="Segoe UI"/>
          <w:sz w:val="22"/>
          <w:szCs w:val="22"/>
        </w:rPr>
        <w:t>. This was called out by the</w:t>
      </w:r>
      <w:r w:rsidR="00C10050" w:rsidRPr="0CE26CD5">
        <w:rPr>
          <w:rFonts w:ascii="Segoe UI" w:eastAsia="Segoe UI" w:hAnsi="Segoe UI" w:cs="Segoe UI"/>
          <w:sz w:val="22"/>
          <w:szCs w:val="22"/>
        </w:rPr>
        <w:t xml:space="preserve"> </w:t>
      </w:r>
      <w:r w:rsidR="0CE26CD5" w:rsidRPr="0CE26CD5">
        <w:rPr>
          <w:rFonts w:ascii="Segoe UI" w:eastAsia="Segoe UI" w:hAnsi="Segoe UI" w:cs="Segoe UI"/>
          <w:sz w:val="22"/>
          <w:szCs w:val="22"/>
        </w:rPr>
        <w:t>UK</w:t>
      </w:r>
      <w:r w:rsidR="00C10050" w:rsidRPr="67D6BC92">
        <w:rPr>
          <w:rFonts w:ascii="Segoe UI" w:eastAsia="Segoe UI" w:hAnsi="Segoe UI" w:cs="Segoe UI"/>
          <w:sz w:val="22"/>
          <w:szCs w:val="22"/>
        </w:rPr>
        <w:t xml:space="preserve"> corporate watchdog </w:t>
      </w:r>
      <w:r w:rsidR="00F937BA">
        <w:rPr>
          <w:rFonts w:ascii="Segoe UI" w:eastAsia="Segoe UI" w:hAnsi="Segoe UI" w:cs="Segoe UI"/>
          <w:sz w:val="22"/>
          <w:szCs w:val="22"/>
        </w:rPr>
        <w:t>and the decision reversed</w:t>
      </w:r>
      <w:r w:rsidR="00C10050" w:rsidRPr="0CE26CD5">
        <w:rPr>
          <w:rFonts w:ascii="Segoe UI" w:eastAsia="Segoe UI" w:hAnsi="Segoe UI" w:cs="Segoe UI"/>
          <w:sz w:val="22"/>
          <w:szCs w:val="22"/>
        </w:rPr>
        <w:t xml:space="preserve"> </w:t>
      </w:r>
      <w:r w:rsidR="00C10050" w:rsidRPr="67D6BC92">
        <w:rPr>
          <w:rFonts w:ascii="Segoe UI" w:eastAsia="Segoe UI" w:hAnsi="Segoe UI" w:cs="Segoe UI"/>
          <w:sz w:val="22"/>
          <w:szCs w:val="22"/>
        </w:rPr>
        <w:t xml:space="preserve">but serves as a barometer of where supplier credit terms are headed, especially where the buying </w:t>
      </w:r>
      <w:proofErr w:type="spellStart"/>
      <w:r w:rsidR="00C10050" w:rsidRPr="67D6BC92">
        <w:rPr>
          <w:rFonts w:ascii="Segoe UI" w:eastAsia="Segoe UI" w:hAnsi="Segoe UI" w:cs="Segoe UI"/>
          <w:sz w:val="22"/>
          <w:szCs w:val="22"/>
        </w:rPr>
        <w:t>organisation</w:t>
      </w:r>
      <w:proofErr w:type="spellEnd"/>
      <w:r w:rsidR="00C10050" w:rsidRPr="67D6BC92">
        <w:rPr>
          <w:rFonts w:ascii="Segoe UI" w:eastAsia="Segoe UI" w:hAnsi="Segoe UI" w:cs="Segoe UI"/>
          <w:sz w:val="22"/>
          <w:szCs w:val="22"/>
        </w:rPr>
        <w:t xml:space="preserve"> </w:t>
      </w:r>
      <w:r w:rsidR="003E0DA3">
        <w:rPr>
          <w:rFonts w:ascii="Segoe UI" w:eastAsia="Segoe UI" w:hAnsi="Segoe UI" w:cs="Segoe UI"/>
          <w:sz w:val="22"/>
          <w:szCs w:val="22"/>
        </w:rPr>
        <w:t>operates with market power</w:t>
      </w:r>
      <w:r w:rsidR="00C10050" w:rsidRPr="67D6BC92">
        <w:rPr>
          <w:rFonts w:ascii="Segoe UI" w:eastAsia="Segoe UI" w:hAnsi="Segoe UI" w:cs="Segoe UI"/>
          <w:sz w:val="22"/>
          <w:szCs w:val="22"/>
        </w:rPr>
        <w:t xml:space="preserve">. </w:t>
      </w:r>
      <w:r w:rsidR="00AF2ECB">
        <w:rPr>
          <w:rFonts w:ascii="Segoe UI" w:eastAsia="Segoe UI" w:hAnsi="Segoe UI" w:cs="Segoe UI"/>
          <w:sz w:val="22"/>
          <w:szCs w:val="22"/>
        </w:rPr>
        <w:t>Anecdotally this is a prevalent trend</w:t>
      </w:r>
      <w:r w:rsidR="0CE26CD5" w:rsidRPr="0CE26CD5">
        <w:rPr>
          <w:rFonts w:ascii="Segoe UI" w:eastAsia="Segoe UI" w:hAnsi="Segoe UI" w:cs="Segoe UI"/>
          <w:sz w:val="22"/>
          <w:szCs w:val="22"/>
        </w:rPr>
        <w:t xml:space="preserve"> in Australia</w:t>
      </w:r>
      <w:r w:rsidR="00AF2ECB">
        <w:rPr>
          <w:rFonts w:ascii="Segoe UI" w:eastAsia="Segoe UI" w:hAnsi="Segoe UI" w:cs="Segoe UI"/>
          <w:sz w:val="22"/>
          <w:szCs w:val="22"/>
        </w:rPr>
        <w:t>, particularly in the mining and resources sector</w:t>
      </w:r>
      <w:r w:rsidR="00F937BA">
        <w:rPr>
          <w:rFonts w:ascii="Segoe UI" w:eastAsia="Segoe UI" w:hAnsi="Segoe UI" w:cs="Segoe UI"/>
          <w:sz w:val="22"/>
          <w:szCs w:val="22"/>
        </w:rPr>
        <w:t xml:space="preserve"> but also more widely in global commercial payments</w:t>
      </w:r>
      <w:r w:rsidR="00F937BA">
        <w:rPr>
          <w:rStyle w:val="FootnoteReference"/>
          <w:rFonts w:ascii="Segoe UI" w:eastAsia="Segoe UI" w:hAnsi="Segoe UI" w:cs="Segoe UI"/>
          <w:sz w:val="22"/>
          <w:szCs w:val="22"/>
        </w:rPr>
        <w:footnoteReference w:id="16"/>
      </w:r>
      <w:r w:rsidR="00AF2ECB">
        <w:rPr>
          <w:rFonts w:ascii="Segoe UI" w:eastAsia="Segoe UI" w:hAnsi="Segoe UI" w:cs="Segoe UI"/>
          <w:sz w:val="22"/>
          <w:szCs w:val="22"/>
        </w:rPr>
        <w:t xml:space="preserve">. </w:t>
      </w:r>
    </w:p>
    <w:p w14:paraId="06757B09" w14:textId="77777777" w:rsidR="003E0DA3" w:rsidRDefault="003E0DA3" w:rsidP="00785DB4">
      <w:pPr>
        <w:jc w:val="both"/>
        <w:rPr>
          <w:rFonts w:ascii="Segoe UI" w:eastAsia="Segoe UI" w:hAnsi="Segoe UI" w:cs="Segoe UI"/>
          <w:sz w:val="22"/>
          <w:szCs w:val="22"/>
        </w:rPr>
      </w:pPr>
    </w:p>
    <w:p w14:paraId="06757B0A" w14:textId="77777777" w:rsidR="00C10050" w:rsidRPr="003558B7" w:rsidRDefault="003E0DA3" w:rsidP="00785DB4">
      <w:pPr>
        <w:jc w:val="both"/>
        <w:rPr>
          <w:rFonts w:ascii="Segoe UI" w:eastAsia="Segoe UI" w:hAnsi="Segoe UI" w:cs="Segoe UI"/>
          <w:sz w:val="22"/>
          <w:szCs w:val="22"/>
        </w:rPr>
      </w:pPr>
      <w:r>
        <w:rPr>
          <w:rFonts w:ascii="Segoe UI" w:eastAsia="Segoe UI" w:hAnsi="Segoe UI" w:cs="Segoe UI"/>
          <w:sz w:val="22"/>
          <w:szCs w:val="22"/>
        </w:rPr>
        <w:t>To address this gap in the market, card-</w:t>
      </w:r>
      <w:r w:rsidR="00C10050" w:rsidRPr="67D6BC92">
        <w:rPr>
          <w:rFonts w:ascii="Segoe UI" w:eastAsia="Segoe UI" w:hAnsi="Segoe UI" w:cs="Segoe UI"/>
          <w:sz w:val="22"/>
          <w:szCs w:val="22"/>
        </w:rPr>
        <w:t xml:space="preserve">based </w:t>
      </w:r>
      <w:r>
        <w:rPr>
          <w:rFonts w:ascii="Segoe UI" w:eastAsia="Segoe UI" w:hAnsi="Segoe UI" w:cs="Segoe UI"/>
          <w:sz w:val="22"/>
          <w:szCs w:val="22"/>
        </w:rPr>
        <w:t>payment products</w:t>
      </w:r>
      <w:r w:rsidR="00C10050" w:rsidRPr="67D6BC92">
        <w:rPr>
          <w:rFonts w:ascii="Segoe UI" w:eastAsia="Segoe UI" w:hAnsi="Segoe UI" w:cs="Segoe UI"/>
          <w:sz w:val="22"/>
          <w:szCs w:val="22"/>
        </w:rPr>
        <w:t xml:space="preserve"> </w:t>
      </w:r>
      <w:r w:rsidR="00C10050">
        <w:rPr>
          <w:rFonts w:ascii="Segoe UI" w:eastAsia="Segoe UI" w:hAnsi="Segoe UI" w:cs="Segoe UI"/>
          <w:sz w:val="22"/>
          <w:szCs w:val="22"/>
        </w:rPr>
        <w:t xml:space="preserve">are </w:t>
      </w:r>
      <w:r w:rsidR="00C10050" w:rsidRPr="67D6BC92">
        <w:rPr>
          <w:rFonts w:ascii="Segoe UI" w:eastAsia="Segoe UI" w:hAnsi="Segoe UI" w:cs="Segoe UI"/>
          <w:sz w:val="22"/>
          <w:szCs w:val="22"/>
        </w:rPr>
        <w:t xml:space="preserve">beginning to </w:t>
      </w:r>
      <w:r>
        <w:rPr>
          <w:rFonts w:ascii="Segoe UI" w:eastAsia="Segoe UI" w:hAnsi="Segoe UI" w:cs="Segoe UI"/>
          <w:sz w:val="22"/>
          <w:szCs w:val="22"/>
        </w:rPr>
        <w:t xml:space="preserve">provide a </w:t>
      </w:r>
      <w:r w:rsidR="00C10050" w:rsidRPr="67D6BC92">
        <w:rPr>
          <w:rFonts w:ascii="Segoe UI" w:eastAsia="Segoe UI" w:hAnsi="Segoe UI" w:cs="Segoe UI"/>
          <w:sz w:val="22"/>
          <w:szCs w:val="22"/>
        </w:rPr>
        <w:t xml:space="preserve">working capital solution </w:t>
      </w:r>
      <w:r>
        <w:rPr>
          <w:rFonts w:ascii="Segoe UI" w:eastAsia="Segoe UI" w:hAnsi="Segoe UI" w:cs="Segoe UI"/>
          <w:sz w:val="22"/>
          <w:szCs w:val="22"/>
        </w:rPr>
        <w:t>for SMEs</w:t>
      </w:r>
      <w:r w:rsidR="00C10050" w:rsidRPr="67D6BC92">
        <w:rPr>
          <w:rFonts w:ascii="Segoe UI" w:eastAsia="Segoe UI" w:hAnsi="Segoe UI" w:cs="Segoe UI"/>
          <w:sz w:val="22"/>
          <w:szCs w:val="22"/>
        </w:rPr>
        <w:t xml:space="preserve"> with suppliers </w:t>
      </w:r>
      <w:r>
        <w:rPr>
          <w:rFonts w:ascii="Segoe UI" w:eastAsia="Segoe UI" w:hAnsi="Segoe UI" w:cs="Segoe UI"/>
          <w:sz w:val="22"/>
          <w:szCs w:val="22"/>
        </w:rPr>
        <w:t>receiving payment</w:t>
      </w:r>
      <w:r w:rsidR="00C10050" w:rsidRPr="67D6BC92">
        <w:rPr>
          <w:rFonts w:ascii="Segoe UI" w:eastAsia="Segoe UI" w:hAnsi="Segoe UI" w:cs="Segoe UI"/>
          <w:sz w:val="22"/>
          <w:szCs w:val="22"/>
        </w:rPr>
        <w:t xml:space="preserve"> in </w:t>
      </w:r>
      <w:proofErr w:type="gramStart"/>
      <w:r w:rsidR="00C10050" w:rsidRPr="67D6BC92">
        <w:rPr>
          <w:rFonts w:ascii="Segoe UI" w:eastAsia="Segoe UI" w:hAnsi="Segoe UI" w:cs="Segoe UI"/>
          <w:sz w:val="22"/>
          <w:szCs w:val="22"/>
        </w:rPr>
        <w:t>under</w:t>
      </w:r>
      <w:proofErr w:type="gramEnd"/>
      <w:r w:rsidR="00C10050" w:rsidRPr="67D6BC92">
        <w:rPr>
          <w:rFonts w:ascii="Segoe UI" w:eastAsia="Segoe UI" w:hAnsi="Segoe UI" w:cs="Segoe UI"/>
          <w:sz w:val="22"/>
          <w:szCs w:val="22"/>
        </w:rPr>
        <w:t xml:space="preserve"> two days and buyers </w:t>
      </w:r>
      <w:r>
        <w:rPr>
          <w:rFonts w:ascii="Segoe UI" w:eastAsia="Segoe UI" w:hAnsi="Segoe UI" w:cs="Segoe UI"/>
          <w:sz w:val="22"/>
          <w:szCs w:val="22"/>
        </w:rPr>
        <w:t>receiving</w:t>
      </w:r>
      <w:r w:rsidR="00C10050" w:rsidRPr="67D6BC92">
        <w:rPr>
          <w:rFonts w:ascii="Segoe UI" w:eastAsia="Segoe UI" w:hAnsi="Segoe UI" w:cs="Segoe UI"/>
          <w:sz w:val="22"/>
          <w:szCs w:val="22"/>
        </w:rPr>
        <w:t xml:space="preserve"> anywhere up to 55 days credit from the issuer.</w:t>
      </w:r>
      <w:r>
        <w:rPr>
          <w:rFonts w:ascii="Segoe UI" w:eastAsia="Segoe UI" w:hAnsi="Segoe UI" w:cs="Segoe UI"/>
          <w:sz w:val="22"/>
          <w:szCs w:val="22"/>
        </w:rPr>
        <w:t xml:space="preserve"> This provides significant flexibility for SMEs to continue operations when large enterprise </w:t>
      </w:r>
      <w:proofErr w:type="spellStart"/>
      <w:r>
        <w:rPr>
          <w:rFonts w:ascii="Segoe UI" w:eastAsia="Segoe UI" w:hAnsi="Segoe UI" w:cs="Segoe UI"/>
          <w:sz w:val="22"/>
          <w:szCs w:val="22"/>
        </w:rPr>
        <w:t>organisations</w:t>
      </w:r>
      <w:proofErr w:type="spellEnd"/>
      <w:r>
        <w:rPr>
          <w:rFonts w:ascii="Segoe UI" w:eastAsia="Segoe UI" w:hAnsi="Segoe UI" w:cs="Segoe UI"/>
          <w:sz w:val="22"/>
          <w:szCs w:val="22"/>
        </w:rPr>
        <w:t xml:space="preserve"> stretch out payment periods for services rendered.</w:t>
      </w:r>
    </w:p>
    <w:p w14:paraId="06757B0B" w14:textId="77777777" w:rsidR="00C10050" w:rsidRPr="003558B7" w:rsidRDefault="00C10050" w:rsidP="00785DB4">
      <w:pPr>
        <w:jc w:val="both"/>
        <w:rPr>
          <w:rFonts w:ascii="Segoe UI" w:eastAsia="Segoe UI" w:hAnsi="Segoe UI" w:cs="Segoe UI"/>
          <w:sz w:val="22"/>
          <w:szCs w:val="22"/>
        </w:rPr>
      </w:pPr>
    </w:p>
    <w:p w14:paraId="06757B0C" w14:textId="77777777" w:rsidR="00C10050" w:rsidRPr="003558B7" w:rsidRDefault="003E0DA3" w:rsidP="00785DB4">
      <w:pPr>
        <w:jc w:val="both"/>
        <w:rPr>
          <w:rFonts w:ascii="Segoe UI" w:eastAsia="Segoe UI" w:hAnsi="Segoe UI" w:cs="Segoe UI"/>
          <w:sz w:val="22"/>
          <w:szCs w:val="22"/>
        </w:rPr>
      </w:pPr>
      <w:r>
        <w:rPr>
          <w:rFonts w:ascii="Segoe UI" w:eastAsia="Segoe UI" w:hAnsi="Segoe UI" w:cs="Segoe UI"/>
          <w:sz w:val="22"/>
          <w:szCs w:val="22"/>
        </w:rPr>
        <w:t>Should</w:t>
      </w:r>
      <w:r w:rsidR="00C10050" w:rsidRPr="67D6BC92">
        <w:rPr>
          <w:rFonts w:ascii="Segoe UI" w:eastAsia="Segoe UI" w:hAnsi="Segoe UI" w:cs="Segoe UI"/>
          <w:sz w:val="22"/>
          <w:szCs w:val="22"/>
        </w:rPr>
        <w:t xml:space="preserve"> the current </w:t>
      </w:r>
      <w:r>
        <w:rPr>
          <w:rFonts w:ascii="Segoe UI" w:eastAsia="Segoe UI" w:hAnsi="Segoe UI" w:cs="Segoe UI"/>
          <w:sz w:val="22"/>
          <w:szCs w:val="22"/>
        </w:rPr>
        <w:t>regulatory proposal be adopted,</w:t>
      </w:r>
      <w:r w:rsidR="00C10050" w:rsidRPr="67D6BC92">
        <w:rPr>
          <w:rFonts w:ascii="Segoe UI" w:eastAsia="Segoe UI" w:hAnsi="Segoe UI" w:cs="Segoe UI"/>
          <w:sz w:val="22"/>
          <w:szCs w:val="22"/>
        </w:rPr>
        <w:t xml:space="preserve"> </w:t>
      </w:r>
      <w:r>
        <w:rPr>
          <w:rFonts w:ascii="Segoe UI" w:eastAsia="Segoe UI" w:hAnsi="Segoe UI" w:cs="Segoe UI"/>
          <w:sz w:val="22"/>
          <w:szCs w:val="22"/>
        </w:rPr>
        <w:t xml:space="preserve">it is highly likely that extended </w:t>
      </w:r>
      <w:r w:rsidR="00C10050" w:rsidRPr="67D6BC92">
        <w:rPr>
          <w:rFonts w:ascii="Segoe UI" w:eastAsia="Segoe UI" w:hAnsi="Segoe UI" w:cs="Segoe UI"/>
          <w:sz w:val="22"/>
          <w:szCs w:val="22"/>
        </w:rPr>
        <w:t xml:space="preserve">payment terms offered by issuers would </w:t>
      </w:r>
      <w:r>
        <w:rPr>
          <w:rFonts w:ascii="Segoe UI" w:eastAsia="Segoe UI" w:hAnsi="Segoe UI" w:cs="Segoe UI"/>
          <w:sz w:val="22"/>
          <w:szCs w:val="22"/>
        </w:rPr>
        <w:t xml:space="preserve">be reduced as the </w:t>
      </w:r>
      <w:r w:rsidR="00C10050" w:rsidRPr="67D6BC92">
        <w:rPr>
          <w:rFonts w:ascii="Segoe UI" w:eastAsia="Segoe UI" w:hAnsi="Segoe UI" w:cs="Segoe UI"/>
          <w:sz w:val="22"/>
          <w:szCs w:val="22"/>
        </w:rPr>
        <w:t xml:space="preserve">cost of credit </w:t>
      </w:r>
      <w:r>
        <w:rPr>
          <w:rFonts w:ascii="Segoe UI" w:eastAsia="Segoe UI" w:hAnsi="Segoe UI" w:cs="Segoe UI"/>
          <w:sz w:val="22"/>
          <w:szCs w:val="22"/>
        </w:rPr>
        <w:t>forms one of the most expensive portions of issuers</w:t>
      </w:r>
      <w:r w:rsidR="00F937BA">
        <w:rPr>
          <w:rFonts w:ascii="Segoe UI" w:eastAsia="Segoe UI" w:hAnsi="Segoe UI" w:cs="Segoe UI"/>
          <w:sz w:val="22"/>
          <w:szCs w:val="22"/>
        </w:rPr>
        <w:t>’</w:t>
      </w:r>
      <w:r>
        <w:rPr>
          <w:rFonts w:ascii="Segoe UI" w:eastAsia="Segoe UI" w:hAnsi="Segoe UI" w:cs="Segoe UI"/>
          <w:sz w:val="22"/>
          <w:szCs w:val="22"/>
        </w:rPr>
        <w:t xml:space="preserve"> commercial product costs</w:t>
      </w:r>
      <w:r w:rsidR="00C10050" w:rsidRPr="67D6BC92">
        <w:rPr>
          <w:rFonts w:ascii="Segoe UI" w:eastAsia="Segoe UI" w:hAnsi="Segoe UI" w:cs="Segoe UI"/>
          <w:sz w:val="22"/>
          <w:szCs w:val="22"/>
        </w:rPr>
        <w:t xml:space="preserve">. This </w:t>
      </w:r>
      <w:r w:rsidR="00A75FF7">
        <w:rPr>
          <w:rFonts w:ascii="Segoe UI" w:eastAsia="Segoe UI" w:hAnsi="Segoe UI" w:cs="Segoe UI"/>
          <w:sz w:val="22"/>
          <w:szCs w:val="22"/>
        </w:rPr>
        <w:t>could undermine the value</w:t>
      </w:r>
      <w:r w:rsidR="00C10050" w:rsidRPr="67D6BC92">
        <w:rPr>
          <w:rFonts w:ascii="Segoe UI" w:eastAsia="Segoe UI" w:hAnsi="Segoe UI" w:cs="Segoe UI"/>
          <w:sz w:val="22"/>
          <w:szCs w:val="22"/>
        </w:rPr>
        <w:t xml:space="preserve"> that commercial cards are </w:t>
      </w:r>
      <w:r>
        <w:rPr>
          <w:rFonts w:ascii="Segoe UI" w:eastAsia="Segoe UI" w:hAnsi="Segoe UI" w:cs="Segoe UI"/>
          <w:sz w:val="22"/>
          <w:szCs w:val="22"/>
        </w:rPr>
        <w:t>beginning</w:t>
      </w:r>
      <w:r w:rsidR="00C10050" w:rsidRPr="67D6BC92">
        <w:rPr>
          <w:rFonts w:ascii="Segoe UI" w:eastAsia="Segoe UI" w:hAnsi="Segoe UI" w:cs="Segoe UI"/>
          <w:sz w:val="22"/>
          <w:szCs w:val="22"/>
        </w:rPr>
        <w:t xml:space="preserve"> to provide</w:t>
      </w:r>
      <w:r>
        <w:rPr>
          <w:rFonts w:ascii="Segoe UI" w:eastAsia="Segoe UI" w:hAnsi="Segoe UI" w:cs="Segoe UI"/>
          <w:sz w:val="22"/>
          <w:szCs w:val="22"/>
        </w:rPr>
        <w:t xml:space="preserve"> to </w:t>
      </w:r>
      <w:r w:rsidR="00A75FF7">
        <w:rPr>
          <w:rFonts w:ascii="Segoe UI" w:eastAsia="Segoe UI" w:hAnsi="Segoe UI" w:cs="Segoe UI"/>
          <w:sz w:val="22"/>
          <w:szCs w:val="22"/>
        </w:rPr>
        <w:t>SMEs</w:t>
      </w:r>
      <w:r w:rsidR="00A53317">
        <w:rPr>
          <w:rFonts w:ascii="Segoe UI" w:eastAsia="Segoe UI" w:hAnsi="Segoe UI" w:cs="Segoe UI"/>
          <w:sz w:val="22"/>
          <w:szCs w:val="22"/>
        </w:rPr>
        <w:t xml:space="preserve"> and remove access to these facilities</w:t>
      </w:r>
      <w:r w:rsidR="00C10050" w:rsidRPr="67D6BC92">
        <w:rPr>
          <w:rFonts w:ascii="Segoe UI" w:eastAsia="Segoe UI" w:hAnsi="Segoe UI" w:cs="Segoe UI"/>
          <w:sz w:val="22"/>
          <w:szCs w:val="22"/>
        </w:rPr>
        <w:t>.</w:t>
      </w:r>
    </w:p>
    <w:p w14:paraId="06757B0D" w14:textId="77777777" w:rsidR="00C10050" w:rsidRPr="00A05EBC" w:rsidRDefault="00C10050" w:rsidP="00785DB4">
      <w:pPr>
        <w:jc w:val="both"/>
      </w:pPr>
    </w:p>
    <w:p w14:paraId="06757B0E" w14:textId="77777777" w:rsidR="00C10050" w:rsidRPr="00A05EBC" w:rsidRDefault="003147C2" w:rsidP="00785DB4">
      <w:pPr>
        <w:pStyle w:val="Heading3"/>
        <w:spacing w:before="0"/>
        <w:jc w:val="both"/>
        <w:rPr>
          <w:rFonts w:ascii="Segoe UI" w:hAnsi="Segoe UI" w:cs="Segoe UI"/>
          <w:b w:val="0"/>
          <w:sz w:val="22"/>
          <w:szCs w:val="22"/>
        </w:rPr>
      </w:pPr>
      <w:bookmarkStart w:id="66" w:name="_Toc442273953"/>
      <w:r>
        <w:rPr>
          <w:rFonts w:ascii="Segoe UI" w:hAnsi="Segoe UI" w:cs="Segoe UI"/>
          <w:sz w:val="22"/>
          <w:szCs w:val="22"/>
        </w:rPr>
        <w:t>2</w:t>
      </w:r>
      <w:r w:rsidRPr="003147C2">
        <w:rPr>
          <w:rFonts w:ascii="Segoe UI" w:hAnsi="Segoe UI" w:cs="Segoe UI"/>
          <w:sz w:val="22"/>
          <w:szCs w:val="22"/>
        </w:rPr>
        <w:t>.3.</w:t>
      </w:r>
      <w:r w:rsidR="00A75FF7">
        <w:rPr>
          <w:rFonts w:ascii="Segoe UI" w:hAnsi="Segoe UI" w:cs="Segoe UI"/>
          <w:sz w:val="22"/>
          <w:szCs w:val="22"/>
        </w:rPr>
        <w:t>2</w:t>
      </w:r>
      <w:r>
        <w:rPr>
          <w:rFonts w:ascii="Segoe UI" w:hAnsi="Segoe UI" w:cs="Segoe UI"/>
          <w:sz w:val="22"/>
          <w:szCs w:val="22"/>
        </w:rPr>
        <w:tab/>
      </w:r>
      <w:r w:rsidR="00CC79AE">
        <w:rPr>
          <w:rFonts w:ascii="Segoe UI" w:hAnsi="Segoe UI" w:cs="Segoe UI"/>
          <w:sz w:val="22"/>
          <w:szCs w:val="22"/>
        </w:rPr>
        <w:t>Stagnation of</w:t>
      </w:r>
      <w:r w:rsidR="00C10050" w:rsidRPr="00A05EBC">
        <w:rPr>
          <w:rFonts w:ascii="Segoe UI" w:hAnsi="Segoe UI" w:cs="Segoe UI"/>
          <w:sz w:val="22"/>
          <w:szCs w:val="22"/>
        </w:rPr>
        <w:t xml:space="preserve"> </w:t>
      </w:r>
      <w:r w:rsidR="00CC79AE">
        <w:rPr>
          <w:rFonts w:ascii="Segoe UI" w:hAnsi="Segoe UI" w:cs="Segoe UI"/>
          <w:sz w:val="22"/>
          <w:szCs w:val="22"/>
        </w:rPr>
        <w:t>b</w:t>
      </w:r>
      <w:r w:rsidR="00C10050" w:rsidRPr="00A05EBC">
        <w:rPr>
          <w:rFonts w:ascii="Segoe UI" w:hAnsi="Segoe UI" w:cs="Segoe UI"/>
          <w:sz w:val="22"/>
          <w:szCs w:val="22"/>
        </w:rPr>
        <w:t xml:space="preserve">usiness </w:t>
      </w:r>
      <w:r w:rsidR="00CC79AE">
        <w:rPr>
          <w:rFonts w:ascii="Segoe UI" w:hAnsi="Segoe UI" w:cs="Segoe UI"/>
          <w:sz w:val="22"/>
          <w:szCs w:val="22"/>
        </w:rPr>
        <w:t>p</w:t>
      </w:r>
      <w:r w:rsidR="00C10050" w:rsidRPr="00A05EBC">
        <w:rPr>
          <w:rFonts w:ascii="Segoe UI" w:hAnsi="Segoe UI" w:cs="Segoe UI"/>
          <w:sz w:val="22"/>
          <w:szCs w:val="22"/>
        </w:rPr>
        <w:t>rocesses</w:t>
      </w:r>
      <w:bookmarkEnd w:id="66"/>
    </w:p>
    <w:p w14:paraId="06757B0F" w14:textId="77777777" w:rsidR="00C10050" w:rsidRPr="00A05EBC" w:rsidRDefault="00C10050" w:rsidP="00785DB4">
      <w:pPr>
        <w:jc w:val="both"/>
        <w:rPr>
          <w:lang w:val="en-AU"/>
        </w:rPr>
      </w:pPr>
    </w:p>
    <w:p w14:paraId="06757B10" w14:textId="77777777" w:rsidR="00C10050" w:rsidRPr="00A05EBC" w:rsidRDefault="00D60CC6" w:rsidP="00785DB4">
      <w:pPr>
        <w:jc w:val="both"/>
        <w:rPr>
          <w:rFonts w:ascii="Segoe UI" w:hAnsi="Segoe UI" w:cs="Segoe UI"/>
          <w:sz w:val="22"/>
          <w:szCs w:val="22"/>
        </w:rPr>
      </w:pPr>
      <w:r>
        <w:rPr>
          <w:rFonts w:ascii="Segoe UI" w:hAnsi="Segoe UI" w:cs="Segoe UI"/>
          <w:sz w:val="22"/>
          <w:szCs w:val="22"/>
        </w:rPr>
        <w:t>A r</w:t>
      </w:r>
      <w:r w:rsidR="00CE26DD">
        <w:rPr>
          <w:rFonts w:ascii="Segoe UI" w:hAnsi="Segoe UI" w:cs="Segoe UI"/>
          <w:sz w:val="22"/>
          <w:szCs w:val="22"/>
        </w:rPr>
        <w:t xml:space="preserve">eduction in business credit availability </w:t>
      </w:r>
      <w:r>
        <w:rPr>
          <w:rFonts w:ascii="Segoe UI" w:hAnsi="Segoe UI" w:cs="Segoe UI"/>
          <w:sz w:val="22"/>
          <w:szCs w:val="22"/>
        </w:rPr>
        <w:t xml:space="preserve">increases the </w:t>
      </w:r>
      <w:r w:rsidR="00CE26DD">
        <w:rPr>
          <w:rFonts w:ascii="Segoe UI" w:hAnsi="Segoe UI" w:cs="Segoe UI"/>
          <w:sz w:val="22"/>
          <w:szCs w:val="22"/>
        </w:rPr>
        <w:t>risk</w:t>
      </w:r>
      <w:r>
        <w:rPr>
          <w:rFonts w:ascii="Segoe UI" w:hAnsi="Segoe UI" w:cs="Segoe UI"/>
          <w:sz w:val="22"/>
          <w:szCs w:val="22"/>
        </w:rPr>
        <w:t xml:space="preserve"> of</w:t>
      </w:r>
      <w:r w:rsidR="00CE26DD">
        <w:rPr>
          <w:rFonts w:ascii="Segoe UI" w:hAnsi="Segoe UI" w:cs="Segoe UI"/>
          <w:sz w:val="22"/>
          <w:szCs w:val="22"/>
        </w:rPr>
        <w:t xml:space="preserve"> </w:t>
      </w:r>
      <w:r>
        <w:rPr>
          <w:rFonts w:ascii="Segoe UI" w:hAnsi="Segoe UI" w:cs="Segoe UI"/>
          <w:sz w:val="22"/>
          <w:szCs w:val="22"/>
        </w:rPr>
        <w:t>eroding</w:t>
      </w:r>
      <w:r w:rsidR="00CE26DD">
        <w:rPr>
          <w:rFonts w:ascii="Segoe UI" w:hAnsi="Segoe UI" w:cs="Segoe UI"/>
          <w:sz w:val="22"/>
          <w:szCs w:val="22"/>
        </w:rPr>
        <w:t xml:space="preserve"> the significant benefits associated with commercial card products. </w:t>
      </w:r>
      <w:r w:rsidR="00C10050" w:rsidRPr="00A05EBC">
        <w:rPr>
          <w:rFonts w:ascii="Segoe UI" w:hAnsi="Segoe UI" w:cs="Segoe UI"/>
          <w:sz w:val="22"/>
          <w:szCs w:val="22"/>
        </w:rPr>
        <w:t>A recent Deloitte study on B2B payments</w:t>
      </w:r>
      <w:r w:rsidR="00C10050" w:rsidRPr="00A05EBC">
        <w:rPr>
          <w:rStyle w:val="FootnoteReference"/>
          <w:rFonts w:ascii="Segoe UI" w:hAnsi="Segoe UI" w:cs="Segoe UI"/>
          <w:sz w:val="22"/>
          <w:szCs w:val="22"/>
        </w:rPr>
        <w:footnoteReference w:id="17"/>
      </w:r>
      <w:r w:rsidR="00C10050" w:rsidRPr="00A05EBC">
        <w:rPr>
          <w:rFonts w:ascii="Segoe UI" w:hAnsi="Segoe UI" w:cs="Segoe UI"/>
          <w:sz w:val="22"/>
          <w:szCs w:val="22"/>
        </w:rPr>
        <w:t xml:space="preserve"> </w:t>
      </w:r>
      <w:r w:rsidR="00C10050">
        <w:rPr>
          <w:rFonts w:ascii="Segoe UI" w:hAnsi="Segoe UI" w:cs="Segoe UI"/>
          <w:sz w:val="22"/>
          <w:szCs w:val="22"/>
        </w:rPr>
        <w:t xml:space="preserve">in Australia </w:t>
      </w:r>
      <w:r w:rsidR="00C10050" w:rsidRPr="00A05EBC">
        <w:rPr>
          <w:rFonts w:ascii="Segoe UI" w:hAnsi="Segoe UI" w:cs="Segoe UI"/>
          <w:sz w:val="22"/>
          <w:szCs w:val="22"/>
        </w:rPr>
        <w:t>surveyed both buyers and suppliers and their attitudes to card- or scheme-based payments. It found that for buyers:</w:t>
      </w:r>
    </w:p>
    <w:p w14:paraId="06757B11" w14:textId="77777777" w:rsidR="00C10050" w:rsidRPr="00A05EBC" w:rsidRDefault="00952D5E" w:rsidP="00785DB4">
      <w:pPr>
        <w:pStyle w:val="ListParagraph"/>
        <w:numPr>
          <w:ilvl w:val="0"/>
          <w:numId w:val="23"/>
        </w:numPr>
        <w:jc w:val="both"/>
        <w:rPr>
          <w:rFonts w:ascii="Segoe UI" w:hAnsi="Segoe UI" w:cs="Segoe UI"/>
          <w:sz w:val="22"/>
          <w:szCs w:val="22"/>
        </w:rPr>
      </w:pPr>
      <w:r>
        <w:rPr>
          <w:rFonts w:ascii="Segoe UI" w:hAnsi="Segoe UI" w:cs="Segoe UI"/>
          <w:sz w:val="22"/>
          <w:szCs w:val="22"/>
        </w:rPr>
        <w:t>82 per cent</w:t>
      </w:r>
      <w:r w:rsidR="00C10050" w:rsidRPr="00A05EBC">
        <w:rPr>
          <w:rFonts w:ascii="Segoe UI" w:hAnsi="Segoe UI" w:cs="Segoe UI"/>
          <w:sz w:val="22"/>
          <w:szCs w:val="22"/>
        </w:rPr>
        <w:t xml:space="preserve"> of respondents stated that paying by cards was faster</w:t>
      </w:r>
    </w:p>
    <w:p w14:paraId="06757B12" w14:textId="77777777" w:rsidR="00C10050" w:rsidRPr="00A05EBC" w:rsidRDefault="00952D5E" w:rsidP="00785DB4">
      <w:pPr>
        <w:pStyle w:val="ListParagraph"/>
        <w:numPr>
          <w:ilvl w:val="0"/>
          <w:numId w:val="23"/>
        </w:numPr>
        <w:jc w:val="both"/>
        <w:rPr>
          <w:rFonts w:ascii="Segoe UI" w:hAnsi="Segoe UI" w:cs="Segoe UI"/>
          <w:sz w:val="22"/>
          <w:szCs w:val="22"/>
        </w:rPr>
      </w:pPr>
      <w:r>
        <w:rPr>
          <w:rFonts w:ascii="Segoe UI" w:hAnsi="Segoe UI" w:cs="Segoe UI"/>
          <w:sz w:val="22"/>
          <w:szCs w:val="22"/>
        </w:rPr>
        <w:t>74 per cent</w:t>
      </w:r>
      <w:r w:rsidR="00C10050" w:rsidRPr="00A05EBC">
        <w:rPr>
          <w:rFonts w:ascii="Segoe UI" w:hAnsi="Segoe UI" w:cs="Segoe UI"/>
          <w:sz w:val="22"/>
          <w:szCs w:val="22"/>
        </w:rPr>
        <w:t xml:space="preserve"> had reduced approval processing time</w:t>
      </w:r>
    </w:p>
    <w:p w14:paraId="06757B13" w14:textId="77777777" w:rsidR="00C10050" w:rsidRPr="00A05EBC" w:rsidRDefault="00023763" w:rsidP="00785DB4">
      <w:pPr>
        <w:pStyle w:val="ListParagraph"/>
        <w:numPr>
          <w:ilvl w:val="0"/>
          <w:numId w:val="23"/>
        </w:numPr>
        <w:jc w:val="both"/>
        <w:rPr>
          <w:rFonts w:ascii="Segoe UI" w:hAnsi="Segoe UI" w:cs="Segoe UI"/>
          <w:sz w:val="22"/>
          <w:szCs w:val="22"/>
        </w:rPr>
      </w:pPr>
      <w:r>
        <w:rPr>
          <w:rFonts w:ascii="Segoe UI" w:hAnsi="Segoe UI" w:cs="Segoe UI"/>
          <w:sz w:val="22"/>
          <w:szCs w:val="22"/>
        </w:rPr>
        <w:t>AU</w:t>
      </w:r>
      <w:r w:rsidR="00C10050" w:rsidRPr="00A05EBC">
        <w:rPr>
          <w:rFonts w:ascii="Segoe UI" w:hAnsi="Segoe UI" w:cs="Segoe UI"/>
          <w:sz w:val="22"/>
          <w:szCs w:val="22"/>
        </w:rPr>
        <w:t>$53 per transaction was saved using a card for payment over traditional methods</w:t>
      </w:r>
    </w:p>
    <w:p w14:paraId="06757B14" w14:textId="77777777" w:rsidR="00C10050" w:rsidRPr="00A05EBC" w:rsidRDefault="00C10050" w:rsidP="00785DB4">
      <w:pPr>
        <w:jc w:val="both"/>
        <w:rPr>
          <w:rFonts w:ascii="Segoe UI" w:hAnsi="Segoe UI" w:cs="Segoe UI"/>
          <w:sz w:val="22"/>
          <w:szCs w:val="22"/>
        </w:rPr>
      </w:pPr>
      <w:r w:rsidRPr="00A05EBC">
        <w:rPr>
          <w:rFonts w:ascii="Segoe UI" w:hAnsi="Segoe UI" w:cs="Segoe UI"/>
          <w:sz w:val="22"/>
          <w:szCs w:val="22"/>
        </w:rPr>
        <w:t xml:space="preserve">The last statistic has been validated by the UK Government’s National Audit Office who </w:t>
      </w:r>
      <w:proofErr w:type="gramStart"/>
      <w:r w:rsidRPr="00A05EBC">
        <w:rPr>
          <w:rFonts w:ascii="Segoe UI" w:hAnsi="Segoe UI" w:cs="Segoe UI"/>
          <w:sz w:val="22"/>
          <w:szCs w:val="22"/>
        </w:rPr>
        <w:t>have</w:t>
      </w:r>
      <w:proofErr w:type="gramEnd"/>
      <w:r w:rsidRPr="00A05EBC">
        <w:rPr>
          <w:rFonts w:ascii="Segoe UI" w:hAnsi="Segoe UI" w:cs="Segoe UI"/>
          <w:sz w:val="22"/>
          <w:szCs w:val="22"/>
        </w:rPr>
        <w:t xml:space="preserve"> used a figure of £28 per transaction saved by using cards over traditional methods.</w:t>
      </w:r>
    </w:p>
    <w:p w14:paraId="06757B15" w14:textId="77777777" w:rsidR="00B820D2" w:rsidRDefault="00B820D2" w:rsidP="00785DB4">
      <w:pPr>
        <w:jc w:val="both"/>
        <w:rPr>
          <w:rFonts w:ascii="Segoe UI" w:hAnsi="Segoe UI" w:cs="Segoe UI"/>
          <w:sz w:val="22"/>
          <w:szCs w:val="22"/>
        </w:rPr>
      </w:pPr>
    </w:p>
    <w:p w14:paraId="06757B16" w14:textId="77777777" w:rsidR="00C10050" w:rsidRPr="00A05EBC" w:rsidRDefault="00C10050" w:rsidP="00785DB4">
      <w:pPr>
        <w:jc w:val="both"/>
        <w:rPr>
          <w:rFonts w:ascii="Segoe UI" w:hAnsi="Segoe UI" w:cs="Segoe UI"/>
          <w:sz w:val="22"/>
          <w:szCs w:val="22"/>
        </w:rPr>
      </w:pPr>
      <w:r w:rsidRPr="00A05EBC">
        <w:rPr>
          <w:rFonts w:ascii="Segoe UI" w:hAnsi="Segoe UI" w:cs="Segoe UI"/>
          <w:sz w:val="22"/>
          <w:szCs w:val="22"/>
        </w:rPr>
        <w:t>For suppliers that accept cards for payments from other businesses it was found that:</w:t>
      </w:r>
    </w:p>
    <w:p w14:paraId="06757B17" w14:textId="77777777" w:rsidR="00C10050" w:rsidRPr="00A05EBC" w:rsidRDefault="00C10050" w:rsidP="00785DB4">
      <w:pPr>
        <w:pStyle w:val="ListParagraph"/>
        <w:numPr>
          <w:ilvl w:val="0"/>
          <w:numId w:val="24"/>
        </w:numPr>
        <w:jc w:val="both"/>
        <w:rPr>
          <w:rFonts w:ascii="Segoe UI" w:hAnsi="Segoe UI" w:cs="Segoe UI"/>
          <w:sz w:val="22"/>
          <w:szCs w:val="22"/>
        </w:rPr>
      </w:pPr>
      <w:r w:rsidRPr="00A05EBC">
        <w:rPr>
          <w:rFonts w:ascii="Segoe UI" w:hAnsi="Segoe UI" w:cs="Segoe UI"/>
          <w:sz w:val="22"/>
          <w:szCs w:val="22"/>
        </w:rPr>
        <w:t>73</w:t>
      </w:r>
      <w:r w:rsidR="00952D5E">
        <w:rPr>
          <w:rFonts w:ascii="Segoe UI" w:hAnsi="Segoe UI" w:cs="Segoe UI"/>
          <w:sz w:val="22"/>
          <w:szCs w:val="22"/>
        </w:rPr>
        <w:t xml:space="preserve"> per cent</w:t>
      </w:r>
      <w:r w:rsidRPr="00A05EBC">
        <w:rPr>
          <w:rFonts w:ascii="Segoe UI" w:hAnsi="Segoe UI" w:cs="Segoe UI"/>
          <w:sz w:val="22"/>
          <w:szCs w:val="22"/>
        </w:rPr>
        <w:t xml:space="preserve"> had improved cash flow and rated faster payment as </w:t>
      </w:r>
      <w:r w:rsidR="00B820D2">
        <w:rPr>
          <w:rFonts w:ascii="Segoe UI" w:hAnsi="Segoe UI" w:cs="Segoe UI"/>
          <w:sz w:val="22"/>
          <w:szCs w:val="22"/>
        </w:rPr>
        <w:t xml:space="preserve">an </w:t>
      </w:r>
      <w:r w:rsidRPr="00A05EBC">
        <w:rPr>
          <w:rFonts w:ascii="Segoe UI" w:hAnsi="Segoe UI" w:cs="Segoe UI"/>
          <w:sz w:val="22"/>
          <w:szCs w:val="22"/>
        </w:rPr>
        <w:t>important factor in accepting card</w:t>
      </w:r>
    </w:p>
    <w:p w14:paraId="06757B18" w14:textId="77777777" w:rsidR="00C10050" w:rsidRPr="00A05EBC" w:rsidRDefault="00C10050" w:rsidP="00785DB4">
      <w:pPr>
        <w:pStyle w:val="ListParagraph"/>
        <w:numPr>
          <w:ilvl w:val="0"/>
          <w:numId w:val="24"/>
        </w:numPr>
        <w:jc w:val="both"/>
        <w:rPr>
          <w:rFonts w:ascii="Segoe UI" w:hAnsi="Segoe UI" w:cs="Segoe UI"/>
          <w:sz w:val="22"/>
          <w:szCs w:val="22"/>
        </w:rPr>
      </w:pPr>
      <w:r w:rsidRPr="00A05EBC">
        <w:rPr>
          <w:rFonts w:ascii="Segoe UI" w:hAnsi="Segoe UI" w:cs="Segoe UI"/>
          <w:sz w:val="22"/>
          <w:szCs w:val="22"/>
        </w:rPr>
        <w:t>61</w:t>
      </w:r>
      <w:r w:rsidR="00952D5E">
        <w:rPr>
          <w:rFonts w:ascii="Segoe UI" w:hAnsi="Segoe UI" w:cs="Segoe UI"/>
          <w:sz w:val="22"/>
          <w:szCs w:val="22"/>
        </w:rPr>
        <w:t xml:space="preserve"> per cent</w:t>
      </w:r>
      <w:r w:rsidRPr="00A05EBC">
        <w:rPr>
          <w:rFonts w:ascii="Segoe UI" w:hAnsi="Segoe UI" w:cs="Segoe UI"/>
          <w:sz w:val="22"/>
          <w:szCs w:val="22"/>
        </w:rPr>
        <w:t xml:space="preserve"> spent less effort in chasing payments</w:t>
      </w:r>
    </w:p>
    <w:p w14:paraId="06757B19" w14:textId="77777777" w:rsidR="00C10050" w:rsidRPr="00A05EBC" w:rsidRDefault="00C10050" w:rsidP="00785DB4">
      <w:pPr>
        <w:pStyle w:val="ListParagraph"/>
        <w:numPr>
          <w:ilvl w:val="0"/>
          <w:numId w:val="24"/>
        </w:numPr>
        <w:jc w:val="both"/>
        <w:rPr>
          <w:rFonts w:ascii="Segoe UI" w:hAnsi="Segoe UI" w:cs="Segoe UI"/>
          <w:sz w:val="22"/>
          <w:szCs w:val="22"/>
        </w:rPr>
      </w:pPr>
      <w:r w:rsidRPr="00A05EBC">
        <w:rPr>
          <w:rFonts w:ascii="Segoe UI" w:hAnsi="Segoe UI" w:cs="Segoe UI"/>
          <w:sz w:val="22"/>
          <w:szCs w:val="22"/>
        </w:rPr>
        <w:t>51</w:t>
      </w:r>
      <w:r w:rsidR="00952D5E">
        <w:rPr>
          <w:rFonts w:ascii="Segoe UI" w:hAnsi="Segoe UI" w:cs="Segoe UI"/>
          <w:sz w:val="22"/>
          <w:szCs w:val="22"/>
        </w:rPr>
        <w:t xml:space="preserve"> per cent</w:t>
      </w:r>
      <w:r w:rsidRPr="00A05EBC">
        <w:rPr>
          <w:rFonts w:ascii="Segoe UI" w:hAnsi="Segoe UI" w:cs="Segoe UI"/>
          <w:sz w:val="22"/>
          <w:szCs w:val="22"/>
        </w:rPr>
        <w:t xml:space="preserve"> experienced improved reconciliation of payments</w:t>
      </w:r>
    </w:p>
    <w:p w14:paraId="06757B1A" w14:textId="77777777" w:rsidR="00C10050" w:rsidRPr="00A05EBC" w:rsidRDefault="00C10050" w:rsidP="00785DB4">
      <w:pPr>
        <w:pStyle w:val="ListParagraph"/>
        <w:numPr>
          <w:ilvl w:val="0"/>
          <w:numId w:val="24"/>
        </w:numPr>
        <w:jc w:val="both"/>
        <w:rPr>
          <w:rFonts w:ascii="Segoe UI" w:hAnsi="Segoe UI" w:cs="Segoe UI"/>
          <w:sz w:val="22"/>
          <w:szCs w:val="22"/>
        </w:rPr>
      </w:pPr>
      <w:r w:rsidRPr="00A05EBC">
        <w:rPr>
          <w:rFonts w:ascii="Segoe UI" w:hAnsi="Segoe UI" w:cs="Segoe UI"/>
          <w:sz w:val="22"/>
          <w:szCs w:val="22"/>
        </w:rPr>
        <w:t>49</w:t>
      </w:r>
      <w:r w:rsidR="00952D5E">
        <w:rPr>
          <w:rFonts w:ascii="Segoe UI" w:hAnsi="Segoe UI" w:cs="Segoe UI"/>
          <w:sz w:val="22"/>
          <w:szCs w:val="22"/>
        </w:rPr>
        <w:t xml:space="preserve"> per cent</w:t>
      </w:r>
      <w:r w:rsidRPr="00A05EBC">
        <w:rPr>
          <w:rFonts w:ascii="Segoe UI" w:hAnsi="Segoe UI" w:cs="Segoe UI"/>
          <w:sz w:val="22"/>
          <w:szCs w:val="22"/>
        </w:rPr>
        <w:t xml:space="preserve"> indicated that cards reduced the cost of doing business</w:t>
      </w:r>
    </w:p>
    <w:p w14:paraId="06757B1B" w14:textId="77777777" w:rsidR="00B820D2" w:rsidRDefault="00B820D2" w:rsidP="00785DB4">
      <w:pPr>
        <w:jc w:val="both"/>
        <w:rPr>
          <w:rFonts w:ascii="Segoe UI" w:hAnsi="Segoe UI" w:cs="Segoe UI"/>
          <w:sz w:val="22"/>
          <w:szCs w:val="22"/>
        </w:rPr>
      </w:pPr>
    </w:p>
    <w:p w14:paraId="06757B1C" w14:textId="77777777" w:rsidR="00C10050" w:rsidRDefault="00D60CC6" w:rsidP="00785DB4">
      <w:pPr>
        <w:jc w:val="both"/>
        <w:rPr>
          <w:rFonts w:ascii="Segoe UI" w:hAnsi="Segoe UI" w:cs="Segoe UI"/>
          <w:sz w:val="22"/>
          <w:szCs w:val="22"/>
        </w:rPr>
      </w:pPr>
      <w:r>
        <w:rPr>
          <w:rFonts w:ascii="Segoe UI" w:hAnsi="Segoe UI" w:cs="Segoe UI"/>
          <w:sz w:val="22"/>
          <w:szCs w:val="22"/>
        </w:rPr>
        <w:lastRenderedPageBreak/>
        <w:t>As the above market analysis indicates, the r</w:t>
      </w:r>
      <w:r w:rsidR="00C10050" w:rsidRPr="00A05EBC">
        <w:rPr>
          <w:rFonts w:ascii="Segoe UI" w:hAnsi="Segoe UI" w:cs="Segoe UI"/>
          <w:sz w:val="22"/>
          <w:szCs w:val="22"/>
        </w:rPr>
        <w:t xml:space="preserve">egulation of commercial interchange creates a significant barrier to investing in programs that provide more efficient and reliable means of doing business. </w:t>
      </w:r>
    </w:p>
    <w:p w14:paraId="06757B1D" w14:textId="77777777" w:rsidR="00C10050" w:rsidRPr="00A05EBC" w:rsidRDefault="003147C2" w:rsidP="00785DB4">
      <w:pPr>
        <w:pStyle w:val="Heading2"/>
        <w:spacing w:before="0"/>
        <w:jc w:val="both"/>
        <w:rPr>
          <w:rFonts w:ascii="Segoe UI" w:hAnsi="Segoe UI" w:cs="Segoe UI"/>
        </w:rPr>
      </w:pPr>
      <w:bookmarkStart w:id="67" w:name="_Toc442273954"/>
      <w:r>
        <w:rPr>
          <w:rFonts w:ascii="Segoe UI" w:hAnsi="Segoe UI" w:cs="Segoe UI"/>
        </w:rPr>
        <w:t>2.4</w:t>
      </w:r>
      <w:r>
        <w:rPr>
          <w:rFonts w:ascii="Segoe UI" w:hAnsi="Segoe UI" w:cs="Segoe UI"/>
        </w:rPr>
        <w:tab/>
      </w:r>
      <w:r w:rsidR="00C10050" w:rsidRPr="00A05EBC">
        <w:rPr>
          <w:rFonts w:ascii="Segoe UI" w:hAnsi="Segoe UI" w:cs="Segoe UI"/>
        </w:rPr>
        <w:t xml:space="preserve">Competitive </w:t>
      </w:r>
      <w:r w:rsidR="00CC79AE">
        <w:rPr>
          <w:rFonts w:ascii="Segoe UI" w:hAnsi="Segoe UI" w:cs="Segoe UI"/>
        </w:rPr>
        <w:t>n</w:t>
      </w:r>
      <w:r w:rsidR="00C10050" w:rsidRPr="00A05EBC">
        <w:rPr>
          <w:rFonts w:ascii="Segoe UI" w:hAnsi="Segoe UI" w:cs="Segoe UI"/>
        </w:rPr>
        <w:t>eutrality</w:t>
      </w:r>
      <w:bookmarkEnd w:id="67"/>
    </w:p>
    <w:p w14:paraId="06757B1E" w14:textId="77777777" w:rsidR="00C10050" w:rsidRPr="00A05EBC" w:rsidRDefault="00C10050" w:rsidP="00785DB4">
      <w:pPr>
        <w:jc w:val="both"/>
      </w:pPr>
    </w:p>
    <w:p w14:paraId="06757B1F" w14:textId="77777777" w:rsidR="00C10050" w:rsidRPr="00A05EBC" w:rsidRDefault="003147C2" w:rsidP="00785DB4">
      <w:pPr>
        <w:pStyle w:val="Heading3"/>
        <w:spacing w:before="0"/>
        <w:jc w:val="both"/>
        <w:rPr>
          <w:rFonts w:ascii="Segoe UI" w:hAnsi="Segoe UI" w:cs="Segoe UI"/>
          <w:b w:val="0"/>
          <w:sz w:val="22"/>
          <w:szCs w:val="22"/>
        </w:rPr>
      </w:pPr>
      <w:bookmarkStart w:id="68" w:name="_Toc442273955"/>
      <w:r>
        <w:rPr>
          <w:rFonts w:ascii="Segoe UI" w:hAnsi="Segoe UI" w:cs="Segoe UI"/>
          <w:sz w:val="22"/>
          <w:szCs w:val="22"/>
        </w:rPr>
        <w:t>2.4.1</w:t>
      </w:r>
      <w:r>
        <w:rPr>
          <w:rFonts w:ascii="Segoe UI" w:hAnsi="Segoe UI" w:cs="Segoe UI"/>
          <w:sz w:val="22"/>
          <w:szCs w:val="22"/>
        </w:rPr>
        <w:tab/>
      </w:r>
      <w:r w:rsidR="00C10050" w:rsidRPr="00A05EBC">
        <w:rPr>
          <w:rFonts w:ascii="Segoe UI" w:hAnsi="Segoe UI" w:cs="Segoe UI"/>
          <w:sz w:val="22"/>
          <w:szCs w:val="22"/>
        </w:rPr>
        <w:t xml:space="preserve">Current </w:t>
      </w:r>
      <w:r w:rsidR="00CC79AE">
        <w:rPr>
          <w:rFonts w:ascii="Segoe UI" w:hAnsi="Segoe UI" w:cs="Segoe UI"/>
          <w:sz w:val="22"/>
          <w:szCs w:val="22"/>
        </w:rPr>
        <w:t>m</w:t>
      </w:r>
      <w:r w:rsidR="00C10050" w:rsidRPr="00A05EBC">
        <w:rPr>
          <w:rFonts w:ascii="Segoe UI" w:hAnsi="Segoe UI" w:cs="Segoe UI"/>
          <w:sz w:val="22"/>
          <w:szCs w:val="22"/>
        </w:rPr>
        <w:t xml:space="preserve">arket </w:t>
      </w:r>
      <w:r w:rsidR="00CC79AE">
        <w:rPr>
          <w:rFonts w:ascii="Segoe UI" w:hAnsi="Segoe UI" w:cs="Segoe UI"/>
          <w:sz w:val="22"/>
          <w:szCs w:val="22"/>
        </w:rPr>
        <w:t>d</w:t>
      </w:r>
      <w:r w:rsidR="00C10050" w:rsidRPr="00A05EBC">
        <w:rPr>
          <w:rFonts w:ascii="Segoe UI" w:hAnsi="Segoe UI" w:cs="Segoe UI"/>
          <w:sz w:val="22"/>
          <w:szCs w:val="22"/>
        </w:rPr>
        <w:t xml:space="preserve">ynamics and </w:t>
      </w:r>
      <w:r w:rsidR="00CC79AE">
        <w:rPr>
          <w:rFonts w:ascii="Segoe UI" w:hAnsi="Segoe UI" w:cs="Segoe UI"/>
          <w:sz w:val="22"/>
          <w:szCs w:val="22"/>
        </w:rPr>
        <w:t>s</w:t>
      </w:r>
      <w:r w:rsidR="00C10050" w:rsidRPr="00A05EBC">
        <w:rPr>
          <w:rFonts w:ascii="Segoe UI" w:hAnsi="Segoe UI" w:cs="Segoe UI"/>
          <w:sz w:val="22"/>
          <w:szCs w:val="22"/>
        </w:rPr>
        <w:t>hare</w:t>
      </w:r>
      <w:bookmarkEnd w:id="68"/>
    </w:p>
    <w:p w14:paraId="06757B20" w14:textId="77777777" w:rsidR="00C10050" w:rsidRPr="00A05EBC" w:rsidRDefault="00C10050" w:rsidP="00785DB4">
      <w:pPr>
        <w:jc w:val="both"/>
        <w:rPr>
          <w:lang w:val="en-AU"/>
        </w:rPr>
      </w:pPr>
    </w:p>
    <w:p w14:paraId="06757B21" w14:textId="77777777" w:rsidR="00C10050" w:rsidRDefault="00C10050" w:rsidP="00785DB4">
      <w:pPr>
        <w:jc w:val="both"/>
        <w:rPr>
          <w:rFonts w:ascii="Segoe UI" w:hAnsi="Segoe UI" w:cs="Segoe UI"/>
          <w:sz w:val="22"/>
          <w:szCs w:val="22"/>
        </w:rPr>
      </w:pPr>
      <w:r>
        <w:rPr>
          <w:rFonts w:ascii="Segoe UI" w:hAnsi="Segoe UI" w:cs="Segoe UI"/>
          <w:sz w:val="22"/>
          <w:szCs w:val="22"/>
        </w:rPr>
        <w:t>The exclusion to date of three-</w:t>
      </w:r>
      <w:r w:rsidRPr="00A05EBC">
        <w:rPr>
          <w:rFonts w:ascii="Segoe UI" w:hAnsi="Segoe UI" w:cs="Segoe UI"/>
          <w:sz w:val="22"/>
          <w:szCs w:val="22"/>
        </w:rPr>
        <w:t xml:space="preserve">party schemes </w:t>
      </w:r>
      <w:r>
        <w:rPr>
          <w:rFonts w:ascii="Segoe UI" w:hAnsi="Segoe UI" w:cs="Segoe UI"/>
          <w:sz w:val="22"/>
          <w:szCs w:val="22"/>
        </w:rPr>
        <w:t xml:space="preserve">from the RBA’s payments regulation has </w:t>
      </w:r>
      <w:r w:rsidRPr="00A05EBC">
        <w:rPr>
          <w:rFonts w:ascii="Segoe UI" w:hAnsi="Segoe UI" w:cs="Segoe UI"/>
          <w:sz w:val="22"/>
          <w:szCs w:val="22"/>
        </w:rPr>
        <w:t>significant impact on the commercial credit card landscape. The different economic model and cost base for commercia</w:t>
      </w:r>
      <w:r>
        <w:rPr>
          <w:rFonts w:ascii="Segoe UI" w:hAnsi="Segoe UI" w:cs="Segoe UI"/>
          <w:sz w:val="22"/>
          <w:szCs w:val="22"/>
        </w:rPr>
        <w:t>l payments has meant that three-</w:t>
      </w:r>
      <w:r w:rsidRPr="00A05EBC">
        <w:rPr>
          <w:rFonts w:ascii="Segoe UI" w:hAnsi="Segoe UI" w:cs="Segoe UI"/>
          <w:sz w:val="22"/>
          <w:szCs w:val="22"/>
        </w:rPr>
        <w:t>party schemes have been able to gain significant market share through offering higher incentives (rebates) to corporate and government clients</w:t>
      </w:r>
      <w:r w:rsidR="00A53317">
        <w:rPr>
          <w:rFonts w:ascii="Segoe UI" w:hAnsi="Segoe UI" w:cs="Segoe UI"/>
          <w:sz w:val="22"/>
          <w:szCs w:val="22"/>
        </w:rPr>
        <w:t xml:space="preserve"> from the higher cost</w:t>
      </w:r>
      <w:r w:rsidR="00D60CC6">
        <w:rPr>
          <w:rFonts w:ascii="Segoe UI" w:hAnsi="Segoe UI" w:cs="Segoe UI"/>
          <w:sz w:val="22"/>
          <w:szCs w:val="22"/>
        </w:rPr>
        <w:t>s</w:t>
      </w:r>
      <w:r w:rsidR="00A53317">
        <w:rPr>
          <w:rFonts w:ascii="Segoe UI" w:hAnsi="Segoe UI" w:cs="Segoe UI"/>
          <w:sz w:val="22"/>
          <w:szCs w:val="22"/>
        </w:rPr>
        <w:t xml:space="preserve"> to merchants</w:t>
      </w:r>
      <w:r w:rsidRPr="00A05EBC">
        <w:rPr>
          <w:rFonts w:ascii="Segoe UI" w:hAnsi="Segoe UI" w:cs="Segoe UI"/>
          <w:sz w:val="22"/>
          <w:szCs w:val="22"/>
        </w:rPr>
        <w:t xml:space="preserve">. </w:t>
      </w:r>
      <w:r w:rsidR="00DB5E84">
        <w:rPr>
          <w:rFonts w:ascii="Segoe UI" w:hAnsi="Segoe UI" w:cs="Segoe UI"/>
          <w:sz w:val="22"/>
          <w:szCs w:val="22"/>
        </w:rPr>
        <w:t>If three-</w:t>
      </w:r>
      <w:r w:rsidR="00DB5E84" w:rsidRPr="00A05EBC">
        <w:rPr>
          <w:rFonts w:ascii="Segoe UI" w:hAnsi="Segoe UI" w:cs="Segoe UI"/>
          <w:sz w:val="22"/>
          <w:szCs w:val="22"/>
        </w:rPr>
        <w:t>party schemes remain excluded</w:t>
      </w:r>
      <w:r w:rsidR="00DB5E84">
        <w:rPr>
          <w:rFonts w:ascii="Segoe UI" w:hAnsi="Segoe UI" w:cs="Segoe UI"/>
          <w:sz w:val="22"/>
          <w:szCs w:val="22"/>
        </w:rPr>
        <w:t>,</w:t>
      </w:r>
      <w:r w:rsidR="00DB5E84" w:rsidRPr="00A05EBC">
        <w:rPr>
          <w:rFonts w:ascii="Segoe UI" w:hAnsi="Segoe UI" w:cs="Segoe UI"/>
          <w:sz w:val="22"/>
          <w:szCs w:val="22"/>
        </w:rPr>
        <w:t xml:space="preserve"> </w:t>
      </w:r>
      <w:r w:rsidR="00DB5E84">
        <w:rPr>
          <w:rFonts w:ascii="Segoe UI" w:hAnsi="Segoe UI" w:cs="Segoe UI"/>
          <w:sz w:val="22"/>
          <w:szCs w:val="22"/>
        </w:rPr>
        <w:t>t</w:t>
      </w:r>
      <w:r w:rsidRPr="00A05EBC">
        <w:rPr>
          <w:rFonts w:ascii="Segoe UI" w:hAnsi="Segoe UI" w:cs="Segoe UI"/>
          <w:sz w:val="22"/>
          <w:szCs w:val="22"/>
        </w:rPr>
        <w:t xml:space="preserve">his distortion in the marketplace would be </w:t>
      </w:r>
      <w:r>
        <w:rPr>
          <w:rFonts w:ascii="Segoe UI" w:hAnsi="Segoe UI" w:cs="Segoe UI"/>
          <w:sz w:val="22"/>
          <w:szCs w:val="22"/>
        </w:rPr>
        <w:t>significantly</w:t>
      </w:r>
      <w:r w:rsidRPr="00A05EBC">
        <w:rPr>
          <w:rFonts w:ascii="Segoe UI" w:hAnsi="Segoe UI" w:cs="Segoe UI"/>
          <w:sz w:val="22"/>
          <w:szCs w:val="22"/>
        </w:rPr>
        <w:t xml:space="preserve"> exacerbated under a ‘hard </w:t>
      </w:r>
      <w:r>
        <w:rPr>
          <w:rFonts w:ascii="Segoe UI" w:hAnsi="Segoe UI" w:cs="Segoe UI"/>
          <w:sz w:val="22"/>
          <w:szCs w:val="22"/>
        </w:rPr>
        <w:t>cap’ interchange regime for four-</w:t>
      </w:r>
      <w:r w:rsidRPr="00A05EBC">
        <w:rPr>
          <w:rFonts w:ascii="Segoe UI" w:hAnsi="Segoe UI" w:cs="Segoe UI"/>
          <w:sz w:val="22"/>
          <w:szCs w:val="22"/>
        </w:rPr>
        <w:t>party sc</w:t>
      </w:r>
      <w:r>
        <w:rPr>
          <w:rFonts w:ascii="Segoe UI" w:hAnsi="Segoe UI" w:cs="Segoe UI"/>
          <w:sz w:val="22"/>
          <w:szCs w:val="22"/>
        </w:rPr>
        <w:t>hemes</w:t>
      </w:r>
      <w:r w:rsidR="00DB5E84">
        <w:rPr>
          <w:rFonts w:ascii="Segoe UI" w:hAnsi="Segoe UI" w:cs="Segoe UI"/>
          <w:sz w:val="22"/>
          <w:szCs w:val="22"/>
        </w:rPr>
        <w:t>.</w:t>
      </w:r>
    </w:p>
    <w:p w14:paraId="06757B22" w14:textId="77777777" w:rsidR="00C10050" w:rsidRPr="00A05EBC" w:rsidRDefault="00C10050" w:rsidP="00785DB4">
      <w:pPr>
        <w:jc w:val="both"/>
        <w:rPr>
          <w:rFonts w:ascii="Segoe UI" w:hAnsi="Segoe UI" w:cs="Segoe UI"/>
          <w:sz w:val="22"/>
          <w:szCs w:val="22"/>
        </w:rPr>
      </w:pPr>
    </w:p>
    <w:p w14:paraId="06757B23" w14:textId="77777777" w:rsidR="00C10050" w:rsidRDefault="00C10050" w:rsidP="00785DB4">
      <w:pPr>
        <w:jc w:val="both"/>
        <w:rPr>
          <w:rFonts w:ascii="Segoe UI" w:hAnsi="Segoe UI" w:cs="Segoe UI"/>
          <w:sz w:val="22"/>
          <w:szCs w:val="22"/>
        </w:rPr>
      </w:pPr>
      <w:r w:rsidRPr="00A05EBC">
        <w:rPr>
          <w:rFonts w:ascii="Segoe UI" w:hAnsi="Segoe UI" w:cs="Segoe UI"/>
          <w:sz w:val="22"/>
          <w:szCs w:val="22"/>
        </w:rPr>
        <w:t>Three</w:t>
      </w:r>
      <w:r>
        <w:rPr>
          <w:rFonts w:ascii="Segoe UI" w:hAnsi="Segoe UI" w:cs="Segoe UI"/>
          <w:sz w:val="22"/>
          <w:szCs w:val="22"/>
        </w:rPr>
        <w:t>-</w:t>
      </w:r>
      <w:r w:rsidRPr="00A05EBC">
        <w:rPr>
          <w:rFonts w:ascii="Segoe UI" w:hAnsi="Segoe UI" w:cs="Segoe UI"/>
          <w:sz w:val="22"/>
          <w:szCs w:val="22"/>
        </w:rPr>
        <w:t>party schemes have an especially strong presence in the corporate travel and entertainment sector. For instance, American Express is a seen as a ‘must take’ card for merchants operating in travel, accommodation, restaurant, car hire and entertainment services. Diners Club similarly is a 'must take' card for merchants that wish to provide travel services to Federal Government.</w:t>
      </w:r>
    </w:p>
    <w:p w14:paraId="06757B24" w14:textId="77777777" w:rsidR="00C10050" w:rsidRPr="00A05EBC" w:rsidRDefault="00C10050" w:rsidP="00785DB4">
      <w:pPr>
        <w:jc w:val="both"/>
        <w:rPr>
          <w:rFonts w:ascii="Segoe UI" w:hAnsi="Segoe UI" w:cs="Segoe UI"/>
          <w:sz w:val="22"/>
          <w:szCs w:val="22"/>
        </w:rPr>
      </w:pPr>
    </w:p>
    <w:p w14:paraId="06757B25" w14:textId="77777777" w:rsidR="00C10050" w:rsidRDefault="00C10050" w:rsidP="00785DB4">
      <w:pPr>
        <w:jc w:val="both"/>
        <w:rPr>
          <w:rFonts w:ascii="Segoe UI" w:hAnsi="Segoe UI" w:cs="Segoe UI"/>
          <w:sz w:val="22"/>
          <w:szCs w:val="22"/>
        </w:rPr>
      </w:pPr>
      <w:r w:rsidRPr="000F580A">
        <w:rPr>
          <w:rFonts w:ascii="Segoe UI" w:eastAsia="Segoe UI" w:hAnsi="Segoe UI" w:cs="Segoe UI"/>
          <w:sz w:val="22"/>
          <w:szCs w:val="22"/>
        </w:rPr>
        <w:t>Under the draft proposal, financial institutions would lack incentive to continue to invest in commercial solutions</w:t>
      </w:r>
      <w:r>
        <w:rPr>
          <w:rFonts w:ascii="Segoe UI" w:eastAsia="Segoe UI" w:hAnsi="Segoe UI" w:cs="Segoe UI"/>
          <w:sz w:val="22"/>
          <w:szCs w:val="22"/>
        </w:rPr>
        <w:t xml:space="preserve"> offered through regulated schemes</w:t>
      </w:r>
      <w:r w:rsidRPr="000F580A">
        <w:rPr>
          <w:rFonts w:ascii="Segoe UI" w:eastAsia="Segoe UI" w:hAnsi="Segoe UI" w:cs="Segoe UI"/>
          <w:sz w:val="22"/>
          <w:szCs w:val="22"/>
        </w:rPr>
        <w:t xml:space="preserve">, while unregulated three-party schemes will continue to expand in the commercial space. Where the RBA intends, through this proposed regulation, to lessen the gap in acceptance cost between large and small businesses, the regulation will in effect exacerbate any existing acceptance burden </w:t>
      </w:r>
      <w:r w:rsidRPr="7F42220F">
        <w:rPr>
          <w:rFonts w:ascii="Segoe UI" w:eastAsia="Segoe UI" w:hAnsi="Segoe UI" w:cs="Segoe UI"/>
          <w:sz w:val="22"/>
          <w:szCs w:val="22"/>
        </w:rPr>
        <w:t>by stifling an alternative to the pr</w:t>
      </w:r>
      <w:r>
        <w:rPr>
          <w:rFonts w:ascii="Segoe UI" w:eastAsia="Segoe UI" w:hAnsi="Segoe UI" w:cs="Segoe UI"/>
          <w:sz w:val="22"/>
          <w:szCs w:val="22"/>
        </w:rPr>
        <w:t>edominance of higher-cost three-</w:t>
      </w:r>
      <w:r w:rsidRPr="7F42220F">
        <w:rPr>
          <w:rFonts w:ascii="Segoe UI" w:eastAsia="Segoe UI" w:hAnsi="Segoe UI" w:cs="Segoe UI"/>
          <w:sz w:val="22"/>
          <w:szCs w:val="22"/>
        </w:rPr>
        <w:t>party schemes</w:t>
      </w:r>
      <w:r>
        <w:rPr>
          <w:rFonts w:ascii="Segoe UI" w:eastAsia="Segoe UI" w:hAnsi="Segoe UI" w:cs="Segoe UI"/>
          <w:sz w:val="22"/>
          <w:szCs w:val="22"/>
        </w:rPr>
        <w:t>.</w:t>
      </w:r>
    </w:p>
    <w:p w14:paraId="06757B26" w14:textId="77777777" w:rsidR="00C10050" w:rsidRPr="00A05EBC" w:rsidRDefault="00C10050" w:rsidP="00785DB4">
      <w:pPr>
        <w:jc w:val="both"/>
        <w:rPr>
          <w:rFonts w:ascii="Segoe UI" w:hAnsi="Segoe UI" w:cs="Segoe UI"/>
          <w:sz w:val="22"/>
          <w:szCs w:val="22"/>
        </w:rPr>
      </w:pPr>
    </w:p>
    <w:p w14:paraId="06757B27" w14:textId="77777777" w:rsidR="00C10050" w:rsidRPr="00A05EBC" w:rsidRDefault="003147C2" w:rsidP="00785DB4">
      <w:pPr>
        <w:pStyle w:val="Heading3"/>
        <w:spacing w:before="0"/>
        <w:jc w:val="both"/>
        <w:rPr>
          <w:rFonts w:ascii="Segoe UI" w:hAnsi="Segoe UI" w:cs="Segoe UI"/>
          <w:b w:val="0"/>
          <w:sz w:val="22"/>
          <w:szCs w:val="22"/>
        </w:rPr>
      </w:pPr>
      <w:bookmarkStart w:id="69" w:name="_Toc442273956"/>
      <w:r>
        <w:rPr>
          <w:rFonts w:ascii="Segoe UI" w:hAnsi="Segoe UI" w:cs="Segoe UI"/>
          <w:sz w:val="22"/>
          <w:szCs w:val="22"/>
        </w:rPr>
        <w:t>2.4.2</w:t>
      </w:r>
      <w:r>
        <w:rPr>
          <w:rFonts w:ascii="Segoe UI" w:hAnsi="Segoe UI" w:cs="Segoe UI"/>
          <w:sz w:val="22"/>
          <w:szCs w:val="22"/>
        </w:rPr>
        <w:tab/>
      </w:r>
      <w:r w:rsidR="00C10050" w:rsidRPr="00A05EBC">
        <w:rPr>
          <w:rFonts w:ascii="Segoe UI" w:hAnsi="Segoe UI" w:cs="Segoe UI"/>
          <w:sz w:val="22"/>
          <w:szCs w:val="22"/>
        </w:rPr>
        <w:t>Rebates</w:t>
      </w:r>
      <w:bookmarkEnd w:id="69"/>
    </w:p>
    <w:p w14:paraId="06757B28" w14:textId="77777777" w:rsidR="00C10050" w:rsidRPr="00A05EBC" w:rsidRDefault="00C10050" w:rsidP="00785DB4">
      <w:pPr>
        <w:jc w:val="both"/>
        <w:rPr>
          <w:lang w:val="en-AU"/>
        </w:rPr>
      </w:pPr>
    </w:p>
    <w:p w14:paraId="06757B29" w14:textId="77777777" w:rsidR="00C10050" w:rsidRPr="00A05EBC" w:rsidRDefault="00C10050" w:rsidP="00785DB4">
      <w:pPr>
        <w:jc w:val="both"/>
        <w:rPr>
          <w:rFonts w:ascii="Segoe UI" w:hAnsi="Segoe UI" w:cs="Segoe UI"/>
          <w:sz w:val="22"/>
          <w:szCs w:val="22"/>
        </w:rPr>
      </w:pPr>
      <w:r w:rsidRPr="00A05EBC">
        <w:rPr>
          <w:rFonts w:ascii="Segoe UI" w:hAnsi="Segoe UI" w:cs="Segoe UI"/>
          <w:sz w:val="22"/>
          <w:szCs w:val="22"/>
        </w:rPr>
        <w:t xml:space="preserve">The RBA has </w:t>
      </w:r>
      <w:r w:rsidR="00A75FF7">
        <w:rPr>
          <w:rFonts w:ascii="Segoe UI" w:hAnsi="Segoe UI" w:cs="Segoe UI"/>
          <w:sz w:val="22"/>
          <w:szCs w:val="22"/>
        </w:rPr>
        <w:t>justified its proposed changes on the basis that</w:t>
      </w:r>
      <w:r w:rsidRPr="00A05EBC">
        <w:rPr>
          <w:rFonts w:ascii="Segoe UI" w:hAnsi="Segoe UI" w:cs="Segoe UI"/>
          <w:sz w:val="22"/>
          <w:szCs w:val="22"/>
        </w:rPr>
        <w:t xml:space="preserve">: </w:t>
      </w:r>
    </w:p>
    <w:p w14:paraId="06757B2A" w14:textId="77777777" w:rsidR="00C10050" w:rsidRDefault="00C10050" w:rsidP="00785DB4">
      <w:pPr>
        <w:ind w:left="720"/>
        <w:jc w:val="both"/>
        <w:rPr>
          <w:rFonts w:ascii="Segoe UI" w:hAnsi="Segoe UI" w:cs="Segoe UI"/>
          <w:i/>
          <w:sz w:val="22"/>
          <w:szCs w:val="22"/>
        </w:rPr>
      </w:pPr>
    </w:p>
    <w:p w14:paraId="06757B2B" w14:textId="77777777" w:rsidR="00C10050" w:rsidRPr="00563FBD" w:rsidRDefault="00C10050" w:rsidP="00785DB4">
      <w:pPr>
        <w:ind w:left="720"/>
        <w:jc w:val="both"/>
        <w:rPr>
          <w:rFonts w:ascii="Segoe UI" w:hAnsi="Segoe UI" w:cs="Segoe UI"/>
          <w:i/>
          <w:sz w:val="22"/>
          <w:szCs w:val="22"/>
        </w:rPr>
      </w:pPr>
      <w:r w:rsidRPr="00563FBD">
        <w:rPr>
          <w:rFonts w:ascii="Segoe UI" w:hAnsi="Segoe UI" w:cs="Segoe UI"/>
          <w:i/>
          <w:sz w:val="22"/>
          <w:szCs w:val="22"/>
        </w:rPr>
        <w:t>“…rebates to corporates were common in this sector, implying that effective pricing arrangements for commercial cards may in fact not be that dissimilar to those for personal credit cards.”</w:t>
      </w:r>
    </w:p>
    <w:p w14:paraId="06757B2C" w14:textId="77777777" w:rsidR="00C10050" w:rsidRPr="00A05EBC" w:rsidRDefault="00C10050" w:rsidP="00785DB4">
      <w:pPr>
        <w:jc w:val="both"/>
        <w:rPr>
          <w:rFonts w:ascii="Segoe UI" w:hAnsi="Segoe UI" w:cs="Segoe UI"/>
          <w:sz w:val="22"/>
          <w:szCs w:val="22"/>
        </w:rPr>
      </w:pPr>
    </w:p>
    <w:p w14:paraId="06757B2D" w14:textId="77777777" w:rsidR="00C10050" w:rsidRDefault="00D60CC6" w:rsidP="00785DB4">
      <w:pPr>
        <w:jc w:val="both"/>
        <w:rPr>
          <w:rFonts w:ascii="Segoe UI" w:hAnsi="Segoe UI" w:cs="Segoe UI"/>
          <w:sz w:val="22"/>
          <w:szCs w:val="22"/>
        </w:rPr>
      </w:pPr>
      <w:r>
        <w:rPr>
          <w:rFonts w:ascii="Segoe UI" w:eastAsia="Segoe UI" w:hAnsi="Segoe UI" w:cs="Segoe UI"/>
          <w:sz w:val="22"/>
          <w:szCs w:val="22"/>
        </w:rPr>
        <w:t>T</w:t>
      </w:r>
      <w:r w:rsidR="00B77914">
        <w:rPr>
          <w:rFonts w:ascii="Segoe UI" w:eastAsia="Segoe UI" w:hAnsi="Segoe UI" w:cs="Segoe UI"/>
          <w:sz w:val="22"/>
          <w:szCs w:val="22"/>
        </w:rPr>
        <w:t>his is not the case</w:t>
      </w:r>
      <w:r w:rsidR="00C10050" w:rsidRPr="0AFB4DE9">
        <w:rPr>
          <w:rFonts w:ascii="Segoe UI" w:eastAsia="Segoe UI" w:hAnsi="Segoe UI" w:cs="Segoe UI"/>
          <w:sz w:val="22"/>
          <w:szCs w:val="22"/>
        </w:rPr>
        <w:t>.</w:t>
      </w:r>
      <w:r w:rsidR="008F6AF9">
        <w:rPr>
          <w:rFonts w:ascii="Segoe UI" w:eastAsia="Segoe UI" w:hAnsi="Segoe UI" w:cs="Segoe UI"/>
          <w:sz w:val="22"/>
          <w:szCs w:val="22"/>
        </w:rPr>
        <w:t xml:space="preserve"> </w:t>
      </w:r>
      <w:r w:rsidR="00C10050" w:rsidRPr="0AFB4DE9">
        <w:rPr>
          <w:rFonts w:ascii="Segoe UI" w:eastAsia="Segoe UI" w:hAnsi="Segoe UI" w:cs="Segoe UI"/>
          <w:sz w:val="22"/>
          <w:szCs w:val="22"/>
        </w:rPr>
        <w:t xml:space="preserve">At an aggregate </w:t>
      </w:r>
      <w:proofErr w:type="gramStart"/>
      <w:r w:rsidR="00C10050" w:rsidRPr="0AFB4DE9">
        <w:rPr>
          <w:rFonts w:ascii="Segoe UI" w:eastAsia="Segoe UI" w:hAnsi="Segoe UI" w:cs="Segoe UI"/>
          <w:sz w:val="22"/>
          <w:szCs w:val="22"/>
        </w:rPr>
        <w:t>level</w:t>
      </w:r>
      <w:r w:rsidR="00DB5E84">
        <w:rPr>
          <w:rFonts w:ascii="Segoe UI" w:eastAsia="Segoe UI" w:hAnsi="Segoe UI" w:cs="Segoe UI"/>
          <w:sz w:val="22"/>
          <w:szCs w:val="22"/>
        </w:rPr>
        <w:t>,</w:t>
      </w:r>
      <w:proofErr w:type="gramEnd"/>
      <w:r w:rsidR="00C10050" w:rsidRPr="0AFB4DE9">
        <w:rPr>
          <w:rFonts w:ascii="Segoe UI" w:eastAsia="Segoe UI" w:hAnsi="Segoe UI" w:cs="Segoe UI"/>
          <w:sz w:val="22"/>
          <w:szCs w:val="22"/>
        </w:rPr>
        <w:t xml:space="preserve"> and specifically relating to business, corporate and purchasing charge cards with corporate liability</w:t>
      </w:r>
      <w:r w:rsidR="00B77914">
        <w:rPr>
          <w:rFonts w:ascii="Segoe UI" w:eastAsia="Segoe UI" w:hAnsi="Segoe UI" w:cs="Segoe UI"/>
          <w:sz w:val="22"/>
          <w:szCs w:val="22"/>
        </w:rPr>
        <w:t>,</w:t>
      </w:r>
      <w:r w:rsidR="00C10050" w:rsidRPr="0AFB4DE9">
        <w:rPr>
          <w:rFonts w:ascii="Segoe UI" w:eastAsia="Segoe UI" w:hAnsi="Segoe UI" w:cs="Segoe UI"/>
          <w:sz w:val="22"/>
          <w:szCs w:val="22"/>
        </w:rPr>
        <w:t xml:space="preserve"> only </w:t>
      </w:r>
      <w:r w:rsidR="00C10050" w:rsidRPr="2D0342FE">
        <w:rPr>
          <w:rFonts w:ascii="Segoe UI" w:eastAsia="Segoe UI" w:hAnsi="Segoe UI" w:cs="Segoe UI"/>
          <w:sz w:val="22"/>
          <w:szCs w:val="22"/>
        </w:rPr>
        <w:t>1</w:t>
      </w:r>
      <w:r w:rsidR="00C10050">
        <w:rPr>
          <w:rFonts w:ascii="Segoe UI" w:eastAsia="Segoe UI" w:hAnsi="Segoe UI" w:cs="Segoe UI"/>
          <w:sz w:val="22"/>
          <w:szCs w:val="22"/>
        </w:rPr>
        <w:t xml:space="preserve"> per cent</w:t>
      </w:r>
      <w:r w:rsidR="00C10050" w:rsidRPr="2D0342FE">
        <w:rPr>
          <w:rFonts w:ascii="Segoe UI" w:eastAsia="Segoe UI" w:hAnsi="Segoe UI" w:cs="Segoe UI"/>
          <w:sz w:val="22"/>
          <w:szCs w:val="22"/>
        </w:rPr>
        <w:t xml:space="preserve"> of contracts</w:t>
      </w:r>
      <w:r w:rsidR="00C10050">
        <w:rPr>
          <w:rFonts w:ascii="Segoe UI" w:eastAsia="Segoe UI" w:hAnsi="Segoe UI" w:cs="Segoe UI"/>
          <w:sz w:val="22"/>
          <w:szCs w:val="22"/>
        </w:rPr>
        <w:t xml:space="preserve"> between issuers and end businesses</w:t>
      </w:r>
      <w:r w:rsidR="00C10050" w:rsidRPr="2D0342FE">
        <w:rPr>
          <w:rFonts w:ascii="Segoe UI" w:eastAsia="Segoe UI" w:hAnsi="Segoe UI" w:cs="Segoe UI"/>
          <w:sz w:val="22"/>
          <w:szCs w:val="22"/>
        </w:rPr>
        <w:t xml:space="preserve"> that attracted a financial incentive or rebate. </w:t>
      </w:r>
      <w:r w:rsidR="00C10050" w:rsidRPr="00A05EBC">
        <w:rPr>
          <w:rFonts w:ascii="Segoe UI" w:hAnsi="Segoe UI" w:cs="Segoe UI"/>
          <w:sz w:val="22"/>
          <w:szCs w:val="22"/>
        </w:rPr>
        <w:t>Anecdotally, rebates are only offered on the largest programs to compete with unregulated schemes and are used to support the implementation and ongoing management of card program infrastructure.</w:t>
      </w:r>
    </w:p>
    <w:p w14:paraId="06757B2E" w14:textId="77777777" w:rsidR="00C10050" w:rsidRPr="00E35E65" w:rsidRDefault="00C10050" w:rsidP="00785DB4">
      <w:pPr>
        <w:jc w:val="both"/>
      </w:pPr>
    </w:p>
    <w:p w14:paraId="06757B2F" w14:textId="77777777" w:rsidR="00C10050" w:rsidRPr="00A05EBC" w:rsidRDefault="003147C2" w:rsidP="00785DB4">
      <w:pPr>
        <w:pStyle w:val="Heading2"/>
        <w:spacing w:before="0"/>
        <w:jc w:val="both"/>
        <w:rPr>
          <w:rFonts w:ascii="Segoe UI" w:hAnsi="Segoe UI" w:cs="Segoe UI"/>
        </w:rPr>
      </w:pPr>
      <w:bookmarkStart w:id="70" w:name="_Toc442273957"/>
      <w:r>
        <w:rPr>
          <w:rFonts w:ascii="Segoe UI" w:hAnsi="Segoe UI" w:cs="Segoe UI"/>
        </w:rPr>
        <w:t>2.5</w:t>
      </w:r>
      <w:r>
        <w:rPr>
          <w:rFonts w:ascii="Segoe UI" w:hAnsi="Segoe UI" w:cs="Segoe UI"/>
        </w:rPr>
        <w:tab/>
      </w:r>
      <w:r w:rsidR="00C10050" w:rsidRPr="00A05EBC">
        <w:rPr>
          <w:rFonts w:ascii="Segoe UI" w:hAnsi="Segoe UI" w:cs="Segoe UI"/>
        </w:rPr>
        <w:t>Conclusion</w:t>
      </w:r>
      <w:bookmarkEnd w:id="70"/>
      <w:r w:rsidR="00C10050" w:rsidRPr="00A05EBC">
        <w:rPr>
          <w:rFonts w:ascii="Segoe UI" w:hAnsi="Segoe UI" w:cs="Segoe UI"/>
        </w:rPr>
        <w:t xml:space="preserve"> </w:t>
      </w:r>
    </w:p>
    <w:p w14:paraId="06757B30" w14:textId="77777777" w:rsidR="00C10050" w:rsidRPr="00A05EBC" w:rsidRDefault="00C10050" w:rsidP="00785DB4">
      <w:pPr>
        <w:jc w:val="both"/>
      </w:pPr>
    </w:p>
    <w:p w14:paraId="06757B31" w14:textId="77777777" w:rsidR="00C10050" w:rsidRDefault="00C10050" w:rsidP="00785DB4">
      <w:pPr>
        <w:jc w:val="both"/>
        <w:rPr>
          <w:rFonts w:ascii="Segoe UI" w:hAnsi="Segoe UI" w:cs="Segoe UI"/>
          <w:sz w:val="22"/>
          <w:szCs w:val="22"/>
        </w:rPr>
      </w:pPr>
      <w:r>
        <w:rPr>
          <w:rFonts w:ascii="Segoe UI" w:hAnsi="Segoe UI" w:cs="Segoe UI"/>
          <w:sz w:val="22"/>
          <w:szCs w:val="22"/>
        </w:rPr>
        <w:lastRenderedPageBreak/>
        <w:t>Given</w:t>
      </w:r>
      <w:r w:rsidRPr="00A05EBC">
        <w:rPr>
          <w:rFonts w:ascii="Segoe UI" w:hAnsi="Segoe UI" w:cs="Segoe UI"/>
          <w:sz w:val="22"/>
          <w:szCs w:val="22"/>
        </w:rPr>
        <w:t xml:space="preserve"> the complexity of the commercial payments space and the significant investment needed to maintain these programs</w:t>
      </w:r>
      <w:r>
        <w:rPr>
          <w:rFonts w:ascii="Segoe UI" w:hAnsi="Segoe UI" w:cs="Segoe UI"/>
          <w:sz w:val="22"/>
          <w:szCs w:val="22"/>
        </w:rPr>
        <w:t xml:space="preserve"> by issuers,</w:t>
      </w:r>
      <w:r w:rsidRPr="00A05EBC">
        <w:rPr>
          <w:rFonts w:ascii="Segoe UI" w:hAnsi="Segoe UI" w:cs="Segoe UI"/>
          <w:sz w:val="22"/>
          <w:szCs w:val="22"/>
        </w:rPr>
        <w:t xml:space="preserve"> Visa </w:t>
      </w:r>
      <w:r>
        <w:rPr>
          <w:rFonts w:ascii="Segoe UI" w:hAnsi="Segoe UI" w:cs="Segoe UI"/>
          <w:sz w:val="22"/>
          <w:szCs w:val="22"/>
        </w:rPr>
        <w:t>recommends the RBA adopt Option 2</w:t>
      </w:r>
      <w:r>
        <w:rPr>
          <w:rStyle w:val="FootnoteReference"/>
          <w:rFonts w:ascii="Segoe UI" w:hAnsi="Segoe UI" w:cs="Segoe UI"/>
          <w:sz w:val="22"/>
          <w:szCs w:val="22"/>
        </w:rPr>
        <w:footnoteReference w:id="18"/>
      </w:r>
      <w:r>
        <w:rPr>
          <w:rFonts w:ascii="Segoe UI" w:hAnsi="Segoe UI" w:cs="Segoe UI"/>
          <w:sz w:val="22"/>
          <w:szCs w:val="22"/>
        </w:rPr>
        <w:t xml:space="preserve"> and </w:t>
      </w:r>
      <w:r w:rsidR="00B77914">
        <w:rPr>
          <w:rFonts w:ascii="Segoe UI" w:hAnsi="Segoe UI" w:cs="Segoe UI"/>
          <w:sz w:val="22"/>
          <w:szCs w:val="22"/>
        </w:rPr>
        <w:t>exempts</w:t>
      </w:r>
      <w:r>
        <w:rPr>
          <w:rFonts w:ascii="Segoe UI" w:hAnsi="Segoe UI" w:cs="Segoe UI"/>
          <w:sz w:val="22"/>
          <w:szCs w:val="22"/>
        </w:rPr>
        <w:t xml:space="preserve"> commercial cards from interchange regulation.</w:t>
      </w:r>
    </w:p>
    <w:p w14:paraId="06757B32" w14:textId="77777777" w:rsidR="00C10050" w:rsidRDefault="00C10050" w:rsidP="00785DB4">
      <w:pPr>
        <w:jc w:val="both"/>
        <w:rPr>
          <w:rFonts w:ascii="Segoe UI" w:hAnsi="Segoe UI" w:cs="Segoe UI"/>
          <w:sz w:val="22"/>
          <w:szCs w:val="22"/>
        </w:rPr>
      </w:pPr>
    </w:p>
    <w:p w14:paraId="06757B33" w14:textId="77777777" w:rsidR="00C10050" w:rsidRDefault="00C10050" w:rsidP="00785DB4">
      <w:pPr>
        <w:jc w:val="both"/>
        <w:rPr>
          <w:rFonts w:ascii="Segoe UI" w:hAnsi="Segoe UI" w:cs="Segoe UI"/>
          <w:sz w:val="22"/>
          <w:szCs w:val="22"/>
        </w:rPr>
      </w:pPr>
      <w:r>
        <w:rPr>
          <w:rFonts w:ascii="Segoe UI" w:hAnsi="Segoe UI" w:cs="Segoe UI"/>
          <w:sz w:val="22"/>
          <w:szCs w:val="22"/>
        </w:rPr>
        <w:t xml:space="preserve">However, should the RBA believe that commercial cards require regulation of some </w:t>
      </w:r>
      <w:proofErr w:type="gramStart"/>
      <w:r>
        <w:rPr>
          <w:rFonts w:ascii="Segoe UI" w:hAnsi="Segoe UI" w:cs="Segoe UI"/>
          <w:sz w:val="22"/>
          <w:szCs w:val="22"/>
        </w:rPr>
        <w:t>form</w:t>
      </w:r>
      <w:r w:rsidRPr="00A05EBC">
        <w:rPr>
          <w:rFonts w:ascii="Segoe UI" w:hAnsi="Segoe UI" w:cs="Segoe UI"/>
          <w:sz w:val="22"/>
          <w:szCs w:val="22"/>
        </w:rPr>
        <w:t>,</w:t>
      </w:r>
      <w:proofErr w:type="gramEnd"/>
      <w:r w:rsidRPr="00A05EBC">
        <w:rPr>
          <w:rFonts w:ascii="Segoe UI" w:hAnsi="Segoe UI" w:cs="Segoe UI"/>
          <w:sz w:val="22"/>
          <w:szCs w:val="22"/>
        </w:rPr>
        <w:t xml:space="preserve"> </w:t>
      </w:r>
      <w:r>
        <w:rPr>
          <w:rFonts w:ascii="Segoe UI" w:hAnsi="Segoe UI" w:cs="Segoe UI"/>
          <w:sz w:val="22"/>
          <w:szCs w:val="22"/>
        </w:rPr>
        <w:t>Visa believes the RBA should adopt</w:t>
      </w:r>
      <w:r w:rsidRPr="00A05EBC">
        <w:rPr>
          <w:rFonts w:ascii="Segoe UI" w:hAnsi="Segoe UI" w:cs="Segoe UI"/>
          <w:sz w:val="22"/>
          <w:szCs w:val="22"/>
        </w:rPr>
        <w:t xml:space="preserve"> a </w:t>
      </w:r>
      <w:r w:rsidRPr="008B2827">
        <w:rPr>
          <w:rFonts w:ascii="Segoe UI" w:hAnsi="Segoe UI" w:cs="Segoe UI"/>
          <w:sz w:val="22"/>
          <w:szCs w:val="22"/>
        </w:rPr>
        <w:t xml:space="preserve">higher </w:t>
      </w:r>
      <w:r w:rsidR="00B77914">
        <w:rPr>
          <w:rFonts w:ascii="Segoe UI" w:hAnsi="Segoe UI" w:cs="Segoe UI"/>
          <w:sz w:val="22"/>
          <w:szCs w:val="22"/>
        </w:rPr>
        <w:t>interchange cap</w:t>
      </w:r>
      <w:r w:rsidRPr="008B2827">
        <w:rPr>
          <w:rFonts w:ascii="Segoe UI" w:hAnsi="Segoe UI" w:cs="Segoe UI"/>
          <w:sz w:val="22"/>
          <w:szCs w:val="22"/>
        </w:rPr>
        <w:t xml:space="preserve"> of 1</w:t>
      </w:r>
      <w:r w:rsidR="002E4999">
        <w:rPr>
          <w:rFonts w:ascii="Segoe UI" w:hAnsi="Segoe UI" w:cs="Segoe UI"/>
          <w:sz w:val="22"/>
          <w:szCs w:val="22"/>
        </w:rPr>
        <w:t>2</w:t>
      </w:r>
      <w:r w:rsidRPr="008B2827">
        <w:rPr>
          <w:rFonts w:ascii="Segoe UI" w:hAnsi="Segoe UI" w:cs="Segoe UI"/>
          <w:sz w:val="22"/>
          <w:szCs w:val="22"/>
        </w:rPr>
        <w:t>0</w:t>
      </w:r>
      <w:r w:rsidR="002E4999">
        <w:rPr>
          <w:rFonts w:ascii="Segoe UI" w:hAnsi="Segoe UI" w:cs="Segoe UI"/>
          <w:sz w:val="22"/>
          <w:szCs w:val="22"/>
        </w:rPr>
        <w:t xml:space="preserve"> </w:t>
      </w:r>
      <w:r w:rsidRPr="008B2827">
        <w:rPr>
          <w:rFonts w:ascii="Segoe UI" w:hAnsi="Segoe UI" w:cs="Segoe UI"/>
          <w:sz w:val="22"/>
          <w:szCs w:val="22"/>
        </w:rPr>
        <w:t>bps</w:t>
      </w:r>
      <w:r w:rsidR="00B77914">
        <w:rPr>
          <w:rFonts w:ascii="Segoe UI" w:hAnsi="Segoe UI" w:cs="Segoe UI"/>
          <w:sz w:val="22"/>
          <w:szCs w:val="22"/>
        </w:rPr>
        <w:t xml:space="preserve"> </w:t>
      </w:r>
      <w:r w:rsidRPr="00A05EBC">
        <w:rPr>
          <w:rFonts w:ascii="Segoe UI" w:hAnsi="Segoe UI" w:cs="Segoe UI"/>
          <w:sz w:val="22"/>
          <w:szCs w:val="22"/>
        </w:rPr>
        <w:t xml:space="preserve">with </w:t>
      </w:r>
      <w:r w:rsidRPr="008B2827">
        <w:rPr>
          <w:rFonts w:ascii="Segoe UI" w:hAnsi="Segoe UI" w:cs="Segoe UI"/>
          <w:sz w:val="22"/>
          <w:szCs w:val="22"/>
        </w:rPr>
        <w:t xml:space="preserve">clear rules for </w:t>
      </w:r>
      <w:r>
        <w:rPr>
          <w:rFonts w:ascii="Segoe UI" w:hAnsi="Segoe UI" w:cs="Segoe UI"/>
          <w:sz w:val="22"/>
          <w:szCs w:val="22"/>
        </w:rPr>
        <w:t>issuance</w:t>
      </w:r>
      <w:r w:rsidRPr="008B2827">
        <w:rPr>
          <w:rFonts w:ascii="Segoe UI" w:hAnsi="Segoe UI" w:cs="Segoe UI"/>
          <w:sz w:val="22"/>
          <w:szCs w:val="22"/>
        </w:rPr>
        <w:t xml:space="preserve"> and compliance to avoid circumvention</w:t>
      </w:r>
      <w:r w:rsidRPr="00A05EBC">
        <w:rPr>
          <w:rFonts w:ascii="Segoe UI" w:hAnsi="Segoe UI" w:cs="Segoe UI"/>
          <w:sz w:val="22"/>
          <w:szCs w:val="22"/>
        </w:rPr>
        <w:t xml:space="preserve">. This would allow </w:t>
      </w:r>
      <w:r>
        <w:rPr>
          <w:rFonts w:ascii="Segoe UI" w:hAnsi="Segoe UI" w:cs="Segoe UI"/>
          <w:sz w:val="22"/>
          <w:szCs w:val="22"/>
        </w:rPr>
        <w:t>the four-party schemes and their</w:t>
      </w:r>
      <w:r w:rsidRPr="00A05EBC">
        <w:rPr>
          <w:rFonts w:ascii="Segoe UI" w:hAnsi="Segoe UI" w:cs="Segoe UI"/>
          <w:sz w:val="22"/>
          <w:szCs w:val="22"/>
        </w:rPr>
        <w:t xml:space="preserve"> issuing clients to </w:t>
      </w:r>
      <w:r w:rsidR="00B77914">
        <w:rPr>
          <w:rFonts w:ascii="Segoe UI" w:hAnsi="Segoe UI" w:cs="Segoe UI"/>
          <w:sz w:val="22"/>
          <w:szCs w:val="22"/>
        </w:rPr>
        <w:t>remain commercially viable in the commercial card segment</w:t>
      </w:r>
      <w:r w:rsidRPr="67D6BC92">
        <w:rPr>
          <w:rFonts w:ascii="Segoe UI" w:eastAsia="Segoe UI" w:hAnsi="Segoe UI" w:cs="Segoe UI"/>
          <w:sz w:val="22"/>
          <w:szCs w:val="22"/>
        </w:rPr>
        <w:t>.</w:t>
      </w:r>
    </w:p>
    <w:p w14:paraId="06757B34" w14:textId="77777777" w:rsidR="00C10050" w:rsidRPr="00A05EBC" w:rsidRDefault="00C10050" w:rsidP="00785DB4">
      <w:pPr>
        <w:jc w:val="both"/>
        <w:rPr>
          <w:rFonts w:ascii="Segoe UI" w:hAnsi="Segoe UI" w:cs="Segoe UI"/>
          <w:sz w:val="22"/>
          <w:szCs w:val="22"/>
        </w:rPr>
      </w:pPr>
    </w:p>
    <w:p w14:paraId="06757B35" w14:textId="77777777" w:rsidR="00C10050" w:rsidRPr="00A05EBC" w:rsidRDefault="00C10050" w:rsidP="00785DB4">
      <w:pPr>
        <w:jc w:val="both"/>
        <w:rPr>
          <w:rFonts w:ascii="Segoe UI" w:hAnsi="Segoe UI" w:cs="Segoe UI"/>
          <w:sz w:val="22"/>
          <w:szCs w:val="22"/>
        </w:rPr>
      </w:pPr>
      <w:r w:rsidRPr="00A05EBC">
        <w:rPr>
          <w:rFonts w:ascii="Segoe UI" w:hAnsi="Segoe UI" w:cs="Segoe UI"/>
          <w:sz w:val="22"/>
          <w:szCs w:val="22"/>
        </w:rPr>
        <w:t>Understanding the RBA’s concerns around circumvention, Visa is committed to maintaining tight controls around business liability, annual attestation of issuing banks, clear review</w:t>
      </w:r>
      <w:r>
        <w:rPr>
          <w:rFonts w:ascii="Segoe UI" w:hAnsi="Segoe UI" w:cs="Segoe UI"/>
          <w:sz w:val="22"/>
          <w:szCs w:val="22"/>
        </w:rPr>
        <w:t xml:space="preserve"> and upholding of issuing bank terms and c</w:t>
      </w:r>
      <w:r w:rsidRPr="67D6BC92">
        <w:rPr>
          <w:rFonts w:ascii="Segoe UI" w:eastAsia="Segoe UI" w:hAnsi="Segoe UI" w:cs="Segoe UI"/>
          <w:sz w:val="22"/>
          <w:szCs w:val="22"/>
        </w:rPr>
        <w:t xml:space="preserve">onditions, further strengthening of Visa Rules, and instigation </w:t>
      </w:r>
      <w:proofErr w:type="gramStart"/>
      <w:r w:rsidRPr="67D6BC92">
        <w:rPr>
          <w:rFonts w:ascii="Segoe UI" w:eastAsia="Segoe UI" w:hAnsi="Segoe UI" w:cs="Segoe UI"/>
          <w:sz w:val="22"/>
          <w:szCs w:val="22"/>
        </w:rPr>
        <w:t>of an analytics programs</w:t>
      </w:r>
      <w:proofErr w:type="gramEnd"/>
      <w:r w:rsidRPr="67D6BC92">
        <w:rPr>
          <w:rFonts w:ascii="Segoe UI" w:eastAsia="Segoe UI" w:hAnsi="Segoe UI" w:cs="Segoe UI"/>
          <w:sz w:val="22"/>
          <w:szCs w:val="22"/>
        </w:rPr>
        <w:t xml:space="preserve"> that could measure the compliance to these s</w:t>
      </w:r>
      <w:r>
        <w:rPr>
          <w:rFonts w:ascii="Segoe UI" w:hAnsi="Segoe UI" w:cs="Segoe UI"/>
          <w:sz w:val="22"/>
          <w:szCs w:val="22"/>
        </w:rPr>
        <w:t>tandards.</w:t>
      </w:r>
    </w:p>
    <w:p w14:paraId="06757B36" w14:textId="77777777" w:rsidR="00C10050" w:rsidRDefault="00C10050" w:rsidP="00D60CC6">
      <w:pPr>
        <w:spacing w:after="160" w:line="259" w:lineRule="auto"/>
        <w:jc w:val="both"/>
        <w:rPr>
          <w:rFonts w:ascii="Segoe UI" w:hAnsi="Segoe UI" w:cs="Segoe UI"/>
          <w:sz w:val="22"/>
          <w:szCs w:val="22"/>
        </w:rPr>
      </w:pPr>
      <w:r>
        <w:rPr>
          <w:rFonts w:ascii="Segoe UI" w:hAnsi="Segoe UI" w:cs="Segoe UI"/>
          <w:sz w:val="22"/>
          <w:szCs w:val="22"/>
        </w:rPr>
        <w:br w:type="page"/>
      </w:r>
    </w:p>
    <w:p w14:paraId="06757B37" w14:textId="77777777" w:rsidR="00C10050" w:rsidRDefault="00C10050" w:rsidP="00D60CC6">
      <w:pPr>
        <w:pStyle w:val="Heading1"/>
        <w:spacing w:before="0"/>
        <w:jc w:val="both"/>
        <w:rPr>
          <w:rFonts w:ascii="Segoe UI" w:hAnsi="Segoe UI" w:cs="Segoe UI"/>
          <w:color w:val="002060"/>
        </w:rPr>
      </w:pPr>
      <w:bookmarkStart w:id="71" w:name="_Toc442273958"/>
      <w:r>
        <w:rPr>
          <w:rFonts w:ascii="Segoe UI" w:hAnsi="Segoe UI" w:cs="Segoe UI"/>
          <w:color w:val="002060"/>
        </w:rPr>
        <w:lastRenderedPageBreak/>
        <w:t xml:space="preserve">Chapter </w:t>
      </w:r>
      <w:r w:rsidR="00B16A87">
        <w:rPr>
          <w:rFonts w:ascii="Segoe UI" w:hAnsi="Segoe UI" w:cs="Segoe UI"/>
          <w:color w:val="002060"/>
        </w:rPr>
        <w:t>3</w:t>
      </w:r>
      <w:r w:rsidRPr="0089281F">
        <w:rPr>
          <w:rFonts w:ascii="Segoe UI" w:hAnsi="Segoe UI" w:cs="Segoe UI"/>
          <w:color w:val="002060"/>
        </w:rPr>
        <w:t xml:space="preserve">: </w:t>
      </w:r>
      <w:r>
        <w:rPr>
          <w:rFonts w:ascii="Segoe UI" w:hAnsi="Segoe UI" w:cs="Segoe UI"/>
          <w:color w:val="002060"/>
        </w:rPr>
        <w:t>Interchange rate cycle compliance</w:t>
      </w:r>
      <w:bookmarkEnd w:id="71"/>
    </w:p>
    <w:p w14:paraId="06757B38" w14:textId="77777777" w:rsidR="00C10050" w:rsidRPr="00643563" w:rsidRDefault="00C10050" w:rsidP="00D60CC6">
      <w:pPr>
        <w:jc w:val="both"/>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C10050" w:rsidRPr="0001116F" w14:paraId="06757B3E" w14:textId="77777777" w:rsidTr="00F421BE">
        <w:tc>
          <w:tcPr>
            <w:tcW w:w="9280" w:type="dxa"/>
            <w:shd w:val="clear" w:color="auto" w:fill="E0E0E0"/>
          </w:tcPr>
          <w:p w14:paraId="06757B39" w14:textId="77777777" w:rsidR="00C10050" w:rsidRPr="00110678" w:rsidRDefault="00C10050" w:rsidP="00D60CC6">
            <w:pPr>
              <w:pStyle w:val="Heading4"/>
              <w:spacing w:before="0"/>
              <w:jc w:val="both"/>
              <w:outlineLvl w:val="3"/>
              <w:rPr>
                <w:rFonts w:ascii="Segoe UI" w:hAnsi="Segoe UI" w:cs="Segoe UI"/>
              </w:rPr>
            </w:pPr>
            <w:r w:rsidRPr="00110678">
              <w:rPr>
                <w:rFonts w:ascii="Segoe UI" w:hAnsi="Segoe UI" w:cs="Segoe UI"/>
              </w:rPr>
              <w:t>Key points</w:t>
            </w:r>
          </w:p>
          <w:p w14:paraId="06757B3A" w14:textId="77777777" w:rsidR="00C10050" w:rsidRDefault="00C10050"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 xml:space="preserve">The proposed reduction in the interchange reset timeframe from three years to three months will create </w:t>
            </w:r>
            <w:r w:rsidR="00B6501B">
              <w:rPr>
                <w:rFonts w:ascii="Segoe UI" w:hAnsi="Segoe UI" w:cs="Segoe UI"/>
                <w:sz w:val="22"/>
                <w:szCs w:val="22"/>
              </w:rPr>
              <w:t>additional</w:t>
            </w:r>
            <w:r>
              <w:rPr>
                <w:rFonts w:ascii="Segoe UI" w:hAnsi="Segoe UI" w:cs="Segoe UI"/>
                <w:sz w:val="22"/>
                <w:szCs w:val="22"/>
              </w:rPr>
              <w:t xml:space="preserve"> compliance and operational </w:t>
            </w:r>
            <w:r w:rsidR="00B6501B">
              <w:rPr>
                <w:rFonts w:ascii="Segoe UI" w:hAnsi="Segoe UI" w:cs="Segoe UI"/>
                <w:sz w:val="22"/>
                <w:szCs w:val="22"/>
              </w:rPr>
              <w:t>requirements</w:t>
            </w:r>
            <w:r>
              <w:rPr>
                <w:rFonts w:ascii="Segoe UI" w:hAnsi="Segoe UI" w:cs="Segoe UI"/>
                <w:sz w:val="22"/>
                <w:szCs w:val="22"/>
              </w:rPr>
              <w:t xml:space="preserve"> across the financial services sector</w:t>
            </w:r>
          </w:p>
          <w:p w14:paraId="06757B3B" w14:textId="77777777" w:rsidR="00C10050" w:rsidRDefault="00C1005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 xml:space="preserve">A more stable and predictable interchange environment is readily achievable without </w:t>
            </w:r>
            <w:r w:rsidR="00B6501B">
              <w:rPr>
                <w:rFonts w:ascii="Segoe UI" w:hAnsi="Segoe UI" w:cs="Segoe UI"/>
                <w:sz w:val="22"/>
                <w:szCs w:val="22"/>
              </w:rPr>
              <w:t>quarterly compliance checks</w:t>
            </w:r>
          </w:p>
          <w:p w14:paraId="06757B3C" w14:textId="77777777" w:rsidR="00B6501B" w:rsidRDefault="00B6501B">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Annual assessments would be more than adequate to meet the Review’s objective of managing a weighted average interchange basket</w:t>
            </w:r>
          </w:p>
          <w:p w14:paraId="06757B3D" w14:textId="77777777" w:rsidR="00C10050" w:rsidRPr="00B6501B" w:rsidRDefault="00C10050">
            <w:pPr>
              <w:ind w:right="432"/>
              <w:jc w:val="both"/>
              <w:rPr>
                <w:rFonts w:ascii="Segoe UI" w:hAnsi="Segoe UI" w:cs="Segoe UI"/>
                <w:sz w:val="22"/>
                <w:szCs w:val="22"/>
              </w:rPr>
            </w:pPr>
          </w:p>
        </w:tc>
      </w:tr>
    </w:tbl>
    <w:p w14:paraId="06757B3F" w14:textId="77777777" w:rsidR="00C10050" w:rsidRDefault="00C10050" w:rsidP="00D60CC6">
      <w:pPr>
        <w:pStyle w:val="Heading2"/>
        <w:spacing w:before="0"/>
        <w:jc w:val="both"/>
        <w:rPr>
          <w:rFonts w:ascii="Segoe UI" w:hAnsi="Segoe UI" w:cs="Segoe UI"/>
        </w:rPr>
      </w:pPr>
    </w:p>
    <w:p w14:paraId="06757B40" w14:textId="77777777" w:rsidR="00C10050" w:rsidRDefault="003147C2" w:rsidP="00D60CC6">
      <w:pPr>
        <w:pStyle w:val="Heading2"/>
        <w:spacing w:before="0"/>
        <w:jc w:val="both"/>
        <w:rPr>
          <w:rFonts w:ascii="Segoe UI" w:hAnsi="Segoe UI" w:cs="Segoe UI"/>
        </w:rPr>
      </w:pPr>
      <w:bookmarkStart w:id="72" w:name="_Toc442273959"/>
      <w:r>
        <w:rPr>
          <w:rFonts w:ascii="Segoe UI" w:hAnsi="Segoe UI" w:cs="Segoe UI"/>
        </w:rPr>
        <w:t>3.1</w:t>
      </w:r>
      <w:r>
        <w:rPr>
          <w:rFonts w:ascii="Segoe UI" w:hAnsi="Segoe UI" w:cs="Segoe UI"/>
        </w:rPr>
        <w:tab/>
      </w:r>
      <w:r w:rsidR="00C10050">
        <w:rPr>
          <w:rFonts w:ascii="Segoe UI" w:hAnsi="Segoe UI" w:cs="Segoe UI"/>
        </w:rPr>
        <w:t>Introduction</w:t>
      </w:r>
      <w:bookmarkEnd w:id="72"/>
    </w:p>
    <w:p w14:paraId="06757B41" w14:textId="77777777" w:rsidR="00C10050" w:rsidRDefault="00C10050" w:rsidP="00D60CC6">
      <w:pPr>
        <w:jc w:val="both"/>
      </w:pPr>
    </w:p>
    <w:p w14:paraId="06757B42" w14:textId="77777777" w:rsidR="00C10050" w:rsidRPr="00B016F1" w:rsidRDefault="00C10050" w:rsidP="00D60CC6">
      <w:pPr>
        <w:jc w:val="both"/>
        <w:rPr>
          <w:rFonts w:ascii="Segoe UI" w:hAnsi="Segoe UI" w:cs="Segoe UI"/>
          <w:sz w:val="22"/>
          <w:szCs w:val="22"/>
        </w:rPr>
      </w:pPr>
      <w:r>
        <w:rPr>
          <w:rFonts w:ascii="Segoe UI" w:hAnsi="Segoe UI" w:cs="Segoe UI"/>
          <w:sz w:val="22"/>
          <w:szCs w:val="22"/>
        </w:rPr>
        <w:t>The RBA</w:t>
      </w:r>
      <w:r w:rsidRPr="00B016F1">
        <w:rPr>
          <w:rFonts w:ascii="Segoe UI" w:hAnsi="Segoe UI" w:cs="Segoe UI"/>
          <w:sz w:val="22"/>
          <w:szCs w:val="22"/>
        </w:rPr>
        <w:t xml:space="preserve"> has recommended altering the frequency of the interchange rate reset cycle from the current three yearly timeframe to quarterly compliance checks</w:t>
      </w:r>
      <w:r>
        <w:rPr>
          <w:rStyle w:val="FootnoteReference"/>
          <w:rFonts w:ascii="Segoe UI" w:hAnsi="Segoe UI" w:cs="Segoe UI"/>
          <w:sz w:val="22"/>
          <w:szCs w:val="22"/>
        </w:rPr>
        <w:footnoteReference w:id="19"/>
      </w:r>
      <w:r w:rsidRPr="00B016F1">
        <w:rPr>
          <w:rFonts w:ascii="Segoe UI" w:hAnsi="Segoe UI" w:cs="Segoe UI"/>
          <w:sz w:val="22"/>
          <w:szCs w:val="22"/>
        </w:rPr>
        <w:t xml:space="preserve">, requiring payment system operators to conduct a reset should the weighted average interchange basket exceed 50bps. Further, payment system operators </w:t>
      </w:r>
      <w:r>
        <w:rPr>
          <w:rFonts w:ascii="Segoe UI" w:hAnsi="Segoe UI" w:cs="Segoe UI"/>
          <w:sz w:val="22"/>
          <w:szCs w:val="22"/>
        </w:rPr>
        <w:t xml:space="preserve">would be </w:t>
      </w:r>
      <w:r w:rsidRPr="00B016F1">
        <w:rPr>
          <w:rFonts w:ascii="Segoe UI" w:hAnsi="Segoe UI" w:cs="Segoe UI"/>
          <w:sz w:val="22"/>
          <w:szCs w:val="22"/>
        </w:rPr>
        <w:t>required</w:t>
      </w:r>
      <w:r>
        <w:rPr>
          <w:rFonts w:ascii="Segoe UI" w:hAnsi="Segoe UI" w:cs="Segoe UI"/>
          <w:sz w:val="22"/>
          <w:szCs w:val="22"/>
        </w:rPr>
        <w:t xml:space="preserve"> to complete the reset within 45</w:t>
      </w:r>
      <w:r w:rsidRPr="00B016F1">
        <w:rPr>
          <w:rFonts w:ascii="Segoe UI" w:hAnsi="Segoe UI" w:cs="Segoe UI"/>
          <w:sz w:val="22"/>
          <w:szCs w:val="22"/>
        </w:rPr>
        <w:t xml:space="preserve"> days following the end of the quarterly period.</w:t>
      </w:r>
    </w:p>
    <w:p w14:paraId="06757B43" w14:textId="77777777" w:rsidR="00C10050" w:rsidRDefault="00C10050" w:rsidP="00D60CC6">
      <w:pPr>
        <w:jc w:val="both"/>
        <w:rPr>
          <w:rFonts w:ascii="Segoe UI" w:hAnsi="Segoe UI" w:cs="Segoe UI"/>
          <w:sz w:val="22"/>
          <w:szCs w:val="22"/>
        </w:rPr>
      </w:pPr>
    </w:p>
    <w:p w14:paraId="06757B44" w14:textId="77777777" w:rsidR="00D962B2" w:rsidRDefault="00D962B2" w:rsidP="00D60CC6">
      <w:pPr>
        <w:jc w:val="both"/>
        <w:rPr>
          <w:rFonts w:ascii="Segoe UI" w:hAnsi="Segoe UI" w:cs="Segoe UI"/>
          <w:sz w:val="22"/>
          <w:szCs w:val="22"/>
        </w:rPr>
      </w:pPr>
      <w:r>
        <w:rPr>
          <w:rFonts w:ascii="Segoe UI" w:hAnsi="Segoe UI" w:cs="Segoe UI"/>
          <w:sz w:val="22"/>
          <w:szCs w:val="22"/>
        </w:rPr>
        <w:t>Visa does not believe that the proposed shift from three-yearly interchange rate resets to three-monthly compliance checks is a workable solution. This will create an increased and unnecessary burden on participants within the payments ecosystem and generate instability within the broader economy. Visa firmly believes that a minimum 12-monthly interchange rate reset window would meet the requirements of the review while reducing the impact on payment system participants.</w:t>
      </w:r>
    </w:p>
    <w:p w14:paraId="06757B45" w14:textId="77777777" w:rsidR="00D962B2" w:rsidRDefault="00D962B2" w:rsidP="00D60CC6">
      <w:pPr>
        <w:jc w:val="both"/>
        <w:rPr>
          <w:rFonts w:ascii="Segoe UI" w:hAnsi="Segoe UI" w:cs="Segoe UI"/>
          <w:sz w:val="22"/>
          <w:szCs w:val="22"/>
        </w:rPr>
      </w:pPr>
    </w:p>
    <w:p w14:paraId="06757B46" w14:textId="77777777" w:rsidR="00C10050" w:rsidRDefault="00C10050" w:rsidP="00D60CC6">
      <w:pPr>
        <w:jc w:val="both"/>
        <w:rPr>
          <w:rFonts w:ascii="Segoe UI" w:hAnsi="Segoe UI" w:cs="Segoe UI"/>
          <w:sz w:val="22"/>
          <w:szCs w:val="22"/>
        </w:rPr>
      </w:pPr>
      <w:r>
        <w:rPr>
          <w:rFonts w:ascii="Segoe UI" w:hAnsi="Segoe UI" w:cs="Segoe UI"/>
          <w:sz w:val="22"/>
          <w:szCs w:val="22"/>
        </w:rPr>
        <w:t xml:space="preserve">Visa understands the RBA’s intent is to reduce fluctuations around the weighted interchange basket by shortening the scope of the reset cycle. However, the RBA’s current proposal would create an operational undertaking across the payments system – from </w:t>
      </w:r>
      <w:r w:rsidR="00A53317">
        <w:rPr>
          <w:rFonts w:ascii="Segoe UI" w:hAnsi="Segoe UI" w:cs="Segoe UI"/>
          <w:sz w:val="22"/>
          <w:szCs w:val="22"/>
        </w:rPr>
        <w:t>acquirers,</w:t>
      </w:r>
      <w:r>
        <w:rPr>
          <w:rFonts w:ascii="Segoe UI" w:hAnsi="Segoe UI" w:cs="Segoe UI"/>
          <w:sz w:val="22"/>
          <w:szCs w:val="22"/>
        </w:rPr>
        <w:t xml:space="preserve"> </w:t>
      </w:r>
      <w:r w:rsidR="005A7D31">
        <w:rPr>
          <w:rFonts w:ascii="Segoe UI" w:hAnsi="Segoe UI" w:cs="Segoe UI"/>
          <w:sz w:val="22"/>
          <w:szCs w:val="22"/>
        </w:rPr>
        <w:t xml:space="preserve">to </w:t>
      </w:r>
      <w:r>
        <w:rPr>
          <w:rFonts w:ascii="Segoe UI" w:hAnsi="Segoe UI" w:cs="Segoe UI"/>
          <w:sz w:val="22"/>
          <w:szCs w:val="22"/>
        </w:rPr>
        <w:t>merchants</w:t>
      </w:r>
      <w:r w:rsidR="005A7D31">
        <w:rPr>
          <w:rFonts w:ascii="Segoe UI" w:hAnsi="Segoe UI" w:cs="Segoe UI"/>
          <w:sz w:val="22"/>
          <w:szCs w:val="22"/>
        </w:rPr>
        <w:t>,</w:t>
      </w:r>
      <w:r>
        <w:rPr>
          <w:rFonts w:ascii="Segoe UI" w:hAnsi="Segoe UI" w:cs="Segoe UI"/>
          <w:sz w:val="22"/>
          <w:szCs w:val="22"/>
        </w:rPr>
        <w:t xml:space="preserve"> to issuers – where the additional compliance efforts needed to uphold the regulation would potentially undermine the intention of the changes. Rather than ultimately </w:t>
      </w:r>
      <w:r w:rsidR="00D60CC6">
        <w:rPr>
          <w:rFonts w:ascii="Segoe UI" w:hAnsi="Segoe UI" w:cs="Segoe UI"/>
          <w:sz w:val="22"/>
          <w:szCs w:val="22"/>
        </w:rPr>
        <w:t>reducing</w:t>
      </w:r>
      <w:r>
        <w:rPr>
          <w:rFonts w:ascii="Segoe UI" w:hAnsi="Segoe UI" w:cs="Segoe UI"/>
          <w:sz w:val="22"/>
          <w:szCs w:val="22"/>
        </w:rPr>
        <w:t xml:space="preserve"> the cost of acceptance, it would create an unreasonable additional burden on all participants in the payments eco-system. The increased cadence of compliance requirements also creates potential volatility to issuer</w:t>
      </w:r>
      <w:r w:rsidR="00A53317">
        <w:rPr>
          <w:rFonts w:ascii="Segoe UI" w:hAnsi="Segoe UI" w:cs="Segoe UI"/>
          <w:sz w:val="22"/>
          <w:szCs w:val="22"/>
        </w:rPr>
        <w:t>s and acquirers</w:t>
      </w:r>
      <w:r>
        <w:rPr>
          <w:rFonts w:ascii="Segoe UI" w:hAnsi="Segoe UI" w:cs="Segoe UI"/>
          <w:sz w:val="22"/>
          <w:szCs w:val="22"/>
        </w:rPr>
        <w:t xml:space="preserve"> revenue and additional administrative costs, reducing both the resources available and incentive for investment in product development and innovation. For the payments networks, it would require significant additional resources.</w:t>
      </w:r>
    </w:p>
    <w:p w14:paraId="06757B47" w14:textId="77777777" w:rsidR="00C10050" w:rsidRDefault="00C10050" w:rsidP="00D60CC6">
      <w:pPr>
        <w:jc w:val="both"/>
        <w:rPr>
          <w:rFonts w:ascii="Segoe UI" w:hAnsi="Segoe UI" w:cs="Segoe UI"/>
          <w:sz w:val="22"/>
          <w:szCs w:val="22"/>
        </w:rPr>
      </w:pPr>
    </w:p>
    <w:p w14:paraId="06757B48" w14:textId="77777777" w:rsidR="00C10050" w:rsidRDefault="00D962B2" w:rsidP="00D60CC6">
      <w:pPr>
        <w:jc w:val="both"/>
        <w:rPr>
          <w:rFonts w:ascii="Segoe UI" w:hAnsi="Segoe UI" w:cs="Segoe UI"/>
          <w:sz w:val="22"/>
          <w:szCs w:val="22"/>
        </w:rPr>
      </w:pPr>
      <w:r>
        <w:rPr>
          <w:rFonts w:ascii="Segoe UI" w:eastAsia="Segoe UI" w:hAnsi="Segoe UI" w:cs="Segoe UI"/>
          <w:sz w:val="22"/>
          <w:szCs w:val="22"/>
        </w:rPr>
        <w:t>From a technical perspective, t</w:t>
      </w:r>
      <w:r w:rsidR="00C10050" w:rsidRPr="1878AEBC">
        <w:rPr>
          <w:rFonts w:ascii="Segoe UI" w:eastAsia="Segoe UI" w:hAnsi="Segoe UI" w:cs="Segoe UI"/>
          <w:sz w:val="22"/>
          <w:szCs w:val="22"/>
        </w:rPr>
        <w:t>he recommended 45 day period with</w:t>
      </w:r>
      <w:r w:rsidR="005A7D31">
        <w:rPr>
          <w:rFonts w:ascii="Segoe UI" w:eastAsia="Segoe UI" w:hAnsi="Segoe UI" w:cs="Segoe UI"/>
          <w:sz w:val="22"/>
          <w:szCs w:val="22"/>
        </w:rPr>
        <w:t>in</w:t>
      </w:r>
      <w:r w:rsidR="00C10050" w:rsidRPr="1878AEBC">
        <w:rPr>
          <w:rFonts w:ascii="Segoe UI" w:eastAsia="Segoe UI" w:hAnsi="Segoe UI" w:cs="Segoe UI"/>
          <w:sz w:val="22"/>
          <w:szCs w:val="22"/>
        </w:rPr>
        <w:t xml:space="preserve"> which to complete the reset would be impossible to achieve under </w:t>
      </w:r>
      <w:r>
        <w:rPr>
          <w:rFonts w:ascii="Segoe UI" w:eastAsia="Segoe UI" w:hAnsi="Segoe UI" w:cs="Segoe UI"/>
          <w:sz w:val="22"/>
          <w:szCs w:val="22"/>
        </w:rPr>
        <w:t>a</w:t>
      </w:r>
      <w:r w:rsidR="007D0BE9">
        <w:rPr>
          <w:rFonts w:ascii="Segoe UI" w:eastAsia="Segoe UI" w:hAnsi="Segoe UI" w:cs="Segoe UI"/>
          <w:sz w:val="22"/>
          <w:szCs w:val="22"/>
        </w:rPr>
        <w:t xml:space="preserve"> quarterly reset environment. </w:t>
      </w:r>
      <w:r w:rsidR="00C10050" w:rsidRPr="1878AEBC">
        <w:rPr>
          <w:rFonts w:ascii="Segoe UI" w:eastAsia="Segoe UI" w:hAnsi="Segoe UI" w:cs="Segoe UI"/>
          <w:sz w:val="22"/>
          <w:szCs w:val="22"/>
        </w:rPr>
        <w:t>Visa and its partners are heavily coordinated around technical interchange release dates a</w:t>
      </w:r>
      <w:r w:rsidR="00C10050">
        <w:rPr>
          <w:rFonts w:ascii="Segoe UI" w:eastAsia="Segoe UI" w:hAnsi="Segoe UI" w:cs="Segoe UI"/>
          <w:sz w:val="22"/>
          <w:szCs w:val="22"/>
        </w:rPr>
        <w:t xml:space="preserve">nd compliance </w:t>
      </w:r>
      <w:r w:rsidR="00C10050">
        <w:rPr>
          <w:rFonts w:ascii="Segoe UI" w:eastAsia="Segoe UI" w:hAnsi="Segoe UI" w:cs="Segoe UI"/>
          <w:sz w:val="22"/>
          <w:szCs w:val="22"/>
        </w:rPr>
        <w:lastRenderedPageBreak/>
        <w:t>requirements</w:t>
      </w:r>
      <w:r w:rsidR="00C10050" w:rsidRPr="1878AEBC">
        <w:rPr>
          <w:rFonts w:ascii="Segoe UI" w:eastAsia="Segoe UI" w:hAnsi="Segoe UI" w:cs="Segoe UI"/>
          <w:sz w:val="22"/>
          <w:szCs w:val="22"/>
        </w:rPr>
        <w:t xml:space="preserve"> to maintain the safety, integrity and security of the payments system, a process that requires a longer time period </w:t>
      </w:r>
      <w:r w:rsidR="00C10050">
        <w:rPr>
          <w:rFonts w:ascii="Segoe UI" w:hAnsi="Segoe UI" w:cs="Segoe UI"/>
          <w:sz w:val="22"/>
          <w:szCs w:val="22"/>
        </w:rPr>
        <w:t xml:space="preserve">than 45 days to manage sufficiently. </w:t>
      </w:r>
    </w:p>
    <w:p w14:paraId="06757B49" w14:textId="77777777" w:rsidR="00C10050" w:rsidRDefault="00C10050" w:rsidP="00D60CC6">
      <w:pPr>
        <w:jc w:val="both"/>
        <w:rPr>
          <w:rFonts w:ascii="Segoe UI" w:hAnsi="Segoe UI" w:cs="Segoe UI"/>
          <w:sz w:val="22"/>
          <w:szCs w:val="22"/>
        </w:rPr>
      </w:pPr>
    </w:p>
    <w:p w14:paraId="06757B4A" w14:textId="77777777" w:rsidR="00C10050" w:rsidRPr="00EC438A" w:rsidRDefault="00D962B2" w:rsidP="00D60CC6">
      <w:pPr>
        <w:jc w:val="both"/>
        <w:rPr>
          <w:rFonts w:ascii="Segoe UI" w:hAnsi="Segoe UI" w:cs="Segoe UI"/>
          <w:sz w:val="22"/>
          <w:szCs w:val="22"/>
        </w:rPr>
      </w:pPr>
      <w:r>
        <w:rPr>
          <w:rFonts w:ascii="Segoe UI" w:hAnsi="Segoe UI" w:cs="Segoe UI"/>
          <w:sz w:val="22"/>
          <w:szCs w:val="22"/>
        </w:rPr>
        <w:t>Instead of the proposed quarterly compliance cycle, Visa strongly advocates the introduction of an annual cycle as a realistic option that would meet both business needs and the RBA’s objectives.</w:t>
      </w:r>
    </w:p>
    <w:p w14:paraId="06757B4B" w14:textId="77777777" w:rsidR="00C10050" w:rsidRDefault="00C10050" w:rsidP="00D60CC6">
      <w:pPr>
        <w:jc w:val="both"/>
        <w:rPr>
          <w:rFonts w:ascii="Segoe UI" w:hAnsi="Segoe UI" w:cs="Segoe UI"/>
          <w:sz w:val="22"/>
          <w:szCs w:val="22"/>
        </w:rPr>
      </w:pPr>
    </w:p>
    <w:p w14:paraId="06757B4C" w14:textId="77777777" w:rsidR="00C10050" w:rsidRDefault="003147C2" w:rsidP="00D60CC6">
      <w:pPr>
        <w:pStyle w:val="Heading2"/>
        <w:spacing w:before="0"/>
        <w:jc w:val="both"/>
        <w:rPr>
          <w:rFonts w:ascii="Segoe UI" w:hAnsi="Segoe UI" w:cs="Segoe UI"/>
        </w:rPr>
      </w:pPr>
      <w:bookmarkStart w:id="73" w:name="_Toc442273960"/>
      <w:r>
        <w:rPr>
          <w:rFonts w:ascii="Segoe UI" w:hAnsi="Segoe UI" w:cs="Segoe UI"/>
        </w:rPr>
        <w:t>3.2</w:t>
      </w:r>
      <w:r>
        <w:rPr>
          <w:rFonts w:ascii="Segoe UI" w:hAnsi="Segoe UI" w:cs="Segoe UI"/>
        </w:rPr>
        <w:tab/>
      </w:r>
      <w:r w:rsidR="00C10050">
        <w:rPr>
          <w:rFonts w:ascii="Segoe UI" w:hAnsi="Segoe UI" w:cs="Segoe UI"/>
        </w:rPr>
        <w:t xml:space="preserve">Operational </w:t>
      </w:r>
      <w:r w:rsidR="00CC79AE">
        <w:rPr>
          <w:rFonts w:ascii="Segoe UI" w:hAnsi="Segoe UI" w:cs="Segoe UI"/>
        </w:rPr>
        <w:t>r</w:t>
      </w:r>
      <w:r w:rsidR="00C10050">
        <w:rPr>
          <w:rFonts w:ascii="Segoe UI" w:hAnsi="Segoe UI" w:cs="Segoe UI"/>
        </w:rPr>
        <w:t>equirements</w:t>
      </w:r>
      <w:bookmarkEnd w:id="73"/>
    </w:p>
    <w:p w14:paraId="06757B4D" w14:textId="77777777" w:rsidR="00C10050" w:rsidRDefault="00C10050" w:rsidP="00D60CC6">
      <w:pPr>
        <w:jc w:val="both"/>
        <w:rPr>
          <w:rFonts w:ascii="Segoe UI" w:hAnsi="Segoe UI" w:cs="Segoe UI"/>
          <w:sz w:val="22"/>
          <w:szCs w:val="22"/>
        </w:rPr>
      </w:pPr>
    </w:p>
    <w:p w14:paraId="06757B4E" w14:textId="77777777" w:rsidR="00D962B2" w:rsidRDefault="00D962B2" w:rsidP="00D60CC6">
      <w:pPr>
        <w:jc w:val="both"/>
        <w:rPr>
          <w:rFonts w:ascii="Segoe UI" w:hAnsi="Segoe UI" w:cs="Segoe UI"/>
          <w:sz w:val="22"/>
          <w:szCs w:val="22"/>
        </w:rPr>
      </w:pPr>
      <w:r>
        <w:rPr>
          <w:rFonts w:ascii="Segoe UI" w:hAnsi="Segoe UI" w:cs="Segoe UI"/>
          <w:sz w:val="22"/>
          <w:szCs w:val="22"/>
        </w:rPr>
        <w:t>Visa believes the management of Australia’s interchange regime needs to be practical, workable and effective for all participants in the payments ecosystem. A quarterly reset cycle would be an unworkable solution to the requirements of the RBA from a business perspective.</w:t>
      </w:r>
    </w:p>
    <w:p w14:paraId="06757B4F" w14:textId="77777777" w:rsidR="00D962B2" w:rsidRDefault="00D962B2" w:rsidP="00D60CC6">
      <w:pPr>
        <w:jc w:val="both"/>
        <w:rPr>
          <w:rFonts w:ascii="Segoe UI" w:hAnsi="Segoe UI" w:cs="Segoe UI"/>
          <w:sz w:val="22"/>
          <w:szCs w:val="22"/>
        </w:rPr>
      </w:pPr>
    </w:p>
    <w:p w14:paraId="06757B50" w14:textId="77777777" w:rsidR="00C10050" w:rsidRPr="00B016F1" w:rsidRDefault="00C10050" w:rsidP="00D60CC6">
      <w:pPr>
        <w:jc w:val="both"/>
        <w:rPr>
          <w:rFonts w:ascii="Segoe UI" w:hAnsi="Segoe UI" w:cs="Segoe UI"/>
          <w:sz w:val="22"/>
          <w:szCs w:val="22"/>
        </w:rPr>
      </w:pPr>
      <w:r w:rsidRPr="00B016F1">
        <w:rPr>
          <w:rFonts w:ascii="Segoe UI" w:hAnsi="Segoe UI" w:cs="Segoe UI"/>
          <w:sz w:val="22"/>
          <w:szCs w:val="22"/>
        </w:rPr>
        <w:t xml:space="preserve">Interchange rate </w:t>
      </w:r>
      <w:r>
        <w:rPr>
          <w:rFonts w:ascii="Segoe UI" w:hAnsi="Segoe UI" w:cs="Segoe UI"/>
          <w:sz w:val="22"/>
          <w:szCs w:val="22"/>
        </w:rPr>
        <w:t>resets are highly complex, time-</w:t>
      </w:r>
      <w:r w:rsidRPr="00B016F1">
        <w:rPr>
          <w:rFonts w:ascii="Segoe UI" w:hAnsi="Segoe UI" w:cs="Segoe UI"/>
          <w:sz w:val="22"/>
          <w:szCs w:val="22"/>
        </w:rPr>
        <w:t>consuming</w:t>
      </w:r>
      <w:r>
        <w:rPr>
          <w:rFonts w:ascii="Segoe UI" w:hAnsi="Segoe UI" w:cs="Segoe UI"/>
          <w:sz w:val="22"/>
          <w:szCs w:val="22"/>
        </w:rPr>
        <w:t>,</w:t>
      </w:r>
      <w:r w:rsidRPr="00B016F1">
        <w:rPr>
          <w:rFonts w:ascii="Segoe UI" w:hAnsi="Segoe UI" w:cs="Segoe UI"/>
          <w:sz w:val="22"/>
          <w:szCs w:val="22"/>
        </w:rPr>
        <w:t xml:space="preserve"> and </w:t>
      </w:r>
      <w:r>
        <w:rPr>
          <w:rFonts w:ascii="Segoe UI" w:hAnsi="Segoe UI" w:cs="Segoe UI"/>
          <w:sz w:val="22"/>
          <w:szCs w:val="22"/>
        </w:rPr>
        <w:t>balance the needs of multiple parties throughout</w:t>
      </w:r>
      <w:r w:rsidRPr="00B016F1">
        <w:rPr>
          <w:rFonts w:ascii="Segoe UI" w:hAnsi="Segoe UI" w:cs="Segoe UI"/>
          <w:sz w:val="22"/>
          <w:szCs w:val="22"/>
        </w:rPr>
        <w:t xml:space="preserve"> </w:t>
      </w:r>
      <w:r>
        <w:rPr>
          <w:rFonts w:ascii="Segoe UI" w:hAnsi="Segoe UI" w:cs="Segoe UI"/>
          <w:sz w:val="22"/>
          <w:szCs w:val="22"/>
        </w:rPr>
        <w:t>the payments system</w:t>
      </w:r>
      <w:r w:rsidRPr="00B016F1">
        <w:rPr>
          <w:rFonts w:ascii="Segoe UI" w:hAnsi="Segoe UI" w:cs="Segoe UI"/>
          <w:sz w:val="22"/>
          <w:szCs w:val="22"/>
        </w:rPr>
        <w:t xml:space="preserve">. Each interchange </w:t>
      </w:r>
      <w:r>
        <w:rPr>
          <w:rFonts w:ascii="Segoe UI" w:hAnsi="Segoe UI" w:cs="Segoe UI"/>
          <w:sz w:val="22"/>
          <w:szCs w:val="22"/>
        </w:rPr>
        <w:t>rate reset generates significant costs</w:t>
      </w:r>
      <w:r w:rsidRPr="00B016F1">
        <w:rPr>
          <w:rFonts w:ascii="Segoe UI" w:hAnsi="Segoe UI" w:cs="Segoe UI"/>
          <w:sz w:val="22"/>
          <w:szCs w:val="22"/>
        </w:rPr>
        <w:t xml:space="preserve"> across the payments ecosystem, including management and implementation costs, pricing changes by acquirers, and results in potential shifts in the product portfolio range offered by issuers.</w:t>
      </w:r>
      <w:r>
        <w:rPr>
          <w:rFonts w:ascii="Segoe UI" w:hAnsi="Segoe UI" w:cs="Segoe UI"/>
          <w:sz w:val="22"/>
          <w:szCs w:val="22"/>
        </w:rPr>
        <w:t xml:space="preserve"> </w:t>
      </w:r>
      <w:r w:rsidRPr="00B016F1">
        <w:rPr>
          <w:rFonts w:ascii="Segoe UI" w:hAnsi="Segoe UI" w:cs="Segoe UI"/>
          <w:sz w:val="22"/>
          <w:szCs w:val="22"/>
        </w:rPr>
        <w:t>Further, payment system operators and other participants in the payments ecosystem would also be required to invest heavily in technological infrastructure and back-of-house systems to support the requirement for more frequent compliance and, potentially, more frequent resets.</w:t>
      </w:r>
    </w:p>
    <w:p w14:paraId="06757B51" w14:textId="77777777" w:rsidR="00C10050" w:rsidRPr="00B016F1" w:rsidRDefault="00C10050" w:rsidP="00D60CC6">
      <w:pPr>
        <w:jc w:val="both"/>
        <w:rPr>
          <w:rFonts w:ascii="Segoe UI" w:hAnsi="Segoe UI" w:cs="Segoe UI"/>
          <w:sz w:val="22"/>
          <w:szCs w:val="22"/>
        </w:rPr>
      </w:pPr>
    </w:p>
    <w:p w14:paraId="06757B52" w14:textId="77777777" w:rsidR="00C10050" w:rsidRDefault="00C10050" w:rsidP="00D60CC6">
      <w:pPr>
        <w:jc w:val="both"/>
        <w:rPr>
          <w:rFonts w:ascii="Segoe UI" w:hAnsi="Segoe UI" w:cs="Segoe UI"/>
          <w:sz w:val="22"/>
          <w:szCs w:val="22"/>
        </w:rPr>
      </w:pPr>
      <w:r w:rsidRPr="00B016F1">
        <w:rPr>
          <w:rFonts w:ascii="Segoe UI" w:hAnsi="Segoe UI" w:cs="Segoe UI"/>
          <w:sz w:val="22"/>
          <w:szCs w:val="22"/>
        </w:rPr>
        <w:t>Coordinating system changes and rate resets also requires extensive planning between payment system operators</w:t>
      </w:r>
      <w:r w:rsidR="00A43C00">
        <w:rPr>
          <w:rFonts w:ascii="Segoe UI" w:hAnsi="Segoe UI" w:cs="Segoe UI"/>
          <w:sz w:val="22"/>
          <w:szCs w:val="22"/>
        </w:rPr>
        <w:t>, acquirers</w:t>
      </w:r>
      <w:r w:rsidRPr="00B016F1">
        <w:rPr>
          <w:rFonts w:ascii="Segoe UI" w:hAnsi="Segoe UI" w:cs="Segoe UI"/>
          <w:sz w:val="22"/>
          <w:szCs w:val="22"/>
        </w:rPr>
        <w:t xml:space="preserve"> and issuing banks to ensure minimal disruption to c</w:t>
      </w:r>
      <w:r w:rsidR="00A43C00">
        <w:rPr>
          <w:rFonts w:ascii="Segoe UI" w:hAnsi="Segoe UI" w:cs="Segoe UI"/>
          <w:sz w:val="22"/>
          <w:szCs w:val="22"/>
        </w:rPr>
        <w:t>onsumers and merchants.</w:t>
      </w:r>
      <w:r w:rsidRPr="00B016F1">
        <w:rPr>
          <w:rFonts w:ascii="Segoe UI" w:hAnsi="Segoe UI" w:cs="Segoe UI"/>
          <w:sz w:val="22"/>
          <w:szCs w:val="22"/>
        </w:rPr>
        <w:t xml:space="preserve"> To support this process, Visa’s global payment network relea</w:t>
      </w:r>
      <w:r>
        <w:rPr>
          <w:rFonts w:ascii="Segoe UI" w:hAnsi="Segoe UI" w:cs="Segoe UI"/>
          <w:sz w:val="22"/>
          <w:szCs w:val="22"/>
        </w:rPr>
        <w:t xml:space="preserve">ses interchange rate changes globally twice per year on </w:t>
      </w:r>
      <w:r w:rsidRPr="1878AEBC">
        <w:rPr>
          <w:rFonts w:ascii="Segoe UI" w:eastAsia="Segoe UI" w:hAnsi="Segoe UI" w:cs="Segoe UI"/>
          <w:sz w:val="22"/>
          <w:szCs w:val="22"/>
        </w:rPr>
        <w:t xml:space="preserve">pre-scheduled dates at the lowest risk times of the year for both issuers and acquirers, and to provide increased stability, Visa implements a system freeze over the peak transaction period of November to January. </w:t>
      </w:r>
      <w:r w:rsidRPr="003A77F8">
        <w:rPr>
          <w:rFonts w:ascii="Segoe UI" w:eastAsia="Segoe UI" w:hAnsi="Segoe UI" w:cs="Segoe UI"/>
          <w:sz w:val="22"/>
          <w:szCs w:val="22"/>
        </w:rPr>
        <w:t>However, under the proposed recommendations, interchange rate changes made during the December quarter would generate significant complexity and disruption to the payment system, generating volatility at time where seasonality places a significant impact on transaction volumes.</w:t>
      </w:r>
    </w:p>
    <w:p w14:paraId="06757B53" w14:textId="77777777" w:rsidR="00C10050" w:rsidRDefault="00C10050" w:rsidP="00D60CC6">
      <w:pPr>
        <w:jc w:val="both"/>
        <w:rPr>
          <w:rFonts w:ascii="Segoe UI" w:hAnsi="Segoe UI" w:cs="Segoe UI"/>
          <w:sz w:val="22"/>
          <w:szCs w:val="22"/>
        </w:rPr>
      </w:pPr>
    </w:p>
    <w:p w14:paraId="06757B54" w14:textId="77777777" w:rsidR="00C10050" w:rsidRPr="00B2466A" w:rsidRDefault="00C10050" w:rsidP="00D60CC6">
      <w:pPr>
        <w:jc w:val="both"/>
        <w:rPr>
          <w:rFonts w:ascii="Segoe UI" w:hAnsi="Segoe UI" w:cs="Segoe UI"/>
          <w:sz w:val="22"/>
          <w:szCs w:val="22"/>
        </w:rPr>
      </w:pPr>
      <w:r w:rsidRPr="00B2466A">
        <w:rPr>
          <w:rFonts w:ascii="Segoe UI" w:hAnsi="Segoe UI" w:cs="Segoe UI"/>
          <w:sz w:val="22"/>
          <w:szCs w:val="22"/>
        </w:rPr>
        <w:t xml:space="preserve">Visa takes great </w:t>
      </w:r>
      <w:r w:rsidR="005A7D31">
        <w:rPr>
          <w:rFonts w:ascii="Segoe UI" w:hAnsi="Segoe UI" w:cs="Segoe UI"/>
          <w:sz w:val="22"/>
          <w:szCs w:val="22"/>
        </w:rPr>
        <w:t xml:space="preserve">efforts </w:t>
      </w:r>
      <w:r w:rsidRPr="00B2466A">
        <w:rPr>
          <w:rFonts w:ascii="Segoe UI" w:hAnsi="Segoe UI" w:cs="Segoe UI"/>
          <w:sz w:val="22"/>
          <w:szCs w:val="22"/>
        </w:rPr>
        <w:t>to ensure that its network is available 24/7, 365 days a year globally. Visa’s system reliability is over 99.999</w:t>
      </w:r>
      <w:r w:rsidR="00A43C00">
        <w:rPr>
          <w:rFonts w:ascii="Segoe UI" w:hAnsi="Segoe UI" w:cs="Segoe UI"/>
          <w:sz w:val="22"/>
          <w:szCs w:val="22"/>
        </w:rPr>
        <w:t>99</w:t>
      </w:r>
      <w:r w:rsidR="00952D5E">
        <w:rPr>
          <w:rFonts w:ascii="Segoe UI" w:hAnsi="Segoe UI" w:cs="Segoe UI"/>
          <w:sz w:val="22"/>
          <w:szCs w:val="22"/>
        </w:rPr>
        <w:t xml:space="preserve"> per cent</w:t>
      </w:r>
      <w:r w:rsidRPr="00B2466A">
        <w:rPr>
          <w:rFonts w:ascii="Segoe UI" w:hAnsi="Segoe UI" w:cs="Segoe UI"/>
          <w:sz w:val="22"/>
          <w:szCs w:val="22"/>
        </w:rPr>
        <w:t xml:space="preserve"> and this is a result of decades of experience which requires extensive planning and coordination with all system participants. Visa</w:t>
      </w:r>
      <w:r w:rsidR="005A7D31">
        <w:rPr>
          <w:rFonts w:ascii="Segoe UI" w:hAnsi="Segoe UI" w:cs="Segoe UI"/>
          <w:sz w:val="22"/>
          <w:szCs w:val="22"/>
        </w:rPr>
        <w:t>’s</w:t>
      </w:r>
      <w:r w:rsidRPr="00B2466A">
        <w:rPr>
          <w:rFonts w:ascii="Segoe UI" w:hAnsi="Segoe UI" w:cs="Segoe UI"/>
          <w:sz w:val="22"/>
          <w:szCs w:val="22"/>
        </w:rPr>
        <w:t xml:space="preserve"> system changes and rate resets requires extensive planning between Visa</w:t>
      </w:r>
      <w:r w:rsidR="00A43C00">
        <w:rPr>
          <w:rFonts w:ascii="Segoe UI" w:hAnsi="Segoe UI" w:cs="Segoe UI"/>
          <w:sz w:val="22"/>
          <w:szCs w:val="22"/>
        </w:rPr>
        <w:t>,</w:t>
      </w:r>
      <w:r w:rsidRPr="00B2466A">
        <w:rPr>
          <w:rFonts w:ascii="Segoe UI" w:hAnsi="Segoe UI" w:cs="Segoe UI"/>
          <w:sz w:val="22"/>
          <w:szCs w:val="22"/>
        </w:rPr>
        <w:t xml:space="preserve"> issuing and acquiring banks. </w:t>
      </w:r>
    </w:p>
    <w:p w14:paraId="06757B55" w14:textId="77777777" w:rsidR="00C10050" w:rsidRDefault="00C10050" w:rsidP="00D60CC6">
      <w:pPr>
        <w:jc w:val="both"/>
        <w:rPr>
          <w:rFonts w:ascii="Segoe UI" w:hAnsi="Segoe UI" w:cs="Segoe UI"/>
          <w:sz w:val="22"/>
          <w:szCs w:val="22"/>
        </w:rPr>
      </w:pPr>
    </w:p>
    <w:p w14:paraId="06757B56" w14:textId="77777777" w:rsidR="00C10050" w:rsidRDefault="00C10050" w:rsidP="00D60CC6">
      <w:pPr>
        <w:jc w:val="both"/>
        <w:rPr>
          <w:rFonts w:ascii="Segoe UI" w:hAnsi="Segoe UI" w:cs="Segoe UI"/>
          <w:sz w:val="22"/>
          <w:szCs w:val="22"/>
        </w:rPr>
      </w:pPr>
      <w:r w:rsidRPr="00B016F1">
        <w:rPr>
          <w:rFonts w:ascii="Segoe UI" w:hAnsi="Segoe UI" w:cs="Segoe UI"/>
          <w:sz w:val="22"/>
          <w:szCs w:val="22"/>
        </w:rPr>
        <w:t xml:space="preserve">Seasonality of spend, or the shift in spending patterns by cardholders during high consumption periods such as Christmas or Chinese New Year, </w:t>
      </w:r>
      <w:r w:rsidR="00D962B2">
        <w:rPr>
          <w:rFonts w:ascii="Segoe UI" w:hAnsi="Segoe UI" w:cs="Segoe UI"/>
          <w:sz w:val="22"/>
          <w:szCs w:val="22"/>
        </w:rPr>
        <w:t>causes volatility in the interchange mix</w:t>
      </w:r>
      <w:r w:rsidRPr="00B016F1">
        <w:rPr>
          <w:rFonts w:ascii="Segoe UI" w:hAnsi="Segoe UI" w:cs="Segoe UI"/>
          <w:sz w:val="22"/>
          <w:szCs w:val="22"/>
        </w:rPr>
        <w:t xml:space="preserve"> throughout the year</w:t>
      </w:r>
      <w:r w:rsidR="00D962B2">
        <w:rPr>
          <w:rFonts w:ascii="Segoe UI" w:hAnsi="Segoe UI" w:cs="Segoe UI"/>
          <w:sz w:val="22"/>
          <w:szCs w:val="22"/>
        </w:rPr>
        <w:t xml:space="preserve">. </w:t>
      </w:r>
      <w:r>
        <w:rPr>
          <w:rFonts w:ascii="Segoe UI" w:hAnsi="Segoe UI" w:cs="Segoe UI"/>
          <w:sz w:val="22"/>
          <w:szCs w:val="22"/>
        </w:rPr>
        <w:t xml:space="preserve">Furthermore, payment volume within a quarter </w:t>
      </w:r>
      <w:r w:rsidR="00D962B2">
        <w:rPr>
          <w:rFonts w:ascii="Segoe UI" w:hAnsi="Segoe UI" w:cs="Segoe UI"/>
          <w:sz w:val="22"/>
          <w:szCs w:val="22"/>
        </w:rPr>
        <w:t>can vary significantly, both with seasonality and in response to</w:t>
      </w:r>
      <w:r>
        <w:rPr>
          <w:rFonts w:ascii="Segoe UI" w:hAnsi="Segoe UI" w:cs="Segoe UI"/>
          <w:sz w:val="22"/>
          <w:szCs w:val="22"/>
        </w:rPr>
        <w:t xml:space="preserve"> unforeseen global events. </w:t>
      </w:r>
      <w:r w:rsidRPr="00B016F1">
        <w:rPr>
          <w:rFonts w:ascii="Segoe UI" w:hAnsi="Segoe UI" w:cs="Segoe UI"/>
          <w:sz w:val="22"/>
          <w:szCs w:val="22"/>
        </w:rPr>
        <w:t>While this</w:t>
      </w:r>
      <w:r>
        <w:rPr>
          <w:rFonts w:ascii="Segoe UI" w:hAnsi="Segoe UI" w:cs="Segoe UI"/>
          <w:sz w:val="22"/>
          <w:szCs w:val="22"/>
        </w:rPr>
        <w:t xml:space="preserve"> variance</w:t>
      </w:r>
      <w:r w:rsidRPr="00B016F1">
        <w:rPr>
          <w:rFonts w:ascii="Segoe UI" w:hAnsi="Segoe UI" w:cs="Segoe UI"/>
          <w:sz w:val="22"/>
          <w:szCs w:val="22"/>
        </w:rPr>
        <w:t xml:space="preserve"> can be addressed across a period of 12 months or longer, there is very little ability to factor in these market conditions </w:t>
      </w:r>
      <w:r>
        <w:rPr>
          <w:rFonts w:ascii="Segoe UI" w:hAnsi="Segoe UI" w:cs="Segoe UI"/>
          <w:sz w:val="22"/>
          <w:szCs w:val="22"/>
        </w:rPr>
        <w:t>strictly within</w:t>
      </w:r>
      <w:r w:rsidRPr="00B016F1">
        <w:rPr>
          <w:rFonts w:ascii="Segoe UI" w:hAnsi="Segoe UI" w:cs="Segoe UI"/>
          <w:sz w:val="22"/>
          <w:szCs w:val="22"/>
        </w:rPr>
        <w:t xml:space="preserve"> </w:t>
      </w:r>
      <w:r>
        <w:rPr>
          <w:rFonts w:ascii="Segoe UI" w:hAnsi="Segoe UI" w:cs="Segoe UI"/>
          <w:sz w:val="22"/>
          <w:szCs w:val="22"/>
        </w:rPr>
        <w:t>a three month compliance period.</w:t>
      </w:r>
    </w:p>
    <w:p w14:paraId="06757B57" w14:textId="77777777" w:rsidR="00C10050" w:rsidRPr="00B016F1" w:rsidRDefault="00C10050" w:rsidP="00D60CC6">
      <w:pPr>
        <w:jc w:val="both"/>
        <w:rPr>
          <w:rFonts w:ascii="Segoe UI" w:hAnsi="Segoe UI" w:cs="Segoe UI"/>
          <w:sz w:val="22"/>
          <w:szCs w:val="22"/>
        </w:rPr>
      </w:pPr>
    </w:p>
    <w:p w14:paraId="06757B58" w14:textId="77777777" w:rsidR="00C10050" w:rsidRPr="00B016F1" w:rsidRDefault="00D962B2" w:rsidP="00D60CC6">
      <w:pPr>
        <w:jc w:val="both"/>
        <w:rPr>
          <w:rFonts w:ascii="Segoe UI" w:hAnsi="Segoe UI" w:cs="Segoe UI"/>
          <w:sz w:val="22"/>
          <w:szCs w:val="22"/>
        </w:rPr>
      </w:pPr>
      <w:r>
        <w:rPr>
          <w:rFonts w:ascii="Segoe UI" w:hAnsi="Segoe UI" w:cs="Segoe UI"/>
          <w:sz w:val="22"/>
          <w:szCs w:val="22"/>
        </w:rPr>
        <w:lastRenderedPageBreak/>
        <w:t>Quarterly compliance could also impact</w:t>
      </w:r>
      <w:r w:rsidR="00C10050">
        <w:rPr>
          <w:rFonts w:ascii="Segoe UI" w:hAnsi="Segoe UI" w:cs="Segoe UI"/>
          <w:sz w:val="22"/>
          <w:szCs w:val="22"/>
        </w:rPr>
        <w:t xml:space="preserve"> issuer</w:t>
      </w:r>
      <w:r w:rsidR="00A43C00">
        <w:rPr>
          <w:rFonts w:ascii="Segoe UI" w:hAnsi="Segoe UI" w:cs="Segoe UI"/>
          <w:sz w:val="22"/>
          <w:szCs w:val="22"/>
        </w:rPr>
        <w:t>, acquirer and merchant</w:t>
      </w:r>
      <w:r w:rsidR="00C10050">
        <w:rPr>
          <w:rFonts w:ascii="Segoe UI" w:hAnsi="Segoe UI" w:cs="Segoe UI"/>
          <w:sz w:val="22"/>
          <w:szCs w:val="22"/>
        </w:rPr>
        <w:t xml:space="preserve"> revenue, leading to income volatility and a potential reduction in product investment. </w:t>
      </w:r>
      <w:r w:rsidR="00C10050" w:rsidRPr="00B016F1">
        <w:rPr>
          <w:rFonts w:ascii="Segoe UI" w:hAnsi="Segoe UI" w:cs="Segoe UI"/>
          <w:sz w:val="22"/>
          <w:szCs w:val="22"/>
        </w:rPr>
        <w:t>With issuers</w:t>
      </w:r>
      <w:r w:rsidR="00A43C00">
        <w:rPr>
          <w:rFonts w:ascii="Segoe UI" w:hAnsi="Segoe UI" w:cs="Segoe UI"/>
          <w:sz w:val="22"/>
          <w:szCs w:val="22"/>
        </w:rPr>
        <w:t xml:space="preserve"> and acquirers</w:t>
      </w:r>
      <w:r w:rsidR="00C10050" w:rsidRPr="00B016F1">
        <w:rPr>
          <w:rFonts w:ascii="Segoe UI" w:hAnsi="Segoe UI" w:cs="Segoe UI"/>
          <w:sz w:val="22"/>
          <w:szCs w:val="22"/>
        </w:rPr>
        <w:t xml:space="preserve"> relying on the stability of card product </w:t>
      </w:r>
      <w:r>
        <w:rPr>
          <w:rFonts w:ascii="Segoe UI" w:hAnsi="Segoe UI" w:cs="Segoe UI"/>
          <w:sz w:val="22"/>
          <w:szCs w:val="22"/>
        </w:rPr>
        <w:t>portfolios</w:t>
      </w:r>
      <w:r w:rsidR="00C10050" w:rsidRPr="00B016F1">
        <w:rPr>
          <w:rFonts w:ascii="Segoe UI" w:hAnsi="Segoe UI" w:cs="Segoe UI"/>
          <w:sz w:val="22"/>
          <w:szCs w:val="22"/>
        </w:rPr>
        <w:t xml:space="preserve"> over a long period</w:t>
      </w:r>
      <w:r w:rsidR="00C10050">
        <w:rPr>
          <w:rFonts w:ascii="Segoe UI" w:hAnsi="Segoe UI" w:cs="Segoe UI"/>
          <w:sz w:val="22"/>
          <w:szCs w:val="22"/>
        </w:rPr>
        <w:t xml:space="preserve"> of time</w:t>
      </w:r>
      <w:r w:rsidR="00C10050" w:rsidRPr="00B016F1">
        <w:rPr>
          <w:rFonts w:ascii="Segoe UI" w:hAnsi="Segoe UI" w:cs="Segoe UI"/>
          <w:sz w:val="22"/>
          <w:szCs w:val="22"/>
        </w:rPr>
        <w:t xml:space="preserve"> </w:t>
      </w:r>
      <w:r>
        <w:rPr>
          <w:rFonts w:ascii="Segoe UI" w:hAnsi="Segoe UI" w:cs="Segoe UI"/>
          <w:sz w:val="22"/>
          <w:szCs w:val="22"/>
        </w:rPr>
        <w:t xml:space="preserve">with </w:t>
      </w:r>
      <w:r w:rsidR="00862080">
        <w:rPr>
          <w:rFonts w:ascii="Segoe UI" w:hAnsi="Segoe UI" w:cs="Segoe UI"/>
          <w:sz w:val="22"/>
          <w:szCs w:val="22"/>
        </w:rPr>
        <w:t>predictable revenue, should quarterly resets require frequent changes to product portfolio, it would create uncertainty over revenues and profit. That, in turn, may reduce the incentive for banks to invest and innovate in new products which deliver benefits to industry</w:t>
      </w:r>
      <w:r w:rsidR="00A43C00">
        <w:rPr>
          <w:rFonts w:ascii="Segoe UI" w:hAnsi="Segoe UI" w:cs="Segoe UI"/>
          <w:sz w:val="22"/>
          <w:szCs w:val="22"/>
        </w:rPr>
        <w:t>,</w:t>
      </w:r>
      <w:r w:rsidR="00862080">
        <w:rPr>
          <w:rFonts w:ascii="Segoe UI" w:hAnsi="Segoe UI" w:cs="Segoe UI"/>
          <w:sz w:val="22"/>
          <w:szCs w:val="22"/>
        </w:rPr>
        <w:t xml:space="preserve"> consumers</w:t>
      </w:r>
      <w:r w:rsidR="00A43C00">
        <w:rPr>
          <w:rFonts w:ascii="Segoe UI" w:hAnsi="Segoe UI" w:cs="Segoe UI"/>
          <w:sz w:val="22"/>
          <w:szCs w:val="22"/>
        </w:rPr>
        <w:t xml:space="preserve"> and merchants</w:t>
      </w:r>
      <w:r w:rsidR="00862080">
        <w:rPr>
          <w:rFonts w:ascii="Segoe UI" w:hAnsi="Segoe UI" w:cs="Segoe UI"/>
          <w:sz w:val="22"/>
          <w:szCs w:val="22"/>
        </w:rPr>
        <w:t>.</w:t>
      </w:r>
    </w:p>
    <w:p w14:paraId="06757B59" w14:textId="77777777" w:rsidR="00C10050" w:rsidRDefault="00C10050" w:rsidP="00D60CC6">
      <w:pPr>
        <w:jc w:val="both"/>
      </w:pPr>
    </w:p>
    <w:p w14:paraId="06757B5A" w14:textId="77777777" w:rsidR="00C10050" w:rsidRDefault="003147C2" w:rsidP="00D60CC6">
      <w:pPr>
        <w:pStyle w:val="Heading2"/>
        <w:spacing w:before="0"/>
        <w:jc w:val="both"/>
        <w:rPr>
          <w:rFonts w:ascii="Segoe UI" w:hAnsi="Segoe UI" w:cs="Segoe UI"/>
        </w:rPr>
      </w:pPr>
      <w:bookmarkStart w:id="74" w:name="_Toc442273961"/>
      <w:r>
        <w:rPr>
          <w:rFonts w:ascii="Segoe UI" w:hAnsi="Segoe UI" w:cs="Segoe UI"/>
        </w:rPr>
        <w:t>3.3</w:t>
      </w:r>
      <w:r>
        <w:rPr>
          <w:rFonts w:ascii="Segoe UI" w:hAnsi="Segoe UI" w:cs="Segoe UI"/>
        </w:rPr>
        <w:tab/>
      </w:r>
      <w:r w:rsidR="00C10050">
        <w:rPr>
          <w:rFonts w:ascii="Segoe UI" w:hAnsi="Segoe UI" w:cs="Segoe UI"/>
        </w:rPr>
        <w:t xml:space="preserve">Reset </w:t>
      </w:r>
      <w:r w:rsidR="00CC79AE">
        <w:rPr>
          <w:rFonts w:ascii="Segoe UI" w:hAnsi="Segoe UI" w:cs="Segoe UI"/>
        </w:rPr>
        <w:t>c</w:t>
      </w:r>
      <w:r w:rsidR="00C10050">
        <w:rPr>
          <w:rFonts w:ascii="Segoe UI" w:hAnsi="Segoe UI" w:cs="Segoe UI"/>
        </w:rPr>
        <w:t xml:space="preserve">ompliance </w:t>
      </w:r>
      <w:r w:rsidR="00CC79AE">
        <w:rPr>
          <w:rFonts w:ascii="Segoe UI" w:hAnsi="Segoe UI" w:cs="Segoe UI"/>
        </w:rPr>
        <w:t>w</w:t>
      </w:r>
      <w:r w:rsidR="00C10050">
        <w:rPr>
          <w:rFonts w:ascii="Segoe UI" w:hAnsi="Segoe UI" w:cs="Segoe UI"/>
        </w:rPr>
        <w:t>indow</w:t>
      </w:r>
      <w:bookmarkEnd w:id="74"/>
      <w:r w:rsidR="00C10050">
        <w:rPr>
          <w:rFonts w:ascii="Segoe UI" w:hAnsi="Segoe UI" w:cs="Segoe UI"/>
        </w:rPr>
        <w:t xml:space="preserve"> </w:t>
      </w:r>
    </w:p>
    <w:p w14:paraId="06757B5B" w14:textId="77777777" w:rsidR="00C10050" w:rsidRPr="00B016F1" w:rsidRDefault="00C10050" w:rsidP="00D60CC6">
      <w:pPr>
        <w:jc w:val="both"/>
        <w:rPr>
          <w:rFonts w:ascii="Segoe UI" w:hAnsi="Segoe UI" w:cs="Segoe UI"/>
          <w:sz w:val="22"/>
          <w:szCs w:val="22"/>
        </w:rPr>
      </w:pPr>
    </w:p>
    <w:p w14:paraId="06757B5C" w14:textId="77777777" w:rsidR="00C10050" w:rsidRPr="00B016F1" w:rsidRDefault="00C10050" w:rsidP="00D60CC6">
      <w:pPr>
        <w:jc w:val="both"/>
        <w:rPr>
          <w:rFonts w:ascii="Segoe UI" w:hAnsi="Segoe UI" w:cs="Segoe UI"/>
          <w:sz w:val="22"/>
          <w:szCs w:val="22"/>
        </w:rPr>
      </w:pPr>
      <w:r w:rsidRPr="00B016F1">
        <w:rPr>
          <w:rFonts w:ascii="Segoe UI" w:hAnsi="Segoe UI" w:cs="Segoe UI"/>
          <w:sz w:val="22"/>
          <w:szCs w:val="22"/>
        </w:rPr>
        <w:t xml:space="preserve">The Review also recommended changing the compliance window for the </w:t>
      </w:r>
      <w:proofErr w:type="spellStart"/>
      <w:r w:rsidRPr="00B016F1">
        <w:rPr>
          <w:rFonts w:ascii="Segoe UI" w:hAnsi="Segoe UI" w:cs="Segoe UI"/>
          <w:sz w:val="22"/>
          <w:szCs w:val="22"/>
        </w:rPr>
        <w:t>reset</w:t>
      </w:r>
      <w:proofErr w:type="spellEnd"/>
      <w:r w:rsidRPr="00B016F1">
        <w:rPr>
          <w:rFonts w:ascii="Segoe UI" w:hAnsi="Segoe UI" w:cs="Segoe UI"/>
          <w:sz w:val="22"/>
          <w:szCs w:val="22"/>
        </w:rPr>
        <w:t xml:space="preserve"> of the weighted average interchange basket to </w:t>
      </w:r>
      <w:r>
        <w:rPr>
          <w:rFonts w:ascii="Segoe UI" w:hAnsi="Segoe UI" w:cs="Segoe UI"/>
          <w:sz w:val="22"/>
          <w:szCs w:val="22"/>
        </w:rPr>
        <w:t>45</w:t>
      </w:r>
      <w:r w:rsidRPr="00B016F1">
        <w:rPr>
          <w:rFonts w:ascii="Segoe UI" w:hAnsi="Segoe UI" w:cs="Segoe UI"/>
          <w:sz w:val="22"/>
          <w:szCs w:val="22"/>
        </w:rPr>
        <w:t xml:space="preserve"> days from the end of the quarter. This proposal would prove highly problematic for industry, requiring significant restructuring in process and investment in infrastructure, adding substantial costs to the provision of electronic payment platforms.</w:t>
      </w:r>
    </w:p>
    <w:p w14:paraId="06757B5D" w14:textId="77777777" w:rsidR="00C10050" w:rsidRPr="00B016F1" w:rsidRDefault="00C10050" w:rsidP="00D60CC6">
      <w:pPr>
        <w:jc w:val="both"/>
        <w:rPr>
          <w:rFonts w:ascii="Segoe UI" w:hAnsi="Segoe UI" w:cs="Segoe UI"/>
          <w:sz w:val="22"/>
          <w:szCs w:val="22"/>
        </w:rPr>
      </w:pPr>
    </w:p>
    <w:p w14:paraId="06757B5E" w14:textId="77777777" w:rsidR="00C10050" w:rsidRPr="00B016F1" w:rsidRDefault="00C10050" w:rsidP="00D60CC6">
      <w:pPr>
        <w:jc w:val="both"/>
        <w:rPr>
          <w:rFonts w:ascii="Segoe UI" w:hAnsi="Segoe UI" w:cs="Segoe UI"/>
          <w:sz w:val="22"/>
          <w:szCs w:val="22"/>
        </w:rPr>
      </w:pPr>
      <w:r w:rsidRPr="1878AEBC">
        <w:rPr>
          <w:rFonts w:ascii="Segoe UI" w:eastAsia="Segoe UI" w:hAnsi="Segoe UI" w:cs="Segoe UI"/>
          <w:sz w:val="22"/>
          <w:szCs w:val="22"/>
        </w:rPr>
        <w:t>In order to ensure the safety and security of the payments system, Visa believes that 120 day period is the absolute minimum timeframe by which an interchange rate reset could be implemented. This provides sufficient time to assess, rebalance and communicate new interchange rates with card issuers and acquirers while providing the appropriate time for systems development, testing and coding while coordinating w</w:t>
      </w:r>
      <w:r w:rsidR="00952D5E">
        <w:rPr>
          <w:rFonts w:ascii="Segoe UI" w:eastAsia="Segoe UI" w:hAnsi="Segoe UI" w:cs="Segoe UI"/>
          <w:sz w:val="22"/>
          <w:szCs w:val="22"/>
        </w:rPr>
        <w:t>ith all issuers and acquirers.</w:t>
      </w:r>
    </w:p>
    <w:p w14:paraId="06757B5F" w14:textId="77777777" w:rsidR="00C10050" w:rsidRPr="00B016F1" w:rsidRDefault="00C10050" w:rsidP="00D60CC6">
      <w:pPr>
        <w:jc w:val="both"/>
        <w:rPr>
          <w:rFonts w:ascii="Segoe UI" w:hAnsi="Segoe UI" w:cs="Segoe UI"/>
          <w:sz w:val="22"/>
          <w:szCs w:val="22"/>
        </w:rPr>
      </w:pPr>
    </w:p>
    <w:p w14:paraId="06757B60" w14:textId="77777777" w:rsidR="00C10050" w:rsidRPr="00B016F1" w:rsidRDefault="00C10050" w:rsidP="00D60CC6">
      <w:pPr>
        <w:jc w:val="both"/>
        <w:rPr>
          <w:rFonts w:ascii="Segoe UI" w:hAnsi="Segoe UI" w:cs="Segoe UI"/>
          <w:sz w:val="22"/>
          <w:szCs w:val="22"/>
        </w:rPr>
      </w:pPr>
      <w:r w:rsidRPr="00B016F1">
        <w:rPr>
          <w:rFonts w:ascii="Segoe UI" w:hAnsi="Segoe UI" w:cs="Segoe UI"/>
          <w:sz w:val="22"/>
          <w:szCs w:val="22"/>
        </w:rPr>
        <w:t>Under the existing</w:t>
      </w:r>
      <w:r>
        <w:rPr>
          <w:rFonts w:ascii="Segoe UI" w:hAnsi="Segoe UI" w:cs="Segoe UI"/>
          <w:sz w:val="22"/>
          <w:szCs w:val="22"/>
        </w:rPr>
        <w:t>, three year reset</w:t>
      </w:r>
      <w:r w:rsidRPr="00B016F1">
        <w:rPr>
          <w:rFonts w:ascii="Segoe UI" w:hAnsi="Segoe UI" w:cs="Segoe UI"/>
          <w:sz w:val="22"/>
          <w:szCs w:val="22"/>
        </w:rPr>
        <w:t xml:space="preserve"> regime, card transaction and interchange rate flow information only becomes available between four and seven days from the end of the month. From here, Visa then requires a minimum of three weeks to coordinate the internal </w:t>
      </w:r>
      <w:r w:rsidR="00A43C00">
        <w:rPr>
          <w:rFonts w:ascii="Segoe UI" w:hAnsi="Segoe UI" w:cs="Segoe UI"/>
          <w:sz w:val="22"/>
          <w:szCs w:val="22"/>
        </w:rPr>
        <w:t>rates structure</w:t>
      </w:r>
      <w:r w:rsidRPr="00B016F1">
        <w:rPr>
          <w:rFonts w:ascii="Segoe UI" w:hAnsi="Segoe UI" w:cs="Segoe UI"/>
          <w:sz w:val="22"/>
          <w:szCs w:val="22"/>
        </w:rPr>
        <w:t xml:space="preserve"> and model the appropriate change to interchange rates, factoring in the impacts these changes place on the existing issuer </w:t>
      </w:r>
      <w:r w:rsidR="00A43C00">
        <w:rPr>
          <w:rFonts w:ascii="Segoe UI" w:hAnsi="Segoe UI" w:cs="Segoe UI"/>
          <w:sz w:val="22"/>
          <w:szCs w:val="22"/>
        </w:rPr>
        <w:t>and acquirer</w:t>
      </w:r>
      <w:r w:rsidRPr="00B016F1">
        <w:rPr>
          <w:rFonts w:ascii="Segoe UI" w:hAnsi="Segoe UI" w:cs="Segoe UI"/>
          <w:sz w:val="22"/>
          <w:szCs w:val="22"/>
        </w:rPr>
        <w:t xml:space="preserve"> portfolio and the costs for merchants. </w:t>
      </w:r>
    </w:p>
    <w:p w14:paraId="06757B61" w14:textId="77777777" w:rsidR="00C10050" w:rsidRPr="00B016F1" w:rsidRDefault="00C10050" w:rsidP="00D60CC6">
      <w:pPr>
        <w:jc w:val="both"/>
        <w:rPr>
          <w:rFonts w:ascii="Segoe UI" w:hAnsi="Segoe UI" w:cs="Segoe UI"/>
          <w:sz w:val="22"/>
          <w:szCs w:val="22"/>
        </w:rPr>
      </w:pPr>
    </w:p>
    <w:p w14:paraId="06757B62" w14:textId="77777777" w:rsidR="00C10050" w:rsidRDefault="00C10050" w:rsidP="00D60CC6">
      <w:pPr>
        <w:jc w:val="both"/>
        <w:rPr>
          <w:rFonts w:ascii="Segoe UI" w:hAnsi="Segoe UI" w:cs="Segoe UI"/>
          <w:sz w:val="22"/>
          <w:szCs w:val="22"/>
        </w:rPr>
      </w:pPr>
      <w:r w:rsidRPr="00156CA2">
        <w:rPr>
          <w:rFonts w:ascii="Segoe UI" w:hAnsi="Segoe UI" w:cs="Segoe UI"/>
          <w:sz w:val="22"/>
          <w:szCs w:val="22"/>
        </w:rPr>
        <w:t>Once new interchanges rates have been developed that meet the requirement to balance to 0.50</w:t>
      </w:r>
      <w:r w:rsidR="00952D5E">
        <w:rPr>
          <w:rFonts w:ascii="Segoe UI" w:hAnsi="Segoe UI" w:cs="Segoe UI"/>
          <w:sz w:val="22"/>
          <w:szCs w:val="22"/>
        </w:rPr>
        <w:t xml:space="preserve"> per cent</w:t>
      </w:r>
      <w:r w:rsidRPr="00156CA2">
        <w:rPr>
          <w:rFonts w:ascii="Segoe UI" w:hAnsi="Segoe UI" w:cs="Segoe UI"/>
          <w:sz w:val="22"/>
          <w:szCs w:val="22"/>
        </w:rPr>
        <w:t xml:space="preserve">, Visa must coordinate internally and externally with issuers and acquirers for a systems </w:t>
      </w:r>
      <w:r w:rsidR="008F6AF9">
        <w:rPr>
          <w:rFonts w:ascii="Segoe UI" w:hAnsi="Segoe UI" w:cs="Segoe UI"/>
          <w:sz w:val="22"/>
          <w:szCs w:val="22"/>
        </w:rPr>
        <w:t>change. </w:t>
      </w:r>
      <w:r w:rsidR="00862080">
        <w:rPr>
          <w:rFonts w:ascii="Segoe UI" w:hAnsi="Segoe UI" w:cs="Segoe UI"/>
          <w:sz w:val="22"/>
          <w:szCs w:val="22"/>
        </w:rPr>
        <w:t>This process is rigorous and requires both significant time and resources</w:t>
      </w:r>
      <w:r w:rsidR="00862080">
        <w:rPr>
          <w:rStyle w:val="FootnoteReference"/>
          <w:rFonts w:ascii="Segoe UI" w:hAnsi="Segoe UI" w:cs="Segoe UI"/>
          <w:sz w:val="22"/>
          <w:szCs w:val="22"/>
        </w:rPr>
        <w:footnoteReference w:id="20"/>
      </w:r>
      <w:r w:rsidR="00862080">
        <w:rPr>
          <w:rFonts w:ascii="Segoe UI" w:hAnsi="Segoe UI" w:cs="Segoe UI"/>
          <w:sz w:val="22"/>
          <w:szCs w:val="22"/>
        </w:rPr>
        <w:t xml:space="preserve">. </w:t>
      </w:r>
      <w:r w:rsidR="00862080">
        <w:rPr>
          <w:rFonts w:ascii="Segoe UI" w:eastAsia="Segoe UI" w:hAnsi="Segoe UI" w:cs="Segoe UI"/>
          <w:sz w:val="22"/>
          <w:szCs w:val="22"/>
        </w:rPr>
        <w:t>A</w:t>
      </w:r>
      <w:r w:rsidRPr="00D76FCD">
        <w:rPr>
          <w:rFonts w:ascii="Segoe UI" w:eastAsia="Segoe UI" w:hAnsi="Segoe UI" w:cs="Segoe UI"/>
          <w:sz w:val="22"/>
          <w:szCs w:val="22"/>
        </w:rPr>
        <w:t xml:space="preserve"> system update requires a minimum of three </w:t>
      </w:r>
      <w:r w:rsidR="00D60CC6" w:rsidRPr="00D76FCD">
        <w:rPr>
          <w:rFonts w:ascii="Segoe UI" w:eastAsia="Segoe UI" w:hAnsi="Segoe UI" w:cs="Segoe UI"/>
          <w:sz w:val="22"/>
          <w:szCs w:val="22"/>
        </w:rPr>
        <w:t>months’ notice</w:t>
      </w:r>
      <w:r w:rsidRPr="00D76FCD">
        <w:rPr>
          <w:rFonts w:ascii="Segoe UI" w:eastAsia="Segoe UI" w:hAnsi="Segoe UI" w:cs="Segoe UI"/>
          <w:sz w:val="22"/>
          <w:szCs w:val="22"/>
        </w:rPr>
        <w:t xml:space="preserve"> for implementation to provide sufficient planning and execution time for other electronic payment system participants</w:t>
      </w:r>
      <w:r>
        <w:rPr>
          <w:rFonts w:ascii="Segoe UI" w:eastAsia="Segoe UI" w:hAnsi="Segoe UI" w:cs="Segoe UI"/>
          <w:sz w:val="22"/>
          <w:szCs w:val="22"/>
        </w:rPr>
        <w:t>.</w:t>
      </w:r>
    </w:p>
    <w:p w14:paraId="06757B63" w14:textId="77777777" w:rsidR="00862080" w:rsidRPr="00B016F1" w:rsidRDefault="00862080" w:rsidP="00D60CC6">
      <w:pPr>
        <w:jc w:val="both"/>
        <w:rPr>
          <w:rFonts w:ascii="Segoe UI" w:hAnsi="Segoe UI" w:cs="Segoe UI"/>
          <w:sz w:val="22"/>
          <w:szCs w:val="22"/>
        </w:rPr>
      </w:pPr>
    </w:p>
    <w:p w14:paraId="06757B64" w14:textId="77777777" w:rsidR="00862080" w:rsidRPr="00071174" w:rsidRDefault="00862080" w:rsidP="00071174">
      <w:pPr>
        <w:pStyle w:val="Heading2"/>
        <w:spacing w:before="0"/>
        <w:rPr>
          <w:rFonts w:ascii="Segoe UI" w:hAnsi="Segoe UI" w:cs="Segoe UI"/>
        </w:rPr>
      </w:pPr>
      <w:bookmarkStart w:id="75" w:name="_Toc442273962"/>
      <w:r w:rsidRPr="00071174">
        <w:rPr>
          <w:rFonts w:ascii="Segoe UI" w:hAnsi="Segoe UI" w:cs="Segoe UI"/>
        </w:rPr>
        <w:t>3.4</w:t>
      </w:r>
      <w:r w:rsidRPr="00071174">
        <w:rPr>
          <w:rFonts w:ascii="Segoe UI" w:hAnsi="Segoe UI" w:cs="Segoe UI"/>
        </w:rPr>
        <w:tab/>
        <w:t>Conclusion</w:t>
      </w:r>
      <w:bookmarkEnd w:id="75"/>
    </w:p>
    <w:p w14:paraId="06757B65" w14:textId="77777777" w:rsidR="00862080" w:rsidRDefault="00862080" w:rsidP="00D60CC6">
      <w:pPr>
        <w:jc w:val="both"/>
        <w:rPr>
          <w:rFonts w:ascii="Segoe UI" w:hAnsi="Segoe UI" w:cs="Segoe UI"/>
          <w:sz w:val="22"/>
          <w:szCs w:val="22"/>
        </w:rPr>
      </w:pPr>
    </w:p>
    <w:p w14:paraId="06757B66" w14:textId="77777777" w:rsidR="00C10050" w:rsidRPr="00C46BAB" w:rsidRDefault="00C10050" w:rsidP="00D60CC6">
      <w:pPr>
        <w:jc w:val="both"/>
        <w:rPr>
          <w:rFonts w:ascii="Segoe UI" w:hAnsi="Segoe UI" w:cs="Segoe UI"/>
          <w:sz w:val="22"/>
          <w:szCs w:val="22"/>
        </w:rPr>
      </w:pPr>
      <w:r w:rsidRPr="00D76FCD">
        <w:rPr>
          <w:rFonts w:ascii="Segoe UI" w:eastAsia="Segoe UI" w:hAnsi="Segoe UI" w:cs="Segoe UI"/>
          <w:sz w:val="22"/>
          <w:szCs w:val="22"/>
        </w:rPr>
        <w:t xml:space="preserve">Visa recommends </w:t>
      </w:r>
      <w:r w:rsidR="00862080">
        <w:rPr>
          <w:rFonts w:ascii="Segoe UI" w:eastAsia="Segoe UI" w:hAnsi="Segoe UI" w:cs="Segoe UI"/>
          <w:sz w:val="22"/>
          <w:szCs w:val="22"/>
        </w:rPr>
        <w:t xml:space="preserve">the creation of a 12-monthly interchange reset cycle and the creation of </w:t>
      </w:r>
      <w:r w:rsidRPr="00D76FCD">
        <w:rPr>
          <w:rFonts w:ascii="Segoe UI" w:eastAsia="Segoe UI" w:hAnsi="Segoe UI" w:cs="Segoe UI"/>
          <w:sz w:val="22"/>
          <w:szCs w:val="22"/>
        </w:rPr>
        <w:t>a 120 day reset implementation window to ensure the safety and stabilit</w:t>
      </w:r>
      <w:r w:rsidR="00862080">
        <w:rPr>
          <w:rFonts w:ascii="Segoe UI" w:eastAsia="Segoe UI" w:hAnsi="Segoe UI" w:cs="Segoe UI"/>
          <w:sz w:val="22"/>
          <w:szCs w:val="22"/>
        </w:rPr>
        <w:t>y of the card payment ecosystem. This will</w:t>
      </w:r>
      <w:r w:rsidRPr="00D76FCD">
        <w:rPr>
          <w:rFonts w:ascii="Segoe UI" w:eastAsia="Segoe UI" w:hAnsi="Segoe UI" w:cs="Segoe UI"/>
          <w:sz w:val="22"/>
          <w:szCs w:val="22"/>
        </w:rPr>
        <w:t xml:space="preserve"> ensure the impacts of any change on issuers</w:t>
      </w:r>
      <w:r w:rsidR="00531D0D">
        <w:rPr>
          <w:rFonts w:ascii="Segoe UI" w:eastAsia="Segoe UI" w:hAnsi="Segoe UI" w:cs="Segoe UI"/>
          <w:sz w:val="22"/>
          <w:szCs w:val="22"/>
        </w:rPr>
        <w:t>,</w:t>
      </w:r>
      <w:r w:rsidRPr="00D76FCD">
        <w:rPr>
          <w:rFonts w:ascii="Segoe UI" w:eastAsia="Segoe UI" w:hAnsi="Segoe UI" w:cs="Segoe UI"/>
          <w:sz w:val="22"/>
          <w:szCs w:val="22"/>
        </w:rPr>
        <w:t xml:space="preserve"> acquirers </w:t>
      </w:r>
      <w:r w:rsidR="00531D0D">
        <w:rPr>
          <w:rFonts w:ascii="Segoe UI" w:eastAsia="Segoe UI" w:hAnsi="Segoe UI" w:cs="Segoe UI"/>
          <w:sz w:val="22"/>
          <w:szCs w:val="22"/>
        </w:rPr>
        <w:t>and merchants</w:t>
      </w:r>
      <w:r w:rsidRPr="00D76FCD">
        <w:rPr>
          <w:rFonts w:ascii="Segoe UI" w:eastAsia="Segoe UI" w:hAnsi="Segoe UI" w:cs="Segoe UI"/>
          <w:sz w:val="22"/>
          <w:szCs w:val="22"/>
        </w:rPr>
        <w:t xml:space="preserve"> is </w:t>
      </w:r>
      <w:r w:rsidRPr="00D76FCD">
        <w:rPr>
          <w:rFonts w:ascii="Segoe UI" w:eastAsia="Segoe UI" w:hAnsi="Segoe UI" w:cs="Segoe UI"/>
          <w:sz w:val="22"/>
          <w:szCs w:val="22"/>
        </w:rPr>
        <w:lastRenderedPageBreak/>
        <w:t>comprehensively understood and incorporated</w:t>
      </w:r>
      <w:r w:rsidR="00952D5E">
        <w:rPr>
          <w:rFonts w:ascii="Segoe UI" w:eastAsia="Segoe UI" w:hAnsi="Segoe UI" w:cs="Segoe UI"/>
          <w:sz w:val="22"/>
          <w:szCs w:val="22"/>
        </w:rPr>
        <w:t xml:space="preserve">, while also </w:t>
      </w:r>
      <w:proofErr w:type="spellStart"/>
      <w:r w:rsidR="00952D5E">
        <w:rPr>
          <w:rFonts w:ascii="Segoe UI" w:eastAsia="Segoe UI" w:hAnsi="Segoe UI" w:cs="Segoe UI"/>
          <w:sz w:val="22"/>
          <w:szCs w:val="22"/>
        </w:rPr>
        <w:t>minimis</w:t>
      </w:r>
      <w:r w:rsidR="00862080">
        <w:rPr>
          <w:rFonts w:ascii="Segoe UI" w:eastAsia="Segoe UI" w:hAnsi="Segoe UI" w:cs="Segoe UI"/>
          <w:sz w:val="22"/>
          <w:szCs w:val="22"/>
        </w:rPr>
        <w:t>ing</w:t>
      </w:r>
      <w:proofErr w:type="spellEnd"/>
      <w:r w:rsidR="00862080">
        <w:rPr>
          <w:rFonts w:ascii="Segoe UI" w:eastAsia="Segoe UI" w:hAnsi="Segoe UI" w:cs="Segoe UI"/>
          <w:sz w:val="22"/>
          <w:szCs w:val="22"/>
        </w:rPr>
        <w:t xml:space="preserve"> the impacts of any potential instability on the payments ecosystem</w:t>
      </w:r>
      <w:r w:rsidRPr="00D76FCD">
        <w:rPr>
          <w:rFonts w:ascii="Segoe UI" w:eastAsia="Segoe UI" w:hAnsi="Segoe UI" w:cs="Segoe UI"/>
          <w:sz w:val="22"/>
          <w:szCs w:val="22"/>
        </w:rPr>
        <w:t>.</w:t>
      </w:r>
      <w:r>
        <w:t xml:space="preserve"> </w:t>
      </w:r>
      <w:r>
        <w:rPr>
          <w:rFonts w:ascii="Segoe UI" w:hAnsi="Segoe UI" w:cs="Segoe UI"/>
          <w:color w:val="002060"/>
        </w:rPr>
        <w:br w:type="page"/>
      </w:r>
    </w:p>
    <w:p w14:paraId="06757B67" w14:textId="77777777" w:rsidR="00C10050" w:rsidRPr="0089281F" w:rsidRDefault="00C10050" w:rsidP="00D60CC6">
      <w:pPr>
        <w:pStyle w:val="Heading1"/>
        <w:spacing w:before="0"/>
        <w:jc w:val="both"/>
        <w:rPr>
          <w:rFonts w:ascii="Segoe UI" w:hAnsi="Segoe UI" w:cs="Segoe UI"/>
          <w:color w:val="002060"/>
        </w:rPr>
      </w:pPr>
      <w:bookmarkStart w:id="76" w:name="_Toc442273963"/>
      <w:r>
        <w:rPr>
          <w:rFonts w:ascii="Segoe UI" w:hAnsi="Segoe UI" w:cs="Segoe UI"/>
          <w:color w:val="002060"/>
        </w:rPr>
        <w:lastRenderedPageBreak/>
        <w:t xml:space="preserve">Chapter </w:t>
      </w:r>
      <w:r w:rsidR="00B16A87">
        <w:rPr>
          <w:rFonts w:ascii="Segoe UI" w:hAnsi="Segoe UI" w:cs="Segoe UI"/>
          <w:color w:val="002060"/>
        </w:rPr>
        <w:t>4</w:t>
      </w:r>
      <w:r w:rsidRPr="0089281F">
        <w:rPr>
          <w:rFonts w:ascii="Segoe UI" w:hAnsi="Segoe UI" w:cs="Segoe UI"/>
          <w:color w:val="002060"/>
        </w:rPr>
        <w:t>: Surcharging</w:t>
      </w:r>
      <w:r w:rsidR="00CC79AE">
        <w:rPr>
          <w:rFonts w:ascii="Segoe UI" w:hAnsi="Segoe UI" w:cs="Segoe UI"/>
          <w:color w:val="002060"/>
        </w:rPr>
        <w:t xml:space="preserve"> s</w:t>
      </w:r>
      <w:r>
        <w:rPr>
          <w:rFonts w:ascii="Segoe UI" w:hAnsi="Segoe UI" w:cs="Segoe UI"/>
          <w:color w:val="002060"/>
        </w:rPr>
        <w:t>tandards</w:t>
      </w:r>
      <w:bookmarkEnd w:id="76"/>
    </w:p>
    <w:p w14:paraId="06757B68" w14:textId="77777777" w:rsidR="00C10050" w:rsidRPr="00110678" w:rsidRDefault="00C10050" w:rsidP="00D60CC6">
      <w:pPr>
        <w:jc w:val="both"/>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C10050" w:rsidRPr="0001116F" w14:paraId="06757B6E" w14:textId="77777777" w:rsidTr="00F421BE">
        <w:tc>
          <w:tcPr>
            <w:tcW w:w="9280" w:type="dxa"/>
            <w:shd w:val="clear" w:color="auto" w:fill="E0E0E0"/>
          </w:tcPr>
          <w:p w14:paraId="06757B69" w14:textId="77777777" w:rsidR="00C10050" w:rsidRPr="00110678" w:rsidRDefault="00C10050" w:rsidP="00D60CC6">
            <w:pPr>
              <w:pStyle w:val="Heading4"/>
              <w:spacing w:before="0"/>
              <w:jc w:val="both"/>
              <w:outlineLvl w:val="3"/>
              <w:rPr>
                <w:rFonts w:ascii="Segoe UI" w:hAnsi="Segoe UI" w:cs="Segoe UI"/>
              </w:rPr>
            </w:pPr>
            <w:r w:rsidRPr="00D55250">
              <w:rPr>
                <w:rFonts w:ascii="Segoe UI" w:hAnsi="Segoe UI" w:cs="Segoe UI"/>
              </w:rPr>
              <w:t>Key points</w:t>
            </w:r>
          </w:p>
          <w:p w14:paraId="06757B6A" w14:textId="77777777" w:rsidR="00C10050" w:rsidRPr="00110678" w:rsidRDefault="00C10050"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 xml:space="preserve">Visa continues to oppose merchants surcharging customers </w:t>
            </w:r>
            <w:r w:rsidRPr="006E7B02">
              <w:rPr>
                <w:rFonts w:ascii="Segoe UI" w:hAnsi="Segoe UI" w:cs="Segoe UI"/>
                <w:sz w:val="22"/>
                <w:szCs w:val="22"/>
              </w:rPr>
              <w:t>for using secure, transparent and reliable electronic payment systems</w:t>
            </w:r>
            <w:r w:rsidR="00601C9C">
              <w:rPr>
                <w:rFonts w:ascii="Segoe UI" w:hAnsi="Segoe UI" w:cs="Segoe UI"/>
                <w:sz w:val="22"/>
                <w:szCs w:val="22"/>
              </w:rPr>
              <w:t xml:space="preserve"> such as Visa</w:t>
            </w:r>
          </w:p>
          <w:p w14:paraId="06757B6B" w14:textId="77777777" w:rsidR="00C10050" w:rsidRDefault="00C10050">
            <w:pPr>
              <w:pStyle w:val="ListParagraph"/>
              <w:numPr>
                <w:ilvl w:val="0"/>
                <w:numId w:val="2"/>
              </w:numPr>
              <w:ind w:left="714" w:right="432" w:hanging="357"/>
              <w:contextualSpacing w:val="0"/>
              <w:jc w:val="both"/>
              <w:rPr>
                <w:rFonts w:ascii="Segoe UI" w:hAnsi="Segoe UI" w:cs="Segoe UI"/>
                <w:sz w:val="22"/>
                <w:szCs w:val="22"/>
              </w:rPr>
            </w:pPr>
            <w:r w:rsidRPr="00CD1E53">
              <w:rPr>
                <w:rFonts w:ascii="Segoe UI" w:hAnsi="Segoe UI" w:cs="Segoe UI"/>
                <w:sz w:val="22"/>
                <w:szCs w:val="22"/>
              </w:rPr>
              <w:t xml:space="preserve">If surcharging is not to be prohibited in the Australian market, Visa supports </w:t>
            </w:r>
            <w:r>
              <w:rPr>
                <w:rFonts w:ascii="Segoe UI" w:hAnsi="Segoe UI" w:cs="Segoe UI"/>
                <w:sz w:val="22"/>
                <w:szCs w:val="22"/>
              </w:rPr>
              <w:t>limiting</w:t>
            </w:r>
            <w:r w:rsidRPr="00CD1E53">
              <w:rPr>
                <w:rFonts w:ascii="Segoe UI" w:hAnsi="Segoe UI" w:cs="Segoe UI"/>
                <w:sz w:val="22"/>
                <w:szCs w:val="22"/>
              </w:rPr>
              <w:t xml:space="preserve"> the level of permissi</w:t>
            </w:r>
            <w:r>
              <w:rPr>
                <w:rFonts w:ascii="Segoe UI" w:hAnsi="Segoe UI" w:cs="Segoe UI"/>
                <w:sz w:val="22"/>
                <w:szCs w:val="22"/>
              </w:rPr>
              <w:t>ble surcharging on</w:t>
            </w:r>
            <w:r w:rsidRPr="21736DBD">
              <w:rPr>
                <w:rFonts w:ascii="Segoe UI" w:eastAsia="Segoe UI" w:hAnsi="Segoe UI" w:cs="Segoe UI"/>
                <w:sz w:val="22"/>
                <w:szCs w:val="22"/>
              </w:rPr>
              <w:t xml:space="preserve"> transactions to the cost</w:t>
            </w:r>
            <w:r w:rsidR="00601C9C">
              <w:rPr>
                <w:rFonts w:ascii="Segoe UI" w:eastAsia="Segoe UI" w:hAnsi="Segoe UI" w:cs="Segoe UI"/>
                <w:sz w:val="22"/>
                <w:szCs w:val="22"/>
              </w:rPr>
              <w:t xml:space="preserve"> of acceptance for the merchant</w:t>
            </w:r>
          </w:p>
          <w:p w14:paraId="06757B6C" w14:textId="77777777" w:rsidR="00C10050" w:rsidRDefault="00C1005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Visa supports the RBA recommendation to grant investigation and enforcement powers to the Australian Competition and Consumer Commission (ACCC) to act as an inde</w:t>
            </w:r>
            <w:r w:rsidR="00601C9C">
              <w:rPr>
                <w:rFonts w:ascii="Segoe UI" w:hAnsi="Segoe UI" w:cs="Segoe UI"/>
                <w:sz w:val="22"/>
                <w:szCs w:val="22"/>
              </w:rPr>
              <w:t>pendent watchdog for consumers</w:t>
            </w:r>
          </w:p>
          <w:p w14:paraId="06757B6D" w14:textId="77777777" w:rsidR="00C10050" w:rsidRPr="00CD1E53" w:rsidRDefault="00C10050">
            <w:pPr>
              <w:pStyle w:val="ListParagraph"/>
              <w:ind w:left="714" w:right="432"/>
              <w:contextualSpacing w:val="0"/>
              <w:jc w:val="both"/>
              <w:rPr>
                <w:rFonts w:ascii="Segoe UI" w:hAnsi="Segoe UI" w:cs="Segoe UI"/>
                <w:sz w:val="22"/>
                <w:szCs w:val="22"/>
              </w:rPr>
            </w:pPr>
          </w:p>
        </w:tc>
      </w:tr>
    </w:tbl>
    <w:p w14:paraId="06757B6F" w14:textId="77777777" w:rsidR="00C10050" w:rsidRDefault="00C10050" w:rsidP="00D60CC6">
      <w:pPr>
        <w:pStyle w:val="Heading2"/>
        <w:spacing w:before="0"/>
        <w:jc w:val="both"/>
        <w:rPr>
          <w:rFonts w:ascii="Segoe UI" w:hAnsi="Segoe UI" w:cs="Segoe UI"/>
        </w:rPr>
      </w:pPr>
      <w:bookmarkStart w:id="77" w:name="_Toc289363565"/>
      <w:bookmarkStart w:id="78" w:name="_Toc417303936"/>
      <w:bookmarkStart w:id="79" w:name="_Toc439777714"/>
    </w:p>
    <w:p w14:paraId="06757B70" w14:textId="77777777" w:rsidR="00C10050" w:rsidRPr="006E7B02" w:rsidRDefault="003147C2" w:rsidP="00D60CC6">
      <w:pPr>
        <w:pStyle w:val="Heading2"/>
        <w:spacing w:before="0"/>
        <w:jc w:val="both"/>
        <w:rPr>
          <w:rFonts w:ascii="Segoe UI" w:hAnsi="Segoe UI" w:cs="Segoe UI"/>
        </w:rPr>
      </w:pPr>
      <w:bookmarkStart w:id="80" w:name="_Toc442273964"/>
      <w:r>
        <w:rPr>
          <w:rFonts w:ascii="Segoe UI" w:hAnsi="Segoe UI" w:cs="Segoe UI"/>
        </w:rPr>
        <w:t>4.1</w:t>
      </w:r>
      <w:r>
        <w:rPr>
          <w:rFonts w:ascii="Segoe UI" w:hAnsi="Segoe UI" w:cs="Segoe UI"/>
        </w:rPr>
        <w:tab/>
      </w:r>
      <w:r w:rsidR="00C10050" w:rsidRPr="006E7B02">
        <w:rPr>
          <w:rFonts w:ascii="Segoe UI" w:hAnsi="Segoe UI" w:cs="Segoe UI"/>
        </w:rPr>
        <w:t>Introduction</w:t>
      </w:r>
      <w:bookmarkEnd w:id="77"/>
      <w:bookmarkEnd w:id="78"/>
      <w:bookmarkEnd w:id="79"/>
      <w:bookmarkEnd w:id="80"/>
    </w:p>
    <w:p w14:paraId="06757B71" w14:textId="77777777" w:rsidR="00C10050" w:rsidRPr="006E7B02" w:rsidRDefault="00C10050" w:rsidP="00D60CC6">
      <w:pPr>
        <w:jc w:val="both"/>
        <w:rPr>
          <w:rFonts w:ascii="Segoe UI" w:hAnsi="Segoe UI" w:cs="Segoe UI"/>
        </w:rPr>
      </w:pPr>
    </w:p>
    <w:p w14:paraId="06757B72" w14:textId="77777777" w:rsidR="00C10050" w:rsidRDefault="00C10050" w:rsidP="00AB0270">
      <w:pPr>
        <w:jc w:val="both"/>
        <w:rPr>
          <w:rFonts w:ascii="Segoe UI" w:hAnsi="Segoe UI" w:cs="Segoe UI"/>
          <w:sz w:val="22"/>
          <w:szCs w:val="22"/>
        </w:rPr>
      </w:pPr>
      <w:r w:rsidRPr="006E7B02">
        <w:rPr>
          <w:rFonts w:ascii="Segoe UI" w:hAnsi="Segoe UI" w:cs="Segoe UI"/>
          <w:sz w:val="22"/>
          <w:szCs w:val="22"/>
        </w:rPr>
        <w:t xml:space="preserve">Visa has been concerned for many years </w:t>
      </w:r>
      <w:r>
        <w:rPr>
          <w:rFonts w:ascii="Segoe UI" w:hAnsi="Segoe UI" w:cs="Segoe UI"/>
          <w:sz w:val="22"/>
          <w:szCs w:val="22"/>
        </w:rPr>
        <w:t xml:space="preserve">that excessive </w:t>
      </w:r>
      <w:r w:rsidRPr="006E7B02">
        <w:rPr>
          <w:rFonts w:ascii="Segoe UI" w:hAnsi="Segoe UI" w:cs="Segoe UI"/>
          <w:sz w:val="22"/>
          <w:szCs w:val="22"/>
        </w:rPr>
        <w:t>surcharging</w:t>
      </w:r>
      <w:r>
        <w:rPr>
          <w:rFonts w:ascii="Segoe UI" w:hAnsi="Segoe UI" w:cs="Segoe UI"/>
          <w:sz w:val="22"/>
          <w:szCs w:val="22"/>
        </w:rPr>
        <w:t xml:space="preserve"> practices</w:t>
      </w:r>
      <w:r w:rsidRPr="006E7B02">
        <w:rPr>
          <w:rFonts w:ascii="Segoe UI" w:hAnsi="Segoe UI" w:cs="Segoe UI"/>
          <w:sz w:val="22"/>
          <w:szCs w:val="22"/>
        </w:rPr>
        <w:t xml:space="preserve"> in Australia</w:t>
      </w:r>
      <w:r>
        <w:rPr>
          <w:rFonts w:ascii="Segoe UI" w:hAnsi="Segoe UI" w:cs="Segoe UI"/>
          <w:sz w:val="22"/>
          <w:szCs w:val="22"/>
        </w:rPr>
        <w:t xml:space="preserve"> by some merchants</w:t>
      </w:r>
      <w:r w:rsidRPr="006E7B02">
        <w:rPr>
          <w:rFonts w:ascii="Segoe UI" w:hAnsi="Segoe UI" w:cs="Segoe UI"/>
          <w:sz w:val="22"/>
          <w:szCs w:val="22"/>
        </w:rPr>
        <w:t xml:space="preserve"> </w:t>
      </w:r>
      <w:r>
        <w:rPr>
          <w:rFonts w:ascii="Segoe UI" w:hAnsi="Segoe UI" w:cs="Segoe UI"/>
          <w:sz w:val="22"/>
          <w:szCs w:val="22"/>
        </w:rPr>
        <w:t>negatively impacts</w:t>
      </w:r>
      <w:r w:rsidRPr="006E7B02">
        <w:rPr>
          <w:rFonts w:ascii="Segoe UI" w:hAnsi="Segoe UI" w:cs="Segoe UI"/>
          <w:sz w:val="22"/>
          <w:szCs w:val="22"/>
        </w:rPr>
        <w:t xml:space="preserve"> Australian consumers</w:t>
      </w:r>
      <w:r>
        <w:rPr>
          <w:rFonts w:ascii="Segoe UI" w:hAnsi="Segoe UI" w:cs="Segoe UI"/>
          <w:sz w:val="22"/>
          <w:szCs w:val="22"/>
        </w:rPr>
        <w:t xml:space="preserve"> and unfairly disadvantages those who choose to perform a transaction using an electronic payment method</w:t>
      </w:r>
      <w:r w:rsidRPr="006E7B02">
        <w:rPr>
          <w:rFonts w:ascii="Segoe UI" w:hAnsi="Segoe UI" w:cs="Segoe UI"/>
          <w:sz w:val="22"/>
          <w:szCs w:val="22"/>
        </w:rPr>
        <w:t xml:space="preserve">. </w:t>
      </w:r>
      <w:r>
        <w:rPr>
          <w:rFonts w:ascii="Segoe UI" w:hAnsi="Segoe UI" w:cs="Segoe UI"/>
          <w:sz w:val="22"/>
          <w:szCs w:val="22"/>
        </w:rPr>
        <w:t>Broadly speaking, surcharging</w:t>
      </w:r>
      <w:r w:rsidRPr="006E7B02">
        <w:rPr>
          <w:rFonts w:ascii="Segoe UI" w:hAnsi="Segoe UI" w:cs="Segoe UI"/>
          <w:sz w:val="22"/>
          <w:szCs w:val="22"/>
        </w:rPr>
        <w:t xml:space="preserve"> in Australia is more extensive and </w:t>
      </w:r>
      <w:r>
        <w:rPr>
          <w:rFonts w:ascii="Segoe UI" w:hAnsi="Segoe UI" w:cs="Segoe UI"/>
          <w:sz w:val="22"/>
          <w:szCs w:val="22"/>
        </w:rPr>
        <w:t>commonplace</w:t>
      </w:r>
      <w:r w:rsidRPr="006E7B02">
        <w:rPr>
          <w:rFonts w:ascii="Segoe UI" w:hAnsi="Segoe UI" w:cs="Segoe UI"/>
          <w:sz w:val="22"/>
          <w:szCs w:val="22"/>
        </w:rPr>
        <w:t xml:space="preserve"> than </w:t>
      </w:r>
      <w:r w:rsidR="00862080">
        <w:rPr>
          <w:rFonts w:ascii="Segoe UI" w:hAnsi="Segoe UI" w:cs="Segoe UI"/>
          <w:sz w:val="22"/>
          <w:szCs w:val="22"/>
        </w:rPr>
        <w:t xml:space="preserve">in </w:t>
      </w:r>
      <w:r>
        <w:rPr>
          <w:rFonts w:ascii="Segoe UI" w:hAnsi="Segoe UI" w:cs="Segoe UI"/>
          <w:sz w:val="22"/>
          <w:szCs w:val="22"/>
        </w:rPr>
        <w:t>almost all</w:t>
      </w:r>
      <w:r w:rsidRPr="006E7B02">
        <w:rPr>
          <w:rFonts w:ascii="Segoe UI" w:hAnsi="Segoe UI" w:cs="Segoe UI"/>
          <w:sz w:val="22"/>
          <w:szCs w:val="22"/>
        </w:rPr>
        <w:t xml:space="preserve"> other advanced market</w:t>
      </w:r>
      <w:r>
        <w:rPr>
          <w:rFonts w:ascii="Segoe UI" w:hAnsi="Segoe UI" w:cs="Segoe UI"/>
          <w:sz w:val="22"/>
          <w:szCs w:val="22"/>
        </w:rPr>
        <w:t>s</w:t>
      </w:r>
      <w:r w:rsidRPr="006E7B02">
        <w:rPr>
          <w:rFonts w:ascii="Segoe UI" w:hAnsi="Segoe UI" w:cs="Segoe UI"/>
          <w:sz w:val="22"/>
          <w:szCs w:val="22"/>
        </w:rPr>
        <w:t xml:space="preserve"> in which Visa operates. </w:t>
      </w:r>
    </w:p>
    <w:p w14:paraId="06757B73" w14:textId="77777777" w:rsidR="00C10050" w:rsidRPr="006E7B02" w:rsidRDefault="00C10050">
      <w:pPr>
        <w:jc w:val="both"/>
        <w:rPr>
          <w:rFonts w:ascii="Segoe UI" w:hAnsi="Segoe UI" w:cs="Segoe UI"/>
          <w:sz w:val="22"/>
          <w:szCs w:val="22"/>
        </w:rPr>
      </w:pPr>
    </w:p>
    <w:p w14:paraId="06757B74" w14:textId="77777777" w:rsidR="00C10050" w:rsidRPr="006E7B02" w:rsidRDefault="00C10050">
      <w:pPr>
        <w:jc w:val="both"/>
      </w:pPr>
      <w:r w:rsidRPr="21736DBD">
        <w:rPr>
          <w:rFonts w:ascii="Segoe UI" w:eastAsia="Segoe UI" w:hAnsi="Segoe UI" w:cs="Segoe UI"/>
          <w:sz w:val="22"/>
          <w:szCs w:val="22"/>
        </w:rPr>
        <w:t>On numerous occasions, the RBA has acknowledged that the development of a safe, reliable and open electronic payment system deliver</w:t>
      </w:r>
      <w:r w:rsidR="004C1D34">
        <w:rPr>
          <w:rFonts w:ascii="Segoe UI" w:eastAsia="Segoe UI" w:hAnsi="Segoe UI" w:cs="Segoe UI"/>
          <w:sz w:val="22"/>
          <w:szCs w:val="22"/>
        </w:rPr>
        <w:t>s</w:t>
      </w:r>
      <w:r w:rsidRPr="21736DBD">
        <w:rPr>
          <w:rFonts w:ascii="Segoe UI" w:eastAsia="Segoe UI" w:hAnsi="Segoe UI" w:cs="Segoe UI"/>
          <w:sz w:val="22"/>
          <w:szCs w:val="22"/>
        </w:rPr>
        <w:t xml:space="preserve"> a wider range of benefits to the Australian economy over cash, despite the fact that allowing surcharging creates a disincentive for consumers to choose card payment options. </w:t>
      </w:r>
      <w:proofErr w:type="spellStart"/>
      <w:r w:rsidRPr="006E7B02">
        <w:rPr>
          <w:rFonts w:ascii="Segoe UI" w:hAnsi="Segoe UI" w:cs="Segoe UI"/>
          <w:sz w:val="22"/>
          <w:szCs w:val="22"/>
        </w:rPr>
        <w:t>Penalising</w:t>
      </w:r>
      <w:proofErr w:type="spellEnd"/>
      <w:r w:rsidRPr="006E7B02">
        <w:rPr>
          <w:rFonts w:ascii="Segoe UI" w:hAnsi="Segoe UI" w:cs="Segoe UI"/>
          <w:sz w:val="22"/>
          <w:szCs w:val="22"/>
        </w:rPr>
        <w:t xml:space="preserve"> consumers via surcharges for </w:t>
      </w:r>
      <w:r>
        <w:rPr>
          <w:rFonts w:ascii="Segoe UI" w:hAnsi="Segoe UI" w:cs="Segoe UI"/>
          <w:sz w:val="22"/>
          <w:szCs w:val="22"/>
        </w:rPr>
        <w:t>choosing</w:t>
      </w:r>
      <w:r w:rsidRPr="006E7B02">
        <w:rPr>
          <w:rFonts w:ascii="Segoe UI" w:hAnsi="Segoe UI" w:cs="Segoe UI"/>
          <w:sz w:val="22"/>
          <w:szCs w:val="22"/>
        </w:rPr>
        <w:t xml:space="preserve"> secure, transparent and reliable electronic payment systems is a practice </w:t>
      </w:r>
      <w:r>
        <w:rPr>
          <w:rFonts w:ascii="Segoe UI" w:hAnsi="Segoe UI" w:cs="Segoe UI"/>
          <w:sz w:val="22"/>
          <w:szCs w:val="22"/>
        </w:rPr>
        <w:t>Visa</w:t>
      </w:r>
      <w:r w:rsidRPr="006E7B02">
        <w:rPr>
          <w:rFonts w:ascii="Segoe UI" w:hAnsi="Segoe UI" w:cs="Segoe UI"/>
          <w:sz w:val="22"/>
          <w:szCs w:val="22"/>
        </w:rPr>
        <w:t xml:space="preserve"> </w:t>
      </w:r>
      <w:r>
        <w:rPr>
          <w:rFonts w:ascii="Segoe UI" w:hAnsi="Segoe UI" w:cs="Segoe UI"/>
          <w:sz w:val="22"/>
          <w:szCs w:val="22"/>
        </w:rPr>
        <w:t xml:space="preserve">has </w:t>
      </w:r>
      <w:r w:rsidRPr="21736DBD">
        <w:rPr>
          <w:rFonts w:ascii="Segoe UI" w:eastAsia="Segoe UI" w:hAnsi="Segoe UI" w:cs="Segoe UI"/>
          <w:sz w:val="22"/>
          <w:szCs w:val="22"/>
        </w:rPr>
        <w:t xml:space="preserve">always strongly opposed in the best interests of consumers. </w:t>
      </w:r>
    </w:p>
    <w:p w14:paraId="06757B75" w14:textId="77777777" w:rsidR="00C10050" w:rsidRPr="006E7B02" w:rsidRDefault="00C10050">
      <w:pPr>
        <w:jc w:val="both"/>
      </w:pPr>
    </w:p>
    <w:p w14:paraId="06757B76" w14:textId="77777777" w:rsidR="00C10050" w:rsidRPr="006E7B02" w:rsidRDefault="00C10050">
      <w:pPr>
        <w:jc w:val="both"/>
        <w:rPr>
          <w:rFonts w:ascii="Segoe UI" w:hAnsi="Segoe UI" w:cs="Segoe UI"/>
          <w:sz w:val="22"/>
          <w:szCs w:val="22"/>
        </w:rPr>
      </w:pPr>
      <w:r>
        <w:rPr>
          <w:rFonts w:ascii="Segoe UI" w:hAnsi="Segoe UI" w:cs="Segoe UI"/>
          <w:sz w:val="22"/>
          <w:szCs w:val="22"/>
        </w:rPr>
        <w:t>Visa welcomes the efforts of the Australian Government and the RBA to address excessive surcharging. The RBA’s proposed draft standards provide greater certainty and cost outcomes for consumers, and will ensure merchants are better informed about the responsible way in which electronic payment acceptance costs can be accurately reflected</w:t>
      </w:r>
      <w:r>
        <w:rPr>
          <w:rStyle w:val="FootnoteReference"/>
          <w:rFonts w:ascii="Segoe UI" w:hAnsi="Segoe UI" w:cs="Segoe UI"/>
          <w:sz w:val="22"/>
          <w:szCs w:val="22"/>
        </w:rPr>
        <w:footnoteReference w:id="21"/>
      </w:r>
      <w:r>
        <w:rPr>
          <w:rFonts w:ascii="Segoe UI" w:hAnsi="Segoe UI" w:cs="Segoe UI"/>
          <w:sz w:val="22"/>
          <w:szCs w:val="22"/>
        </w:rPr>
        <w:t>. Visa also welcomes the proposal to grant investigation and enforcement powers to the Australian Competition and Consumer Commission (ACCC) to ensure that surcharging practices are limited only to the intent of the policy objective, and Visa looks forward to working with the ACCC to address this concern on behalf of all consumers.</w:t>
      </w:r>
    </w:p>
    <w:p w14:paraId="06757B77" w14:textId="77777777" w:rsidR="003147C2" w:rsidRDefault="003147C2" w:rsidP="00D60CC6">
      <w:pPr>
        <w:pStyle w:val="Heading2"/>
        <w:spacing w:before="0"/>
        <w:jc w:val="both"/>
        <w:rPr>
          <w:rFonts w:ascii="Segoe UI" w:hAnsi="Segoe UI" w:cs="Segoe UI"/>
        </w:rPr>
      </w:pPr>
      <w:bookmarkStart w:id="81" w:name="_Toc417303938"/>
      <w:bookmarkStart w:id="82" w:name="_Toc439777716"/>
    </w:p>
    <w:p w14:paraId="06757B78" w14:textId="77777777" w:rsidR="00C10050" w:rsidRPr="00B016F1" w:rsidRDefault="003147C2" w:rsidP="00D60CC6">
      <w:pPr>
        <w:pStyle w:val="Heading2"/>
        <w:spacing w:before="0"/>
        <w:jc w:val="both"/>
        <w:rPr>
          <w:rFonts w:ascii="Segoe UI" w:hAnsi="Segoe UI" w:cs="Segoe UI"/>
        </w:rPr>
      </w:pPr>
      <w:bookmarkStart w:id="83" w:name="_Toc442273965"/>
      <w:r>
        <w:rPr>
          <w:rFonts w:ascii="Segoe UI" w:hAnsi="Segoe UI" w:cs="Segoe UI"/>
        </w:rPr>
        <w:t>4.2</w:t>
      </w:r>
      <w:r>
        <w:rPr>
          <w:rFonts w:ascii="Segoe UI" w:hAnsi="Segoe UI" w:cs="Segoe UI"/>
        </w:rPr>
        <w:tab/>
      </w:r>
      <w:r w:rsidR="00C10050" w:rsidRPr="00B016F1">
        <w:rPr>
          <w:rFonts w:ascii="Segoe UI" w:hAnsi="Segoe UI" w:cs="Segoe UI"/>
        </w:rPr>
        <w:t xml:space="preserve">Enhanced limitations on </w:t>
      </w:r>
      <w:r w:rsidR="00CC79AE">
        <w:rPr>
          <w:rFonts w:ascii="Segoe UI" w:hAnsi="Segoe UI" w:cs="Segoe UI"/>
        </w:rPr>
        <w:t>s</w:t>
      </w:r>
      <w:r w:rsidR="00C10050" w:rsidRPr="00B016F1">
        <w:rPr>
          <w:rFonts w:ascii="Segoe UI" w:hAnsi="Segoe UI" w:cs="Segoe UI"/>
        </w:rPr>
        <w:t>urcharging</w:t>
      </w:r>
      <w:bookmarkEnd w:id="81"/>
      <w:bookmarkEnd w:id="82"/>
      <w:bookmarkEnd w:id="83"/>
    </w:p>
    <w:p w14:paraId="06757B79" w14:textId="77777777" w:rsidR="00C10050" w:rsidRPr="009F0F60" w:rsidRDefault="00C10050" w:rsidP="00D60CC6">
      <w:pPr>
        <w:jc w:val="both"/>
      </w:pPr>
    </w:p>
    <w:p w14:paraId="06757B7A" w14:textId="77777777" w:rsidR="00C10050" w:rsidRDefault="00C10050" w:rsidP="00AB0270">
      <w:pPr>
        <w:jc w:val="both"/>
        <w:rPr>
          <w:rFonts w:ascii="Segoe UI" w:hAnsi="Segoe UI" w:cs="Segoe UI"/>
          <w:sz w:val="22"/>
          <w:szCs w:val="22"/>
        </w:rPr>
      </w:pPr>
      <w:r>
        <w:rPr>
          <w:rFonts w:ascii="Segoe UI" w:hAnsi="Segoe UI" w:cs="Segoe UI"/>
          <w:sz w:val="22"/>
          <w:szCs w:val="22"/>
        </w:rPr>
        <w:t>Should</w:t>
      </w:r>
      <w:r w:rsidRPr="006E7B02">
        <w:rPr>
          <w:rFonts w:ascii="Segoe UI" w:hAnsi="Segoe UI" w:cs="Segoe UI"/>
          <w:sz w:val="22"/>
          <w:szCs w:val="22"/>
        </w:rPr>
        <w:t xml:space="preserve"> surcharging </w:t>
      </w:r>
      <w:r>
        <w:rPr>
          <w:rFonts w:ascii="Segoe UI" w:hAnsi="Segoe UI" w:cs="Segoe UI"/>
          <w:sz w:val="22"/>
          <w:szCs w:val="22"/>
        </w:rPr>
        <w:t>of electronic payments continue to take place</w:t>
      </w:r>
      <w:r w:rsidRPr="006E7B02">
        <w:rPr>
          <w:rFonts w:ascii="Segoe UI" w:hAnsi="Segoe UI" w:cs="Segoe UI"/>
          <w:sz w:val="22"/>
          <w:szCs w:val="22"/>
        </w:rPr>
        <w:t xml:space="preserve"> in the Australian market, Visa supports </w:t>
      </w:r>
      <w:r w:rsidR="004C1D34">
        <w:rPr>
          <w:rFonts w:ascii="Segoe UI" w:hAnsi="Segoe UI" w:cs="Segoe UI"/>
          <w:sz w:val="22"/>
          <w:szCs w:val="22"/>
        </w:rPr>
        <w:t xml:space="preserve">an imposed </w:t>
      </w:r>
      <w:r w:rsidRPr="006E7B02">
        <w:rPr>
          <w:rFonts w:ascii="Segoe UI" w:hAnsi="Segoe UI" w:cs="Segoe UI"/>
          <w:sz w:val="22"/>
          <w:szCs w:val="22"/>
        </w:rPr>
        <w:t>limitation on the level of permissible surcharging of transactions</w:t>
      </w:r>
      <w:r>
        <w:rPr>
          <w:rFonts w:ascii="Segoe UI" w:hAnsi="Segoe UI" w:cs="Segoe UI"/>
          <w:sz w:val="22"/>
          <w:szCs w:val="22"/>
        </w:rPr>
        <w:t xml:space="preserve">. Visa welcomes the steps taken by the RBA and federal government to create </w:t>
      </w:r>
      <w:r w:rsidR="00862080">
        <w:rPr>
          <w:rFonts w:ascii="Segoe UI" w:hAnsi="Segoe UI" w:cs="Segoe UI"/>
          <w:sz w:val="22"/>
          <w:szCs w:val="22"/>
        </w:rPr>
        <w:t xml:space="preserve">clear </w:t>
      </w:r>
      <w:r>
        <w:rPr>
          <w:rFonts w:ascii="Segoe UI" w:hAnsi="Segoe UI" w:cs="Segoe UI"/>
          <w:sz w:val="22"/>
          <w:szCs w:val="22"/>
        </w:rPr>
        <w:t xml:space="preserve">guidelines </w:t>
      </w:r>
      <w:r>
        <w:rPr>
          <w:rFonts w:ascii="Segoe UI" w:hAnsi="Segoe UI" w:cs="Segoe UI"/>
          <w:sz w:val="22"/>
          <w:szCs w:val="22"/>
        </w:rPr>
        <w:lastRenderedPageBreak/>
        <w:t>limiting surcharging to the cost of acceptance. These improvements seek to provide greater market outcomes, enhanced consumer protections and improved clarity and transparenc</w:t>
      </w:r>
      <w:r w:rsidR="008F6AF9">
        <w:rPr>
          <w:rFonts w:ascii="Segoe UI" w:hAnsi="Segoe UI" w:cs="Segoe UI"/>
          <w:sz w:val="22"/>
          <w:szCs w:val="22"/>
        </w:rPr>
        <w:t>y for merchants and acquirers.</w:t>
      </w:r>
    </w:p>
    <w:p w14:paraId="06757B7B" w14:textId="77777777" w:rsidR="00C10050" w:rsidRDefault="00C10050" w:rsidP="00AB0270">
      <w:pPr>
        <w:jc w:val="both"/>
        <w:rPr>
          <w:rFonts w:ascii="Segoe UI" w:hAnsi="Segoe UI" w:cs="Segoe UI"/>
          <w:sz w:val="22"/>
          <w:szCs w:val="22"/>
        </w:rPr>
      </w:pPr>
    </w:p>
    <w:p w14:paraId="06757B7C" w14:textId="77777777" w:rsidR="00C10050" w:rsidRDefault="00C10050" w:rsidP="00AB0270">
      <w:pPr>
        <w:jc w:val="both"/>
        <w:rPr>
          <w:rFonts w:ascii="Segoe UI" w:hAnsi="Segoe UI" w:cs="Segoe UI"/>
          <w:sz w:val="22"/>
          <w:szCs w:val="22"/>
        </w:rPr>
      </w:pPr>
      <w:r>
        <w:rPr>
          <w:rFonts w:ascii="Segoe UI" w:hAnsi="Segoe UI" w:cs="Segoe UI"/>
          <w:sz w:val="22"/>
          <w:szCs w:val="22"/>
        </w:rPr>
        <w:t xml:space="preserve">While the proposed reforms appear to provide greater understanding for merchants and acquirers on the ability to surcharge, </w:t>
      </w:r>
      <w:r w:rsidR="00862080">
        <w:rPr>
          <w:rFonts w:ascii="Segoe UI" w:hAnsi="Segoe UI" w:cs="Segoe UI"/>
          <w:sz w:val="22"/>
          <w:szCs w:val="22"/>
        </w:rPr>
        <w:t>it will be important to ensure that it is not impossible to exploit</w:t>
      </w:r>
      <w:r>
        <w:rPr>
          <w:rFonts w:ascii="Segoe UI" w:hAnsi="Segoe UI" w:cs="Segoe UI"/>
          <w:sz w:val="22"/>
          <w:szCs w:val="22"/>
        </w:rPr>
        <w:t xml:space="preserve"> the ambiguities that may exist when seeking to calculate the merchant acceptance costs.</w:t>
      </w:r>
      <w:r w:rsidR="00EA03D6">
        <w:rPr>
          <w:rFonts w:ascii="Segoe UI" w:hAnsi="Segoe UI" w:cs="Segoe UI"/>
          <w:sz w:val="22"/>
          <w:szCs w:val="22"/>
        </w:rPr>
        <w:t xml:space="preserve"> For example, merchants may claim that a number of ancillary business costs associated with broader financial transaction process, including those that capture cash or other non-electronic payments, should also be included in the allowable surcharge.</w:t>
      </w:r>
      <w:r>
        <w:rPr>
          <w:rFonts w:ascii="Segoe UI" w:hAnsi="Segoe UI" w:cs="Segoe UI"/>
          <w:sz w:val="22"/>
          <w:szCs w:val="22"/>
        </w:rPr>
        <w:t xml:space="preserve"> This may create a situation where inconsistenc</w:t>
      </w:r>
      <w:r w:rsidR="004C1D34">
        <w:rPr>
          <w:rFonts w:ascii="Segoe UI" w:hAnsi="Segoe UI" w:cs="Segoe UI"/>
          <w:sz w:val="22"/>
          <w:szCs w:val="22"/>
        </w:rPr>
        <w:t>ies</w:t>
      </w:r>
      <w:r>
        <w:rPr>
          <w:rFonts w:ascii="Segoe UI" w:hAnsi="Segoe UI" w:cs="Segoe UI"/>
          <w:sz w:val="22"/>
          <w:szCs w:val="22"/>
        </w:rPr>
        <w:t xml:space="preserve"> between different merchants and different acquirers on card acceptance cost structures </w:t>
      </w:r>
      <w:r w:rsidR="004C1D34">
        <w:rPr>
          <w:rFonts w:ascii="Segoe UI" w:hAnsi="Segoe UI" w:cs="Segoe UI"/>
          <w:sz w:val="22"/>
          <w:szCs w:val="22"/>
        </w:rPr>
        <w:t xml:space="preserve">could </w:t>
      </w:r>
      <w:r>
        <w:rPr>
          <w:rFonts w:ascii="Segoe UI" w:hAnsi="Segoe UI" w:cs="Segoe UI"/>
          <w:sz w:val="22"/>
          <w:szCs w:val="22"/>
        </w:rPr>
        <w:t>open loopholes.</w:t>
      </w:r>
    </w:p>
    <w:p w14:paraId="06757B7D" w14:textId="77777777" w:rsidR="00C10050" w:rsidRDefault="00C10050">
      <w:pPr>
        <w:jc w:val="both"/>
        <w:rPr>
          <w:rFonts w:ascii="Segoe UI" w:hAnsi="Segoe UI" w:cs="Segoe UI"/>
          <w:sz w:val="22"/>
          <w:szCs w:val="22"/>
        </w:rPr>
      </w:pPr>
    </w:p>
    <w:p w14:paraId="06757B7E" w14:textId="77777777" w:rsidR="00C10050" w:rsidRDefault="00C10050">
      <w:pPr>
        <w:jc w:val="both"/>
        <w:rPr>
          <w:rFonts w:ascii="Segoe UI" w:hAnsi="Segoe UI" w:cs="Segoe UI"/>
          <w:sz w:val="22"/>
          <w:szCs w:val="22"/>
        </w:rPr>
      </w:pPr>
      <w:r>
        <w:rPr>
          <w:rFonts w:ascii="Segoe UI" w:hAnsi="Segoe UI" w:cs="Segoe UI"/>
          <w:sz w:val="22"/>
          <w:szCs w:val="22"/>
        </w:rPr>
        <w:t>The draft standards include recommended changes to the calculation methodology for acquirers that increase the administrative complexity in reporting the cost of acceptance of electronic payments.</w:t>
      </w:r>
      <w:r w:rsidR="00862080">
        <w:rPr>
          <w:rFonts w:ascii="Segoe UI" w:hAnsi="Segoe UI" w:cs="Segoe UI"/>
          <w:sz w:val="22"/>
          <w:szCs w:val="22"/>
        </w:rPr>
        <w:t xml:space="preserve"> Visa encourages the RBA to work with industry to ensure that acquirers and merchants are aware of any new requirements and educated on how the new system should operate.</w:t>
      </w:r>
    </w:p>
    <w:p w14:paraId="06757B7F" w14:textId="77777777" w:rsidR="00C10050" w:rsidRDefault="00C10050" w:rsidP="00D60CC6">
      <w:pPr>
        <w:pStyle w:val="Heading2"/>
        <w:spacing w:before="0"/>
        <w:jc w:val="both"/>
        <w:rPr>
          <w:rFonts w:ascii="Segoe UI" w:hAnsi="Segoe UI" w:cs="Segoe UI"/>
        </w:rPr>
      </w:pPr>
      <w:bookmarkStart w:id="84" w:name="_Toc417303939"/>
      <w:bookmarkStart w:id="85" w:name="_Toc439777717"/>
    </w:p>
    <w:p w14:paraId="06757B80" w14:textId="77777777" w:rsidR="00C10050" w:rsidRPr="00F2215E" w:rsidRDefault="003147C2" w:rsidP="00D60CC6">
      <w:pPr>
        <w:pStyle w:val="Heading2"/>
        <w:spacing w:before="0"/>
        <w:jc w:val="both"/>
        <w:rPr>
          <w:rFonts w:ascii="Segoe UI" w:hAnsi="Segoe UI" w:cs="Segoe UI"/>
        </w:rPr>
      </w:pPr>
      <w:bookmarkStart w:id="86" w:name="_Toc442273966"/>
      <w:r>
        <w:rPr>
          <w:rFonts w:ascii="Segoe UI" w:hAnsi="Segoe UI" w:cs="Segoe UI"/>
        </w:rPr>
        <w:t>4.3</w:t>
      </w:r>
      <w:r>
        <w:rPr>
          <w:rFonts w:ascii="Segoe UI" w:hAnsi="Segoe UI" w:cs="Segoe UI"/>
        </w:rPr>
        <w:tab/>
      </w:r>
      <w:r w:rsidR="00C10050" w:rsidRPr="00F2215E">
        <w:rPr>
          <w:rFonts w:ascii="Segoe UI" w:hAnsi="Segoe UI" w:cs="Segoe UI"/>
        </w:rPr>
        <w:t>Enforceability</w:t>
      </w:r>
      <w:bookmarkEnd w:id="84"/>
      <w:bookmarkEnd w:id="85"/>
      <w:bookmarkEnd w:id="86"/>
    </w:p>
    <w:p w14:paraId="06757B81" w14:textId="77777777" w:rsidR="00C10050" w:rsidRPr="00662D09" w:rsidRDefault="00C10050" w:rsidP="00D60CC6">
      <w:pPr>
        <w:jc w:val="both"/>
      </w:pPr>
    </w:p>
    <w:p w14:paraId="06757B82" w14:textId="77777777" w:rsidR="00C10050" w:rsidRPr="00CA6063" w:rsidRDefault="00C10050" w:rsidP="00AB0270">
      <w:pPr>
        <w:jc w:val="both"/>
        <w:rPr>
          <w:rFonts w:ascii="Segoe UI" w:hAnsi="Segoe UI" w:cs="Segoe UI"/>
          <w:sz w:val="22"/>
          <w:szCs w:val="22"/>
        </w:rPr>
      </w:pPr>
      <w:r>
        <w:rPr>
          <w:rFonts w:ascii="Segoe UI" w:hAnsi="Segoe UI" w:cs="Segoe UI"/>
          <w:sz w:val="22"/>
          <w:szCs w:val="22"/>
        </w:rPr>
        <w:t xml:space="preserve">Visa </w:t>
      </w:r>
      <w:r w:rsidRPr="00CA6063">
        <w:rPr>
          <w:rFonts w:ascii="Segoe UI" w:hAnsi="Segoe UI" w:cs="Segoe UI"/>
          <w:sz w:val="22"/>
          <w:szCs w:val="22"/>
        </w:rPr>
        <w:t>strongly support</w:t>
      </w:r>
      <w:r w:rsidR="004C1D34">
        <w:rPr>
          <w:rFonts w:ascii="Segoe UI" w:hAnsi="Segoe UI" w:cs="Segoe UI"/>
          <w:sz w:val="22"/>
          <w:szCs w:val="22"/>
        </w:rPr>
        <w:t>s</w:t>
      </w:r>
      <w:r w:rsidRPr="00CA6063">
        <w:rPr>
          <w:rFonts w:ascii="Segoe UI" w:hAnsi="Segoe UI" w:cs="Segoe UI"/>
          <w:sz w:val="22"/>
          <w:szCs w:val="22"/>
        </w:rPr>
        <w:t xml:space="preserve"> </w:t>
      </w:r>
      <w:r>
        <w:rPr>
          <w:rFonts w:ascii="Segoe UI" w:hAnsi="Segoe UI" w:cs="Segoe UI"/>
          <w:sz w:val="22"/>
          <w:szCs w:val="22"/>
        </w:rPr>
        <w:t>the RBA</w:t>
      </w:r>
      <w:r w:rsidR="004C1D34">
        <w:rPr>
          <w:rFonts w:ascii="Segoe UI" w:hAnsi="Segoe UI" w:cs="Segoe UI"/>
          <w:sz w:val="22"/>
          <w:szCs w:val="22"/>
        </w:rPr>
        <w:t>’s</w:t>
      </w:r>
      <w:r>
        <w:rPr>
          <w:rFonts w:ascii="Segoe UI" w:hAnsi="Segoe UI" w:cs="Segoe UI"/>
          <w:sz w:val="22"/>
          <w:szCs w:val="22"/>
        </w:rPr>
        <w:t xml:space="preserve"> recommendation to grant </w:t>
      </w:r>
      <w:r w:rsidRPr="00CA6063">
        <w:rPr>
          <w:rFonts w:ascii="Segoe UI" w:hAnsi="Segoe UI" w:cs="Segoe UI"/>
          <w:sz w:val="22"/>
          <w:szCs w:val="22"/>
        </w:rPr>
        <w:t>enforceability</w:t>
      </w:r>
      <w:r>
        <w:rPr>
          <w:rFonts w:ascii="Segoe UI" w:hAnsi="Segoe UI" w:cs="Segoe UI"/>
          <w:sz w:val="22"/>
          <w:szCs w:val="22"/>
        </w:rPr>
        <w:t xml:space="preserve"> and investigation powers to the ACCC</w:t>
      </w:r>
      <w:r w:rsidRPr="00CA6063">
        <w:rPr>
          <w:rFonts w:ascii="Segoe UI" w:hAnsi="Segoe UI" w:cs="Segoe UI"/>
          <w:sz w:val="22"/>
          <w:szCs w:val="22"/>
        </w:rPr>
        <w:t xml:space="preserve"> </w:t>
      </w:r>
      <w:r>
        <w:rPr>
          <w:rFonts w:ascii="Segoe UI" w:hAnsi="Segoe UI" w:cs="Segoe UI"/>
          <w:sz w:val="22"/>
          <w:szCs w:val="22"/>
        </w:rPr>
        <w:t xml:space="preserve">to </w:t>
      </w:r>
      <w:r w:rsidRPr="00CA6063">
        <w:rPr>
          <w:rFonts w:ascii="Segoe UI" w:hAnsi="Segoe UI" w:cs="Segoe UI"/>
          <w:sz w:val="22"/>
          <w:szCs w:val="22"/>
        </w:rPr>
        <w:t xml:space="preserve">monitor and </w:t>
      </w:r>
      <w:r>
        <w:rPr>
          <w:rFonts w:ascii="Segoe UI" w:hAnsi="Segoe UI" w:cs="Segoe UI"/>
          <w:sz w:val="22"/>
          <w:szCs w:val="22"/>
        </w:rPr>
        <w:t>police</w:t>
      </w:r>
      <w:r w:rsidRPr="00CA6063">
        <w:rPr>
          <w:rFonts w:ascii="Segoe UI" w:hAnsi="Segoe UI" w:cs="Segoe UI"/>
          <w:sz w:val="22"/>
          <w:szCs w:val="22"/>
        </w:rPr>
        <w:t xml:space="preserve"> </w:t>
      </w:r>
      <w:r>
        <w:rPr>
          <w:rFonts w:ascii="Segoe UI" w:hAnsi="Segoe UI" w:cs="Segoe UI"/>
          <w:sz w:val="22"/>
          <w:szCs w:val="22"/>
        </w:rPr>
        <w:t>surcharging standards in Australia.</w:t>
      </w:r>
    </w:p>
    <w:p w14:paraId="06757B83" w14:textId="77777777" w:rsidR="00C10050" w:rsidRPr="00CA6063" w:rsidRDefault="00C10050">
      <w:pPr>
        <w:jc w:val="both"/>
        <w:rPr>
          <w:rFonts w:ascii="Segoe UI" w:hAnsi="Segoe UI" w:cs="Segoe UI"/>
          <w:sz w:val="22"/>
          <w:szCs w:val="22"/>
        </w:rPr>
      </w:pPr>
    </w:p>
    <w:p w14:paraId="06757B84" w14:textId="77777777" w:rsidR="00C10050" w:rsidRPr="00CA6063" w:rsidRDefault="00C10050">
      <w:pPr>
        <w:jc w:val="both"/>
        <w:rPr>
          <w:rFonts w:ascii="Segoe UI" w:hAnsi="Segoe UI" w:cs="Segoe UI"/>
          <w:sz w:val="22"/>
          <w:szCs w:val="22"/>
        </w:rPr>
      </w:pPr>
      <w:r w:rsidRPr="00BA0FCE">
        <w:rPr>
          <w:rFonts w:ascii="Segoe UI" w:hAnsi="Segoe UI" w:cs="Segoe UI"/>
          <w:sz w:val="22"/>
          <w:szCs w:val="22"/>
        </w:rPr>
        <w:t xml:space="preserve">The current approach which calls on payment schemes to implement and enforce surcharging limitations through a two-step process involving acquiring banks is </w:t>
      </w:r>
      <w:r>
        <w:rPr>
          <w:rFonts w:ascii="Segoe UI" w:hAnsi="Segoe UI" w:cs="Segoe UI"/>
          <w:sz w:val="22"/>
          <w:szCs w:val="22"/>
        </w:rPr>
        <w:t>both</w:t>
      </w:r>
      <w:r w:rsidRPr="00BA0FCE">
        <w:rPr>
          <w:rFonts w:ascii="Segoe UI" w:hAnsi="Segoe UI" w:cs="Segoe UI"/>
          <w:sz w:val="22"/>
          <w:szCs w:val="22"/>
        </w:rPr>
        <w:t xml:space="preserve"> challenging</w:t>
      </w:r>
      <w:r>
        <w:rPr>
          <w:rFonts w:ascii="Segoe UI" w:hAnsi="Segoe UI" w:cs="Segoe UI"/>
          <w:sz w:val="22"/>
          <w:szCs w:val="22"/>
        </w:rPr>
        <w:t xml:space="preserve"> and complex</w:t>
      </w:r>
      <w:r w:rsidRPr="00BA0FCE">
        <w:rPr>
          <w:rFonts w:ascii="Segoe UI" w:hAnsi="Segoe UI" w:cs="Segoe UI"/>
          <w:sz w:val="22"/>
          <w:szCs w:val="22"/>
        </w:rPr>
        <w:t xml:space="preserve">. </w:t>
      </w:r>
      <w:r>
        <w:rPr>
          <w:rFonts w:ascii="Segoe UI" w:hAnsi="Segoe UI" w:cs="Segoe UI"/>
          <w:sz w:val="22"/>
          <w:szCs w:val="22"/>
        </w:rPr>
        <w:t>I</w:t>
      </w:r>
      <w:r w:rsidRPr="00BA0FCE">
        <w:rPr>
          <w:rFonts w:ascii="Segoe UI" w:hAnsi="Segoe UI" w:cs="Segoe UI"/>
          <w:sz w:val="22"/>
          <w:szCs w:val="22"/>
        </w:rPr>
        <w:t xml:space="preserve">t is clear since the March 2013 commencement of Visa’s efforts to enforce the current regime </w:t>
      </w:r>
      <w:r>
        <w:rPr>
          <w:rFonts w:ascii="Segoe UI" w:hAnsi="Segoe UI" w:cs="Segoe UI"/>
          <w:sz w:val="22"/>
          <w:szCs w:val="22"/>
        </w:rPr>
        <w:t xml:space="preserve">with merchants </w:t>
      </w:r>
      <w:r w:rsidRPr="00BA0FCE">
        <w:rPr>
          <w:rFonts w:ascii="Segoe UI" w:hAnsi="Segoe UI" w:cs="Segoe UI"/>
          <w:sz w:val="22"/>
          <w:szCs w:val="22"/>
        </w:rPr>
        <w:t xml:space="preserve">that a statutory authority will </w:t>
      </w:r>
      <w:r>
        <w:rPr>
          <w:rFonts w:ascii="Segoe UI" w:hAnsi="Segoe UI" w:cs="Segoe UI"/>
          <w:sz w:val="22"/>
          <w:szCs w:val="22"/>
        </w:rPr>
        <w:t>have a far greater</w:t>
      </w:r>
      <w:r w:rsidRPr="00BA0FCE">
        <w:rPr>
          <w:rFonts w:ascii="Segoe UI" w:hAnsi="Segoe UI" w:cs="Segoe UI"/>
          <w:sz w:val="22"/>
          <w:szCs w:val="22"/>
        </w:rPr>
        <w:t xml:space="preserve"> </w:t>
      </w:r>
      <w:r>
        <w:rPr>
          <w:rFonts w:ascii="Segoe UI" w:hAnsi="Segoe UI" w:cs="Segoe UI"/>
          <w:sz w:val="22"/>
          <w:szCs w:val="22"/>
        </w:rPr>
        <w:t>ability to</w:t>
      </w:r>
      <w:r w:rsidRPr="00BA0FCE">
        <w:rPr>
          <w:rFonts w:ascii="Segoe UI" w:hAnsi="Segoe UI" w:cs="Segoe UI"/>
          <w:sz w:val="22"/>
          <w:szCs w:val="22"/>
        </w:rPr>
        <w:t xml:space="preserve"> </w:t>
      </w:r>
      <w:r>
        <w:rPr>
          <w:rFonts w:ascii="Segoe UI" w:hAnsi="Segoe UI" w:cs="Segoe UI"/>
          <w:sz w:val="22"/>
          <w:szCs w:val="22"/>
        </w:rPr>
        <w:t>induce a</w:t>
      </w:r>
      <w:r w:rsidRPr="00BA0FCE">
        <w:rPr>
          <w:rFonts w:ascii="Segoe UI" w:hAnsi="Segoe UI" w:cs="Segoe UI"/>
          <w:sz w:val="22"/>
          <w:szCs w:val="22"/>
        </w:rPr>
        <w:t xml:space="preserve"> reduction in excessive surcharging</w:t>
      </w:r>
      <w:r>
        <w:rPr>
          <w:rFonts w:ascii="Segoe UI" w:hAnsi="Segoe UI" w:cs="Segoe UI"/>
          <w:sz w:val="22"/>
          <w:szCs w:val="22"/>
        </w:rPr>
        <w:t xml:space="preserve"> than any industry-led initiative will.</w:t>
      </w:r>
    </w:p>
    <w:p w14:paraId="06757B85" w14:textId="77777777" w:rsidR="00C10050" w:rsidRPr="00CA6063" w:rsidRDefault="00C10050">
      <w:pPr>
        <w:jc w:val="both"/>
        <w:rPr>
          <w:rFonts w:ascii="Segoe UI" w:hAnsi="Segoe UI" w:cs="Segoe UI"/>
          <w:sz w:val="22"/>
          <w:szCs w:val="22"/>
        </w:rPr>
      </w:pPr>
    </w:p>
    <w:p w14:paraId="06757B86" w14:textId="77777777" w:rsidR="00C10050" w:rsidRDefault="00C10050">
      <w:pPr>
        <w:jc w:val="both"/>
        <w:rPr>
          <w:rFonts w:ascii="Segoe UI" w:hAnsi="Segoe UI" w:cs="Segoe UI"/>
          <w:sz w:val="22"/>
          <w:szCs w:val="22"/>
        </w:rPr>
      </w:pPr>
      <w:r>
        <w:rPr>
          <w:rFonts w:ascii="Segoe UI" w:hAnsi="Segoe UI" w:cs="Segoe UI"/>
          <w:sz w:val="22"/>
          <w:szCs w:val="22"/>
        </w:rPr>
        <w:t xml:space="preserve">The ACCC has a clear and defined role in consumer protection, and has taken </w:t>
      </w:r>
      <w:r w:rsidR="004C1D34">
        <w:rPr>
          <w:rFonts w:ascii="Segoe UI" w:hAnsi="Segoe UI" w:cs="Segoe UI"/>
          <w:sz w:val="22"/>
          <w:szCs w:val="22"/>
        </w:rPr>
        <w:t xml:space="preserve">on the responsibility </w:t>
      </w:r>
      <w:r>
        <w:rPr>
          <w:rFonts w:ascii="Segoe UI" w:hAnsi="Segoe UI" w:cs="Segoe UI"/>
          <w:sz w:val="22"/>
          <w:szCs w:val="22"/>
        </w:rPr>
        <w:t>as official watchdog across a number of other industries, including telecommunications, energy, aviation and water. The ability of the ACCC</w:t>
      </w:r>
      <w:r w:rsidRPr="00CA6063">
        <w:rPr>
          <w:rFonts w:ascii="Segoe UI" w:hAnsi="Segoe UI" w:cs="Segoe UI"/>
          <w:sz w:val="22"/>
          <w:szCs w:val="22"/>
        </w:rPr>
        <w:t xml:space="preserve"> </w:t>
      </w:r>
      <w:r>
        <w:rPr>
          <w:rFonts w:ascii="Segoe UI" w:hAnsi="Segoe UI" w:cs="Segoe UI"/>
          <w:sz w:val="22"/>
          <w:szCs w:val="22"/>
        </w:rPr>
        <w:t xml:space="preserve">to </w:t>
      </w:r>
      <w:r w:rsidRPr="00CA6063">
        <w:rPr>
          <w:rFonts w:ascii="Segoe UI" w:hAnsi="Segoe UI" w:cs="Segoe UI"/>
          <w:sz w:val="22"/>
          <w:szCs w:val="22"/>
        </w:rPr>
        <w:t>discharge enforcement</w:t>
      </w:r>
      <w:r>
        <w:rPr>
          <w:rFonts w:ascii="Segoe UI" w:hAnsi="Segoe UI" w:cs="Segoe UI"/>
          <w:sz w:val="22"/>
          <w:szCs w:val="22"/>
        </w:rPr>
        <w:t xml:space="preserve"> and investigation</w:t>
      </w:r>
      <w:r w:rsidRPr="00CA6063">
        <w:rPr>
          <w:rFonts w:ascii="Segoe UI" w:hAnsi="Segoe UI" w:cs="Segoe UI"/>
          <w:sz w:val="22"/>
          <w:szCs w:val="22"/>
        </w:rPr>
        <w:t xml:space="preserve"> responsibilities </w:t>
      </w:r>
      <w:r w:rsidR="00D60CC6">
        <w:rPr>
          <w:rFonts w:ascii="Segoe UI" w:hAnsi="Segoe UI" w:cs="Segoe UI"/>
          <w:sz w:val="22"/>
          <w:szCs w:val="22"/>
        </w:rPr>
        <w:t>is far</w:t>
      </w:r>
      <w:r>
        <w:rPr>
          <w:rFonts w:ascii="Segoe UI" w:hAnsi="Segoe UI" w:cs="Segoe UI"/>
          <w:sz w:val="22"/>
          <w:szCs w:val="22"/>
        </w:rPr>
        <w:t xml:space="preserve"> </w:t>
      </w:r>
      <w:r w:rsidRPr="00CA6063">
        <w:rPr>
          <w:rFonts w:ascii="Segoe UI" w:hAnsi="Segoe UI" w:cs="Segoe UI"/>
          <w:sz w:val="22"/>
          <w:szCs w:val="22"/>
        </w:rPr>
        <w:t xml:space="preserve">more effective than </w:t>
      </w:r>
      <w:r>
        <w:rPr>
          <w:rFonts w:ascii="Segoe UI" w:hAnsi="Segoe UI" w:cs="Segoe UI"/>
          <w:sz w:val="22"/>
          <w:szCs w:val="22"/>
        </w:rPr>
        <w:t xml:space="preserve">any industry-led framework, carrying legislative weight to compel </w:t>
      </w:r>
      <w:proofErr w:type="spellStart"/>
      <w:r>
        <w:rPr>
          <w:rFonts w:ascii="Segoe UI" w:hAnsi="Segoe UI" w:cs="Segoe UI"/>
          <w:sz w:val="22"/>
          <w:szCs w:val="22"/>
        </w:rPr>
        <w:t>organisations</w:t>
      </w:r>
      <w:proofErr w:type="spellEnd"/>
      <w:r>
        <w:rPr>
          <w:rFonts w:ascii="Segoe UI" w:hAnsi="Segoe UI" w:cs="Segoe UI"/>
          <w:sz w:val="22"/>
          <w:szCs w:val="22"/>
        </w:rPr>
        <w:t xml:space="preserve"> to comply with its rulings.</w:t>
      </w:r>
    </w:p>
    <w:p w14:paraId="06757B87" w14:textId="77777777" w:rsidR="00C10050" w:rsidRPr="00CA6063" w:rsidRDefault="00C10050">
      <w:pPr>
        <w:jc w:val="both"/>
        <w:rPr>
          <w:rFonts w:ascii="Segoe UI" w:hAnsi="Segoe UI" w:cs="Segoe UI"/>
          <w:sz w:val="22"/>
          <w:szCs w:val="22"/>
        </w:rPr>
      </w:pPr>
    </w:p>
    <w:p w14:paraId="06757B88" w14:textId="77777777" w:rsidR="00B16A87" w:rsidRPr="003147C2" w:rsidRDefault="00C10050" w:rsidP="00D60CC6">
      <w:pPr>
        <w:jc w:val="both"/>
        <w:rPr>
          <w:rFonts w:ascii="Segoe UI" w:hAnsi="Segoe UI" w:cs="Segoe UI"/>
          <w:sz w:val="22"/>
          <w:szCs w:val="22"/>
        </w:rPr>
      </w:pPr>
      <w:r>
        <w:rPr>
          <w:rFonts w:ascii="Segoe UI" w:hAnsi="Segoe UI" w:cs="Segoe UI"/>
          <w:sz w:val="22"/>
          <w:szCs w:val="22"/>
        </w:rPr>
        <w:t xml:space="preserve">Visa welcomes the ability to engage closely with the ACCC in an ongoing manner to share international best practice in surcharge management, along with any knowledge or experience gained in Australia </w:t>
      </w:r>
      <w:r w:rsidR="009D143F">
        <w:rPr>
          <w:rFonts w:ascii="Segoe UI" w:hAnsi="Segoe UI" w:cs="Segoe UI"/>
          <w:sz w:val="22"/>
          <w:szCs w:val="22"/>
        </w:rPr>
        <w:t xml:space="preserve">and </w:t>
      </w:r>
      <w:r>
        <w:rPr>
          <w:rFonts w:ascii="Segoe UI" w:hAnsi="Segoe UI" w:cs="Segoe UI"/>
          <w:sz w:val="22"/>
          <w:szCs w:val="22"/>
        </w:rPr>
        <w:t>other markets internationally.</w:t>
      </w:r>
      <w:bookmarkStart w:id="87" w:name="_Toc417303924"/>
      <w:r w:rsidR="00B16A87">
        <w:rPr>
          <w:rFonts w:ascii="Segoe UI" w:hAnsi="Segoe UI" w:cs="Segoe UI"/>
          <w:color w:val="002060"/>
        </w:rPr>
        <w:br w:type="page"/>
      </w:r>
    </w:p>
    <w:p w14:paraId="06757B89" w14:textId="77777777" w:rsidR="00C10050" w:rsidRPr="0089281F" w:rsidRDefault="00C10050" w:rsidP="00D60CC6">
      <w:pPr>
        <w:pStyle w:val="Heading1"/>
        <w:spacing w:before="0"/>
        <w:jc w:val="both"/>
        <w:rPr>
          <w:rFonts w:ascii="Segoe UI" w:hAnsi="Segoe UI" w:cs="Segoe UI"/>
          <w:color w:val="002060"/>
        </w:rPr>
      </w:pPr>
      <w:bookmarkStart w:id="88" w:name="_Toc442273967"/>
      <w:r w:rsidRPr="0089281F">
        <w:rPr>
          <w:rFonts w:ascii="Segoe UI" w:hAnsi="Segoe UI" w:cs="Segoe UI"/>
          <w:color w:val="002060"/>
        </w:rPr>
        <w:lastRenderedPageBreak/>
        <w:t xml:space="preserve">Chapter </w:t>
      </w:r>
      <w:r w:rsidR="00B16A87">
        <w:rPr>
          <w:rFonts w:ascii="Segoe UI" w:hAnsi="Segoe UI" w:cs="Segoe UI"/>
          <w:color w:val="002060"/>
        </w:rPr>
        <w:t>5</w:t>
      </w:r>
      <w:r w:rsidRPr="0089281F">
        <w:rPr>
          <w:rFonts w:ascii="Segoe UI" w:hAnsi="Segoe UI" w:cs="Segoe UI"/>
          <w:color w:val="002060"/>
        </w:rPr>
        <w:t>: Competitive neutrality</w:t>
      </w:r>
      <w:bookmarkEnd w:id="87"/>
      <w:bookmarkEnd w:id="88"/>
    </w:p>
    <w:p w14:paraId="06757B8A" w14:textId="77777777" w:rsidR="00C10050" w:rsidRPr="00426E9B" w:rsidRDefault="00C10050" w:rsidP="00D60CC6">
      <w:pPr>
        <w:jc w:val="both"/>
        <w:rPr>
          <w:rFonts w:ascii="Segoe UI" w:hAnsi="Segoe UI" w:cs="Segoe UI"/>
        </w:rPr>
      </w:pPr>
    </w:p>
    <w:tbl>
      <w:tblPr>
        <w:tblStyle w:val="TableGrid"/>
        <w:tblW w:w="0" w:type="auto"/>
        <w:shd w:val="clear" w:color="auto" w:fill="E0E0E0"/>
        <w:tblLook w:val="04A0" w:firstRow="1" w:lastRow="0" w:firstColumn="1" w:lastColumn="0" w:noHBand="0" w:noVBand="1"/>
      </w:tblPr>
      <w:tblGrid>
        <w:gridCol w:w="9243"/>
      </w:tblGrid>
      <w:tr w:rsidR="00C10050" w:rsidRPr="00426E9B" w14:paraId="06757B90" w14:textId="77777777" w:rsidTr="00F421BE">
        <w:tc>
          <w:tcPr>
            <w:tcW w:w="9280" w:type="dxa"/>
            <w:shd w:val="clear" w:color="auto" w:fill="E0E0E0"/>
          </w:tcPr>
          <w:p w14:paraId="06757B8B" w14:textId="77777777" w:rsidR="00C10050" w:rsidRPr="00426E9B" w:rsidRDefault="00C10050" w:rsidP="00D60CC6">
            <w:pPr>
              <w:pStyle w:val="Heading4"/>
              <w:spacing w:before="0"/>
              <w:jc w:val="both"/>
              <w:outlineLvl w:val="3"/>
              <w:rPr>
                <w:rFonts w:ascii="Segoe UI" w:hAnsi="Segoe UI" w:cs="Segoe UI"/>
              </w:rPr>
            </w:pPr>
            <w:r w:rsidRPr="00426E9B">
              <w:rPr>
                <w:rFonts w:ascii="Segoe UI" w:hAnsi="Segoe UI" w:cs="Segoe UI"/>
              </w:rPr>
              <w:t>Key points</w:t>
            </w:r>
          </w:p>
          <w:p w14:paraId="06757B8C" w14:textId="77777777" w:rsidR="00C10050" w:rsidRPr="00401A1E" w:rsidRDefault="00C10050" w:rsidP="00AB0270">
            <w:pPr>
              <w:pStyle w:val="ListParagraph"/>
              <w:numPr>
                <w:ilvl w:val="0"/>
                <w:numId w:val="2"/>
              </w:numPr>
              <w:ind w:right="417"/>
              <w:contextualSpacing w:val="0"/>
              <w:jc w:val="both"/>
              <w:rPr>
                <w:rFonts w:ascii="Segoe UI" w:hAnsi="Segoe UI" w:cs="Segoe UI"/>
                <w:sz w:val="22"/>
                <w:szCs w:val="22"/>
              </w:rPr>
            </w:pPr>
            <w:r w:rsidRPr="00401A1E">
              <w:rPr>
                <w:rFonts w:ascii="Segoe UI" w:hAnsi="Segoe UI" w:cs="Segoe UI"/>
                <w:sz w:val="22"/>
                <w:szCs w:val="22"/>
              </w:rPr>
              <w:t xml:space="preserve">The lack of competitive neutrality </w:t>
            </w:r>
            <w:r w:rsidR="00862080">
              <w:rPr>
                <w:rFonts w:ascii="Segoe UI" w:hAnsi="Segoe UI" w:cs="Segoe UI"/>
                <w:sz w:val="22"/>
                <w:szCs w:val="22"/>
              </w:rPr>
              <w:t>remains</w:t>
            </w:r>
            <w:r w:rsidRPr="00401A1E">
              <w:rPr>
                <w:rFonts w:ascii="Segoe UI" w:hAnsi="Segoe UI" w:cs="Segoe UI"/>
                <w:sz w:val="22"/>
                <w:szCs w:val="22"/>
              </w:rPr>
              <w:t xml:space="preserve"> a key weakness in the Austra</w:t>
            </w:r>
            <w:r w:rsidR="00601C9C">
              <w:rPr>
                <w:rFonts w:ascii="Segoe UI" w:hAnsi="Segoe UI" w:cs="Segoe UI"/>
                <w:sz w:val="22"/>
                <w:szCs w:val="22"/>
              </w:rPr>
              <w:t>lian payments regulatory space</w:t>
            </w:r>
          </w:p>
          <w:p w14:paraId="06757B8D" w14:textId="77777777" w:rsidR="00C10050" w:rsidRPr="00601C9C" w:rsidRDefault="00C10050">
            <w:pPr>
              <w:pStyle w:val="ListParagraph"/>
              <w:numPr>
                <w:ilvl w:val="0"/>
                <w:numId w:val="2"/>
              </w:numPr>
              <w:ind w:right="417"/>
              <w:contextualSpacing w:val="0"/>
              <w:jc w:val="both"/>
              <w:rPr>
                <w:rFonts w:ascii="Segoe UI" w:hAnsi="Segoe UI" w:cs="Segoe UI"/>
                <w:sz w:val="22"/>
                <w:szCs w:val="22"/>
              </w:rPr>
            </w:pPr>
            <w:r w:rsidRPr="00401A1E">
              <w:rPr>
                <w:rFonts w:ascii="Segoe UI" w:hAnsi="Segoe UI" w:cs="Segoe UI"/>
                <w:sz w:val="22"/>
                <w:szCs w:val="22"/>
              </w:rPr>
              <w:t xml:space="preserve">The exclusion of </w:t>
            </w:r>
            <w:r>
              <w:rPr>
                <w:rFonts w:ascii="Segoe UI" w:hAnsi="Segoe UI" w:cs="Segoe UI"/>
                <w:sz w:val="22"/>
                <w:szCs w:val="22"/>
              </w:rPr>
              <w:t xml:space="preserve">existing unregulated schemes from this regulatory review, which only captures some </w:t>
            </w:r>
            <w:r w:rsidRPr="00401A1E">
              <w:rPr>
                <w:rFonts w:ascii="Segoe UI" w:hAnsi="Segoe UI" w:cs="Segoe UI"/>
                <w:sz w:val="22"/>
                <w:szCs w:val="22"/>
              </w:rPr>
              <w:t xml:space="preserve">four-party schemes, continues to deepen </w:t>
            </w:r>
            <w:r w:rsidR="009D143F">
              <w:rPr>
                <w:rFonts w:ascii="Segoe UI" w:hAnsi="Segoe UI" w:cs="Segoe UI"/>
                <w:sz w:val="22"/>
                <w:szCs w:val="22"/>
              </w:rPr>
              <w:t>the</w:t>
            </w:r>
            <w:r w:rsidRPr="00401A1E">
              <w:rPr>
                <w:rFonts w:ascii="Segoe UI" w:hAnsi="Segoe UI" w:cs="Segoe UI"/>
                <w:sz w:val="22"/>
                <w:szCs w:val="22"/>
              </w:rPr>
              <w:t xml:space="preserve"> competitive disparity that exists in the payments system</w:t>
            </w:r>
          </w:p>
          <w:p w14:paraId="06757B8E" w14:textId="77777777" w:rsidR="00C10050" w:rsidRPr="00601C9C" w:rsidRDefault="00C10050">
            <w:pPr>
              <w:pStyle w:val="ListParagraph"/>
              <w:numPr>
                <w:ilvl w:val="0"/>
                <w:numId w:val="2"/>
              </w:numPr>
              <w:ind w:right="417"/>
              <w:contextualSpacing w:val="0"/>
              <w:jc w:val="both"/>
              <w:rPr>
                <w:rFonts w:ascii="Segoe UI" w:hAnsi="Segoe UI" w:cs="Segoe UI"/>
                <w:sz w:val="22"/>
                <w:szCs w:val="22"/>
              </w:rPr>
            </w:pPr>
            <w:r>
              <w:rPr>
                <w:rFonts w:ascii="Segoe UI" w:hAnsi="Segoe UI" w:cs="Segoe UI"/>
                <w:sz w:val="22"/>
                <w:szCs w:val="22"/>
              </w:rPr>
              <w:t>While Visa supports the inclusion of the American Express GNS program in the</w:t>
            </w:r>
            <w:r w:rsidR="00862080">
              <w:rPr>
                <w:rFonts w:ascii="Segoe UI" w:hAnsi="Segoe UI" w:cs="Segoe UI"/>
                <w:sz w:val="22"/>
                <w:szCs w:val="22"/>
              </w:rPr>
              <w:t xml:space="preserve"> proposed</w:t>
            </w:r>
            <w:r>
              <w:rPr>
                <w:rFonts w:ascii="Segoe UI" w:hAnsi="Segoe UI" w:cs="Segoe UI"/>
                <w:sz w:val="22"/>
                <w:szCs w:val="22"/>
              </w:rPr>
              <w:t xml:space="preserve"> new interchange standards, it is critical that the RBA take this opportunity to level the playing field for all participants and future-proof its regulatory regime</w:t>
            </w:r>
            <w:r w:rsidRPr="00601C9C">
              <w:rPr>
                <w:rFonts w:ascii="Segoe UI" w:hAnsi="Segoe UI" w:cs="Segoe UI"/>
                <w:sz w:val="22"/>
                <w:szCs w:val="22"/>
              </w:rPr>
              <w:t xml:space="preserve"> </w:t>
            </w:r>
          </w:p>
          <w:p w14:paraId="06757B8F" w14:textId="77777777" w:rsidR="00C10050" w:rsidRPr="007D6352" w:rsidRDefault="00C10050">
            <w:pPr>
              <w:pStyle w:val="ListParagraph"/>
              <w:ind w:right="417"/>
              <w:contextualSpacing w:val="0"/>
              <w:jc w:val="both"/>
              <w:rPr>
                <w:rFonts w:ascii="Segoe UI" w:hAnsi="Segoe UI" w:cs="Segoe UI"/>
              </w:rPr>
            </w:pPr>
          </w:p>
        </w:tc>
      </w:tr>
    </w:tbl>
    <w:p w14:paraId="06757B91" w14:textId="77777777" w:rsidR="00C10050" w:rsidRPr="00426E9B" w:rsidRDefault="00C10050" w:rsidP="00785DB4">
      <w:pPr>
        <w:jc w:val="both"/>
        <w:rPr>
          <w:rFonts w:ascii="Segoe UI" w:hAnsi="Segoe UI" w:cs="Segoe UI"/>
        </w:rPr>
      </w:pPr>
    </w:p>
    <w:p w14:paraId="06757B92" w14:textId="77777777" w:rsidR="00C10050" w:rsidRPr="00426E9B" w:rsidRDefault="003147C2" w:rsidP="00785DB4">
      <w:pPr>
        <w:pStyle w:val="Heading2"/>
        <w:spacing w:before="0"/>
        <w:jc w:val="both"/>
        <w:rPr>
          <w:rFonts w:ascii="Segoe UI" w:hAnsi="Segoe UI" w:cs="Segoe UI"/>
        </w:rPr>
      </w:pPr>
      <w:bookmarkStart w:id="89" w:name="_Toc416805064"/>
      <w:bookmarkStart w:id="90" w:name="_Toc417303925"/>
      <w:bookmarkStart w:id="91" w:name="_Toc442273968"/>
      <w:r>
        <w:rPr>
          <w:rFonts w:ascii="Segoe UI" w:hAnsi="Segoe UI" w:cs="Segoe UI"/>
        </w:rPr>
        <w:t>5.1</w:t>
      </w:r>
      <w:r>
        <w:rPr>
          <w:rFonts w:ascii="Segoe UI" w:hAnsi="Segoe UI" w:cs="Segoe UI"/>
        </w:rPr>
        <w:tab/>
      </w:r>
      <w:r w:rsidR="00C10050" w:rsidRPr="00426E9B">
        <w:rPr>
          <w:rFonts w:ascii="Segoe UI" w:hAnsi="Segoe UI" w:cs="Segoe UI"/>
        </w:rPr>
        <w:t>Introduction</w:t>
      </w:r>
      <w:bookmarkEnd w:id="89"/>
      <w:bookmarkEnd w:id="90"/>
      <w:bookmarkEnd w:id="91"/>
    </w:p>
    <w:p w14:paraId="06757B93" w14:textId="77777777" w:rsidR="00C10050" w:rsidRDefault="00C10050" w:rsidP="00785DB4">
      <w:pPr>
        <w:jc w:val="both"/>
        <w:rPr>
          <w:rFonts w:ascii="Segoe UI" w:hAnsi="Segoe UI" w:cs="Segoe UI"/>
        </w:rPr>
      </w:pPr>
    </w:p>
    <w:p w14:paraId="06757B94" w14:textId="77777777" w:rsidR="00C10050" w:rsidRDefault="00C10050" w:rsidP="00785DB4">
      <w:pPr>
        <w:jc w:val="both"/>
        <w:rPr>
          <w:rFonts w:ascii="Segoe UI" w:hAnsi="Segoe UI" w:cs="Segoe UI"/>
          <w:sz w:val="22"/>
          <w:szCs w:val="22"/>
        </w:rPr>
      </w:pPr>
      <w:r>
        <w:rPr>
          <w:rFonts w:ascii="Segoe UI" w:hAnsi="Segoe UI" w:cs="Segoe UI"/>
          <w:sz w:val="22"/>
          <w:szCs w:val="22"/>
        </w:rPr>
        <w:t xml:space="preserve">Visa </w:t>
      </w:r>
      <w:r w:rsidR="0096187C">
        <w:rPr>
          <w:rFonts w:ascii="Segoe UI" w:hAnsi="Segoe UI" w:cs="Segoe UI"/>
          <w:sz w:val="22"/>
          <w:szCs w:val="22"/>
        </w:rPr>
        <w:t>continues to view</w:t>
      </w:r>
      <w:r>
        <w:rPr>
          <w:rFonts w:ascii="Segoe UI" w:hAnsi="Segoe UI" w:cs="Segoe UI"/>
          <w:sz w:val="22"/>
          <w:szCs w:val="22"/>
        </w:rPr>
        <w:t xml:space="preserve"> the lack of regulatory competitive neutrality </w:t>
      </w:r>
      <w:r w:rsidR="0096187C">
        <w:rPr>
          <w:rFonts w:ascii="Segoe UI" w:hAnsi="Segoe UI" w:cs="Segoe UI"/>
          <w:sz w:val="22"/>
          <w:szCs w:val="22"/>
        </w:rPr>
        <w:t>as</w:t>
      </w:r>
      <w:r>
        <w:rPr>
          <w:rFonts w:ascii="Segoe UI" w:hAnsi="Segoe UI" w:cs="Segoe UI"/>
          <w:sz w:val="22"/>
          <w:szCs w:val="22"/>
        </w:rPr>
        <w:t xml:space="preserve"> the key weakness in the Australian payments system</w:t>
      </w:r>
      <w:r w:rsidR="0096187C">
        <w:rPr>
          <w:rStyle w:val="FootnoteReference"/>
          <w:rFonts w:ascii="Segoe UI" w:hAnsi="Segoe UI" w:cs="Segoe UI"/>
          <w:sz w:val="22"/>
          <w:szCs w:val="22"/>
        </w:rPr>
        <w:footnoteReference w:id="22"/>
      </w:r>
      <w:r>
        <w:rPr>
          <w:rFonts w:ascii="Segoe UI" w:hAnsi="Segoe UI" w:cs="Segoe UI"/>
          <w:sz w:val="22"/>
          <w:szCs w:val="22"/>
        </w:rPr>
        <w:t xml:space="preserve">. Visa believes that while this Review has taken a number of steps to address this concern, such as the recommendation to capture the American Express GNS or ‘companion card’ scheme in the interchange standards, further steps must be taken to deliver a </w:t>
      </w:r>
      <w:r w:rsidR="0096187C">
        <w:rPr>
          <w:rFonts w:ascii="Segoe UI" w:hAnsi="Segoe UI" w:cs="Segoe UI"/>
          <w:sz w:val="22"/>
          <w:szCs w:val="22"/>
        </w:rPr>
        <w:t>truly</w:t>
      </w:r>
      <w:r>
        <w:rPr>
          <w:rFonts w:ascii="Segoe UI" w:hAnsi="Segoe UI" w:cs="Segoe UI"/>
          <w:sz w:val="22"/>
          <w:szCs w:val="22"/>
        </w:rPr>
        <w:t xml:space="preserve"> level playing field </w:t>
      </w:r>
      <w:r w:rsidR="00011F23">
        <w:rPr>
          <w:rFonts w:ascii="Segoe UI" w:hAnsi="Segoe UI" w:cs="Segoe UI"/>
          <w:sz w:val="22"/>
          <w:szCs w:val="22"/>
        </w:rPr>
        <w:t xml:space="preserve">across </w:t>
      </w:r>
      <w:r>
        <w:rPr>
          <w:rFonts w:ascii="Segoe UI" w:hAnsi="Segoe UI" w:cs="Segoe UI"/>
          <w:sz w:val="22"/>
          <w:szCs w:val="22"/>
        </w:rPr>
        <w:t>the Australian market.</w:t>
      </w:r>
    </w:p>
    <w:p w14:paraId="06757B95" w14:textId="77777777" w:rsidR="00C10050" w:rsidRDefault="00C10050" w:rsidP="00785DB4">
      <w:pPr>
        <w:jc w:val="both"/>
        <w:rPr>
          <w:rFonts w:ascii="Segoe UI" w:hAnsi="Segoe UI" w:cs="Segoe UI"/>
          <w:sz w:val="22"/>
          <w:szCs w:val="22"/>
        </w:rPr>
      </w:pPr>
    </w:p>
    <w:p w14:paraId="06757B96" w14:textId="77777777" w:rsidR="00C10050" w:rsidRDefault="00C10050" w:rsidP="00785DB4">
      <w:pPr>
        <w:jc w:val="both"/>
        <w:rPr>
          <w:rFonts w:ascii="Segoe UI" w:hAnsi="Segoe UI" w:cs="Segoe UI"/>
          <w:sz w:val="22"/>
          <w:szCs w:val="22"/>
        </w:rPr>
      </w:pPr>
      <w:r>
        <w:rPr>
          <w:rFonts w:ascii="Segoe UI" w:hAnsi="Segoe UI" w:cs="Segoe UI"/>
          <w:sz w:val="22"/>
          <w:szCs w:val="22"/>
        </w:rPr>
        <w:t xml:space="preserve">Visa is pleased </w:t>
      </w:r>
      <w:r w:rsidR="00011F23">
        <w:rPr>
          <w:rFonts w:ascii="Segoe UI" w:hAnsi="Segoe UI" w:cs="Segoe UI"/>
          <w:sz w:val="22"/>
          <w:szCs w:val="22"/>
        </w:rPr>
        <w:t xml:space="preserve">that </w:t>
      </w:r>
      <w:r>
        <w:rPr>
          <w:rFonts w:ascii="Segoe UI" w:hAnsi="Segoe UI" w:cs="Segoe UI"/>
          <w:sz w:val="22"/>
          <w:szCs w:val="22"/>
        </w:rPr>
        <w:t xml:space="preserve">the RBA acknowledges that the existence and recent proliferation of the American Express GNS platform is tantamount to an unregulated four-party payment scheme, operating with an almost identical business model and revenue structure to the regulated four-party payments networks. </w:t>
      </w:r>
      <w:proofErr w:type="gramStart"/>
      <w:r>
        <w:rPr>
          <w:rFonts w:ascii="Segoe UI" w:hAnsi="Segoe UI" w:cs="Segoe UI"/>
          <w:sz w:val="22"/>
          <w:szCs w:val="22"/>
        </w:rPr>
        <w:t xml:space="preserve">Ongoing concerns at the continued </w:t>
      </w:r>
      <w:r w:rsidR="00153535">
        <w:rPr>
          <w:rFonts w:ascii="Segoe UI" w:hAnsi="Segoe UI" w:cs="Segoe UI"/>
          <w:sz w:val="22"/>
          <w:szCs w:val="22"/>
        </w:rPr>
        <w:t xml:space="preserve">unregulated </w:t>
      </w:r>
      <w:r>
        <w:rPr>
          <w:rFonts w:ascii="Segoe UI" w:hAnsi="Segoe UI" w:cs="Segoe UI"/>
          <w:sz w:val="22"/>
          <w:szCs w:val="22"/>
        </w:rPr>
        <w:t>operation of the American Express GNS scheme has</w:t>
      </w:r>
      <w:proofErr w:type="gramEnd"/>
      <w:r>
        <w:rPr>
          <w:rFonts w:ascii="Segoe UI" w:hAnsi="Segoe UI" w:cs="Segoe UI"/>
          <w:sz w:val="22"/>
          <w:szCs w:val="22"/>
        </w:rPr>
        <w:t xml:space="preserve"> </w:t>
      </w:r>
      <w:r w:rsidR="00011F23">
        <w:rPr>
          <w:rFonts w:ascii="Segoe UI" w:hAnsi="Segoe UI" w:cs="Segoe UI"/>
          <w:sz w:val="22"/>
          <w:szCs w:val="22"/>
        </w:rPr>
        <w:t xml:space="preserve">seemingly </w:t>
      </w:r>
      <w:r>
        <w:rPr>
          <w:rFonts w:ascii="Segoe UI" w:hAnsi="Segoe UI" w:cs="Segoe UI"/>
          <w:sz w:val="22"/>
          <w:szCs w:val="22"/>
        </w:rPr>
        <w:t xml:space="preserve">also resonated with Government, </w:t>
      </w:r>
      <w:r w:rsidR="00011F23">
        <w:rPr>
          <w:rFonts w:ascii="Segoe UI" w:hAnsi="Segoe UI" w:cs="Segoe UI"/>
          <w:sz w:val="22"/>
          <w:szCs w:val="22"/>
        </w:rPr>
        <w:t xml:space="preserve">seen in </w:t>
      </w:r>
      <w:r>
        <w:rPr>
          <w:rFonts w:ascii="Segoe UI" w:hAnsi="Segoe UI" w:cs="Segoe UI"/>
          <w:sz w:val="22"/>
          <w:szCs w:val="22"/>
        </w:rPr>
        <w:t>the recently completed</w:t>
      </w:r>
      <w:r w:rsidRPr="00C674C7">
        <w:rPr>
          <w:rFonts w:ascii="Segoe UI" w:hAnsi="Segoe UI" w:cs="Segoe UI"/>
          <w:sz w:val="22"/>
          <w:szCs w:val="22"/>
        </w:rPr>
        <w:t xml:space="preserve"> </w:t>
      </w:r>
      <w:r>
        <w:rPr>
          <w:rFonts w:ascii="Segoe UI" w:hAnsi="Segoe UI" w:cs="Segoe UI"/>
          <w:sz w:val="22"/>
          <w:szCs w:val="22"/>
        </w:rPr>
        <w:t xml:space="preserve">Financial System Inquiry (FSI) </w:t>
      </w:r>
      <w:r w:rsidR="00011F23">
        <w:rPr>
          <w:rFonts w:ascii="Segoe UI" w:hAnsi="Segoe UI" w:cs="Segoe UI"/>
          <w:sz w:val="22"/>
          <w:szCs w:val="22"/>
        </w:rPr>
        <w:t xml:space="preserve">which </w:t>
      </w:r>
      <w:r>
        <w:rPr>
          <w:rFonts w:ascii="Segoe UI" w:hAnsi="Segoe UI" w:cs="Segoe UI"/>
          <w:sz w:val="22"/>
          <w:szCs w:val="22"/>
        </w:rPr>
        <w:t>highlight</w:t>
      </w:r>
      <w:r w:rsidR="00011F23">
        <w:rPr>
          <w:rFonts w:ascii="Segoe UI" w:hAnsi="Segoe UI" w:cs="Segoe UI"/>
          <w:sz w:val="22"/>
          <w:szCs w:val="22"/>
        </w:rPr>
        <w:t>ed</w:t>
      </w:r>
      <w:r w:rsidRPr="00C674C7">
        <w:rPr>
          <w:rFonts w:ascii="Segoe UI" w:hAnsi="Segoe UI" w:cs="Segoe UI"/>
          <w:sz w:val="22"/>
          <w:szCs w:val="22"/>
        </w:rPr>
        <w:t xml:space="preserve"> </w:t>
      </w:r>
      <w:r>
        <w:rPr>
          <w:rFonts w:ascii="Segoe UI" w:hAnsi="Segoe UI" w:cs="Segoe UI"/>
          <w:sz w:val="22"/>
          <w:szCs w:val="22"/>
        </w:rPr>
        <w:t xml:space="preserve">similar </w:t>
      </w:r>
      <w:r w:rsidRPr="00C674C7">
        <w:rPr>
          <w:rFonts w:ascii="Segoe UI" w:hAnsi="Segoe UI" w:cs="Segoe UI"/>
          <w:sz w:val="22"/>
          <w:szCs w:val="22"/>
        </w:rPr>
        <w:t xml:space="preserve">concerns </w:t>
      </w:r>
      <w:r w:rsidR="00011F23">
        <w:rPr>
          <w:rFonts w:ascii="Segoe UI" w:hAnsi="Segoe UI" w:cs="Segoe UI"/>
          <w:sz w:val="22"/>
          <w:szCs w:val="22"/>
        </w:rPr>
        <w:t xml:space="preserve">around </w:t>
      </w:r>
      <w:r w:rsidRPr="00C674C7">
        <w:rPr>
          <w:rFonts w:ascii="Segoe UI" w:hAnsi="Segoe UI" w:cs="Segoe UI"/>
          <w:sz w:val="22"/>
          <w:szCs w:val="22"/>
        </w:rPr>
        <w:t xml:space="preserve">the lack of competitive neutrality </w:t>
      </w:r>
      <w:r>
        <w:rPr>
          <w:rFonts w:ascii="Segoe UI" w:hAnsi="Segoe UI" w:cs="Segoe UI"/>
          <w:sz w:val="22"/>
          <w:szCs w:val="22"/>
        </w:rPr>
        <w:t>in the current framework.</w:t>
      </w:r>
    </w:p>
    <w:p w14:paraId="06757B97" w14:textId="77777777" w:rsidR="00C10050" w:rsidRDefault="00C10050" w:rsidP="00785DB4">
      <w:pPr>
        <w:jc w:val="both"/>
        <w:rPr>
          <w:rFonts w:ascii="Segoe UI" w:hAnsi="Segoe UI" w:cs="Segoe UI"/>
          <w:sz w:val="22"/>
          <w:szCs w:val="22"/>
        </w:rPr>
      </w:pPr>
    </w:p>
    <w:p w14:paraId="06757B98" w14:textId="77777777" w:rsidR="00C10050" w:rsidRDefault="00C10050" w:rsidP="00785DB4">
      <w:pPr>
        <w:jc w:val="both"/>
        <w:rPr>
          <w:rFonts w:ascii="Segoe UI" w:hAnsi="Segoe UI" w:cs="Segoe UI"/>
          <w:sz w:val="22"/>
          <w:szCs w:val="22"/>
        </w:rPr>
      </w:pPr>
      <w:r>
        <w:rPr>
          <w:rFonts w:ascii="Segoe UI" w:hAnsi="Segoe UI" w:cs="Segoe UI"/>
          <w:sz w:val="22"/>
          <w:szCs w:val="22"/>
        </w:rPr>
        <w:t>In Visa’s view, payment systems in Australia should operate on a competitive, fair and neutral playing field, with balanced regulation capturing all participants in the market. The</w:t>
      </w:r>
      <w:r w:rsidR="00011F23">
        <w:rPr>
          <w:rFonts w:ascii="Segoe UI" w:hAnsi="Segoe UI" w:cs="Segoe UI"/>
          <w:sz w:val="22"/>
          <w:szCs w:val="22"/>
        </w:rPr>
        <w:t>refore,</w:t>
      </w:r>
      <w:r>
        <w:rPr>
          <w:rFonts w:ascii="Segoe UI" w:hAnsi="Segoe UI" w:cs="Segoe UI"/>
          <w:sz w:val="22"/>
          <w:szCs w:val="22"/>
        </w:rPr>
        <w:t xml:space="preserve"> designation of new, emerging or future issuing schemes, for example, </w:t>
      </w:r>
      <w:proofErr w:type="spellStart"/>
      <w:r>
        <w:rPr>
          <w:rFonts w:ascii="Segoe UI" w:hAnsi="Segoe UI" w:cs="Segoe UI"/>
          <w:sz w:val="22"/>
          <w:szCs w:val="22"/>
        </w:rPr>
        <w:t>UnionPay</w:t>
      </w:r>
      <w:proofErr w:type="spellEnd"/>
      <w:r w:rsidR="00E11FE3">
        <w:rPr>
          <w:rFonts w:ascii="Segoe UI" w:hAnsi="Segoe UI" w:cs="Segoe UI"/>
          <w:sz w:val="22"/>
          <w:szCs w:val="22"/>
        </w:rPr>
        <w:t>,</w:t>
      </w:r>
      <w:r>
        <w:rPr>
          <w:rFonts w:ascii="Segoe UI" w:hAnsi="Segoe UI" w:cs="Segoe UI"/>
          <w:sz w:val="22"/>
          <w:szCs w:val="22"/>
        </w:rPr>
        <w:t xml:space="preserve"> JCB</w:t>
      </w:r>
      <w:r w:rsidR="00E11FE3">
        <w:rPr>
          <w:rFonts w:ascii="Segoe UI" w:hAnsi="Segoe UI" w:cs="Segoe UI"/>
          <w:sz w:val="22"/>
          <w:szCs w:val="22"/>
        </w:rPr>
        <w:t xml:space="preserve"> or PayPal</w:t>
      </w:r>
      <w:r>
        <w:rPr>
          <w:rFonts w:ascii="Segoe UI" w:hAnsi="Segoe UI" w:cs="Segoe UI"/>
          <w:sz w:val="22"/>
          <w:szCs w:val="22"/>
        </w:rPr>
        <w:t xml:space="preserve">, should also be included in existing legislation to protect both consumers and merchants. </w:t>
      </w:r>
    </w:p>
    <w:p w14:paraId="06757B99" w14:textId="77777777" w:rsidR="00C10050" w:rsidRDefault="00C10050" w:rsidP="00785DB4">
      <w:pPr>
        <w:jc w:val="both"/>
        <w:rPr>
          <w:rFonts w:ascii="Segoe UI" w:hAnsi="Segoe UI" w:cs="Segoe UI"/>
          <w:sz w:val="22"/>
          <w:szCs w:val="22"/>
        </w:rPr>
      </w:pPr>
    </w:p>
    <w:p w14:paraId="06757B9A" w14:textId="77777777" w:rsidR="00C10050" w:rsidRDefault="003147C2" w:rsidP="00785DB4">
      <w:pPr>
        <w:pStyle w:val="Heading2"/>
        <w:spacing w:before="0"/>
        <w:jc w:val="both"/>
        <w:rPr>
          <w:rFonts w:ascii="Segoe UI" w:hAnsi="Segoe UI" w:cs="Segoe UI"/>
        </w:rPr>
      </w:pPr>
      <w:bookmarkStart w:id="92" w:name="_Toc417303928"/>
      <w:bookmarkStart w:id="93" w:name="_Toc442273969"/>
      <w:r>
        <w:rPr>
          <w:rFonts w:ascii="Segoe UI" w:hAnsi="Segoe UI" w:cs="Segoe UI"/>
        </w:rPr>
        <w:t>5.2</w:t>
      </w:r>
      <w:r>
        <w:rPr>
          <w:rFonts w:ascii="Segoe UI" w:hAnsi="Segoe UI" w:cs="Segoe UI"/>
        </w:rPr>
        <w:tab/>
      </w:r>
      <w:r w:rsidR="00952D5E">
        <w:rPr>
          <w:rFonts w:ascii="Segoe UI" w:hAnsi="Segoe UI" w:cs="Segoe UI"/>
        </w:rPr>
        <w:t>‘Traditional’</w:t>
      </w:r>
      <w:r w:rsidR="00CC79AE">
        <w:rPr>
          <w:rFonts w:ascii="Segoe UI" w:hAnsi="Segoe UI" w:cs="Segoe UI"/>
        </w:rPr>
        <w:t xml:space="preserve"> or proprietary three-party s</w:t>
      </w:r>
      <w:r w:rsidR="00C10050">
        <w:rPr>
          <w:rFonts w:ascii="Segoe UI" w:hAnsi="Segoe UI" w:cs="Segoe UI"/>
        </w:rPr>
        <w:t xml:space="preserve">chemes and </w:t>
      </w:r>
      <w:r w:rsidR="00CC79AE">
        <w:rPr>
          <w:rFonts w:ascii="Segoe UI" w:hAnsi="Segoe UI" w:cs="Segoe UI"/>
        </w:rPr>
        <w:t>n</w:t>
      </w:r>
      <w:r w:rsidR="00C10050">
        <w:rPr>
          <w:rFonts w:ascii="Segoe UI" w:hAnsi="Segoe UI" w:cs="Segoe UI"/>
        </w:rPr>
        <w:t xml:space="preserve">ew </w:t>
      </w:r>
      <w:r w:rsidR="00CC79AE">
        <w:rPr>
          <w:rFonts w:ascii="Segoe UI" w:hAnsi="Segoe UI" w:cs="Segoe UI"/>
        </w:rPr>
        <w:t>m</w:t>
      </w:r>
      <w:r w:rsidR="00C10050">
        <w:rPr>
          <w:rFonts w:ascii="Segoe UI" w:hAnsi="Segoe UI" w:cs="Segoe UI"/>
        </w:rPr>
        <w:t>odels</w:t>
      </w:r>
      <w:bookmarkEnd w:id="92"/>
      <w:bookmarkEnd w:id="93"/>
    </w:p>
    <w:p w14:paraId="06757B9B" w14:textId="77777777" w:rsidR="00C10050" w:rsidRDefault="00C10050" w:rsidP="00785DB4">
      <w:pPr>
        <w:jc w:val="both"/>
        <w:rPr>
          <w:rFonts w:ascii="Segoe UI" w:hAnsi="Segoe UI" w:cs="Segoe UI"/>
          <w:sz w:val="22"/>
          <w:szCs w:val="22"/>
          <w:highlight w:val="yellow"/>
        </w:rPr>
      </w:pPr>
    </w:p>
    <w:p w14:paraId="06757B9C" w14:textId="77777777" w:rsidR="00C10050" w:rsidRDefault="00C10050" w:rsidP="00785DB4">
      <w:pPr>
        <w:jc w:val="both"/>
        <w:rPr>
          <w:rFonts w:ascii="Segoe UI" w:hAnsi="Segoe UI" w:cs="Segoe UI"/>
          <w:sz w:val="22"/>
          <w:szCs w:val="22"/>
        </w:rPr>
      </w:pPr>
      <w:r>
        <w:rPr>
          <w:rFonts w:ascii="Segoe UI" w:hAnsi="Segoe UI" w:cs="Segoe UI"/>
          <w:sz w:val="22"/>
          <w:szCs w:val="22"/>
        </w:rPr>
        <w:t>While Visa supports the RBA</w:t>
      </w:r>
      <w:r w:rsidR="00011F23">
        <w:rPr>
          <w:rFonts w:ascii="Segoe UI" w:hAnsi="Segoe UI" w:cs="Segoe UI"/>
          <w:sz w:val="22"/>
          <w:szCs w:val="22"/>
        </w:rPr>
        <w:t>’s</w:t>
      </w:r>
      <w:r>
        <w:rPr>
          <w:rFonts w:ascii="Segoe UI" w:hAnsi="Segoe UI" w:cs="Segoe UI"/>
          <w:sz w:val="22"/>
          <w:szCs w:val="22"/>
        </w:rPr>
        <w:t xml:space="preserve"> recommendation to bring the American Express GNS scheme, the de facto American Express four-party scheme, </w:t>
      </w:r>
      <w:r w:rsidR="00011F23">
        <w:rPr>
          <w:rFonts w:ascii="Segoe UI" w:hAnsi="Segoe UI" w:cs="Segoe UI"/>
          <w:sz w:val="22"/>
          <w:szCs w:val="22"/>
        </w:rPr>
        <w:t xml:space="preserve">under </w:t>
      </w:r>
      <w:r>
        <w:rPr>
          <w:rFonts w:ascii="Segoe UI" w:hAnsi="Segoe UI" w:cs="Segoe UI"/>
          <w:sz w:val="22"/>
          <w:szCs w:val="22"/>
        </w:rPr>
        <w:t xml:space="preserve">the interchange regulations, a number of ‘traditional’ or proprietary three-party schemes, as well as a number of four-party </w:t>
      </w:r>
      <w:r>
        <w:rPr>
          <w:rFonts w:ascii="Segoe UI" w:hAnsi="Segoe UI" w:cs="Segoe UI"/>
          <w:sz w:val="22"/>
          <w:szCs w:val="22"/>
        </w:rPr>
        <w:lastRenderedPageBreak/>
        <w:t xml:space="preserve">schemes, remain unregulated in the Australian market. This exclusion continues to highlight the competitive disparity that exists in the payments environment. </w:t>
      </w:r>
    </w:p>
    <w:p w14:paraId="06757B9D" w14:textId="77777777" w:rsidR="00C10050" w:rsidRDefault="00C10050" w:rsidP="00785DB4">
      <w:pPr>
        <w:jc w:val="both"/>
        <w:rPr>
          <w:rFonts w:ascii="Segoe UI" w:hAnsi="Segoe UI" w:cs="Segoe UI"/>
          <w:sz w:val="22"/>
          <w:szCs w:val="22"/>
        </w:rPr>
      </w:pPr>
    </w:p>
    <w:p w14:paraId="06757B9E" w14:textId="77777777" w:rsidR="00C10050" w:rsidRDefault="00C10050" w:rsidP="00785DB4">
      <w:pPr>
        <w:jc w:val="both"/>
        <w:rPr>
          <w:rFonts w:ascii="Segoe UI" w:hAnsi="Segoe UI" w:cs="Segoe UI"/>
          <w:sz w:val="22"/>
          <w:szCs w:val="22"/>
        </w:rPr>
      </w:pPr>
      <w:r>
        <w:rPr>
          <w:rFonts w:ascii="Segoe UI" w:hAnsi="Segoe UI" w:cs="Segoe UI"/>
          <w:sz w:val="22"/>
          <w:szCs w:val="22"/>
        </w:rPr>
        <w:t>Visa has argued consistently that closed-</w:t>
      </w:r>
      <w:proofErr w:type="gramStart"/>
      <w:r>
        <w:rPr>
          <w:rFonts w:ascii="Segoe UI" w:hAnsi="Segoe UI" w:cs="Segoe UI"/>
          <w:sz w:val="22"/>
          <w:szCs w:val="22"/>
        </w:rPr>
        <w:t>loop,</w:t>
      </w:r>
      <w:proofErr w:type="gramEnd"/>
      <w:r>
        <w:rPr>
          <w:rFonts w:ascii="Segoe UI" w:hAnsi="Segoe UI" w:cs="Segoe UI"/>
          <w:sz w:val="22"/>
          <w:szCs w:val="22"/>
        </w:rPr>
        <w:t xml:space="preserve"> three-party schemes should be regulated by the RBA in a similar manner to the open-loop, four-party schemes. Additionally, a number of unregulated four-party schemes have continued to grow in the Australian market without any regulatory intervention by the RBA. While this ongoing disparity and regulatory dichotomy continues, the operators of the unregulated schemes are likely to continue taking advantage of the competitive advantage that shields operators from cost management regulation, leading to growth in higher-cost schemes and negative outcomes for merchants and consum</w:t>
      </w:r>
      <w:r w:rsidRPr="00D55250">
        <w:rPr>
          <w:rFonts w:ascii="Segoe UI" w:hAnsi="Segoe UI" w:cs="Segoe UI"/>
          <w:sz w:val="22"/>
          <w:szCs w:val="22"/>
        </w:rPr>
        <w:t xml:space="preserve">ers. </w:t>
      </w:r>
    </w:p>
    <w:p w14:paraId="06757B9F" w14:textId="77777777" w:rsidR="00C10050" w:rsidRDefault="00C10050" w:rsidP="00785DB4">
      <w:pPr>
        <w:jc w:val="both"/>
        <w:rPr>
          <w:rFonts w:ascii="Segoe UI" w:hAnsi="Segoe UI" w:cs="Segoe UI"/>
          <w:sz w:val="22"/>
          <w:szCs w:val="22"/>
        </w:rPr>
      </w:pPr>
    </w:p>
    <w:p w14:paraId="06757BA0" w14:textId="77777777" w:rsidR="00C10050" w:rsidRDefault="00C10050" w:rsidP="00785DB4">
      <w:pPr>
        <w:jc w:val="both"/>
        <w:rPr>
          <w:rFonts w:ascii="Segoe UI" w:hAnsi="Segoe UI" w:cs="Segoe UI"/>
          <w:sz w:val="22"/>
          <w:szCs w:val="22"/>
        </w:rPr>
      </w:pPr>
      <w:r w:rsidRPr="00D55250">
        <w:rPr>
          <w:rFonts w:ascii="Segoe UI" w:hAnsi="Segoe UI" w:cs="Segoe UI"/>
          <w:sz w:val="22"/>
          <w:szCs w:val="22"/>
        </w:rPr>
        <w:t>In addition, beyond both open and closed loop schemes, a range of newer models are being developed and deployed in the Australian payments mar</w:t>
      </w:r>
      <w:r>
        <w:rPr>
          <w:rFonts w:ascii="Segoe UI" w:hAnsi="Segoe UI" w:cs="Segoe UI"/>
          <w:sz w:val="22"/>
          <w:szCs w:val="22"/>
        </w:rPr>
        <w:t xml:space="preserve">ket, such as PayPal and </w:t>
      </w:r>
      <w:proofErr w:type="spellStart"/>
      <w:r>
        <w:rPr>
          <w:rFonts w:ascii="Segoe UI" w:hAnsi="Segoe UI" w:cs="Segoe UI"/>
          <w:sz w:val="22"/>
          <w:szCs w:val="22"/>
        </w:rPr>
        <w:t>Alipay</w:t>
      </w:r>
      <w:proofErr w:type="spellEnd"/>
      <w:r>
        <w:rPr>
          <w:rFonts w:ascii="Segoe UI" w:hAnsi="Segoe UI" w:cs="Segoe UI"/>
          <w:sz w:val="22"/>
          <w:szCs w:val="22"/>
        </w:rPr>
        <w:t xml:space="preserve">, which also operate in the payment system without any regulatory intervention by the RBA. These emerging platforms continue to grow without any structural or cost regulation, allowing operators to charge consumers and merchants at whatever level they choose. </w:t>
      </w:r>
    </w:p>
    <w:p w14:paraId="06757BA1" w14:textId="77777777" w:rsidR="00C10050" w:rsidRDefault="00C10050" w:rsidP="00785DB4">
      <w:pPr>
        <w:jc w:val="both"/>
        <w:rPr>
          <w:rFonts w:ascii="Segoe UI" w:hAnsi="Segoe UI" w:cs="Segoe UI"/>
          <w:sz w:val="22"/>
          <w:szCs w:val="22"/>
        </w:rPr>
      </w:pPr>
    </w:p>
    <w:p w14:paraId="06757BA2" w14:textId="77777777" w:rsidR="00C10050" w:rsidRPr="008C230B" w:rsidRDefault="0096187C" w:rsidP="00785DB4">
      <w:pPr>
        <w:jc w:val="both"/>
      </w:pPr>
      <w:r>
        <w:rPr>
          <w:rFonts w:ascii="Segoe UI" w:hAnsi="Segoe UI" w:cs="Segoe UI"/>
          <w:sz w:val="22"/>
          <w:szCs w:val="22"/>
        </w:rPr>
        <w:t xml:space="preserve">To futureproof the regulation of the Australian payments industry, Visa urges the RBA to include in its review </w:t>
      </w:r>
      <w:r w:rsidRPr="0096187C">
        <w:rPr>
          <w:rFonts w:ascii="Segoe UI" w:hAnsi="Segoe UI" w:cs="Segoe UI"/>
          <w:sz w:val="22"/>
          <w:szCs w:val="22"/>
        </w:rPr>
        <w:t>clear provisions signaling an intention to designate and regulate when a payments company reache</w:t>
      </w:r>
      <w:r w:rsidR="00E033FB">
        <w:rPr>
          <w:rFonts w:ascii="Segoe UI" w:hAnsi="Segoe UI" w:cs="Segoe UI"/>
          <w:sz w:val="22"/>
          <w:szCs w:val="22"/>
        </w:rPr>
        <w:t>s</w:t>
      </w:r>
      <w:r w:rsidRPr="0096187C">
        <w:rPr>
          <w:rFonts w:ascii="Segoe UI" w:hAnsi="Segoe UI" w:cs="Segoe UI"/>
          <w:sz w:val="22"/>
          <w:szCs w:val="22"/>
        </w:rPr>
        <w:t xml:space="preserve"> material volumes in the Australian market</w:t>
      </w:r>
      <w:r>
        <w:rPr>
          <w:rFonts w:ascii="Segoe UI" w:hAnsi="Segoe UI" w:cs="Segoe UI"/>
          <w:sz w:val="22"/>
          <w:szCs w:val="22"/>
        </w:rPr>
        <w:t>.</w:t>
      </w:r>
      <w:r w:rsidR="00E11FE3">
        <w:rPr>
          <w:rFonts w:ascii="Segoe UI" w:hAnsi="Segoe UI" w:cs="Segoe UI"/>
          <w:sz w:val="22"/>
          <w:szCs w:val="22"/>
        </w:rPr>
        <w:t xml:space="preserve"> Material volumes should be clearly defined</w:t>
      </w:r>
      <w:r w:rsidR="00E033FB">
        <w:rPr>
          <w:rFonts w:ascii="Segoe UI" w:hAnsi="Segoe UI" w:cs="Segoe UI"/>
          <w:sz w:val="22"/>
          <w:szCs w:val="22"/>
        </w:rPr>
        <w:t xml:space="preserve"> by the RBA to understand when this</w:t>
      </w:r>
      <w:r w:rsidR="00E11FE3">
        <w:rPr>
          <w:rFonts w:ascii="Segoe UI" w:hAnsi="Segoe UI" w:cs="Segoe UI"/>
          <w:sz w:val="22"/>
          <w:szCs w:val="22"/>
        </w:rPr>
        <w:t xml:space="preserve"> threshold is met</w:t>
      </w:r>
      <w:r w:rsidR="00E033FB">
        <w:rPr>
          <w:rFonts w:ascii="Segoe UI" w:hAnsi="Segoe UI" w:cs="Segoe UI"/>
          <w:sz w:val="22"/>
          <w:szCs w:val="22"/>
        </w:rPr>
        <w:t>.</w:t>
      </w:r>
    </w:p>
    <w:p w14:paraId="06757BA3" w14:textId="77777777" w:rsidR="00C10050" w:rsidRDefault="00C10050" w:rsidP="00785DB4">
      <w:pPr>
        <w:jc w:val="both"/>
        <w:rPr>
          <w:rFonts w:ascii="Segoe UI" w:eastAsiaTheme="majorEastAsia" w:hAnsi="Segoe UI" w:cs="Segoe UI"/>
          <w:b/>
          <w:bCs/>
          <w:color w:val="002060"/>
          <w:sz w:val="32"/>
          <w:szCs w:val="32"/>
        </w:rPr>
      </w:pPr>
      <w:r>
        <w:rPr>
          <w:rFonts w:ascii="Segoe UI" w:hAnsi="Segoe UI" w:cs="Segoe UI"/>
          <w:color w:val="002060"/>
        </w:rPr>
        <w:br w:type="page"/>
      </w:r>
    </w:p>
    <w:p w14:paraId="06757BA4" w14:textId="77777777" w:rsidR="00C10050" w:rsidRDefault="00C10050" w:rsidP="00D60CC6">
      <w:pPr>
        <w:pStyle w:val="Heading1"/>
        <w:spacing w:before="0"/>
        <w:jc w:val="both"/>
        <w:rPr>
          <w:rFonts w:ascii="Segoe UI" w:hAnsi="Segoe UI" w:cs="Segoe UI"/>
          <w:color w:val="002060"/>
        </w:rPr>
      </w:pPr>
      <w:bookmarkStart w:id="94" w:name="_Toc442273970"/>
      <w:r>
        <w:rPr>
          <w:rFonts w:ascii="Segoe UI" w:hAnsi="Segoe UI" w:cs="Segoe UI"/>
          <w:color w:val="002060"/>
        </w:rPr>
        <w:lastRenderedPageBreak/>
        <w:t xml:space="preserve">Chapter </w:t>
      </w:r>
      <w:r w:rsidR="00B16A87">
        <w:rPr>
          <w:rFonts w:ascii="Segoe UI" w:hAnsi="Segoe UI" w:cs="Segoe UI"/>
          <w:color w:val="002060"/>
        </w:rPr>
        <w:t>6</w:t>
      </w:r>
      <w:r w:rsidRPr="0089281F">
        <w:rPr>
          <w:rFonts w:ascii="Segoe UI" w:hAnsi="Segoe UI" w:cs="Segoe UI"/>
          <w:color w:val="002060"/>
        </w:rPr>
        <w:t xml:space="preserve">: </w:t>
      </w:r>
      <w:r>
        <w:rPr>
          <w:rFonts w:ascii="Segoe UI" w:hAnsi="Segoe UI" w:cs="Segoe UI"/>
          <w:color w:val="002060"/>
        </w:rPr>
        <w:t xml:space="preserve">Other </w:t>
      </w:r>
      <w:r w:rsidR="00CC79AE">
        <w:rPr>
          <w:rFonts w:ascii="Segoe UI" w:hAnsi="Segoe UI" w:cs="Segoe UI"/>
          <w:color w:val="002060"/>
        </w:rPr>
        <w:t>m</w:t>
      </w:r>
      <w:r>
        <w:rPr>
          <w:rFonts w:ascii="Segoe UI" w:hAnsi="Segoe UI" w:cs="Segoe UI"/>
          <w:color w:val="002060"/>
        </w:rPr>
        <w:t>atters</w:t>
      </w:r>
      <w:bookmarkEnd w:id="94"/>
    </w:p>
    <w:p w14:paraId="06757BA5" w14:textId="77777777" w:rsidR="00C10050" w:rsidRPr="00643563" w:rsidRDefault="00C10050" w:rsidP="00D60CC6">
      <w:pPr>
        <w:jc w:val="both"/>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C10050" w:rsidRPr="0001116F" w14:paraId="06757BAA" w14:textId="77777777" w:rsidTr="00F421BE">
        <w:tc>
          <w:tcPr>
            <w:tcW w:w="9280" w:type="dxa"/>
            <w:shd w:val="clear" w:color="auto" w:fill="E0E0E0"/>
          </w:tcPr>
          <w:p w14:paraId="06757BA6" w14:textId="77777777" w:rsidR="00C10050" w:rsidRPr="00110678" w:rsidRDefault="00C10050" w:rsidP="00D60CC6">
            <w:pPr>
              <w:pStyle w:val="Heading4"/>
              <w:spacing w:before="0"/>
              <w:jc w:val="both"/>
              <w:outlineLvl w:val="3"/>
              <w:rPr>
                <w:rFonts w:ascii="Segoe UI" w:hAnsi="Segoe UI" w:cs="Segoe UI"/>
              </w:rPr>
            </w:pPr>
            <w:r w:rsidRPr="00110678">
              <w:rPr>
                <w:rFonts w:ascii="Segoe UI" w:hAnsi="Segoe UI" w:cs="Segoe UI"/>
              </w:rPr>
              <w:t>Key points</w:t>
            </w:r>
          </w:p>
          <w:p w14:paraId="06757BA7" w14:textId="77777777" w:rsidR="00C10050" w:rsidRDefault="00C10050" w:rsidP="00AB027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Visa believes that, given the extent of the recommendations likely to flow from the RBA’s Review, a</w:t>
            </w:r>
            <w:r w:rsidR="00E033FB">
              <w:rPr>
                <w:rFonts w:ascii="Segoe UI" w:hAnsi="Segoe UI" w:cs="Segoe UI"/>
                <w:sz w:val="22"/>
                <w:szCs w:val="22"/>
              </w:rPr>
              <w:t xml:space="preserve">t least </w:t>
            </w:r>
            <w:r>
              <w:rPr>
                <w:rFonts w:ascii="Segoe UI" w:hAnsi="Segoe UI" w:cs="Segoe UI"/>
                <w:sz w:val="22"/>
                <w:szCs w:val="22"/>
              </w:rPr>
              <w:t>a 12-month period will b</w:t>
            </w:r>
            <w:r w:rsidR="00A3067A">
              <w:rPr>
                <w:rFonts w:ascii="Segoe UI" w:hAnsi="Segoe UI" w:cs="Segoe UI"/>
                <w:sz w:val="22"/>
                <w:szCs w:val="22"/>
              </w:rPr>
              <w:t>e necessary for Visa to implement changes at a scheme level</w:t>
            </w:r>
          </w:p>
          <w:p w14:paraId="06757BA8" w14:textId="77777777" w:rsidR="00C10050" w:rsidRDefault="00C10050">
            <w:pPr>
              <w:pStyle w:val="ListParagraph"/>
              <w:numPr>
                <w:ilvl w:val="0"/>
                <w:numId w:val="2"/>
              </w:numPr>
              <w:ind w:left="714" w:right="432" w:hanging="357"/>
              <w:contextualSpacing w:val="0"/>
              <w:jc w:val="both"/>
              <w:rPr>
                <w:rFonts w:ascii="Segoe UI" w:hAnsi="Segoe UI" w:cs="Segoe UI"/>
                <w:sz w:val="22"/>
                <w:szCs w:val="22"/>
              </w:rPr>
            </w:pPr>
            <w:r>
              <w:rPr>
                <w:rFonts w:ascii="Segoe UI" w:hAnsi="Segoe UI" w:cs="Segoe UI"/>
                <w:sz w:val="22"/>
                <w:szCs w:val="22"/>
              </w:rPr>
              <w:t>Visa encourages the RBA to consult widely with all participants in the payments ecosystem to ensure the compliance deadlines matc</w:t>
            </w:r>
            <w:r w:rsidR="00601C9C">
              <w:rPr>
                <w:rFonts w:ascii="Segoe UI" w:hAnsi="Segoe UI" w:cs="Segoe UI"/>
                <w:sz w:val="22"/>
                <w:szCs w:val="22"/>
              </w:rPr>
              <w:t>h achievable industry timelines</w:t>
            </w:r>
            <w:r w:rsidR="00A3067A">
              <w:rPr>
                <w:rFonts w:ascii="Segoe UI" w:hAnsi="Segoe UI" w:cs="Segoe UI"/>
                <w:sz w:val="22"/>
                <w:szCs w:val="22"/>
              </w:rPr>
              <w:t xml:space="preserve"> beyond the requirements of scheme operators</w:t>
            </w:r>
          </w:p>
          <w:p w14:paraId="06757BA9" w14:textId="77777777" w:rsidR="00C10050" w:rsidRPr="00CD1E53" w:rsidRDefault="00C10050">
            <w:pPr>
              <w:pStyle w:val="ListParagraph"/>
              <w:ind w:left="714" w:right="432"/>
              <w:contextualSpacing w:val="0"/>
              <w:jc w:val="both"/>
              <w:rPr>
                <w:rFonts w:ascii="Segoe UI" w:hAnsi="Segoe UI" w:cs="Segoe UI"/>
                <w:sz w:val="22"/>
                <w:szCs w:val="22"/>
              </w:rPr>
            </w:pPr>
          </w:p>
        </w:tc>
      </w:tr>
    </w:tbl>
    <w:p w14:paraId="06757BAB" w14:textId="77777777" w:rsidR="00C10050" w:rsidRDefault="00C10050" w:rsidP="00D60CC6">
      <w:pPr>
        <w:pStyle w:val="Heading2"/>
        <w:spacing w:before="0"/>
        <w:jc w:val="both"/>
        <w:rPr>
          <w:rFonts w:ascii="Segoe UI" w:hAnsi="Segoe UI" w:cs="Segoe UI"/>
        </w:rPr>
      </w:pPr>
      <w:bookmarkStart w:id="95" w:name="_Toc416805090"/>
      <w:bookmarkStart w:id="96" w:name="_Toc417293241"/>
    </w:p>
    <w:p w14:paraId="06757BAC" w14:textId="77777777" w:rsidR="00C10050" w:rsidRPr="00426E9B" w:rsidRDefault="003147C2" w:rsidP="00D60CC6">
      <w:pPr>
        <w:pStyle w:val="Heading2"/>
        <w:spacing w:before="0"/>
        <w:jc w:val="both"/>
        <w:rPr>
          <w:rFonts w:ascii="Segoe UI" w:hAnsi="Segoe UI" w:cs="Segoe UI"/>
        </w:rPr>
      </w:pPr>
      <w:bookmarkStart w:id="97" w:name="_Toc442273971"/>
      <w:r>
        <w:rPr>
          <w:rFonts w:ascii="Segoe UI" w:hAnsi="Segoe UI" w:cs="Segoe UI"/>
        </w:rPr>
        <w:t>6.1</w:t>
      </w:r>
      <w:r>
        <w:rPr>
          <w:rFonts w:ascii="Segoe UI" w:hAnsi="Segoe UI" w:cs="Segoe UI"/>
        </w:rPr>
        <w:tab/>
      </w:r>
      <w:r w:rsidR="00C10050" w:rsidRPr="00426E9B">
        <w:rPr>
          <w:rFonts w:ascii="Segoe UI" w:hAnsi="Segoe UI" w:cs="Segoe UI"/>
        </w:rPr>
        <w:t>Implementation timeframe</w:t>
      </w:r>
      <w:bookmarkEnd w:id="95"/>
      <w:bookmarkEnd w:id="96"/>
      <w:r w:rsidR="00C10050">
        <w:rPr>
          <w:rFonts w:ascii="Segoe UI" w:hAnsi="Segoe UI" w:cs="Segoe UI"/>
        </w:rPr>
        <w:t xml:space="preserve"> for reform</w:t>
      </w:r>
      <w:bookmarkEnd w:id="97"/>
    </w:p>
    <w:p w14:paraId="06757BAD" w14:textId="77777777" w:rsidR="00C10050" w:rsidRPr="00426E9B" w:rsidRDefault="00C10050" w:rsidP="00D60CC6">
      <w:pPr>
        <w:jc w:val="both"/>
        <w:rPr>
          <w:rFonts w:ascii="Segoe UI" w:hAnsi="Segoe UI" w:cs="Segoe UI"/>
        </w:rPr>
      </w:pPr>
    </w:p>
    <w:p w14:paraId="06757BAE" w14:textId="77777777" w:rsidR="00C10050" w:rsidRDefault="00C10050" w:rsidP="00AB0270">
      <w:pPr>
        <w:jc w:val="both"/>
        <w:rPr>
          <w:rFonts w:ascii="Segoe UI" w:hAnsi="Segoe UI" w:cs="Segoe UI"/>
          <w:sz w:val="22"/>
          <w:szCs w:val="22"/>
        </w:rPr>
      </w:pPr>
      <w:r>
        <w:rPr>
          <w:rFonts w:ascii="Segoe UI" w:hAnsi="Segoe UI" w:cs="Segoe UI"/>
          <w:sz w:val="22"/>
          <w:szCs w:val="22"/>
        </w:rPr>
        <w:t>As identified by the RBA throughout this and previous reviews, policy and regulatory reform of the card payments industry in Australia</w:t>
      </w:r>
      <w:r w:rsidRPr="0044107F">
        <w:rPr>
          <w:rFonts w:ascii="Segoe UI" w:hAnsi="Segoe UI" w:cs="Segoe UI"/>
          <w:sz w:val="22"/>
          <w:szCs w:val="22"/>
        </w:rPr>
        <w:t xml:space="preserve"> involves </w:t>
      </w:r>
      <w:r>
        <w:rPr>
          <w:rFonts w:ascii="Segoe UI" w:hAnsi="Segoe UI" w:cs="Segoe UI"/>
          <w:sz w:val="22"/>
          <w:szCs w:val="22"/>
        </w:rPr>
        <w:t xml:space="preserve">addressing a number of highly technical issues with significant downstream ramifications to economic activity within the economy. Further, given the complex nature of the payments landscape, an </w:t>
      </w:r>
      <w:r w:rsidRPr="0044107F">
        <w:rPr>
          <w:rFonts w:ascii="Segoe UI" w:hAnsi="Segoe UI" w:cs="Segoe UI"/>
          <w:sz w:val="22"/>
          <w:szCs w:val="22"/>
        </w:rPr>
        <w:t>extended period of consultation and implementation</w:t>
      </w:r>
      <w:r>
        <w:rPr>
          <w:rFonts w:ascii="Segoe UI" w:hAnsi="Segoe UI" w:cs="Segoe UI"/>
          <w:sz w:val="22"/>
          <w:szCs w:val="22"/>
        </w:rPr>
        <w:t xml:space="preserve"> is required by industry to understand the policy intent of Government and adequately incorporate any required changes with minimal impact to our key stakeholders</w:t>
      </w:r>
      <w:r w:rsidRPr="0044107F">
        <w:rPr>
          <w:rFonts w:ascii="Segoe UI" w:hAnsi="Segoe UI" w:cs="Segoe UI"/>
          <w:sz w:val="22"/>
          <w:szCs w:val="22"/>
        </w:rPr>
        <w:t xml:space="preserve">. </w:t>
      </w:r>
    </w:p>
    <w:p w14:paraId="06757BAF" w14:textId="77777777" w:rsidR="00C10050" w:rsidRDefault="00C10050">
      <w:pPr>
        <w:jc w:val="both"/>
        <w:rPr>
          <w:rFonts w:ascii="Segoe UI" w:hAnsi="Segoe UI" w:cs="Segoe UI"/>
          <w:sz w:val="22"/>
          <w:szCs w:val="22"/>
        </w:rPr>
      </w:pPr>
    </w:p>
    <w:p w14:paraId="06757BB0" w14:textId="77777777" w:rsidR="00C10050" w:rsidRPr="0044107F" w:rsidRDefault="00C10050">
      <w:pPr>
        <w:jc w:val="both"/>
        <w:rPr>
          <w:rFonts w:ascii="Segoe UI" w:hAnsi="Segoe UI" w:cs="Segoe UI"/>
          <w:sz w:val="22"/>
          <w:szCs w:val="22"/>
        </w:rPr>
      </w:pPr>
      <w:r>
        <w:rPr>
          <w:rFonts w:ascii="Segoe UI" w:hAnsi="Segoe UI" w:cs="Segoe UI"/>
          <w:sz w:val="22"/>
          <w:szCs w:val="22"/>
        </w:rPr>
        <w:t xml:space="preserve">A number of the proposed recommendations, particularly the inclusion of foreign-issued cards in the interchange standards, would </w:t>
      </w:r>
      <w:r w:rsidRPr="0044107F">
        <w:rPr>
          <w:rFonts w:ascii="Segoe UI" w:hAnsi="Segoe UI" w:cs="Segoe UI"/>
          <w:sz w:val="22"/>
          <w:szCs w:val="22"/>
        </w:rPr>
        <w:t xml:space="preserve">involve significant </w:t>
      </w:r>
      <w:r>
        <w:rPr>
          <w:rFonts w:ascii="Segoe UI" w:hAnsi="Segoe UI" w:cs="Segoe UI"/>
          <w:sz w:val="22"/>
          <w:szCs w:val="22"/>
        </w:rPr>
        <w:t>change</w:t>
      </w:r>
      <w:r w:rsidR="00844904">
        <w:rPr>
          <w:rFonts w:ascii="Segoe UI" w:hAnsi="Segoe UI" w:cs="Segoe UI"/>
          <w:sz w:val="22"/>
          <w:szCs w:val="22"/>
        </w:rPr>
        <w:t>s</w:t>
      </w:r>
      <w:r w:rsidRPr="0044107F">
        <w:rPr>
          <w:rFonts w:ascii="Segoe UI" w:hAnsi="Segoe UI" w:cs="Segoe UI"/>
          <w:sz w:val="22"/>
          <w:szCs w:val="22"/>
        </w:rPr>
        <w:t xml:space="preserve"> to business models in the </w:t>
      </w:r>
      <w:r>
        <w:rPr>
          <w:rFonts w:ascii="Segoe UI" w:hAnsi="Segoe UI" w:cs="Segoe UI"/>
          <w:sz w:val="22"/>
          <w:szCs w:val="22"/>
        </w:rPr>
        <w:t>payments</w:t>
      </w:r>
      <w:r w:rsidRPr="0044107F">
        <w:rPr>
          <w:rFonts w:ascii="Segoe UI" w:hAnsi="Segoe UI" w:cs="Segoe UI"/>
          <w:sz w:val="22"/>
          <w:szCs w:val="22"/>
        </w:rPr>
        <w:t xml:space="preserve"> industry, while other changes may include significant systems changes </w:t>
      </w:r>
      <w:r w:rsidR="00844904">
        <w:rPr>
          <w:rFonts w:ascii="Segoe UI" w:hAnsi="Segoe UI" w:cs="Segoe UI"/>
          <w:sz w:val="22"/>
          <w:szCs w:val="22"/>
        </w:rPr>
        <w:t xml:space="preserve">for and </w:t>
      </w:r>
      <w:r w:rsidRPr="0044107F">
        <w:rPr>
          <w:rFonts w:ascii="Segoe UI" w:hAnsi="Segoe UI" w:cs="Segoe UI"/>
          <w:sz w:val="22"/>
          <w:szCs w:val="22"/>
        </w:rPr>
        <w:t>by schemes</w:t>
      </w:r>
      <w:r>
        <w:rPr>
          <w:rFonts w:ascii="Segoe UI" w:hAnsi="Segoe UI" w:cs="Segoe UI"/>
          <w:sz w:val="22"/>
          <w:szCs w:val="22"/>
        </w:rPr>
        <w:t xml:space="preserve">, issuers, </w:t>
      </w:r>
      <w:r w:rsidRPr="0044107F">
        <w:rPr>
          <w:rFonts w:ascii="Segoe UI" w:hAnsi="Segoe UI" w:cs="Segoe UI"/>
          <w:sz w:val="22"/>
          <w:szCs w:val="22"/>
        </w:rPr>
        <w:t>acquirers</w:t>
      </w:r>
      <w:r>
        <w:rPr>
          <w:rFonts w:ascii="Segoe UI" w:hAnsi="Segoe UI" w:cs="Segoe UI"/>
          <w:sz w:val="22"/>
          <w:szCs w:val="22"/>
        </w:rPr>
        <w:t xml:space="preserve"> and merchants</w:t>
      </w:r>
      <w:r w:rsidRPr="0044107F">
        <w:rPr>
          <w:rFonts w:ascii="Segoe UI" w:hAnsi="Segoe UI" w:cs="Segoe UI"/>
          <w:sz w:val="22"/>
          <w:szCs w:val="22"/>
        </w:rPr>
        <w:t xml:space="preserve">. </w:t>
      </w:r>
    </w:p>
    <w:p w14:paraId="06757BB1" w14:textId="77777777" w:rsidR="00C10050" w:rsidRPr="0044107F" w:rsidRDefault="00C10050">
      <w:pPr>
        <w:jc w:val="both"/>
        <w:rPr>
          <w:rFonts w:ascii="Segoe UI" w:hAnsi="Segoe UI" w:cs="Segoe UI"/>
          <w:sz w:val="22"/>
          <w:szCs w:val="22"/>
        </w:rPr>
      </w:pPr>
    </w:p>
    <w:p w14:paraId="06757BB2" w14:textId="77777777" w:rsidR="00C10050" w:rsidRPr="0044107F" w:rsidRDefault="00C10050">
      <w:pPr>
        <w:jc w:val="both"/>
        <w:rPr>
          <w:rFonts w:ascii="Segoe UI" w:hAnsi="Segoe UI" w:cs="Segoe UI"/>
          <w:sz w:val="22"/>
          <w:szCs w:val="22"/>
        </w:rPr>
      </w:pPr>
      <w:r>
        <w:rPr>
          <w:rFonts w:ascii="Segoe UI" w:hAnsi="Segoe UI" w:cs="Segoe UI"/>
          <w:sz w:val="22"/>
          <w:szCs w:val="22"/>
        </w:rPr>
        <w:t>Visa believes that the impact to the payment system industry and individual downstream four-party scheme participants should be at the forefront of the RBA’s considerations, viewed through the lens of lower cost, improved product outcomes and a more secure transaction environment for consumers</w:t>
      </w:r>
      <w:r w:rsidRPr="0044107F">
        <w:rPr>
          <w:rFonts w:ascii="Segoe UI" w:hAnsi="Segoe UI" w:cs="Segoe UI"/>
          <w:sz w:val="22"/>
          <w:szCs w:val="22"/>
        </w:rPr>
        <w:t xml:space="preserve">. </w:t>
      </w:r>
      <w:r>
        <w:rPr>
          <w:rFonts w:ascii="Segoe UI" w:hAnsi="Segoe UI" w:cs="Segoe UI"/>
          <w:sz w:val="22"/>
          <w:szCs w:val="22"/>
        </w:rPr>
        <w:t>It is therefore important</w:t>
      </w:r>
      <w:r w:rsidRPr="0044107F">
        <w:rPr>
          <w:rFonts w:ascii="Segoe UI" w:hAnsi="Segoe UI" w:cs="Segoe UI"/>
          <w:sz w:val="22"/>
          <w:szCs w:val="22"/>
        </w:rPr>
        <w:t xml:space="preserve"> that all participants, not just schemes</w:t>
      </w:r>
      <w:r>
        <w:rPr>
          <w:rFonts w:ascii="Segoe UI" w:hAnsi="Segoe UI" w:cs="Segoe UI"/>
          <w:sz w:val="22"/>
          <w:szCs w:val="22"/>
        </w:rPr>
        <w:t xml:space="preserve"> issuers</w:t>
      </w:r>
      <w:r w:rsidR="00E033FB">
        <w:rPr>
          <w:rFonts w:ascii="Segoe UI" w:hAnsi="Segoe UI" w:cs="Segoe UI"/>
          <w:sz w:val="22"/>
          <w:szCs w:val="22"/>
        </w:rPr>
        <w:t xml:space="preserve"> and acquirers</w:t>
      </w:r>
      <w:r w:rsidRPr="0044107F">
        <w:rPr>
          <w:rFonts w:ascii="Segoe UI" w:hAnsi="Segoe UI" w:cs="Segoe UI"/>
          <w:sz w:val="22"/>
          <w:szCs w:val="22"/>
        </w:rPr>
        <w:t xml:space="preserve"> have sufficient time to consider </w:t>
      </w:r>
      <w:r>
        <w:rPr>
          <w:rFonts w:ascii="Segoe UI" w:hAnsi="Segoe UI" w:cs="Segoe UI"/>
          <w:sz w:val="22"/>
          <w:szCs w:val="22"/>
        </w:rPr>
        <w:t xml:space="preserve">and implement </w:t>
      </w:r>
      <w:r w:rsidRPr="0044107F">
        <w:rPr>
          <w:rFonts w:ascii="Segoe UI" w:hAnsi="Segoe UI" w:cs="Segoe UI"/>
          <w:sz w:val="22"/>
          <w:szCs w:val="22"/>
        </w:rPr>
        <w:t xml:space="preserve">the new </w:t>
      </w:r>
      <w:r>
        <w:rPr>
          <w:rFonts w:ascii="Segoe UI" w:hAnsi="Segoe UI" w:cs="Segoe UI"/>
          <w:sz w:val="22"/>
          <w:szCs w:val="22"/>
        </w:rPr>
        <w:t>regulatory provisions and the subsequent practicalities of any change t</w:t>
      </w:r>
      <w:r w:rsidRPr="0044107F">
        <w:rPr>
          <w:rFonts w:ascii="Segoe UI" w:hAnsi="Segoe UI" w:cs="Segoe UI"/>
          <w:sz w:val="22"/>
          <w:szCs w:val="22"/>
        </w:rPr>
        <w:t>o ensure minimal disruption to existing</w:t>
      </w:r>
      <w:r>
        <w:rPr>
          <w:rFonts w:ascii="Segoe UI" w:hAnsi="Segoe UI" w:cs="Segoe UI"/>
          <w:sz w:val="22"/>
          <w:szCs w:val="22"/>
        </w:rPr>
        <w:t xml:space="preserve"> operations</w:t>
      </w:r>
      <w:r w:rsidRPr="0044107F">
        <w:rPr>
          <w:rFonts w:ascii="Segoe UI" w:hAnsi="Segoe UI" w:cs="Segoe UI"/>
          <w:sz w:val="22"/>
          <w:szCs w:val="22"/>
        </w:rPr>
        <w:t xml:space="preserve">. </w:t>
      </w:r>
    </w:p>
    <w:p w14:paraId="06757BB3" w14:textId="77777777" w:rsidR="00C10050" w:rsidRPr="0044107F" w:rsidRDefault="00C10050">
      <w:pPr>
        <w:jc w:val="both"/>
        <w:rPr>
          <w:rFonts w:ascii="Segoe UI" w:hAnsi="Segoe UI" w:cs="Segoe UI"/>
          <w:sz w:val="22"/>
          <w:szCs w:val="22"/>
        </w:rPr>
      </w:pPr>
    </w:p>
    <w:p w14:paraId="06757BB4" w14:textId="77777777" w:rsidR="00C10050" w:rsidRDefault="00C10050">
      <w:pPr>
        <w:jc w:val="both"/>
        <w:rPr>
          <w:rFonts w:ascii="Segoe UI" w:hAnsi="Segoe UI" w:cs="Segoe UI"/>
          <w:sz w:val="22"/>
          <w:szCs w:val="22"/>
        </w:rPr>
      </w:pPr>
      <w:r>
        <w:rPr>
          <w:rFonts w:ascii="Segoe UI" w:hAnsi="Segoe UI" w:cs="Segoe UI"/>
          <w:sz w:val="22"/>
          <w:szCs w:val="22"/>
        </w:rPr>
        <w:t>While Visa understands that</w:t>
      </w:r>
      <w:r w:rsidRPr="0044107F">
        <w:rPr>
          <w:rFonts w:ascii="Segoe UI" w:hAnsi="Segoe UI" w:cs="Segoe UI"/>
          <w:sz w:val="22"/>
          <w:szCs w:val="22"/>
        </w:rPr>
        <w:t xml:space="preserve"> the </w:t>
      </w:r>
      <w:r>
        <w:rPr>
          <w:rFonts w:ascii="Segoe UI" w:hAnsi="Segoe UI" w:cs="Segoe UI"/>
          <w:sz w:val="22"/>
          <w:szCs w:val="22"/>
        </w:rPr>
        <w:t>RBA</w:t>
      </w:r>
      <w:r w:rsidRPr="0044107F">
        <w:rPr>
          <w:rFonts w:ascii="Segoe UI" w:hAnsi="Segoe UI" w:cs="Segoe UI"/>
          <w:sz w:val="22"/>
          <w:szCs w:val="22"/>
        </w:rPr>
        <w:t xml:space="preserve"> wishes to implement </w:t>
      </w:r>
      <w:r>
        <w:rPr>
          <w:rFonts w:ascii="Segoe UI" w:hAnsi="Segoe UI" w:cs="Segoe UI"/>
          <w:sz w:val="22"/>
          <w:szCs w:val="22"/>
        </w:rPr>
        <w:t xml:space="preserve">changes to </w:t>
      </w:r>
      <w:r w:rsidRPr="0044107F">
        <w:rPr>
          <w:rFonts w:ascii="Segoe UI" w:hAnsi="Segoe UI" w:cs="Segoe UI"/>
          <w:sz w:val="22"/>
          <w:szCs w:val="22"/>
        </w:rPr>
        <w:t>surcharging</w:t>
      </w:r>
      <w:r>
        <w:rPr>
          <w:rFonts w:ascii="Segoe UI" w:hAnsi="Segoe UI" w:cs="Segoe UI"/>
          <w:sz w:val="22"/>
          <w:szCs w:val="22"/>
        </w:rPr>
        <w:t xml:space="preserve"> regulations</w:t>
      </w:r>
      <w:r w:rsidRPr="0044107F">
        <w:rPr>
          <w:rFonts w:ascii="Segoe UI" w:hAnsi="Segoe UI" w:cs="Segoe UI"/>
          <w:sz w:val="22"/>
          <w:szCs w:val="22"/>
        </w:rPr>
        <w:t xml:space="preserve"> on a faster timeline</w:t>
      </w:r>
      <w:r>
        <w:rPr>
          <w:rFonts w:ascii="Segoe UI" w:hAnsi="Segoe UI" w:cs="Segoe UI"/>
          <w:sz w:val="22"/>
          <w:szCs w:val="22"/>
        </w:rPr>
        <w:t xml:space="preserve"> ahead of the May PSB meeting</w:t>
      </w:r>
      <w:r w:rsidRPr="0044107F">
        <w:rPr>
          <w:rFonts w:ascii="Segoe UI" w:hAnsi="Segoe UI" w:cs="Segoe UI"/>
          <w:sz w:val="22"/>
          <w:szCs w:val="22"/>
        </w:rPr>
        <w:t xml:space="preserve">, </w:t>
      </w:r>
      <w:r>
        <w:rPr>
          <w:rFonts w:ascii="Segoe UI" w:hAnsi="Segoe UI" w:cs="Segoe UI"/>
          <w:sz w:val="22"/>
          <w:szCs w:val="22"/>
        </w:rPr>
        <w:t xml:space="preserve">it is important that the full range of reform options is comprehensively understood by the market ahead of any changes. During the consultation phase, Visa has engaged with a wide range of market participants who have voiced concerns over the practical implications of the proposed changes and the need to have sufficient time to ensure full compliance with any new provisions. As such, Visa recommends that the RBA undertake a comprehensive education campaign to ensure merchants and acquirers fully understand how the new standards should be executed. Further, the RBA should ensure that any changes to systems or processes are outlined with sufficient lead time to avoid any costly or disruptive </w:t>
      </w:r>
      <w:proofErr w:type="spellStart"/>
      <w:r>
        <w:rPr>
          <w:rFonts w:ascii="Segoe UI" w:hAnsi="Segoe UI" w:cs="Segoe UI"/>
          <w:sz w:val="22"/>
          <w:szCs w:val="22"/>
        </w:rPr>
        <w:t>organisational</w:t>
      </w:r>
      <w:proofErr w:type="spellEnd"/>
      <w:r>
        <w:rPr>
          <w:rFonts w:ascii="Segoe UI" w:hAnsi="Segoe UI" w:cs="Segoe UI"/>
          <w:sz w:val="22"/>
          <w:szCs w:val="22"/>
        </w:rPr>
        <w:t xml:space="preserve"> changes.</w:t>
      </w:r>
    </w:p>
    <w:p w14:paraId="06757BB5" w14:textId="77777777" w:rsidR="00C10050" w:rsidRDefault="00C10050">
      <w:pPr>
        <w:jc w:val="both"/>
        <w:rPr>
          <w:rFonts w:ascii="Segoe UI" w:hAnsi="Segoe UI" w:cs="Segoe UI"/>
          <w:sz w:val="22"/>
          <w:szCs w:val="22"/>
        </w:rPr>
      </w:pPr>
    </w:p>
    <w:p w14:paraId="06757BB6" w14:textId="77777777" w:rsidR="00601C9C" w:rsidRDefault="00C10050" w:rsidP="00AB0270">
      <w:pPr>
        <w:jc w:val="both"/>
        <w:rPr>
          <w:rFonts w:ascii="Segoe UI" w:hAnsi="Segoe UI" w:cs="Segoe UI"/>
          <w:sz w:val="22"/>
          <w:szCs w:val="22"/>
        </w:rPr>
      </w:pPr>
      <w:r>
        <w:rPr>
          <w:rFonts w:ascii="Segoe UI" w:hAnsi="Segoe UI" w:cs="Segoe UI"/>
          <w:sz w:val="22"/>
          <w:szCs w:val="22"/>
        </w:rPr>
        <w:lastRenderedPageBreak/>
        <w:t xml:space="preserve">Visa is also concerned with the intended timeframe for the implementation of any changes to interchange standards. It is understood that the PSB intend to announce the final reform measures following the May PSB meeting, with the proposed implementation taking place before the end of 2016. </w:t>
      </w:r>
      <w:r w:rsidRPr="0044107F">
        <w:rPr>
          <w:rFonts w:ascii="Segoe UI" w:hAnsi="Segoe UI" w:cs="Segoe UI"/>
          <w:sz w:val="22"/>
          <w:szCs w:val="22"/>
        </w:rPr>
        <w:t xml:space="preserve">Implementation of changes in the Visa system cannot begin until all of the details are known and the final requirements are published. </w:t>
      </w:r>
      <w:r>
        <w:rPr>
          <w:rFonts w:ascii="Segoe UI" w:hAnsi="Segoe UI" w:cs="Segoe UI"/>
          <w:sz w:val="22"/>
          <w:szCs w:val="22"/>
        </w:rPr>
        <w:t>In addition, to</w:t>
      </w:r>
      <w:r w:rsidRPr="0044107F">
        <w:rPr>
          <w:rFonts w:ascii="Segoe UI" w:hAnsi="Segoe UI" w:cs="Segoe UI"/>
          <w:sz w:val="22"/>
          <w:szCs w:val="22"/>
        </w:rPr>
        <w:t xml:space="preserve"> account for system freeze periods and development lead times required to coordinate </w:t>
      </w:r>
      <w:r>
        <w:rPr>
          <w:rFonts w:ascii="Segoe UI" w:hAnsi="Segoe UI" w:cs="Segoe UI"/>
          <w:sz w:val="22"/>
          <w:szCs w:val="22"/>
        </w:rPr>
        <w:t xml:space="preserve">portfolio variations and infrastructure improvement for both </w:t>
      </w:r>
      <w:r w:rsidRPr="0044107F">
        <w:rPr>
          <w:rFonts w:ascii="Segoe UI" w:hAnsi="Segoe UI" w:cs="Segoe UI"/>
          <w:sz w:val="22"/>
          <w:szCs w:val="22"/>
        </w:rPr>
        <w:t>Visa</w:t>
      </w:r>
      <w:r w:rsidR="00E033FB">
        <w:rPr>
          <w:rFonts w:ascii="Segoe UI" w:hAnsi="Segoe UI" w:cs="Segoe UI"/>
          <w:sz w:val="22"/>
          <w:szCs w:val="22"/>
        </w:rPr>
        <w:t>,</w:t>
      </w:r>
      <w:r w:rsidRPr="0044107F">
        <w:rPr>
          <w:rFonts w:ascii="Segoe UI" w:hAnsi="Segoe UI" w:cs="Segoe UI"/>
          <w:sz w:val="22"/>
          <w:szCs w:val="22"/>
        </w:rPr>
        <w:t xml:space="preserve"> </w:t>
      </w:r>
      <w:r>
        <w:rPr>
          <w:rFonts w:ascii="Segoe UI" w:hAnsi="Segoe UI" w:cs="Segoe UI"/>
          <w:sz w:val="22"/>
          <w:szCs w:val="22"/>
        </w:rPr>
        <w:t>Australian issuers</w:t>
      </w:r>
      <w:r w:rsidR="00E033FB">
        <w:rPr>
          <w:rFonts w:ascii="Segoe UI" w:hAnsi="Segoe UI" w:cs="Segoe UI"/>
          <w:sz w:val="22"/>
          <w:szCs w:val="22"/>
        </w:rPr>
        <w:t xml:space="preserve"> and acquirers</w:t>
      </w:r>
      <w:r>
        <w:rPr>
          <w:rFonts w:ascii="Segoe UI" w:hAnsi="Segoe UI" w:cs="Segoe UI"/>
          <w:sz w:val="22"/>
          <w:szCs w:val="22"/>
        </w:rPr>
        <w:t>,</w:t>
      </w:r>
      <w:r w:rsidRPr="0044107F">
        <w:rPr>
          <w:rFonts w:ascii="Segoe UI" w:hAnsi="Segoe UI" w:cs="Segoe UI"/>
          <w:sz w:val="22"/>
          <w:szCs w:val="22"/>
        </w:rPr>
        <w:t xml:space="preserve"> structural changes</w:t>
      </w:r>
      <w:r>
        <w:rPr>
          <w:rFonts w:ascii="Segoe UI" w:hAnsi="Segoe UI" w:cs="Segoe UI"/>
          <w:sz w:val="22"/>
          <w:szCs w:val="22"/>
        </w:rPr>
        <w:t xml:space="preserve"> to the interchange rate system</w:t>
      </w:r>
      <w:r w:rsidRPr="0044107F">
        <w:rPr>
          <w:rFonts w:ascii="Segoe UI" w:hAnsi="Segoe UI" w:cs="Segoe UI"/>
          <w:sz w:val="22"/>
          <w:szCs w:val="22"/>
        </w:rPr>
        <w:t xml:space="preserve"> in the Visa system can take up to </w:t>
      </w:r>
      <w:r>
        <w:rPr>
          <w:rFonts w:ascii="Segoe UI" w:hAnsi="Segoe UI" w:cs="Segoe UI"/>
          <w:sz w:val="22"/>
          <w:szCs w:val="22"/>
        </w:rPr>
        <w:t xml:space="preserve">nine months to implement without the inclusion of any foreign-issued cards. Should this reform measure also be included, Visa </w:t>
      </w:r>
      <w:r w:rsidR="0096187C">
        <w:rPr>
          <w:rFonts w:ascii="Segoe UI" w:hAnsi="Segoe UI" w:cs="Segoe UI"/>
          <w:sz w:val="22"/>
          <w:szCs w:val="22"/>
        </w:rPr>
        <w:t>anticipates</w:t>
      </w:r>
      <w:r>
        <w:rPr>
          <w:rFonts w:ascii="Segoe UI" w:hAnsi="Segoe UI" w:cs="Segoe UI"/>
          <w:sz w:val="22"/>
          <w:szCs w:val="22"/>
        </w:rPr>
        <w:t xml:space="preserve"> that system changes and global coordination of interchange settings will take at least 12 months to implement</w:t>
      </w:r>
      <w:r w:rsidR="00A3067A">
        <w:rPr>
          <w:rFonts w:ascii="Segoe UI" w:hAnsi="Segoe UI" w:cs="Segoe UI"/>
          <w:sz w:val="22"/>
          <w:szCs w:val="22"/>
        </w:rPr>
        <w:t xml:space="preserve"> from a scheme perspective</w:t>
      </w:r>
      <w:r>
        <w:rPr>
          <w:rFonts w:ascii="Segoe UI" w:hAnsi="Segoe UI" w:cs="Segoe UI"/>
          <w:sz w:val="22"/>
          <w:szCs w:val="22"/>
        </w:rPr>
        <w:t xml:space="preserve">. </w:t>
      </w:r>
    </w:p>
    <w:p w14:paraId="06757BB7" w14:textId="77777777" w:rsidR="00601C9C" w:rsidRDefault="00601C9C" w:rsidP="00AB0270">
      <w:pPr>
        <w:jc w:val="both"/>
        <w:rPr>
          <w:rFonts w:ascii="Segoe UI" w:hAnsi="Segoe UI" w:cs="Segoe UI"/>
          <w:sz w:val="22"/>
          <w:szCs w:val="22"/>
        </w:rPr>
      </w:pPr>
    </w:p>
    <w:p w14:paraId="06757BB8" w14:textId="77777777" w:rsidR="00B738E6" w:rsidRPr="00952D5E" w:rsidRDefault="00C10050" w:rsidP="00AB0270">
      <w:pPr>
        <w:jc w:val="both"/>
        <w:rPr>
          <w:rFonts w:ascii="Segoe UI" w:hAnsi="Segoe UI" w:cs="Segoe UI"/>
          <w:sz w:val="22"/>
          <w:szCs w:val="22"/>
        </w:rPr>
        <w:sectPr w:rsidR="00B738E6" w:rsidRPr="00952D5E" w:rsidSect="00071174">
          <w:pgSz w:w="11907" w:h="16839" w:code="9"/>
          <w:pgMar w:top="1440" w:right="1440" w:bottom="1440" w:left="1440" w:header="720" w:footer="720" w:gutter="0"/>
          <w:pgNumType w:start="1"/>
          <w:cols w:space="720"/>
          <w:docGrid w:linePitch="360"/>
        </w:sectPr>
      </w:pPr>
      <w:r>
        <w:rPr>
          <w:rFonts w:ascii="Segoe UI" w:hAnsi="Segoe UI" w:cs="Segoe UI"/>
          <w:sz w:val="22"/>
          <w:szCs w:val="22"/>
        </w:rPr>
        <w:t>As such, Visa recommends ensuring s</w:t>
      </w:r>
      <w:r w:rsidRPr="0044107F">
        <w:rPr>
          <w:rFonts w:ascii="Segoe UI" w:hAnsi="Segoe UI" w:cs="Segoe UI"/>
          <w:sz w:val="22"/>
          <w:szCs w:val="22"/>
        </w:rPr>
        <w:t>ufficient</w:t>
      </w:r>
      <w:r>
        <w:rPr>
          <w:rFonts w:ascii="Segoe UI" w:hAnsi="Segoe UI" w:cs="Segoe UI"/>
          <w:sz w:val="22"/>
          <w:szCs w:val="22"/>
        </w:rPr>
        <w:t xml:space="preserve"> lead</w:t>
      </w:r>
      <w:r w:rsidRPr="0044107F">
        <w:rPr>
          <w:rFonts w:ascii="Segoe UI" w:hAnsi="Segoe UI" w:cs="Segoe UI"/>
          <w:sz w:val="22"/>
          <w:szCs w:val="22"/>
        </w:rPr>
        <w:t xml:space="preserve"> time</w:t>
      </w:r>
      <w:r>
        <w:rPr>
          <w:rFonts w:ascii="Segoe UI" w:hAnsi="Segoe UI" w:cs="Segoe UI"/>
          <w:sz w:val="22"/>
          <w:szCs w:val="22"/>
        </w:rPr>
        <w:t xml:space="preserve"> is factored into any compliance requirement for payment scheme participants to</w:t>
      </w:r>
      <w:r w:rsidRPr="0044107F">
        <w:rPr>
          <w:rFonts w:ascii="Segoe UI" w:hAnsi="Segoe UI" w:cs="Segoe UI"/>
          <w:sz w:val="22"/>
          <w:szCs w:val="22"/>
        </w:rPr>
        <w:t xml:space="preserve"> </w:t>
      </w:r>
      <w:r>
        <w:rPr>
          <w:rFonts w:ascii="Segoe UI" w:hAnsi="Segoe UI" w:cs="Segoe UI"/>
          <w:sz w:val="22"/>
          <w:szCs w:val="22"/>
        </w:rPr>
        <w:t>allow for the material changes to existing system architecture</w:t>
      </w:r>
      <w:r w:rsidRPr="0044107F">
        <w:rPr>
          <w:rFonts w:ascii="Segoe UI" w:hAnsi="Segoe UI" w:cs="Segoe UI"/>
          <w:sz w:val="22"/>
          <w:szCs w:val="22"/>
        </w:rPr>
        <w:t>.</w:t>
      </w:r>
      <w:r w:rsidR="00601C9C">
        <w:rPr>
          <w:rFonts w:ascii="Segoe UI" w:hAnsi="Segoe UI" w:cs="Segoe UI"/>
          <w:sz w:val="22"/>
          <w:szCs w:val="22"/>
        </w:rPr>
        <w:t xml:space="preserve"> Further, Visa also recommends the RBA better understand the requirements of all payment system participants ahead of any proposed compliance introduction.</w:t>
      </w:r>
    </w:p>
    <w:p w14:paraId="06757BB9" w14:textId="77777777" w:rsidR="007D6D26" w:rsidRDefault="00137587" w:rsidP="00AB0270">
      <w:pPr>
        <w:jc w:val="both"/>
      </w:pPr>
      <w:r w:rsidRPr="00426E9B">
        <w:rPr>
          <w:rFonts w:ascii="Segoe UI" w:hAnsi="Segoe UI" w:cs="Segoe UI"/>
          <w:noProof/>
          <w:lang w:val="en-AU" w:eastAsia="en-AU"/>
        </w:rPr>
        <w:lastRenderedPageBreak/>
        <w:drawing>
          <wp:anchor distT="0" distB="0" distL="114300" distR="114300" simplePos="0" relativeHeight="251658241" behindDoc="0" locked="0" layoutInCell="1" allowOverlap="1" wp14:anchorId="06757BCC" wp14:editId="06757BCD">
            <wp:simplePos x="0" y="0"/>
            <wp:positionH relativeFrom="column">
              <wp:posOffset>4306957</wp:posOffset>
            </wp:positionH>
            <wp:positionV relativeFrom="paragraph">
              <wp:posOffset>359</wp:posOffset>
            </wp:positionV>
            <wp:extent cx="1592580" cy="742950"/>
            <wp:effectExtent l="0" t="0" r="762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925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757BBA" w14:textId="77777777" w:rsidR="007D6D26" w:rsidRDefault="007D6D26" w:rsidP="00AB0270">
      <w:pPr>
        <w:jc w:val="both"/>
      </w:pPr>
    </w:p>
    <w:p w14:paraId="06757BBB" w14:textId="77777777" w:rsidR="00EE3901" w:rsidRDefault="00EE3901" w:rsidP="00AB0270">
      <w:pPr>
        <w:jc w:val="both"/>
      </w:pPr>
    </w:p>
    <w:p w14:paraId="06757BBC" w14:textId="77777777" w:rsidR="00EE3901" w:rsidRDefault="00EE3901" w:rsidP="00AB0270">
      <w:pPr>
        <w:jc w:val="both"/>
      </w:pPr>
    </w:p>
    <w:p w14:paraId="06757BBD" w14:textId="77777777" w:rsidR="00EE3901" w:rsidRDefault="00EE3901" w:rsidP="00AB0270">
      <w:pPr>
        <w:jc w:val="both"/>
      </w:pPr>
    </w:p>
    <w:p w14:paraId="06757BBE" w14:textId="77777777" w:rsidR="00EE3901" w:rsidRDefault="00EE3901" w:rsidP="00AB0270">
      <w:pPr>
        <w:jc w:val="both"/>
      </w:pPr>
    </w:p>
    <w:p w14:paraId="06757BBF" w14:textId="77777777" w:rsidR="00EE3901" w:rsidRDefault="00EE3901" w:rsidP="00AB0270">
      <w:pPr>
        <w:jc w:val="both"/>
      </w:pPr>
    </w:p>
    <w:p w14:paraId="06757BC0" w14:textId="77777777" w:rsidR="00EE3901" w:rsidRDefault="00EE3901" w:rsidP="00AB0270">
      <w:pPr>
        <w:jc w:val="both"/>
      </w:pPr>
    </w:p>
    <w:p w14:paraId="06757BC1" w14:textId="77777777" w:rsidR="00EE3901" w:rsidRDefault="00EE3901" w:rsidP="00AB0270">
      <w:pPr>
        <w:jc w:val="both"/>
      </w:pPr>
    </w:p>
    <w:p w14:paraId="06757BC2" w14:textId="77777777" w:rsidR="00EE3901" w:rsidRDefault="00EE3901" w:rsidP="00AB0270">
      <w:pPr>
        <w:jc w:val="both"/>
      </w:pPr>
    </w:p>
    <w:p w14:paraId="06757BC3" w14:textId="77777777" w:rsidR="00EE3901" w:rsidRDefault="00EE3901" w:rsidP="00AB0270">
      <w:pPr>
        <w:jc w:val="both"/>
      </w:pPr>
    </w:p>
    <w:p w14:paraId="06757BC4" w14:textId="77777777" w:rsidR="00EE3901" w:rsidRDefault="00EE3901" w:rsidP="00AB0270">
      <w:pPr>
        <w:jc w:val="both"/>
      </w:pPr>
    </w:p>
    <w:p w14:paraId="06757BC5" w14:textId="77777777" w:rsidR="00DF224C" w:rsidRDefault="00EE3901" w:rsidP="00AB0270">
      <w:pPr>
        <w:jc w:val="both"/>
      </w:pPr>
      <w:r>
        <w:rPr>
          <w:noProof/>
          <w:lang w:val="en-AU" w:eastAsia="en-AU"/>
        </w:rPr>
        <w:drawing>
          <wp:anchor distT="0" distB="0" distL="114300" distR="114300" simplePos="0" relativeHeight="251658242" behindDoc="0" locked="0" layoutInCell="1" allowOverlap="1" wp14:anchorId="06757BCE" wp14:editId="06757BCF">
            <wp:simplePos x="0" y="0"/>
            <wp:positionH relativeFrom="page">
              <wp:align>left</wp:align>
            </wp:positionH>
            <wp:positionV relativeFrom="paragraph">
              <wp:posOffset>370840</wp:posOffset>
            </wp:positionV>
            <wp:extent cx="7798383" cy="5200650"/>
            <wp:effectExtent l="0" t="0" r="0" b="0"/>
            <wp:wrapThrough wrapText="bothSides">
              <wp:wrapPolygon edited="0">
                <wp:start x="0" y="0"/>
                <wp:lineTo x="0" y="21521"/>
                <wp:lineTo x="21530" y="21521"/>
                <wp:lineTo x="21530"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ffeeShopMobile_72dpi--172231014.jpg"/>
                    <pic:cNvPicPr/>
                  </pic:nvPicPr>
                  <pic:blipFill>
                    <a:blip r:embed="rId22">
                      <a:extLst>
                        <a:ext uri="{28A0092B-C50C-407E-A947-70E740481C1C}">
                          <a14:useLocalDpi xmlns:a14="http://schemas.microsoft.com/office/drawing/2010/main" val="0"/>
                        </a:ext>
                      </a:extLst>
                    </a:blip>
                    <a:stretch>
                      <a:fillRect/>
                    </a:stretch>
                  </pic:blipFill>
                  <pic:spPr>
                    <a:xfrm>
                      <a:off x="0" y="0"/>
                      <a:ext cx="7798383" cy="5200650"/>
                    </a:xfrm>
                    <a:prstGeom prst="rect">
                      <a:avLst/>
                    </a:prstGeom>
                  </pic:spPr>
                </pic:pic>
              </a:graphicData>
            </a:graphic>
            <wp14:sizeRelH relativeFrom="page">
              <wp14:pctWidth>0</wp14:pctWidth>
            </wp14:sizeRelH>
            <wp14:sizeRelV relativeFrom="page">
              <wp14:pctHeight>0</wp14:pctHeight>
            </wp14:sizeRelV>
          </wp:anchor>
        </w:drawing>
      </w:r>
    </w:p>
    <w:sectPr w:rsidR="00DF224C" w:rsidSect="00B738E6">
      <w:footerReference w:type="default" r:id="rId23"/>
      <w:pgSz w:w="11907" w:h="16839"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757BD3" w14:textId="77777777" w:rsidR="002E4999" w:rsidRDefault="002E4999" w:rsidP="00DF224C">
      <w:r>
        <w:separator/>
      </w:r>
    </w:p>
  </w:endnote>
  <w:endnote w:type="continuationSeparator" w:id="0">
    <w:p w14:paraId="06757BD4" w14:textId="77777777" w:rsidR="002E4999" w:rsidRDefault="002E4999" w:rsidP="00DF224C">
      <w:r>
        <w:continuationSeparator/>
      </w:r>
    </w:p>
  </w:endnote>
  <w:endnote w:type="continuationNotice" w:id="1">
    <w:p w14:paraId="06757BD5" w14:textId="77777777" w:rsidR="002E4999" w:rsidRDefault="002E49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6" w14:textId="77777777" w:rsidR="002E4999" w:rsidRDefault="002E4999" w:rsidP="004F139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757BD7" w14:textId="77777777" w:rsidR="002E4999" w:rsidRDefault="002E4999" w:rsidP="004F139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8" w14:textId="77777777" w:rsidR="002E4999" w:rsidRDefault="002E4999" w:rsidP="004F139D">
    <w:pPr>
      <w:pStyle w:val="Footer"/>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0B860" w14:textId="77777777" w:rsidR="004B5999" w:rsidRDefault="004B599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A" w14:textId="77777777" w:rsidR="002E4999" w:rsidRDefault="002E4999" w:rsidP="004F139D">
    <w:pPr>
      <w:pStyle w:val="Footer"/>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5280108"/>
      <w:docPartObj>
        <w:docPartGallery w:val="Page Numbers (Bottom of Page)"/>
        <w:docPartUnique/>
      </w:docPartObj>
    </w:sdtPr>
    <w:sdtEndPr>
      <w:rPr>
        <w:rFonts w:ascii="Segoe UI" w:hAnsi="Segoe UI" w:cs="Segoe UI"/>
        <w:noProof/>
        <w:sz w:val="22"/>
      </w:rPr>
    </w:sdtEndPr>
    <w:sdtContent>
      <w:p w14:paraId="06757BDD" w14:textId="77777777" w:rsidR="002E4999" w:rsidRPr="00826956" w:rsidRDefault="002E4999">
        <w:pPr>
          <w:pStyle w:val="Footer"/>
          <w:jc w:val="right"/>
          <w:rPr>
            <w:rFonts w:ascii="Segoe UI" w:hAnsi="Segoe UI" w:cs="Segoe UI"/>
            <w:sz w:val="22"/>
          </w:rPr>
        </w:pPr>
        <w:r w:rsidRPr="00826956">
          <w:rPr>
            <w:rFonts w:ascii="Segoe UI" w:hAnsi="Segoe UI" w:cs="Segoe UI"/>
            <w:sz w:val="22"/>
          </w:rPr>
          <w:fldChar w:fldCharType="begin"/>
        </w:r>
        <w:r w:rsidRPr="00826956">
          <w:rPr>
            <w:rFonts w:ascii="Segoe UI" w:hAnsi="Segoe UI" w:cs="Segoe UI"/>
            <w:sz w:val="22"/>
          </w:rPr>
          <w:instrText xml:space="preserve"> PAGE   \* MERGEFORMAT </w:instrText>
        </w:r>
        <w:r w:rsidRPr="00826956">
          <w:rPr>
            <w:rFonts w:ascii="Segoe UI" w:hAnsi="Segoe UI" w:cs="Segoe UI"/>
            <w:sz w:val="22"/>
          </w:rPr>
          <w:fldChar w:fldCharType="separate"/>
        </w:r>
        <w:r w:rsidR="004B5999">
          <w:rPr>
            <w:rFonts w:ascii="Segoe UI" w:hAnsi="Segoe UI" w:cs="Segoe UI"/>
            <w:noProof/>
            <w:sz w:val="22"/>
          </w:rPr>
          <w:t>26</w:t>
        </w:r>
        <w:r w:rsidRPr="00826956">
          <w:rPr>
            <w:rFonts w:ascii="Segoe UI" w:hAnsi="Segoe UI" w:cs="Segoe UI"/>
            <w:noProof/>
            <w:sz w:val="22"/>
          </w:rPr>
          <w:fldChar w:fldCharType="end"/>
        </w:r>
      </w:p>
    </w:sdtContent>
  </w:sdt>
  <w:p w14:paraId="06757BDE" w14:textId="77777777" w:rsidR="002E4999" w:rsidRPr="004F139D" w:rsidRDefault="002E4999" w:rsidP="004F139D">
    <w:pPr>
      <w:ind w:right="360"/>
      <w:jc w:val="right"/>
      <w:rPr>
        <w:rFonts w:ascii="Segoe UI" w:hAnsi="Segoe UI" w:cs="Segoe UI"/>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F" w14:textId="77777777" w:rsidR="002E4999" w:rsidRPr="00826956" w:rsidRDefault="002E4999">
    <w:pPr>
      <w:pStyle w:val="Footer"/>
      <w:jc w:val="right"/>
      <w:rPr>
        <w:rFonts w:ascii="Segoe UI" w:hAnsi="Segoe UI" w:cs="Segoe UI"/>
        <w:sz w:val="22"/>
      </w:rPr>
    </w:pPr>
  </w:p>
  <w:p w14:paraId="06757BE0" w14:textId="77777777" w:rsidR="002E4999" w:rsidRPr="004F139D" w:rsidRDefault="002E4999" w:rsidP="004F139D">
    <w:pPr>
      <w:ind w:right="360"/>
      <w:jc w:val="right"/>
      <w:rPr>
        <w:rFonts w:ascii="Segoe UI" w:hAnsi="Segoe UI" w:cs="Segoe UI"/>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757BD0" w14:textId="77777777" w:rsidR="002E4999" w:rsidRDefault="002E4999" w:rsidP="00DF224C">
      <w:r>
        <w:separator/>
      </w:r>
    </w:p>
  </w:footnote>
  <w:footnote w:type="continuationSeparator" w:id="0">
    <w:p w14:paraId="06757BD1" w14:textId="77777777" w:rsidR="002E4999" w:rsidRDefault="002E4999" w:rsidP="00DF224C">
      <w:r>
        <w:continuationSeparator/>
      </w:r>
    </w:p>
  </w:footnote>
  <w:footnote w:type="continuationNotice" w:id="1">
    <w:p w14:paraId="06757BD2" w14:textId="77777777" w:rsidR="002E4999" w:rsidRDefault="002E4999"/>
  </w:footnote>
  <w:footnote w:id="2">
    <w:p w14:paraId="06757BE3" w14:textId="77777777" w:rsidR="002E4999" w:rsidRPr="00785DB4" w:rsidRDefault="002E4999" w:rsidP="00C10050">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Option 2: Clarify the definitions in the Bank’s standards to include transactions in Australia with foreign-issued cards. Section on foreign-issued cards acquired in Australia. RBA Review of Card Payments Regulation Discussion Paper, pp. 17-18</w:t>
      </w:r>
    </w:p>
  </w:footnote>
  <w:footnote w:id="3">
    <w:p w14:paraId="06757BE4" w14:textId="77777777" w:rsidR="002E4999" w:rsidRPr="00FA1DF7" w:rsidRDefault="002E4999">
      <w:pPr>
        <w:pStyle w:val="FootnoteText"/>
        <w:rPr>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w:t>
      </w:r>
      <w:proofErr w:type="gramStart"/>
      <w:r w:rsidRPr="00785DB4">
        <w:rPr>
          <w:rFonts w:ascii="Segoe UI" w:hAnsi="Segoe UI" w:cs="Segoe UI"/>
          <w:sz w:val="16"/>
          <w:szCs w:val="16"/>
          <w:lang w:val="en-GB"/>
        </w:rPr>
        <w:t>Including Visa Europe following the merger with Visa Inc. in April 2016.</w:t>
      </w:r>
      <w:proofErr w:type="gramEnd"/>
    </w:p>
  </w:footnote>
  <w:footnote w:id="4">
    <w:p w14:paraId="06757BE5" w14:textId="77777777" w:rsidR="002E4999" w:rsidRPr="00FA1DF7" w:rsidRDefault="002E4999" w:rsidP="00BF21FF">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w:t>
      </w:r>
      <w:proofErr w:type="spellStart"/>
      <w:r w:rsidRPr="00FA1DF7">
        <w:rPr>
          <w:rFonts w:ascii="Segoe UI" w:hAnsi="Segoe UI" w:cs="Segoe UI"/>
          <w:sz w:val="16"/>
          <w:szCs w:val="16"/>
          <w:lang w:val="en-GB"/>
        </w:rPr>
        <w:t>VisaNet</w:t>
      </w:r>
      <w:proofErr w:type="spellEnd"/>
      <w:r w:rsidRPr="00FA1DF7">
        <w:rPr>
          <w:rFonts w:ascii="Segoe UI" w:hAnsi="Segoe UI" w:cs="Segoe UI"/>
          <w:sz w:val="16"/>
          <w:szCs w:val="16"/>
          <w:lang w:val="en-GB"/>
        </w:rPr>
        <w:t xml:space="preserve"> sales volumes (MV) for trailing twelve months ending September 2015</w:t>
      </w:r>
    </w:p>
  </w:footnote>
  <w:footnote w:id="5">
    <w:p w14:paraId="06757BE6" w14:textId="77777777" w:rsidR="002E4999" w:rsidRPr="00FA1DF7" w:rsidRDefault="002E4999" w:rsidP="00BF21FF">
      <w:pPr>
        <w:pStyle w:val="FootnoteText"/>
        <w:rPr>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Ibid</w:t>
      </w:r>
      <w:r w:rsidRPr="00FA1DF7">
        <w:rPr>
          <w:rFonts w:cs="Segoe UI"/>
          <w:lang w:val="en-GB"/>
        </w:rPr>
        <w:t xml:space="preserve"> </w:t>
      </w:r>
    </w:p>
  </w:footnote>
  <w:footnote w:id="6">
    <w:p w14:paraId="06757BE7"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Tourism Research Australia – State of the Industry, November 2015</w:t>
      </w:r>
    </w:p>
  </w:footnote>
  <w:footnote w:id="7">
    <w:p w14:paraId="06757BE8"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w:t>
      </w:r>
      <w:proofErr w:type="gramStart"/>
      <w:r w:rsidRPr="00FA1DF7">
        <w:rPr>
          <w:rFonts w:ascii="Segoe UI" w:hAnsi="Segoe UI" w:cs="Segoe UI"/>
          <w:sz w:val="16"/>
          <w:szCs w:val="16"/>
          <w:lang w:val="en-GB"/>
        </w:rPr>
        <w:t>New Zealand arrivals – 1.17 million; China arrivals – 1.19 million arrivals.</w:t>
      </w:r>
      <w:proofErr w:type="gramEnd"/>
      <w:r w:rsidRPr="00FA1DF7">
        <w:rPr>
          <w:rFonts w:ascii="Segoe UI" w:hAnsi="Segoe UI" w:cs="Segoe UI"/>
          <w:sz w:val="16"/>
          <w:szCs w:val="16"/>
          <w:lang w:val="en-GB"/>
        </w:rPr>
        <w:t xml:space="preserve"> December 2015.</w:t>
      </w:r>
    </w:p>
  </w:footnote>
  <w:footnote w:id="8">
    <w:p w14:paraId="06757BE9"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w:t>
      </w:r>
      <w:proofErr w:type="spellStart"/>
      <w:r w:rsidRPr="00FA1DF7">
        <w:rPr>
          <w:rFonts w:ascii="Segoe UI" w:hAnsi="Segoe UI" w:cs="Segoe UI"/>
          <w:sz w:val="16"/>
          <w:szCs w:val="16"/>
          <w:lang w:val="en-GB"/>
        </w:rPr>
        <w:t>VisaNet</w:t>
      </w:r>
      <w:proofErr w:type="spellEnd"/>
      <w:r w:rsidRPr="00FA1DF7">
        <w:rPr>
          <w:rFonts w:ascii="Segoe UI" w:hAnsi="Segoe UI" w:cs="Segoe UI"/>
          <w:sz w:val="16"/>
          <w:szCs w:val="16"/>
          <w:lang w:val="en-GB"/>
        </w:rPr>
        <w:t xml:space="preserve"> sales volumes (MV) for trailing twelve months ending September 2015</w:t>
      </w:r>
    </w:p>
  </w:footnote>
  <w:footnote w:id="9">
    <w:p w14:paraId="06757BEA"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Five segments include lodging (accommodation), luxury retail, airlines, travel agencies, car rental</w:t>
      </w:r>
    </w:p>
  </w:footnote>
  <w:footnote w:id="10">
    <w:p w14:paraId="06757BEB" w14:textId="77777777" w:rsidR="002E4999" w:rsidRPr="00FA1DF7" w:rsidRDefault="002E4999" w:rsidP="00C10050">
      <w:pPr>
        <w:pStyle w:val="FootnoteText"/>
        <w:rPr>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w:t>
      </w:r>
      <w:proofErr w:type="spellStart"/>
      <w:r w:rsidRPr="00FA1DF7">
        <w:rPr>
          <w:rFonts w:ascii="Segoe UI" w:hAnsi="Segoe UI" w:cs="Segoe UI"/>
          <w:sz w:val="16"/>
          <w:szCs w:val="16"/>
          <w:lang w:val="en-GB"/>
        </w:rPr>
        <w:t>VisaNet</w:t>
      </w:r>
      <w:proofErr w:type="spellEnd"/>
      <w:r w:rsidRPr="00FA1DF7">
        <w:rPr>
          <w:rFonts w:ascii="Segoe UI" w:hAnsi="Segoe UI" w:cs="Segoe UI"/>
          <w:sz w:val="16"/>
          <w:szCs w:val="16"/>
          <w:lang w:val="en-GB"/>
        </w:rPr>
        <w:t xml:space="preserve"> sales volumes (MV) for trailing twelve months ending September 2015</w:t>
      </w:r>
    </w:p>
  </w:footnote>
  <w:footnote w:id="11">
    <w:p w14:paraId="06757BEC"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Tourism Australia – China Market Profile 2015</w:t>
      </w:r>
    </w:p>
  </w:footnote>
  <w:footnote w:id="12">
    <w:p w14:paraId="06757BED"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Option 1: Commercial cards to be retained in coverage of interchange standards. </w:t>
      </w:r>
      <w:proofErr w:type="gramStart"/>
      <w:r w:rsidRPr="00FA1DF7">
        <w:rPr>
          <w:rFonts w:ascii="Segoe UI" w:hAnsi="Segoe UI" w:cs="Segoe UI"/>
          <w:sz w:val="16"/>
          <w:szCs w:val="16"/>
          <w:lang w:val="en-GB"/>
        </w:rPr>
        <w:t>Section on coverage of interchange standards – commercial cards.</w:t>
      </w:r>
      <w:proofErr w:type="gramEnd"/>
      <w:r w:rsidRPr="00FA1DF7">
        <w:rPr>
          <w:rFonts w:ascii="Segoe UI" w:hAnsi="Segoe UI" w:cs="Segoe UI"/>
          <w:sz w:val="16"/>
          <w:szCs w:val="16"/>
          <w:lang w:val="en-GB"/>
        </w:rPr>
        <w:t xml:space="preserve"> RBA Review of Card Payments Regulation, pp. 16-17</w:t>
      </w:r>
    </w:p>
  </w:footnote>
  <w:footnote w:id="13">
    <w:p w14:paraId="06757BEE"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Visa Commercial Consumption Expenditure Index; Economist Intelligence Unit (EIU) modelling and analysis, September 2013</w:t>
      </w:r>
    </w:p>
  </w:footnote>
  <w:footnote w:id="14">
    <w:p w14:paraId="06757BEF" w14:textId="77777777" w:rsidR="002E4999" w:rsidRPr="00FA1DF7" w:rsidRDefault="002E4999" w:rsidP="00C10050">
      <w:pPr>
        <w:pStyle w:val="FootnoteText"/>
        <w:rPr>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Source: Visa Commercial Payments Analysis Study; Adept Insight, August 2015</w:t>
      </w:r>
    </w:p>
  </w:footnote>
  <w:footnote w:id="15">
    <w:p w14:paraId="06757BF0" w14:textId="77777777" w:rsidR="002E4999" w:rsidRPr="00785DB4" w:rsidRDefault="002E4999">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w:t>
      </w:r>
      <w:hyperlink r:id="rId1" w:anchor="axzz3ythosNwf" w:history="1">
        <w:r w:rsidRPr="00785DB4">
          <w:rPr>
            <w:rStyle w:val="Hyperlink"/>
            <w:rFonts w:ascii="Segoe UI" w:hAnsi="Segoe UI" w:cs="Segoe UI"/>
            <w:sz w:val="16"/>
            <w:szCs w:val="16"/>
            <w:lang w:val="en-GB"/>
          </w:rPr>
          <w:t>http://www.ft.com/intl/cms/s/0/8af854a4-c9ab-11e4-b2ef-00144feab7de.html#axzz3ythosNwf</w:t>
        </w:r>
      </w:hyperlink>
      <w:r w:rsidRPr="00785DB4">
        <w:rPr>
          <w:rFonts w:ascii="Segoe UI" w:hAnsi="Segoe UI" w:cs="Segoe UI"/>
          <w:sz w:val="16"/>
          <w:szCs w:val="16"/>
          <w:lang w:val="en-GB"/>
        </w:rPr>
        <w:t xml:space="preserve"> </w:t>
      </w:r>
    </w:p>
  </w:footnote>
  <w:footnote w:id="16">
    <w:p w14:paraId="06757BF1" w14:textId="77777777" w:rsidR="002E4999" w:rsidRPr="00785DB4" w:rsidRDefault="002E4999">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w:t>
      </w:r>
      <w:hyperlink r:id="rId2" w:history="1">
        <w:r w:rsidRPr="00785DB4">
          <w:rPr>
            <w:rStyle w:val="Hyperlink"/>
            <w:rFonts w:ascii="Segoe UI" w:hAnsi="Segoe UI" w:cs="Segoe UI"/>
            <w:sz w:val="16"/>
            <w:szCs w:val="16"/>
            <w:lang w:val="en-GB"/>
          </w:rPr>
          <w:t>http://www.nytimes.com/2015/04/07/business/big-companies-pay-later-squeezing-their-suppliers.html?_r=0</w:t>
        </w:r>
      </w:hyperlink>
      <w:r w:rsidRPr="00785DB4">
        <w:rPr>
          <w:rFonts w:ascii="Segoe UI" w:hAnsi="Segoe UI" w:cs="Segoe UI"/>
          <w:sz w:val="16"/>
          <w:szCs w:val="16"/>
          <w:lang w:val="en-GB"/>
        </w:rPr>
        <w:t xml:space="preserve"> </w:t>
      </w:r>
    </w:p>
  </w:footnote>
  <w:footnote w:id="17">
    <w:p w14:paraId="06757BF2" w14:textId="77777777" w:rsidR="002E4999" w:rsidRPr="00785DB4" w:rsidRDefault="002E4999" w:rsidP="00C10050">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Source: B2B Payments 2015 Australia and New Zealand Research; Deloitte, August 2015 </w:t>
      </w:r>
    </w:p>
    <w:p w14:paraId="06757BF3" w14:textId="77777777" w:rsidR="002E4999" w:rsidRPr="00FA1DF7" w:rsidRDefault="004B5999" w:rsidP="00C10050">
      <w:pPr>
        <w:pStyle w:val="FootnoteText"/>
        <w:rPr>
          <w:lang w:val="en-GB"/>
        </w:rPr>
      </w:pPr>
      <w:hyperlink r:id="rId3" w:history="1">
        <w:r w:rsidR="002E4999" w:rsidRPr="00785DB4">
          <w:rPr>
            <w:rStyle w:val="Hyperlink"/>
            <w:rFonts w:ascii="Segoe UI" w:hAnsi="Segoe UI" w:cs="Segoe UI"/>
            <w:sz w:val="16"/>
            <w:szCs w:val="16"/>
            <w:lang w:val="en-GB"/>
          </w:rPr>
          <w:t>http://www.visa.com.au/business/corporate/include/B2B_PaymentsReport2015.pdf</w:t>
        </w:r>
      </w:hyperlink>
      <w:r w:rsidR="002E4999" w:rsidRPr="00FA1DF7">
        <w:rPr>
          <w:lang w:val="en-GB"/>
        </w:rPr>
        <w:t xml:space="preserve"> </w:t>
      </w:r>
    </w:p>
  </w:footnote>
  <w:footnote w:id="18">
    <w:p w14:paraId="06757BF4"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Option 2: Commercial cards to be exempted from interchange regulation. </w:t>
      </w:r>
      <w:proofErr w:type="gramStart"/>
      <w:r w:rsidRPr="00FA1DF7">
        <w:rPr>
          <w:rFonts w:ascii="Segoe UI" w:hAnsi="Segoe UI" w:cs="Segoe UI"/>
          <w:sz w:val="16"/>
          <w:szCs w:val="16"/>
          <w:lang w:val="en-GB"/>
        </w:rPr>
        <w:t>Section on coverage of interchange standards – commercial cards.</w:t>
      </w:r>
      <w:proofErr w:type="gramEnd"/>
      <w:r w:rsidRPr="00FA1DF7">
        <w:rPr>
          <w:rFonts w:ascii="Segoe UI" w:hAnsi="Segoe UI" w:cs="Segoe UI"/>
          <w:sz w:val="16"/>
          <w:szCs w:val="16"/>
          <w:lang w:val="en-GB"/>
        </w:rPr>
        <w:t xml:space="preserve"> RBA Review of Card Payments Regulation</w:t>
      </w:r>
    </w:p>
  </w:footnote>
  <w:footnote w:id="19">
    <w:p w14:paraId="06757BF5" w14:textId="77777777" w:rsidR="002E4999" w:rsidRPr="00785DB4" w:rsidRDefault="002E4999" w:rsidP="00C10050">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w:t>
      </w:r>
      <w:proofErr w:type="gramStart"/>
      <w:r w:rsidRPr="00785DB4">
        <w:rPr>
          <w:rFonts w:ascii="Segoe UI" w:hAnsi="Segoe UI" w:cs="Segoe UI"/>
          <w:sz w:val="16"/>
          <w:szCs w:val="16"/>
          <w:lang w:val="en-GB"/>
        </w:rPr>
        <w:t>Option 2: Quarterly compliance.</w:t>
      </w:r>
      <w:proofErr w:type="gramEnd"/>
      <w:r w:rsidRPr="00785DB4">
        <w:rPr>
          <w:rFonts w:ascii="Segoe UI" w:hAnsi="Segoe UI" w:cs="Segoe UI"/>
          <w:sz w:val="16"/>
          <w:szCs w:val="16"/>
          <w:lang w:val="en-GB"/>
        </w:rPr>
        <w:t xml:space="preserve"> </w:t>
      </w:r>
      <w:proofErr w:type="gramStart"/>
      <w:r w:rsidRPr="00785DB4">
        <w:rPr>
          <w:rFonts w:ascii="Segoe UI" w:hAnsi="Segoe UI" w:cs="Segoe UI"/>
          <w:sz w:val="16"/>
          <w:szCs w:val="16"/>
          <w:lang w:val="en-GB"/>
        </w:rPr>
        <w:t>Section on benchmark compliance.</w:t>
      </w:r>
      <w:proofErr w:type="gramEnd"/>
      <w:r w:rsidRPr="00785DB4">
        <w:rPr>
          <w:rFonts w:ascii="Segoe UI" w:hAnsi="Segoe UI" w:cs="Segoe UI"/>
          <w:sz w:val="16"/>
          <w:szCs w:val="16"/>
          <w:lang w:val="en-GB"/>
        </w:rPr>
        <w:t xml:space="preserve"> RBA Review of Card Payments Regulation, pp.20-22</w:t>
      </w:r>
    </w:p>
  </w:footnote>
  <w:footnote w:id="20">
    <w:p w14:paraId="06757BF6" w14:textId="77777777" w:rsidR="002E4999" w:rsidRPr="00785DB4" w:rsidRDefault="002E4999" w:rsidP="00862080">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Visa needs to develop internal business requirements, coordinate with our internal systems group which must code and test new rates. Additional testing is done to ensure that other rates have not been affected by any of the coding changes. The revised interchange rates and the related technical details must be communicated to issuers and acquirers and an implementation date is set in order to coordinate a systems change. In order to ensure the safety, security and reliability of the network extensive internal and external development, testing and coordination is required. </w:t>
      </w:r>
    </w:p>
  </w:footnote>
  <w:footnote w:id="21">
    <w:p w14:paraId="06757BF7" w14:textId="77777777" w:rsidR="002E4999" w:rsidRPr="00FA1DF7" w:rsidRDefault="002E4999" w:rsidP="00C10050">
      <w:pPr>
        <w:pStyle w:val="FootnoteText"/>
        <w:rPr>
          <w:rFonts w:ascii="Segoe UI" w:hAnsi="Segoe UI" w:cs="Segoe UI"/>
          <w:sz w:val="16"/>
          <w:szCs w:val="16"/>
          <w:lang w:val="en-GB"/>
        </w:rPr>
      </w:pPr>
      <w:r w:rsidRPr="00FA1DF7">
        <w:rPr>
          <w:rStyle w:val="FootnoteReference"/>
          <w:rFonts w:ascii="Segoe UI" w:hAnsi="Segoe UI" w:cs="Segoe UI"/>
          <w:sz w:val="16"/>
          <w:szCs w:val="16"/>
          <w:lang w:val="en-GB"/>
        </w:rPr>
        <w:footnoteRef/>
      </w:r>
      <w:r w:rsidRPr="00FA1DF7">
        <w:rPr>
          <w:rFonts w:ascii="Segoe UI" w:hAnsi="Segoe UI" w:cs="Segoe UI"/>
          <w:sz w:val="16"/>
          <w:szCs w:val="16"/>
          <w:lang w:val="en-GB"/>
        </w:rPr>
        <w:t xml:space="preserve"> </w:t>
      </w:r>
      <w:proofErr w:type="gramStart"/>
      <w:r w:rsidRPr="00FA1DF7">
        <w:rPr>
          <w:rFonts w:ascii="Segoe UI" w:hAnsi="Segoe UI" w:cs="Segoe UI"/>
          <w:sz w:val="16"/>
          <w:szCs w:val="16"/>
          <w:lang w:val="en-GB"/>
        </w:rPr>
        <w:t>Option 3: Modifications to the cost of acceptance framework.</w:t>
      </w:r>
      <w:proofErr w:type="gramEnd"/>
      <w:r w:rsidRPr="00FA1DF7">
        <w:rPr>
          <w:rFonts w:ascii="Segoe UI" w:hAnsi="Segoe UI" w:cs="Segoe UI"/>
          <w:sz w:val="16"/>
          <w:szCs w:val="16"/>
          <w:lang w:val="en-GB"/>
        </w:rPr>
        <w:t xml:space="preserve"> </w:t>
      </w:r>
      <w:proofErr w:type="gramStart"/>
      <w:r w:rsidRPr="00FA1DF7">
        <w:rPr>
          <w:rFonts w:ascii="Segoe UI" w:hAnsi="Segoe UI" w:cs="Segoe UI"/>
          <w:sz w:val="16"/>
          <w:szCs w:val="16"/>
          <w:lang w:val="en-GB"/>
        </w:rPr>
        <w:t>Section on surcharging.</w:t>
      </w:r>
      <w:proofErr w:type="gramEnd"/>
      <w:r w:rsidRPr="00FA1DF7">
        <w:rPr>
          <w:rFonts w:ascii="Segoe UI" w:hAnsi="Segoe UI" w:cs="Segoe UI"/>
          <w:sz w:val="16"/>
          <w:szCs w:val="16"/>
          <w:lang w:val="en-GB"/>
        </w:rPr>
        <w:t xml:space="preserve"> RBA Review of Card Payments Regulation, pp. 28-35</w:t>
      </w:r>
    </w:p>
  </w:footnote>
  <w:footnote w:id="22">
    <w:p w14:paraId="06757BF8" w14:textId="77777777" w:rsidR="002E4999" w:rsidRPr="00785DB4" w:rsidRDefault="002E4999">
      <w:pPr>
        <w:pStyle w:val="FootnoteText"/>
        <w:rPr>
          <w:rFonts w:ascii="Segoe UI" w:hAnsi="Segoe UI" w:cs="Segoe UI"/>
          <w:sz w:val="16"/>
          <w:szCs w:val="16"/>
          <w:lang w:val="en-GB"/>
        </w:rPr>
      </w:pPr>
      <w:r w:rsidRPr="00785DB4">
        <w:rPr>
          <w:rStyle w:val="FootnoteReference"/>
          <w:rFonts w:ascii="Segoe UI" w:hAnsi="Segoe UI" w:cs="Segoe UI"/>
          <w:sz w:val="16"/>
          <w:szCs w:val="16"/>
          <w:lang w:val="en-GB"/>
        </w:rPr>
        <w:footnoteRef/>
      </w:r>
      <w:r w:rsidRPr="00785DB4">
        <w:rPr>
          <w:rFonts w:ascii="Segoe UI" w:hAnsi="Segoe UI" w:cs="Segoe UI"/>
          <w:sz w:val="16"/>
          <w:szCs w:val="16"/>
          <w:lang w:val="en-GB"/>
        </w:rPr>
        <w:t xml:space="preserve"> See previous Visa submission to RBA Review on Card Payments Regulation (April 2015) and Visa final submission to Financial System Inquiry (March 2015)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81DB21" w14:textId="77777777" w:rsidR="004B5999" w:rsidRDefault="004B599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1EE312" w14:textId="77777777" w:rsidR="004B5999" w:rsidRDefault="004B599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9" w14:textId="77777777" w:rsidR="002E4999" w:rsidRDefault="002E4999">
    <w:pPr>
      <w:pStyle w:val="Header"/>
    </w:pPr>
    <w:r w:rsidRPr="00426E9B">
      <w:rPr>
        <w:rFonts w:ascii="Segoe UI" w:hAnsi="Segoe UI" w:cs="Segoe UI"/>
        <w:noProof/>
        <w:lang w:val="en-AU" w:eastAsia="en-AU"/>
      </w:rPr>
      <w:drawing>
        <wp:anchor distT="0" distB="0" distL="114300" distR="114300" simplePos="0" relativeHeight="251658240" behindDoc="0" locked="0" layoutInCell="1" allowOverlap="1" wp14:anchorId="06757BE1" wp14:editId="06757BE2">
          <wp:simplePos x="0" y="0"/>
          <wp:positionH relativeFrom="column">
            <wp:posOffset>4314825</wp:posOffset>
          </wp:positionH>
          <wp:positionV relativeFrom="paragraph">
            <wp:posOffset>-57150</wp:posOffset>
          </wp:positionV>
          <wp:extent cx="1592580" cy="742950"/>
          <wp:effectExtent l="0" t="0" r="762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t="36781" r="23376"/>
                  <a:stretch>
                    <a:fillRect/>
                  </a:stretch>
                </pic:blipFill>
                <pic:spPr bwMode="auto">
                  <a:xfrm>
                    <a:off x="0" y="0"/>
                    <a:ext cx="15925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B" w14:textId="77777777" w:rsidR="002E4999" w:rsidRDefault="002E4999"/>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57BDC" w14:textId="77777777" w:rsidR="002E4999" w:rsidRDefault="002E49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27706"/>
    <w:multiLevelType w:val="hybridMultilevel"/>
    <w:tmpl w:val="510CC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E36FC"/>
    <w:multiLevelType w:val="hybridMultilevel"/>
    <w:tmpl w:val="9CD6414A"/>
    <w:lvl w:ilvl="0" w:tplc="B2E6C802">
      <w:numFmt w:val="bullet"/>
      <w:lvlText w:val="-"/>
      <w:lvlJc w:val="left"/>
      <w:pPr>
        <w:ind w:left="720" w:hanging="360"/>
      </w:pPr>
      <w:rPr>
        <w:rFonts w:ascii="Cambria" w:eastAsia="Calibri" w:hAnsi="Cambria" w:cs="Segoe UI" w:hint="default"/>
        <w:color w:val="1F497D" w:themeColor="text2"/>
        <w:sz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0F06C6"/>
    <w:multiLevelType w:val="hybridMultilevel"/>
    <w:tmpl w:val="B7BC302A"/>
    <w:lvl w:ilvl="0" w:tplc="04090001">
      <w:start w:val="1"/>
      <w:numFmt w:val="bullet"/>
      <w:lvlText w:val=""/>
      <w:lvlJc w:val="left"/>
      <w:pPr>
        <w:ind w:left="720" w:hanging="360"/>
      </w:pPr>
      <w:rPr>
        <w:rFonts w:ascii="Symbol" w:hAnsi="Symbol" w:hint="default"/>
      </w:rPr>
    </w:lvl>
    <w:lvl w:ilvl="1" w:tplc="31365C78">
      <w:numFmt w:val="bullet"/>
      <w:lvlText w:val="·"/>
      <w:lvlJc w:val="left"/>
      <w:pPr>
        <w:ind w:left="1665" w:hanging="585"/>
      </w:pPr>
      <w:rPr>
        <w:rFonts w:ascii="Segoe UI" w:eastAsiaTheme="minorEastAsia" w:hAnsi="Segoe UI" w:cs="Segoe U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3558B3"/>
    <w:multiLevelType w:val="multilevel"/>
    <w:tmpl w:val="3FF2ADA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16FA2746"/>
    <w:multiLevelType w:val="hybridMultilevel"/>
    <w:tmpl w:val="B792E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D2063B"/>
    <w:multiLevelType w:val="hybridMultilevel"/>
    <w:tmpl w:val="4D16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E54C19"/>
    <w:multiLevelType w:val="hybridMultilevel"/>
    <w:tmpl w:val="AE405D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48F0906"/>
    <w:multiLevelType w:val="hybridMultilevel"/>
    <w:tmpl w:val="C7B0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0F6984"/>
    <w:multiLevelType w:val="multilevel"/>
    <w:tmpl w:val="848ED0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3FB66D55"/>
    <w:multiLevelType w:val="multilevel"/>
    <w:tmpl w:val="5DD2B3A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43171C76"/>
    <w:multiLevelType w:val="multilevel"/>
    <w:tmpl w:val="0BA04B3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4D1E2DCF"/>
    <w:multiLevelType w:val="hybridMultilevel"/>
    <w:tmpl w:val="28327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0B65AB"/>
    <w:multiLevelType w:val="multilevel"/>
    <w:tmpl w:val="3AAAE4A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520E1C05"/>
    <w:multiLevelType w:val="multilevel"/>
    <w:tmpl w:val="3B00F0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52D44E4F"/>
    <w:multiLevelType w:val="multilevel"/>
    <w:tmpl w:val="D1148A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565953A8"/>
    <w:multiLevelType w:val="hybridMultilevel"/>
    <w:tmpl w:val="2872EE4E"/>
    <w:lvl w:ilvl="0" w:tplc="0C090001">
      <w:start w:val="1"/>
      <w:numFmt w:val="bullet"/>
      <w:lvlText w:val=""/>
      <w:lvlJc w:val="left"/>
      <w:pPr>
        <w:ind w:left="178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6">
    <w:nsid w:val="5CBF42EE"/>
    <w:multiLevelType w:val="multilevel"/>
    <w:tmpl w:val="E508E94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CD46E8B"/>
    <w:multiLevelType w:val="hybridMultilevel"/>
    <w:tmpl w:val="3B0E1AFA"/>
    <w:lvl w:ilvl="0" w:tplc="20C0B78A">
      <w:numFmt w:val="bullet"/>
      <w:lvlText w:val="-"/>
      <w:lvlJc w:val="left"/>
      <w:pPr>
        <w:ind w:left="1860" w:hanging="360"/>
      </w:pPr>
      <w:rPr>
        <w:rFonts w:ascii="Arial" w:eastAsia="SimSun" w:hAnsi="Arial" w:cs="Arial" w:hint="default"/>
      </w:rPr>
    </w:lvl>
    <w:lvl w:ilvl="1" w:tplc="04090003" w:tentative="1">
      <w:start w:val="1"/>
      <w:numFmt w:val="bullet"/>
      <w:lvlText w:val="o"/>
      <w:lvlJc w:val="left"/>
      <w:pPr>
        <w:ind w:left="2580" w:hanging="360"/>
      </w:pPr>
      <w:rPr>
        <w:rFonts w:ascii="Courier New" w:hAnsi="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8">
    <w:nsid w:val="5DE558C7"/>
    <w:multiLevelType w:val="hybridMultilevel"/>
    <w:tmpl w:val="3294A2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5E536796"/>
    <w:multiLevelType w:val="hybridMultilevel"/>
    <w:tmpl w:val="4DE6D300"/>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0">
    <w:nsid w:val="678A780E"/>
    <w:multiLevelType w:val="hybridMultilevel"/>
    <w:tmpl w:val="123E5588"/>
    <w:lvl w:ilvl="0" w:tplc="4BD6B36E">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9D30DE7"/>
    <w:multiLevelType w:val="hybridMultilevel"/>
    <w:tmpl w:val="374E3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62947C5"/>
    <w:multiLevelType w:val="multilevel"/>
    <w:tmpl w:val="35488D0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76C52E0F"/>
    <w:multiLevelType w:val="hybridMultilevel"/>
    <w:tmpl w:val="405468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665" w:hanging="585"/>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C66074"/>
    <w:multiLevelType w:val="hybridMultilevel"/>
    <w:tmpl w:val="06D80D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E026D20"/>
    <w:multiLevelType w:val="hybridMultilevel"/>
    <w:tmpl w:val="66CC3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4"/>
  </w:num>
  <w:num w:numId="4">
    <w:abstractNumId w:val="23"/>
  </w:num>
  <w:num w:numId="5">
    <w:abstractNumId w:val="3"/>
  </w:num>
  <w:num w:numId="6">
    <w:abstractNumId w:val="1"/>
  </w:num>
  <w:num w:numId="7">
    <w:abstractNumId w:val="25"/>
  </w:num>
  <w:num w:numId="8">
    <w:abstractNumId w:val="19"/>
  </w:num>
  <w:num w:numId="9">
    <w:abstractNumId w:val="6"/>
  </w:num>
  <w:num w:numId="10">
    <w:abstractNumId w:val="9"/>
  </w:num>
  <w:num w:numId="11">
    <w:abstractNumId w:val="5"/>
  </w:num>
  <w:num w:numId="12">
    <w:abstractNumId w:val="16"/>
  </w:num>
  <w:num w:numId="13">
    <w:abstractNumId w:val="20"/>
  </w:num>
  <w:num w:numId="14">
    <w:abstractNumId w:val="13"/>
  </w:num>
  <w:num w:numId="15">
    <w:abstractNumId w:val="8"/>
  </w:num>
  <w:num w:numId="16">
    <w:abstractNumId w:val="12"/>
  </w:num>
  <w:num w:numId="17">
    <w:abstractNumId w:val="10"/>
  </w:num>
  <w:num w:numId="18">
    <w:abstractNumId w:val="7"/>
  </w:num>
  <w:num w:numId="19">
    <w:abstractNumId w:val="15"/>
  </w:num>
  <w:num w:numId="20">
    <w:abstractNumId w:val="17"/>
  </w:num>
  <w:num w:numId="21">
    <w:abstractNumId w:val="22"/>
  </w:num>
  <w:num w:numId="22">
    <w:abstractNumId w:val="21"/>
  </w:num>
  <w:num w:numId="23">
    <w:abstractNumId w:val="24"/>
  </w:num>
  <w:num w:numId="24">
    <w:abstractNumId w:val="18"/>
  </w:num>
  <w:num w:numId="25">
    <w:abstractNumId w:val="4"/>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48B"/>
    <w:rsid w:val="00000910"/>
    <w:rsid w:val="00005940"/>
    <w:rsid w:val="000119B9"/>
    <w:rsid w:val="00011F23"/>
    <w:rsid w:val="00023763"/>
    <w:rsid w:val="00070745"/>
    <w:rsid w:val="00071174"/>
    <w:rsid w:val="00071F6A"/>
    <w:rsid w:val="00081067"/>
    <w:rsid w:val="00092AEF"/>
    <w:rsid w:val="000B20EA"/>
    <w:rsid w:val="000B66ED"/>
    <w:rsid w:val="000C0248"/>
    <w:rsid w:val="000C6DD0"/>
    <w:rsid w:val="000D35A8"/>
    <w:rsid w:val="000F396B"/>
    <w:rsid w:val="000F4D6F"/>
    <w:rsid w:val="00115B27"/>
    <w:rsid w:val="001335C1"/>
    <w:rsid w:val="00137587"/>
    <w:rsid w:val="001472E9"/>
    <w:rsid w:val="001524A7"/>
    <w:rsid w:val="00153535"/>
    <w:rsid w:val="001552A3"/>
    <w:rsid w:val="00170243"/>
    <w:rsid w:val="0017057B"/>
    <w:rsid w:val="00177299"/>
    <w:rsid w:val="00177FEE"/>
    <w:rsid w:val="001822E4"/>
    <w:rsid w:val="00192977"/>
    <w:rsid w:val="0019338E"/>
    <w:rsid w:val="00193F12"/>
    <w:rsid w:val="00195009"/>
    <w:rsid w:val="001A53D1"/>
    <w:rsid w:val="001A7756"/>
    <w:rsid w:val="001C0B28"/>
    <w:rsid w:val="001C2965"/>
    <w:rsid w:val="001D19F1"/>
    <w:rsid w:val="001F01BB"/>
    <w:rsid w:val="002236E5"/>
    <w:rsid w:val="00224432"/>
    <w:rsid w:val="0024112D"/>
    <w:rsid w:val="00242DDB"/>
    <w:rsid w:val="00252CDE"/>
    <w:rsid w:val="00271AF2"/>
    <w:rsid w:val="00287A8C"/>
    <w:rsid w:val="00292FCF"/>
    <w:rsid w:val="002A4DE8"/>
    <w:rsid w:val="002C13BB"/>
    <w:rsid w:val="002C54EF"/>
    <w:rsid w:val="002D2A32"/>
    <w:rsid w:val="002E4999"/>
    <w:rsid w:val="002E77CF"/>
    <w:rsid w:val="0031410D"/>
    <w:rsid w:val="003147C2"/>
    <w:rsid w:val="00327632"/>
    <w:rsid w:val="00361ADC"/>
    <w:rsid w:val="00362E72"/>
    <w:rsid w:val="00366B43"/>
    <w:rsid w:val="00384C1D"/>
    <w:rsid w:val="00392F97"/>
    <w:rsid w:val="003B4712"/>
    <w:rsid w:val="003C0CCF"/>
    <w:rsid w:val="003C427B"/>
    <w:rsid w:val="003D4D3D"/>
    <w:rsid w:val="003E0DA3"/>
    <w:rsid w:val="003E1D2A"/>
    <w:rsid w:val="003E3B79"/>
    <w:rsid w:val="003E7BC5"/>
    <w:rsid w:val="003F6869"/>
    <w:rsid w:val="003F7E75"/>
    <w:rsid w:val="0040296E"/>
    <w:rsid w:val="004050ED"/>
    <w:rsid w:val="00430734"/>
    <w:rsid w:val="0044195F"/>
    <w:rsid w:val="0045236E"/>
    <w:rsid w:val="00464896"/>
    <w:rsid w:val="00477C91"/>
    <w:rsid w:val="0048787D"/>
    <w:rsid w:val="004A3BB5"/>
    <w:rsid w:val="004B2C1D"/>
    <w:rsid w:val="004B44C6"/>
    <w:rsid w:val="004B5999"/>
    <w:rsid w:val="004C1D34"/>
    <w:rsid w:val="004C1E69"/>
    <w:rsid w:val="004E270C"/>
    <w:rsid w:val="004E28CA"/>
    <w:rsid w:val="004E507C"/>
    <w:rsid w:val="004E5ECB"/>
    <w:rsid w:val="004E738E"/>
    <w:rsid w:val="004F139D"/>
    <w:rsid w:val="004F39A8"/>
    <w:rsid w:val="00506FE8"/>
    <w:rsid w:val="00530D8F"/>
    <w:rsid w:val="00531D0D"/>
    <w:rsid w:val="005357E6"/>
    <w:rsid w:val="005504CA"/>
    <w:rsid w:val="005967FF"/>
    <w:rsid w:val="005A7D31"/>
    <w:rsid w:val="005B29C2"/>
    <w:rsid w:val="005D29F7"/>
    <w:rsid w:val="005F12D3"/>
    <w:rsid w:val="00601C9C"/>
    <w:rsid w:val="00620818"/>
    <w:rsid w:val="006320DC"/>
    <w:rsid w:val="00653966"/>
    <w:rsid w:val="00665FDA"/>
    <w:rsid w:val="00670593"/>
    <w:rsid w:val="006745B9"/>
    <w:rsid w:val="006956DA"/>
    <w:rsid w:val="006C49C5"/>
    <w:rsid w:val="006F1717"/>
    <w:rsid w:val="00707816"/>
    <w:rsid w:val="00710975"/>
    <w:rsid w:val="0071412E"/>
    <w:rsid w:val="00720F64"/>
    <w:rsid w:val="00742171"/>
    <w:rsid w:val="0074225A"/>
    <w:rsid w:val="00746CBC"/>
    <w:rsid w:val="00750C18"/>
    <w:rsid w:val="00766C5C"/>
    <w:rsid w:val="00771E6B"/>
    <w:rsid w:val="00782B9D"/>
    <w:rsid w:val="00784AB2"/>
    <w:rsid w:val="00785DB4"/>
    <w:rsid w:val="007C2944"/>
    <w:rsid w:val="007C347C"/>
    <w:rsid w:val="007D0BE9"/>
    <w:rsid w:val="007D6D26"/>
    <w:rsid w:val="007E035E"/>
    <w:rsid w:val="007E3BA3"/>
    <w:rsid w:val="007E7E16"/>
    <w:rsid w:val="007F080D"/>
    <w:rsid w:val="007F75C7"/>
    <w:rsid w:val="008260B6"/>
    <w:rsid w:val="00826956"/>
    <w:rsid w:val="008319F3"/>
    <w:rsid w:val="00841AF8"/>
    <w:rsid w:val="00844904"/>
    <w:rsid w:val="00862080"/>
    <w:rsid w:val="00864142"/>
    <w:rsid w:val="0089281F"/>
    <w:rsid w:val="008B248B"/>
    <w:rsid w:val="008B578E"/>
    <w:rsid w:val="008B5AA1"/>
    <w:rsid w:val="008B5AA6"/>
    <w:rsid w:val="008C24CF"/>
    <w:rsid w:val="008E212D"/>
    <w:rsid w:val="008E4A82"/>
    <w:rsid w:val="008E5378"/>
    <w:rsid w:val="008F2E6B"/>
    <w:rsid w:val="008F6AF9"/>
    <w:rsid w:val="009348B7"/>
    <w:rsid w:val="00950DF1"/>
    <w:rsid w:val="00952D5E"/>
    <w:rsid w:val="0096187C"/>
    <w:rsid w:val="00965724"/>
    <w:rsid w:val="00981A4C"/>
    <w:rsid w:val="00995A46"/>
    <w:rsid w:val="009A1988"/>
    <w:rsid w:val="009A3FB0"/>
    <w:rsid w:val="009B674F"/>
    <w:rsid w:val="009D143F"/>
    <w:rsid w:val="00A15DAF"/>
    <w:rsid w:val="00A17D90"/>
    <w:rsid w:val="00A23067"/>
    <w:rsid w:val="00A25A0A"/>
    <w:rsid w:val="00A3067A"/>
    <w:rsid w:val="00A315C1"/>
    <w:rsid w:val="00A43C00"/>
    <w:rsid w:val="00A46837"/>
    <w:rsid w:val="00A473C3"/>
    <w:rsid w:val="00A53317"/>
    <w:rsid w:val="00A61994"/>
    <w:rsid w:val="00A75FF7"/>
    <w:rsid w:val="00A7765F"/>
    <w:rsid w:val="00A81A1B"/>
    <w:rsid w:val="00AA7CF4"/>
    <w:rsid w:val="00AB0270"/>
    <w:rsid w:val="00AB688A"/>
    <w:rsid w:val="00AD47BC"/>
    <w:rsid w:val="00AD6269"/>
    <w:rsid w:val="00AE7961"/>
    <w:rsid w:val="00AF2ECB"/>
    <w:rsid w:val="00AF71CF"/>
    <w:rsid w:val="00B02787"/>
    <w:rsid w:val="00B16A87"/>
    <w:rsid w:val="00B21569"/>
    <w:rsid w:val="00B359B5"/>
    <w:rsid w:val="00B40D6C"/>
    <w:rsid w:val="00B42C39"/>
    <w:rsid w:val="00B56604"/>
    <w:rsid w:val="00B6501B"/>
    <w:rsid w:val="00B738E6"/>
    <w:rsid w:val="00B77914"/>
    <w:rsid w:val="00B820D2"/>
    <w:rsid w:val="00BA5589"/>
    <w:rsid w:val="00BB6FE3"/>
    <w:rsid w:val="00BC5D7F"/>
    <w:rsid w:val="00BC722E"/>
    <w:rsid w:val="00BE127F"/>
    <w:rsid w:val="00BE7058"/>
    <w:rsid w:val="00BF07BF"/>
    <w:rsid w:val="00BF15D7"/>
    <w:rsid w:val="00BF21FF"/>
    <w:rsid w:val="00C10050"/>
    <w:rsid w:val="00C40454"/>
    <w:rsid w:val="00C52748"/>
    <w:rsid w:val="00C635E8"/>
    <w:rsid w:val="00C705EF"/>
    <w:rsid w:val="00C7346E"/>
    <w:rsid w:val="00CC6881"/>
    <w:rsid w:val="00CC79AE"/>
    <w:rsid w:val="00CD7E13"/>
    <w:rsid w:val="00CE26DD"/>
    <w:rsid w:val="00CE2B51"/>
    <w:rsid w:val="00CF3BD4"/>
    <w:rsid w:val="00CF7678"/>
    <w:rsid w:val="00D15990"/>
    <w:rsid w:val="00D15DA3"/>
    <w:rsid w:val="00D45F7B"/>
    <w:rsid w:val="00D55A30"/>
    <w:rsid w:val="00D55CFE"/>
    <w:rsid w:val="00D55EB2"/>
    <w:rsid w:val="00D60CC6"/>
    <w:rsid w:val="00D72A1E"/>
    <w:rsid w:val="00D74806"/>
    <w:rsid w:val="00D82EB6"/>
    <w:rsid w:val="00D962B2"/>
    <w:rsid w:val="00DB5E84"/>
    <w:rsid w:val="00DD46F3"/>
    <w:rsid w:val="00DE7F36"/>
    <w:rsid w:val="00DF224C"/>
    <w:rsid w:val="00DF3A44"/>
    <w:rsid w:val="00DF5210"/>
    <w:rsid w:val="00E033FB"/>
    <w:rsid w:val="00E03F99"/>
    <w:rsid w:val="00E11FE3"/>
    <w:rsid w:val="00E14ABA"/>
    <w:rsid w:val="00E27264"/>
    <w:rsid w:val="00E50C2D"/>
    <w:rsid w:val="00E62544"/>
    <w:rsid w:val="00E708C8"/>
    <w:rsid w:val="00E7094C"/>
    <w:rsid w:val="00E86F46"/>
    <w:rsid w:val="00E93D3B"/>
    <w:rsid w:val="00EA03D6"/>
    <w:rsid w:val="00EB2491"/>
    <w:rsid w:val="00EC7B39"/>
    <w:rsid w:val="00ED2004"/>
    <w:rsid w:val="00EE3901"/>
    <w:rsid w:val="00F20B09"/>
    <w:rsid w:val="00F22B26"/>
    <w:rsid w:val="00F25795"/>
    <w:rsid w:val="00F33E29"/>
    <w:rsid w:val="00F421BE"/>
    <w:rsid w:val="00F57C32"/>
    <w:rsid w:val="00F81EB9"/>
    <w:rsid w:val="00F937BA"/>
    <w:rsid w:val="00FA1DF7"/>
    <w:rsid w:val="00FA7C49"/>
    <w:rsid w:val="00FB00B0"/>
    <w:rsid w:val="00FD2665"/>
    <w:rsid w:val="00FD53E3"/>
    <w:rsid w:val="00FD65B7"/>
    <w:rsid w:val="0CE26CD5"/>
    <w:rsid w:val="55770B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06757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48B"/>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DF224C"/>
    <w:pPr>
      <w:keepNext/>
      <w:keepLines/>
      <w:spacing w:before="480"/>
      <w:outlineLvl w:val="0"/>
    </w:pPr>
    <w:rPr>
      <w:rFonts w:ascii="Arial" w:eastAsiaTheme="majorEastAsia" w:hAnsi="Arial" w:cs="Arial"/>
      <w:b/>
      <w:bCs/>
      <w:color w:val="345A8A" w:themeColor="accent1" w:themeShade="B5"/>
      <w:sz w:val="32"/>
      <w:szCs w:val="32"/>
    </w:rPr>
  </w:style>
  <w:style w:type="paragraph" w:styleId="Heading2">
    <w:name w:val="heading 2"/>
    <w:basedOn w:val="Normal"/>
    <w:next w:val="Normal"/>
    <w:link w:val="Heading2Char"/>
    <w:uiPriority w:val="9"/>
    <w:unhideWhenUsed/>
    <w:qFormat/>
    <w:rsid w:val="00DF22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33E2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F224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248B"/>
    <w:rPr>
      <w:color w:val="0000FF" w:themeColor="hyperlink"/>
      <w:u w:val="single"/>
    </w:rPr>
  </w:style>
  <w:style w:type="paragraph" w:styleId="NoSpacing">
    <w:name w:val="No Spacing"/>
    <w:link w:val="NoSpacingChar"/>
    <w:uiPriority w:val="1"/>
    <w:qFormat/>
    <w:rsid w:val="008B248B"/>
    <w:pPr>
      <w:spacing w:after="0" w:line="240" w:lineRule="auto"/>
    </w:pPr>
    <w:rPr>
      <w:rFonts w:eastAsiaTheme="minorEastAsia"/>
      <w:sz w:val="24"/>
      <w:szCs w:val="24"/>
    </w:rPr>
  </w:style>
  <w:style w:type="character" w:customStyle="1" w:styleId="Heading1Char">
    <w:name w:val="Heading 1 Char"/>
    <w:basedOn w:val="DefaultParagraphFont"/>
    <w:link w:val="Heading1"/>
    <w:uiPriority w:val="9"/>
    <w:rsid w:val="00DF224C"/>
    <w:rPr>
      <w:rFonts w:ascii="Arial" w:eastAsiaTheme="majorEastAsia" w:hAnsi="Arial" w:cs="Arial"/>
      <w:b/>
      <w:bCs/>
      <w:color w:val="345A8A" w:themeColor="accent1" w:themeShade="B5"/>
      <w:sz w:val="32"/>
      <w:szCs w:val="32"/>
    </w:rPr>
  </w:style>
  <w:style w:type="paragraph" w:styleId="ListParagraph">
    <w:name w:val="List Paragraph"/>
    <w:basedOn w:val="Normal"/>
    <w:uiPriority w:val="34"/>
    <w:qFormat/>
    <w:rsid w:val="00DF224C"/>
    <w:pPr>
      <w:ind w:left="720"/>
      <w:contextualSpacing/>
    </w:pPr>
  </w:style>
  <w:style w:type="table" w:styleId="TableGrid">
    <w:name w:val="Table Grid"/>
    <w:basedOn w:val="TableNormal"/>
    <w:uiPriority w:val="59"/>
    <w:rsid w:val="00DF224C"/>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DF224C"/>
  </w:style>
  <w:style w:type="character" w:customStyle="1" w:styleId="FootnoteTextChar">
    <w:name w:val="Footnote Text Char"/>
    <w:basedOn w:val="DefaultParagraphFont"/>
    <w:link w:val="FootnoteText"/>
    <w:uiPriority w:val="99"/>
    <w:rsid w:val="00DF224C"/>
    <w:rPr>
      <w:rFonts w:eastAsiaTheme="minorEastAsia"/>
      <w:sz w:val="24"/>
      <w:szCs w:val="24"/>
    </w:rPr>
  </w:style>
  <w:style w:type="character" w:styleId="FootnoteReference">
    <w:name w:val="footnote reference"/>
    <w:basedOn w:val="DefaultParagraphFont"/>
    <w:uiPriority w:val="99"/>
    <w:unhideWhenUsed/>
    <w:rsid w:val="00DF224C"/>
    <w:rPr>
      <w:vertAlign w:val="superscript"/>
    </w:rPr>
  </w:style>
  <w:style w:type="character" w:styleId="CommentReference">
    <w:name w:val="annotation reference"/>
    <w:basedOn w:val="DefaultParagraphFont"/>
    <w:uiPriority w:val="99"/>
    <w:semiHidden/>
    <w:unhideWhenUsed/>
    <w:rsid w:val="00DF224C"/>
    <w:rPr>
      <w:sz w:val="16"/>
      <w:szCs w:val="16"/>
    </w:rPr>
  </w:style>
  <w:style w:type="paragraph" w:styleId="CommentText">
    <w:name w:val="annotation text"/>
    <w:basedOn w:val="Normal"/>
    <w:link w:val="CommentTextChar"/>
    <w:uiPriority w:val="99"/>
    <w:unhideWhenUsed/>
    <w:rsid w:val="00DF224C"/>
    <w:rPr>
      <w:sz w:val="20"/>
      <w:szCs w:val="20"/>
    </w:rPr>
  </w:style>
  <w:style w:type="character" w:customStyle="1" w:styleId="CommentTextChar">
    <w:name w:val="Comment Text Char"/>
    <w:basedOn w:val="DefaultParagraphFont"/>
    <w:link w:val="CommentText"/>
    <w:uiPriority w:val="99"/>
    <w:rsid w:val="00DF224C"/>
    <w:rPr>
      <w:rFonts w:eastAsiaTheme="minorEastAsia"/>
      <w:sz w:val="20"/>
      <w:szCs w:val="20"/>
    </w:rPr>
  </w:style>
  <w:style w:type="paragraph" w:styleId="BalloonText">
    <w:name w:val="Balloon Text"/>
    <w:basedOn w:val="Normal"/>
    <w:link w:val="BalloonTextChar"/>
    <w:uiPriority w:val="99"/>
    <w:semiHidden/>
    <w:unhideWhenUsed/>
    <w:rsid w:val="00DF224C"/>
    <w:rPr>
      <w:rFonts w:ascii="Tahoma" w:hAnsi="Tahoma" w:cs="Tahoma"/>
      <w:sz w:val="16"/>
      <w:szCs w:val="16"/>
    </w:rPr>
  </w:style>
  <w:style w:type="character" w:customStyle="1" w:styleId="BalloonTextChar">
    <w:name w:val="Balloon Text Char"/>
    <w:basedOn w:val="DefaultParagraphFont"/>
    <w:link w:val="BalloonText"/>
    <w:uiPriority w:val="99"/>
    <w:semiHidden/>
    <w:rsid w:val="00DF224C"/>
    <w:rPr>
      <w:rFonts w:ascii="Tahoma" w:eastAsiaTheme="minorEastAsia" w:hAnsi="Tahoma" w:cs="Tahoma"/>
      <w:sz w:val="16"/>
      <w:szCs w:val="16"/>
    </w:rPr>
  </w:style>
  <w:style w:type="character" w:customStyle="1" w:styleId="Heading2Char">
    <w:name w:val="Heading 2 Char"/>
    <w:basedOn w:val="DefaultParagraphFont"/>
    <w:link w:val="Heading2"/>
    <w:uiPriority w:val="9"/>
    <w:rsid w:val="00DF224C"/>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DF224C"/>
    <w:rPr>
      <w:rFonts w:asciiTheme="majorHAnsi" w:eastAsiaTheme="majorEastAsia" w:hAnsiTheme="majorHAnsi" w:cstheme="majorBidi"/>
      <w:b/>
      <w:bCs/>
      <w:i/>
      <w:iCs/>
      <w:color w:val="4F81BD" w:themeColor="accent1"/>
      <w:sz w:val="24"/>
      <w:szCs w:val="24"/>
    </w:rPr>
  </w:style>
  <w:style w:type="paragraph" w:styleId="DocumentMap">
    <w:name w:val="Document Map"/>
    <w:basedOn w:val="Normal"/>
    <w:link w:val="DocumentMapChar"/>
    <w:uiPriority w:val="99"/>
    <w:semiHidden/>
    <w:unhideWhenUsed/>
    <w:rsid w:val="001F01BB"/>
    <w:rPr>
      <w:rFonts w:ascii="Lucida Grande" w:hAnsi="Lucida Grande" w:cs="Lucida Grande"/>
    </w:rPr>
  </w:style>
  <w:style w:type="character" w:customStyle="1" w:styleId="DocumentMapChar">
    <w:name w:val="Document Map Char"/>
    <w:basedOn w:val="DefaultParagraphFont"/>
    <w:link w:val="DocumentMap"/>
    <w:uiPriority w:val="99"/>
    <w:semiHidden/>
    <w:rsid w:val="001F01BB"/>
    <w:rPr>
      <w:rFonts w:ascii="Lucida Grande" w:eastAsiaTheme="minorEastAsia" w:hAnsi="Lucida Grande" w:cs="Lucida Grande"/>
      <w:sz w:val="24"/>
      <w:szCs w:val="24"/>
    </w:rPr>
  </w:style>
  <w:style w:type="paragraph" w:styleId="Revision">
    <w:name w:val="Revision"/>
    <w:hidden/>
    <w:uiPriority w:val="99"/>
    <w:semiHidden/>
    <w:rsid w:val="00506FE8"/>
    <w:pPr>
      <w:spacing w:after="0" w:line="240" w:lineRule="auto"/>
    </w:pPr>
    <w:rPr>
      <w:rFonts w:eastAsiaTheme="minorEastAsia"/>
      <w:sz w:val="24"/>
      <w:szCs w:val="24"/>
    </w:rPr>
  </w:style>
  <w:style w:type="paragraph" w:styleId="Header">
    <w:name w:val="header"/>
    <w:basedOn w:val="Normal"/>
    <w:link w:val="HeaderChar"/>
    <w:uiPriority w:val="99"/>
    <w:unhideWhenUsed/>
    <w:rsid w:val="00864142"/>
    <w:pPr>
      <w:tabs>
        <w:tab w:val="center" w:pos="4320"/>
        <w:tab w:val="right" w:pos="8640"/>
      </w:tabs>
    </w:pPr>
  </w:style>
  <w:style w:type="character" w:customStyle="1" w:styleId="HeaderChar">
    <w:name w:val="Header Char"/>
    <w:basedOn w:val="DefaultParagraphFont"/>
    <w:link w:val="Header"/>
    <w:uiPriority w:val="99"/>
    <w:rsid w:val="00864142"/>
    <w:rPr>
      <w:rFonts w:eastAsiaTheme="minorEastAsia"/>
      <w:sz w:val="24"/>
      <w:szCs w:val="24"/>
    </w:rPr>
  </w:style>
  <w:style w:type="paragraph" w:styleId="Footer">
    <w:name w:val="footer"/>
    <w:basedOn w:val="Normal"/>
    <w:link w:val="FooterChar"/>
    <w:uiPriority w:val="99"/>
    <w:unhideWhenUsed/>
    <w:rsid w:val="00864142"/>
    <w:pPr>
      <w:tabs>
        <w:tab w:val="center" w:pos="4320"/>
        <w:tab w:val="right" w:pos="8640"/>
      </w:tabs>
    </w:pPr>
  </w:style>
  <w:style w:type="character" w:customStyle="1" w:styleId="FooterChar">
    <w:name w:val="Footer Char"/>
    <w:basedOn w:val="DefaultParagraphFont"/>
    <w:link w:val="Footer"/>
    <w:uiPriority w:val="99"/>
    <w:rsid w:val="00864142"/>
    <w:rPr>
      <w:rFonts w:eastAsiaTheme="minorEastAsia"/>
      <w:sz w:val="24"/>
      <w:szCs w:val="24"/>
    </w:rPr>
  </w:style>
  <w:style w:type="character" w:styleId="PageNumber">
    <w:name w:val="page number"/>
    <w:basedOn w:val="DefaultParagraphFont"/>
    <w:uiPriority w:val="99"/>
    <w:semiHidden/>
    <w:unhideWhenUsed/>
    <w:rsid w:val="00864142"/>
  </w:style>
  <w:style w:type="character" w:customStyle="1" w:styleId="NoSpacingChar">
    <w:name w:val="No Spacing Char"/>
    <w:basedOn w:val="DefaultParagraphFont"/>
    <w:link w:val="NoSpacing"/>
    <w:rsid w:val="004F139D"/>
    <w:rPr>
      <w:rFonts w:eastAsiaTheme="minorEastAsia"/>
      <w:sz w:val="24"/>
      <w:szCs w:val="24"/>
    </w:rPr>
  </w:style>
  <w:style w:type="paragraph" w:styleId="TOCHeading">
    <w:name w:val="TOC Heading"/>
    <w:basedOn w:val="Heading1"/>
    <w:next w:val="Normal"/>
    <w:uiPriority w:val="39"/>
    <w:unhideWhenUsed/>
    <w:qFormat/>
    <w:rsid w:val="00224432"/>
    <w:pPr>
      <w:spacing w:line="276" w:lineRule="auto"/>
      <w:outlineLvl w:val="9"/>
    </w:pPr>
    <w:rPr>
      <w:rFonts w:asciiTheme="majorHAnsi" w:hAnsiTheme="majorHAnsi" w:cstheme="majorBidi"/>
      <w:color w:val="365F91" w:themeColor="accent1" w:themeShade="BF"/>
      <w:sz w:val="28"/>
      <w:szCs w:val="28"/>
    </w:rPr>
  </w:style>
  <w:style w:type="paragraph" w:styleId="TOC1">
    <w:name w:val="toc 1"/>
    <w:basedOn w:val="Normal"/>
    <w:next w:val="Normal"/>
    <w:autoRedefine/>
    <w:uiPriority w:val="39"/>
    <w:unhideWhenUsed/>
    <w:rsid w:val="00224432"/>
    <w:pPr>
      <w:spacing w:before="120"/>
    </w:pPr>
    <w:rPr>
      <w:rFonts w:asciiTheme="majorHAnsi" w:hAnsiTheme="majorHAnsi"/>
      <w:b/>
      <w:color w:val="548DD4"/>
    </w:rPr>
  </w:style>
  <w:style w:type="paragraph" w:styleId="TOC2">
    <w:name w:val="toc 2"/>
    <w:basedOn w:val="Normal"/>
    <w:next w:val="Normal"/>
    <w:autoRedefine/>
    <w:uiPriority w:val="39"/>
    <w:unhideWhenUsed/>
    <w:rsid w:val="00224432"/>
    <w:rPr>
      <w:sz w:val="22"/>
      <w:szCs w:val="22"/>
    </w:rPr>
  </w:style>
  <w:style w:type="paragraph" w:styleId="TOC3">
    <w:name w:val="toc 3"/>
    <w:basedOn w:val="Normal"/>
    <w:next w:val="Normal"/>
    <w:autoRedefine/>
    <w:uiPriority w:val="39"/>
    <w:unhideWhenUsed/>
    <w:rsid w:val="00224432"/>
    <w:pPr>
      <w:ind w:left="240"/>
    </w:pPr>
    <w:rPr>
      <w:i/>
      <w:sz w:val="22"/>
      <w:szCs w:val="22"/>
    </w:rPr>
  </w:style>
  <w:style w:type="paragraph" w:styleId="TOC4">
    <w:name w:val="toc 4"/>
    <w:basedOn w:val="Normal"/>
    <w:next w:val="Normal"/>
    <w:autoRedefine/>
    <w:uiPriority w:val="39"/>
    <w:semiHidden/>
    <w:unhideWhenUsed/>
    <w:rsid w:val="00224432"/>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224432"/>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224432"/>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224432"/>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224432"/>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224432"/>
    <w:pPr>
      <w:pBdr>
        <w:between w:val="double" w:sz="6" w:space="0" w:color="auto"/>
      </w:pBdr>
      <w:ind w:left="1680"/>
    </w:pPr>
    <w:rPr>
      <w:sz w:val="20"/>
      <w:szCs w:val="20"/>
    </w:rPr>
  </w:style>
  <w:style w:type="character" w:customStyle="1" w:styleId="Heading3Char">
    <w:name w:val="Heading 3 Char"/>
    <w:basedOn w:val="DefaultParagraphFont"/>
    <w:link w:val="Heading3"/>
    <w:uiPriority w:val="9"/>
    <w:rsid w:val="00F33E29"/>
    <w:rPr>
      <w:rFonts w:asciiTheme="majorHAnsi" w:eastAsiaTheme="majorEastAsia" w:hAnsiTheme="majorHAnsi" w:cstheme="majorBidi"/>
      <w:b/>
      <w:bCs/>
      <w:color w:val="4F81BD" w:themeColor="accent1"/>
      <w:sz w:val="24"/>
      <w:szCs w:val="24"/>
    </w:rPr>
  </w:style>
  <w:style w:type="character" w:customStyle="1" w:styleId="VisaBodyChar">
    <w:name w:val="Visa Body Char"/>
    <w:basedOn w:val="DefaultParagraphFont"/>
    <w:link w:val="VisaBody"/>
    <w:rsid w:val="00F33E29"/>
    <w:rPr>
      <w:rFonts w:ascii="Arial" w:hAnsi="Arial" w:cs="Arial"/>
    </w:rPr>
  </w:style>
  <w:style w:type="paragraph" w:customStyle="1" w:styleId="VisaBody">
    <w:name w:val="Visa Body"/>
    <w:link w:val="VisaBodyChar"/>
    <w:rsid w:val="00F33E29"/>
    <w:pPr>
      <w:spacing w:after="160" w:line="280" w:lineRule="exact"/>
    </w:pPr>
    <w:rPr>
      <w:rFonts w:ascii="Arial" w:hAnsi="Arial" w:cs="Arial"/>
    </w:rPr>
  </w:style>
  <w:style w:type="paragraph" w:styleId="CommentSubject">
    <w:name w:val="annotation subject"/>
    <w:basedOn w:val="CommentText"/>
    <w:next w:val="CommentText"/>
    <w:link w:val="CommentSubjectChar"/>
    <w:uiPriority w:val="99"/>
    <w:semiHidden/>
    <w:unhideWhenUsed/>
    <w:rsid w:val="003E7BC5"/>
    <w:rPr>
      <w:b/>
      <w:bCs/>
    </w:rPr>
  </w:style>
  <w:style w:type="character" w:customStyle="1" w:styleId="CommentSubjectChar">
    <w:name w:val="Comment Subject Char"/>
    <w:basedOn w:val="CommentTextChar"/>
    <w:link w:val="CommentSubject"/>
    <w:uiPriority w:val="99"/>
    <w:semiHidden/>
    <w:rsid w:val="003E7BC5"/>
    <w:rPr>
      <w:rFonts w:eastAsiaTheme="minorEastAsia"/>
      <w:b/>
      <w:bCs/>
      <w:sz w:val="20"/>
      <w:szCs w:val="20"/>
    </w:rPr>
  </w:style>
  <w:style w:type="character" w:styleId="IntenseEmphasis">
    <w:name w:val="Intense Emphasis"/>
    <w:basedOn w:val="DefaultParagraphFont"/>
    <w:uiPriority w:val="21"/>
    <w:qFormat/>
    <w:rsid w:val="00C10050"/>
    <w:rPr>
      <w:i/>
      <w:iCs/>
      <w:color w:val="4F81BD" w:themeColor="accent1"/>
    </w:rPr>
  </w:style>
  <w:style w:type="paragraph" w:styleId="NormalWeb">
    <w:name w:val="Normal (Web)"/>
    <w:basedOn w:val="Normal"/>
    <w:uiPriority w:val="99"/>
    <w:unhideWhenUsed/>
    <w:rsid w:val="00C10050"/>
    <w:pPr>
      <w:spacing w:before="100" w:beforeAutospacing="1" w:after="100" w:afterAutospacing="1"/>
    </w:pPr>
    <w:rPr>
      <w:rFonts w:ascii="Times New Roman" w:eastAsia="Times New Roman" w:hAnsi="Times New Roman" w:cs="Times New Roman"/>
    </w:rPr>
  </w:style>
  <w:style w:type="paragraph" w:customStyle="1" w:styleId="Default">
    <w:name w:val="Default"/>
    <w:rsid w:val="00C10050"/>
    <w:pPr>
      <w:autoSpaceDE w:val="0"/>
      <w:autoSpaceDN w:val="0"/>
      <w:adjustRightInd w:val="0"/>
      <w:spacing w:after="0" w:line="240" w:lineRule="auto"/>
    </w:pPr>
    <w:rPr>
      <w:rFonts w:ascii="Segoe UI" w:hAnsi="Segoe UI" w:cs="Segoe U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48B"/>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DF224C"/>
    <w:pPr>
      <w:keepNext/>
      <w:keepLines/>
      <w:spacing w:before="480"/>
      <w:outlineLvl w:val="0"/>
    </w:pPr>
    <w:rPr>
      <w:rFonts w:ascii="Arial" w:eastAsiaTheme="majorEastAsia" w:hAnsi="Arial" w:cs="Arial"/>
      <w:b/>
      <w:bCs/>
      <w:color w:val="345A8A" w:themeColor="accent1" w:themeShade="B5"/>
      <w:sz w:val="32"/>
      <w:szCs w:val="32"/>
    </w:rPr>
  </w:style>
  <w:style w:type="paragraph" w:styleId="Heading2">
    <w:name w:val="heading 2"/>
    <w:basedOn w:val="Normal"/>
    <w:next w:val="Normal"/>
    <w:link w:val="Heading2Char"/>
    <w:uiPriority w:val="9"/>
    <w:unhideWhenUsed/>
    <w:qFormat/>
    <w:rsid w:val="00DF22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33E2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F224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248B"/>
    <w:rPr>
      <w:color w:val="0000FF" w:themeColor="hyperlink"/>
      <w:u w:val="single"/>
    </w:rPr>
  </w:style>
  <w:style w:type="paragraph" w:styleId="NoSpacing">
    <w:name w:val="No Spacing"/>
    <w:link w:val="NoSpacingChar"/>
    <w:uiPriority w:val="1"/>
    <w:qFormat/>
    <w:rsid w:val="008B248B"/>
    <w:pPr>
      <w:spacing w:after="0" w:line="240" w:lineRule="auto"/>
    </w:pPr>
    <w:rPr>
      <w:rFonts w:eastAsiaTheme="minorEastAsia"/>
      <w:sz w:val="24"/>
      <w:szCs w:val="24"/>
    </w:rPr>
  </w:style>
  <w:style w:type="character" w:customStyle="1" w:styleId="Heading1Char">
    <w:name w:val="Heading 1 Char"/>
    <w:basedOn w:val="DefaultParagraphFont"/>
    <w:link w:val="Heading1"/>
    <w:uiPriority w:val="9"/>
    <w:rsid w:val="00DF224C"/>
    <w:rPr>
      <w:rFonts w:ascii="Arial" w:eastAsiaTheme="majorEastAsia" w:hAnsi="Arial" w:cs="Arial"/>
      <w:b/>
      <w:bCs/>
      <w:color w:val="345A8A" w:themeColor="accent1" w:themeShade="B5"/>
      <w:sz w:val="32"/>
      <w:szCs w:val="32"/>
    </w:rPr>
  </w:style>
  <w:style w:type="paragraph" w:styleId="ListParagraph">
    <w:name w:val="List Paragraph"/>
    <w:basedOn w:val="Normal"/>
    <w:uiPriority w:val="34"/>
    <w:qFormat/>
    <w:rsid w:val="00DF224C"/>
    <w:pPr>
      <w:ind w:left="720"/>
      <w:contextualSpacing/>
    </w:pPr>
  </w:style>
  <w:style w:type="table" w:styleId="TableGrid">
    <w:name w:val="Table Grid"/>
    <w:basedOn w:val="TableNormal"/>
    <w:uiPriority w:val="59"/>
    <w:rsid w:val="00DF224C"/>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DF224C"/>
  </w:style>
  <w:style w:type="character" w:customStyle="1" w:styleId="FootnoteTextChar">
    <w:name w:val="Footnote Text Char"/>
    <w:basedOn w:val="DefaultParagraphFont"/>
    <w:link w:val="FootnoteText"/>
    <w:uiPriority w:val="99"/>
    <w:rsid w:val="00DF224C"/>
    <w:rPr>
      <w:rFonts w:eastAsiaTheme="minorEastAsia"/>
      <w:sz w:val="24"/>
      <w:szCs w:val="24"/>
    </w:rPr>
  </w:style>
  <w:style w:type="character" w:styleId="FootnoteReference">
    <w:name w:val="footnote reference"/>
    <w:basedOn w:val="DefaultParagraphFont"/>
    <w:uiPriority w:val="99"/>
    <w:unhideWhenUsed/>
    <w:rsid w:val="00DF224C"/>
    <w:rPr>
      <w:vertAlign w:val="superscript"/>
    </w:rPr>
  </w:style>
  <w:style w:type="character" w:styleId="CommentReference">
    <w:name w:val="annotation reference"/>
    <w:basedOn w:val="DefaultParagraphFont"/>
    <w:uiPriority w:val="99"/>
    <w:semiHidden/>
    <w:unhideWhenUsed/>
    <w:rsid w:val="00DF224C"/>
    <w:rPr>
      <w:sz w:val="16"/>
      <w:szCs w:val="16"/>
    </w:rPr>
  </w:style>
  <w:style w:type="paragraph" w:styleId="CommentText">
    <w:name w:val="annotation text"/>
    <w:basedOn w:val="Normal"/>
    <w:link w:val="CommentTextChar"/>
    <w:uiPriority w:val="99"/>
    <w:unhideWhenUsed/>
    <w:rsid w:val="00DF224C"/>
    <w:rPr>
      <w:sz w:val="20"/>
      <w:szCs w:val="20"/>
    </w:rPr>
  </w:style>
  <w:style w:type="character" w:customStyle="1" w:styleId="CommentTextChar">
    <w:name w:val="Comment Text Char"/>
    <w:basedOn w:val="DefaultParagraphFont"/>
    <w:link w:val="CommentText"/>
    <w:uiPriority w:val="99"/>
    <w:rsid w:val="00DF224C"/>
    <w:rPr>
      <w:rFonts w:eastAsiaTheme="minorEastAsia"/>
      <w:sz w:val="20"/>
      <w:szCs w:val="20"/>
    </w:rPr>
  </w:style>
  <w:style w:type="paragraph" w:styleId="BalloonText">
    <w:name w:val="Balloon Text"/>
    <w:basedOn w:val="Normal"/>
    <w:link w:val="BalloonTextChar"/>
    <w:uiPriority w:val="99"/>
    <w:semiHidden/>
    <w:unhideWhenUsed/>
    <w:rsid w:val="00DF224C"/>
    <w:rPr>
      <w:rFonts w:ascii="Tahoma" w:hAnsi="Tahoma" w:cs="Tahoma"/>
      <w:sz w:val="16"/>
      <w:szCs w:val="16"/>
    </w:rPr>
  </w:style>
  <w:style w:type="character" w:customStyle="1" w:styleId="BalloonTextChar">
    <w:name w:val="Balloon Text Char"/>
    <w:basedOn w:val="DefaultParagraphFont"/>
    <w:link w:val="BalloonText"/>
    <w:uiPriority w:val="99"/>
    <w:semiHidden/>
    <w:rsid w:val="00DF224C"/>
    <w:rPr>
      <w:rFonts w:ascii="Tahoma" w:eastAsiaTheme="minorEastAsia" w:hAnsi="Tahoma" w:cs="Tahoma"/>
      <w:sz w:val="16"/>
      <w:szCs w:val="16"/>
    </w:rPr>
  </w:style>
  <w:style w:type="character" w:customStyle="1" w:styleId="Heading2Char">
    <w:name w:val="Heading 2 Char"/>
    <w:basedOn w:val="DefaultParagraphFont"/>
    <w:link w:val="Heading2"/>
    <w:uiPriority w:val="9"/>
    <w:rsid w:val="00DF224C"/>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DF224C"/>
    <w:rPr>
      <w:rFonts w:asciiTheme="majorHAnsi" w:eastAsiaTheme="majorEastAsia" w:hAnsiTheme="majorHAnsi" w:cstheme="majorBidi"/>
      <w:b/>
      <w:bCs/>
      <w:i/>
      <w:iCs/>
      <w:color w:val="4F81BD" w:themeColor="accent1"/>
      <w:sz w:val="24"/>
      <w:szCs w:val="24"/>
    </w:rPr>
  </w:style>
  <w:style w:type="paragraph" w:styleId="DocumentMap">
    <w:name w:val="Document Map"/>
    <w:basedOn w:val="Normal"/>
    <w:link w:val="DocumentMapChar"/>
    <w:uiPriority w:val="99"/>
    <w:semiHidden/>
    <w:unhideWhenUsed/>
    <w:rsid w:val="001F01BB"/>
    <w:rPr>
      <w:rFonts w:ascii="Lucida Grande" w:hAnsi="Lucida Grande" w:cs="Lucida Grande"/>
    </w:rPr>
  </w:style>
  <w:style w:type="character" w:customStyle="1" w:styleId="DocumentMapChar">
    <w:name w:val="Document Map Char"/>
    <w:basedOn w:val="DefaultParagraphFont"/>
    <w:link w:val="DocumentMap"/>
    <w:uiPriority w:val="99"/>
    <w:semiHidden/>
    <w:rsid w:val="001F01BB"/>
    <w:rPr>
      <w:rFonts w:ascii="Lucida Grande" w:eastAsiaTheme="minorEastAsia" w:hAnsi="Lucida Grande" w:cs="Lucida Grande"/>
      <w:sz w:val="24"/>
      <w:szCs w:val="24"/>
    </w:rPr>
  </w:style>
  <w:style w:type="paragraph" w:styleId="Revision">
    <w:name w:val="Revision"/>
    <w:hidden/>
    <w:uiPriority w:val="99"/>
    <w:semiHidden/>
    <w:rsid w:val="00506FE8"/>
    <w:pPr>
      <w:spacing w:after="0" w:line="240" w:lineRule="auto"/>
    </w:pPr>
    <w:rPr>
      <w:rFonts w:eastAsiaTheme="minorEastAsia"/>
      <w:sz w:val="24"/>
      <w:szCs w:val="24"/>
    </w:rPr>
  </w:style>
  <w:style w:type="paragraph" w:styleId="Header">
    <w:name w:val="header"/>
    <w:basedOn w:val="Normal"/>
    <w:link w:val="HeaderChar"/>
    <w:uiPriority w:val="99"/>
    <w:unhideWhenUsed/>
    <w:rsid w:val="00864142"/>
    <w:pPr>
      <w:tabs>
        <w:tab w:val="center" w:pos="4320"/>
        <w:tab w:val="right" w:pos="8640"/>
      </w:tabs>
    </w:pPr>
  </w:style>
  <w:style w:type="character" w:customStyle="1" w:styleId="HeaderChar">
    <w:name w:val="Header Char"/>
    <w:basedOn w:val="DefaultParagraphFont"/>
    <w:link w:val="Header"/>
    <w:uiPriority w:val="99"/>
    <w:rsid w:val="00864142"/>
    <w:rPr>
      <w:rFonts w:eastAsiaTheme="minorEastAsia"/>
      <w:sz w:val="24"/>
      <w:szCs w:val="24"/>
    </w:rPr>
  </w:style>
  <w:style w:type="paragraph" w:styleId="Footer">
    <w:name w:val="footer"/>
    <w:basedOn w:val="Normal"/>
    <w:link w:val="FooterChar"/>
    <w:uiPriority w:val="99"/>
    <w:unhideWhenUsed/>
    <w:rsid w:val="00864142"/>
    <w:pPr>
      <w:tabs>
        <w:tab w:val="center" w:pos="4320"/>
        <w:tab w:val="right" w:pos="8640"/>
      </w:tabs>
    </w:pPr>
  </w:style>
  <w:style w:type="character" w:customStyle="1" w:styleId="FooterChar">
    <w:name w:val="Footer Char"/>
    <w:basedOn w:val="DefaultParagraphFont"/>
    <w:link w:val="Footer"/>
    <w:uiPriority w:val="99"/>
    <w:rsid w:val="00864142"/>
    <w:rPr>
      <w:rFonts w:eastAsiaTheme="minorEastAsia"/>
      <w:sz w:val="24"/>
      <w:szCs w:val="24"/>
    </w:rPr>
  </w:style>
  <w:style w:type="character" w:styleId="PageNumber">
    <w:name w:val="page number"/>
    <w:basedOn w:val="DefaultParagraphFont"/>
    <w:uiPriority w:val="99"/>
    <w:semiHidden/>
    <w:unhideWhenUsed/>
    <w:rsid w:val="00864142"/>
  </w:style>
  <w:style w:type="character" w:customStyle="1" w:styleId="NoSpacingChar">
    <w:name w:val="No Spacing Char"/>
    <w:basedOn w:val="DefaultParagraphFont"/>
    <w:link w:val="NoSpacing"/>
    <w:rsid w:val="004F139D"/>
    <w:rPr>
      <w:rFonts w:eastAsiaTheme="minorEastAsia"/>
      <w:sz w:val="24"/>
      <w:szCs w:val="24"/>
    </w:rPr>
  </w:style>
  <w:style w:type="paragraph" w:styleId="TOCHeading">
    <w:name w:val="TOC Heading"/>
    <w:basedOn w:val="Heading1"/>
    <w:next w:val="Normal"/>
    <w:uiPriority w:val="39"/>
    <w:unhideWhenUsed/>
    <w:qFormat/>
    <w:rsid w:val="00224432"/>
    <w:pPr>
      <w:spacing w:line="276" w:lineRule="auto"/>
      <w:outlineLvl w:val="9"/>
    </w:pPr>
    <w:rPr>
      <w:rFonts w:asciiTheme="majorHAnsi" w:hAnsiTheme="majorHAnsi" w:cstheme="majorBidi"/>
      <w:color w:val="365F91" w:themeColor="accent1" w:themeShade="BF"/>
      <w:sz w:val="28"/>
      <w:szCs w:val="28"/>
    </w:rPr>
  </w:style>
  <w:style w:type="paragraph" w:styleId="TOC1">
    <w:name w:val="toc 1"/>
    <w:basedOn w:val="Normal"/>
    <w:next w:val="Normal"/>
    <w:autoRedefine/>
    <w:uiPriority w:val="39"/>
    <w:unhideWhenUsed/>
    <w:rsid w:val="00224432"/>
    <w:pPr>
      <w:spacing w:before="120"/>
    </w:pPr>
    <w:rPr>
      <w:rFonts w:asciiTheme="majorHAnsi" w:hAnsiTheme="majorHAnsi"/>
      <w:b/>
      <w:color w:val="548DD4"/>
    </w:rPr>
  </w:style>
  <w:style w:type="paragraph" w:styleId="TOC2">
    <w:name w:val="toc 2"/>
    <w:basedOn w:val="Normal"/>
    <w:next w:val="Normal"/>
    <w:autoRedefine/>
    <w:uiPriority w:val="39"/>
    <w:unhideWhenUsed/>
    <w:rsid w:val="00224432"/>
    <w:rPr>
      <w:sz w:val="22"/>
      <w:szCs w:val="22"/>
    </w:rPr>
  </w:style>
  <w:style w:type="paragraph" w:styleId="TOC3">
    <w:name w:val="toc 3"/>
    <w:basedOn w:val="Normal"/>
    <w:next w:val="Normal"/>
    <w:autoRedefine/>
    <w:uiPriority w:val="39"/>
    <w:unhideWhenUsed/>
    <w:rsid w:val="00224432"/>
    <w:pPr>
      <w:ind w:left="240"/>
    </w:pPr>
    <w:rPr>
      <w:i/>
      <w:sz w:val="22"/>
      <w:szCs w:val="22"/>
    </w:rPr>
  </w:style>
  <w:style w:type="paragraph" w:styleId="TOC4">
    <w:name w:val="toc 4"/>
    <w:basedOn w:val="Normal"/>
    <w:next w:val="Normal"/>
    <w:autoRedefine/>
    <w:uiPriority w:val="39"/>
    <w:semiHidden/>
    <w:unhideWhenUsed/>
    <w:rsid w:val="00224432"/>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224432"/>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224432"/>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224432"/>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224432"/>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224432"/>
    <w:pPr>
      <w:pBdr>
        <w:between w:val="double" w:sz="6" w:space="0" w:color="auto"/>
      </w:pBdr>
      <w:ind w:left="1680"/>
    </w:pPr>
    <w:rPr>
      <w:sz w:val="20"/>
      <w:szCs w:val="20"/>
    </w:rPr>
  </w:style>
  <w:style w:type="character" w:customStyle="1" w:styleId="Heading3Char">
    <w:name w:val="Heading 3 Char"/>
    <w:basedOn w:val="DefaultParagraphFont"/>
    <w:link w:val="Heading3"/>
    <w:uiPriority w:val="9"/>
    <w:rsid w:val="00F33E29"/>
    <w:rPr>
      <w:rFonts w:asciiTheme="majorHAnsi" w:eastAsiaTheme="majorEastAsia" w:hAnsiTheme="majorHAnsi" w:cstheme="majorBidi"/>
      <w:b/>
      <w:bCs/>
      <w:color w:val="4F81BD" w:themeColor="accent1"/>
      <w:sz w:val="24"/>
      <w:szCs w:val="24"/>
    </w:rPr>
  </w:style>
  <w:style w:type="character" w:customStyle="1" w:styleId="VisaBodyChar">
    <w:name w:val="Visa Body Char"/>
    <w:basedOn w:val="DefaultParagraphFont"/>
    <w:link w:val="VisaBody"/>
    <w:rsid w:val="00F33E29"/>
    <w:rPr>
      <w:rFonts w:ascii="Arial" w:hAnsi="Arial" w:cs="Arial"/>
    </w:rPr>
  </w:style>
  <w:style w:type="paragraph" w:customStyle="1" w:styleId="VisaBody">
    <w:name w:val="Visa Body"/>
    <w:link w:val="VisaBodyChar"/>
    <w:rsid w:val="00F33E29"/>
    <w:pPr>
      <w:spacing w:after="160" w:line="280" w:lineRule="exact"/>
    </w:pPr>
    <w:rPr>
      <w:rFonts w:ascii="Arial" w:hAnsi="Arial" w:cs="Arial"/>
    </w:rPr>
  </w:style>
  <w:style w:type="paragraph" w:styleId="CommentSubject">
    <w:name w:val="annotation subject"/>
    <w:basedOn w:val="CommentText"/>
    <w:next w:val="CommentText"/>
    <w:link w:val="CommentSubjectChar"/>
    <w:uiPriority w:val="99"/>
    <w:semiHidden/>
    <w:unhideWhenUsed/>
    <w:rsid w:val="003E7BC5"/>
    <w:rPr>
      <w:b/>
      <w:bCs/>
    </w:rPr>
  </w:style>
  <w:style w:type="character" w:customStyle="1" w:styleId="CommentSubjectChar">
    <w:name w:val="Comment Subject Char"/>
    <w:basedOn w:val="CommentTextChar"/>
    <w:link w:val="CommentSubject"/>
    <w:uiPriority w:val="99"/>
    <w:semiHidden/>
    <w:rsid w:val="003E7BC5"/>
    <w:rPr>
      <w:rFonts w:eastAsiaTheme="minorEastAsia"/>
      <w:b/>
      <w:bCs/>
      <w:sz w:val="20"/>
      <w:szCs w:val="20"/>
    </w:rPr>
  </w:style>
  <w:style w:type="character" w:styleId="IntenseEmphasis">
    <w:name w:val="Intense Emphasis"/>
    <w:basedOn w:val="DefaultParagraphFont"/>
    <w:uiPriority w:val="21"/>
    <w:qFormat/>
    <w:rsid w:val="00C10050"/>
    <w:rPr>
      <w:i/>
      <w:iCs/>
      <w:color w:val="4F81BD" w:themeColor="accent1"/>
    </w:rPr>
  </w:style>
  <w:style w:type="paragraph" w:styleId="NormalWeb">
    <w:name w:val="Normal (Web)"/>
    <w:basedOn w:val="Normal"/>
    <w:uiPriority w:val="99"/>
    <w:unhideWhenUsed/>
    <w:rsid w:val="00C10050"/>
    <w:pPr>
      <w:spacing w:before="100" w:beforeAutospacing="1" w:after="100" w:afterAutospacing="1"/>
    </w:pPr>
    <w:rPr>
      <w:rFonts w:ascii="Times New Roman" w:eastAsia="Times New Roman" w:hAnsi="Times New Roman" w:cs="Times New Roman"/>
    </w:rPr>
  </w:style>
  <w:style w:type="paragraph" w:customStyle="1" w:styleId="Default">
    <w:name w:val="Default"/>
    <w:rsid w:val="00C10050"/>
    <w:pPr>
      <w:autoSpaceDE w:val="0"/>
      <w:autoSpaceDN w:val="0"/>
      <w:adjustRightInd w:val="0"/>
      <w:spacing w:after="0" w:line="240" w:lineRule="auto"/>
    </w:pPr>
    <w:rPr>
      <w:rFonts w:ascii="Segoe UI" w:hAnsi="Segoe UI" w:cs="Segoe U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82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10" Type="http://schemas.openxmlformats.org/officeDocument/2006/relationships/header" Target="header1.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header" Target="header3.xml"/><Relationship Id="rId22" Type="http://schemas.openxmlformats.org/officeDocument/2006/relationships/image" Target="media/image4.jpg"/></Relationships>
</file>

<file path=word/_rels/footnotes.xml.rels><?xml version="1.0" encoding="UTF-8" standalone="yes"?>
<Relationships xmlns="http://schemas.openxmlformats.org/package/2006/relationships"><Relationship Id="rId3" Type="http://schemas.openxmlformats.org/officeDocument/2006/relationships/hyperlink" Target="http://www.visa.com.au/business/corporate/include/B2B_PaymentsReport2015.pdf" TargetMode="External"/><Relationship Id="rId2" Type="http://schemas.openxmlformats.org/officeDocument/2006/relationships/hyperlink" Target="http://www.nytimes.com/2015/04/07/business/big-companies-pay-later-squeezing-their-suppliers.html?_r=0" TargetMode="External"/><Relationship Id="rId1" Type="http://schemas.openxmlformats.org/officeDocument/2006/relationships/hyperlink" Target="http://www.ft.com/intl/cms/s/0/8af854a4-c9ab-11e4-b2ef-00144feab7de.html"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783C4-E77C-45E6-92D1-EE9E3C4C8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30</Pages>
  <Words>10294</Words>
  <Characters>58680</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2016-02-08T02:56:00Z</dcterms:created>
  <dcterms:modified xsi:type="dcterms:W3CDTF">2016-02-08T02:56:00Z</dcterms:modified>
</cp:coreProperties>
</file>