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FE1A96" w:rsidR="000A666A" w:rsidP="35636A72" w:rsidRDefault="00FE1A96" w14:paraId="09F6778B" w14:textId="7D220946">
      <w:pPr>
        <w:spacing w:before="240" w:after="240" w:line="276" w:lineRule="auto"/>
        <w:rPr>
          <w:rFonts w:ascii="Arial" w:hAnsi="Arial" w:cs="Arial"/>
        </w:rPr>
      </w:pPr>
      <w:r>
        <w:rPr>
          <w:rFonts w:ascii="Arial" w:hAnsi="Arial" w:eastAsia="Arial Narrow" w:cs="Arial"/>
          <w:lang w:val="en-GB"/>
        </w:rPr>
        <w:t xml:space="preserve">1 December </w:t>
      </w:r>
      <w:r w:rsidRPr="00FE1A96" w:rsidR="336A76E4">
        <w:rPr>
          <w:rFonts w:ascii="Arial" w:hAnsi="Arial" w:eastAsia="Arial Narrow" w:cs="Arial"/>
          <w:lang w:val="en-GB"/>
        </w:rPr>
        <w:t xml:space="preserve">2024 </w:t>
      </w:r>
    </w:p>
    <w:p w:rsidRPr="00FE1A96" w:rsidR="000A666A" w:rsidP="35636A72" w:rsidRDefault="00FE1A96" w14:paraId="0C22B05E" w14:textId="26888FF4">
      <w:pPr>
        <w:spacing w:before="240" w:after="240"/>
        <w:rPr>
          <w:rFonts w:ascii="Arial" w:hAnsi="Arial" w:cs="Arial"/>
        </w:rPr>
      </w:pPr>
      <w:r w:rsidRPr="00FE1A96">
        <w:rPr>
          <w:rFonts w:ascii="Arial" w:hAnsi="Arial" w:eastAsia="Arial Narrow" w:cs="Arial"/>
          <w:lang w:val="en-GB"/>
        </w:rPr>
        <w:t xml:space="preserve">Head of Payments Policy Department </w:t>
      </w:r>
      <w:r>
        <w:rPr>
          <w:rFonts w:ascii="Arial" w:hAnsi="Arial" w:eastAsia="Arial Narrow" w:cs="Arial"/>
          <w:lang w:val="en-GB"/>
        </w:rPr>
        <w:br/>
      </w:r>
      <w:r w:rsidRPr="00FE1A96">
        <w:rPr>
          <w:rFonts w:ascii="Arial" w:hAnsi="Arial" w:eastAsia="Arial Narrow" w:cs="Arial"/>
          <w:lang w:val="en-GB"/>
        </w:rPr>
        <w:t xml:space="preserve">Reserve Bank of Australia </w:t>
      </w:r>
      <w:r>
        <w:rPr>
          <w:rFonts w:ascii="Arial" w:hAnsi="Arial" w:eastAsia="Arial Narrow" w:cs="Arial"/>
          <w:lang w:val="en-GB"/>
        </w:rPr>
        <w:br/>
      </w:r>
      <w:r w:rsidRPr="00FE1A96">
        <w:rPr>
          <w:rFonts w:ascii="Arial" w:hAnsi="Arial" w:eastAsia="Arial Narrow" w:cs="Arial"/>
          <w:lang w:val="en-GB"/>
        </w:rPr>
        <w:t xml:space="preserve">GPO Box 3947 </w:t>
      </w:r>
      <w:r>
        <w:rPr>
          <w:rFonts w:ascii="Arial" w:hAnsi="Arial" w:eastAsia="Arial Narrow" w:cs="Arial"/>
          <w:lang w:val="en-GB"/>
        </w:rPr>
        <w:br/>
      </w:r>
      <w:r w:rsidRPr="00FE1A96">
        <w:rPr>
          <w:rFonts w:ascii="Arial" w:hAnsi="Arial" w:eastAsia="Arial Narrow" w:cs="Arial"/>
          <w:lang w:val="en-GB"/>
        </w:rPr>
        <w:t xml:space="preserve">Sydney NSW 2001 </w:t>
      </w:r>
    </w:p>
    <w:p w:rsidRPr="00FE1A96" w:rsidR="000A666A" w:rsidP="35636A72" w:rsidRDefault="336A76E4" w14:paraId="02F472A4" w14:textId="50CDF0D9">
      <w:pPr>
        <w:spacing w:before="240" w:after="240" w:line="276" w:lineRule="auto"/>
        <w:rPr>
          <w:rStyle w:val="Hyperlink"/>
          <w:rFonts w:ascii="Arial" w:hAnsi="Arial" w:eastAsia="Arial Narrow" w:cs="Arial"/>
          <w:color w:val="0563C1"/>
          <w:lang w:val="en-GB"/>
        </w:rPr>
      </w:pPr>
      <w:r w:rsidRPr="00FE1A96">
        <w:rPr>
          <w:rFonts w:ascii="Arial" w:hAnsi="Arial" w:eastAsia="Arial Narrow" w:cs="Arial"/>
          <w:lang w:val="en-GB"/>
        </w:rPr>
        <w:t xml:space="preserve">Submission by email to: </w:t>
      </w:r>
      <w:r w:rsidR="00FE1A96">
        <w:rPr>
          <w:rFonts w:ascii="Arial" w:hAnsi="Arial" w:eastAsia="Arial Narrow" w:cs="Arial"/>
          <w:lang w:val="en-GB"/>
        </w:rPr>
        <w:t>pysubmissions@rba.gov.au</w:t>
      </w:r>
    </w:p>
    <w:p w:rsidRPr="00FE1A96" w:rsidR="000A666A" w:rsidP="76CD979D" w:rsidRDefault="336A76E4" w14:paraId="03855807" w14:textId="5EEBAEB3">
      <w:pPr>
        <w:spacing w:after="0" w:line="276" w:lineRule="auto"/>
        <w:rPr>
          <w:rFonts w:ascii="Arial" w:hAnsi="Arial" w:eastAsia="Arial Narrow" w:cs="Arial"/>
          <w:lang w:val="en-GB"/>
        </w:rPr>
      </w:pPr>
      <w:r w:rsidRPr="76CD979D">
        <w:rPr>
          <w:rFonts w:ascii="Arial" w:hAnsi="Arial" w:eastAsia="Arial Narrow" w:cs="Arial"/>
          <w:b/>
          <w:bCs/>
          <w:lang w:val="en-GB"/>
        </w:rPr>
        <w:t>Re:</w:t>
      </w:r>
      <w:r w:rsidRPr="76CD979D" w:rsidR="00FE1A96">
        <w:rPr>
          <w:rFonts w:ascii="Arial" w:hAnsi="Arial" w:eastAsia="Arial Narrow" w:cs="Arial"/>
          <w:b/>
          <w:bCs/>
          <w:lang w:val="en-GB"/>
        </w:rPr>
        <w:t xml:space="preserve"> </w:t>
      </w:r>
      <w:r w:rsidRPr="76CD979D" w:rsidR="5D523E8A">
        <w:rPr>
          <w:rFonts w:ascii="Arial" w:hAnsi="Arial" w:eastAsia="Arial Narrow" w:cs="Arial"/>
          <w:b/>
          <w:bCs/>
          <w:lang w:val="en-GB"/>
        </w:rPr>
        <w:t>Submission by the Emerging Payments Association Asia (EPAA) to Merchant Card Payment Costs and Surcharging – Issues Paper</w:t>
      </w:r>
    </w:p>
    <w:p w:rsidRPr="00FE1A96" w:rsidR="000A666A" w:rsidP="35636A72" w:rsidRDefault="00FE1A96" w14:paraId="7CC375CE" w14:textId="2A8F99FB">
      <w:pPr>
        <w:spacing w:before="240" w:after="240" w:line="276" w:lineRule="auto"/>
        <w:rPr>
          <w:rFonts w:ascii="Arial" w:hAnsi="Arial" w:cs="Arial"/>
        </w:rPr>
      </w:pPr>
      <w:r>
        <w:rPr>
          <w:rFonts w:ascii="Arial" w:hAnsi="Arial" w:eastAsia="Arial Narrow" w:cs="Arial"/>
          <w:lang w:val="en-GB"/>
        </w:rPr>
        <w:t>Dear Mr Connolly</w:t>
      </w:r>
      <w:r w:rsidRPr="00FE1A96" w:rsidR="336A76E4">
        <w:rPr>
          <w:rFonts w:ascii="Arial" w:hAnsi="Arial" w:eastAsia="Arial Narrow" w:cs="Arial"/>
          <w:lang w:val="en-GB"/>
        </w:rPr>
        <w:t>,</w:t>
      </w:r>
    </w:p>
    <w:p w:rsidRPr="00FE1A96" w:rsidR="000A666A" w:rsidP="35636A72" w:rsidRDefault="336A76E4" w14:paraId="014D33F4" w14:textId="26FADE34">
      <w:pPr>
        <w:spacing w:before="240" w:after="240" w:line="276" w:lineRule="auto"/>
        <w:rPr>
          <w:rFonts w:ascii="Arial" w:hAnsi="Arial" w:cs="Arial"/>
        </w:rPr>
      </w:pPr>
      <w:r w:rsidRPr="76CD979D">
        <w:rPr>
          <w:rFonts w:ascii="Arial" w:hAnsi="Arial" w:eastAsia="Arial Narrow" w:cs="Arial"/>
          <w:lang w:val="en-GB"/>
        </w:rPr>
        <w:t>Please find attached the submission of the Emerging Payments Association Asia (EPA</w:t>
      </w:r>
      <w:r w:rsidRPr="76CD979D" w:rsidR="6177152E">
        <w:rPr>
          <w:rFonts w:ascii="Arial" w:hAnsi="Arial" w:eastAsia="Arial Narrow" w:cs="Arial"/>
          <w:lang w:val="en-GB"/>
        </w:rPr>
        <w:t>A</w:t>
      </w:r>
      <w:r w:rsidRPr="76CD979D">
        <w:rPr>
          <w:rFonts w:ascii="Arial" w:hAnsi="Arial" w:eastAsia="Arial Narrow" w:cs="Arial"/>
          <w:lang w:val="en-GB"/>
        </w:rPr>
        <w:t xml:space="preserve">) to </w:t>
      </w:r>
      <w:r w:rsidRPr="76CD979D" w:rsidR="00FE1A96">
        <w:rPr>
          <w:rFonts w:ascii="Arial" w:hAnsi="Arial" w:eastAsia="Arial Narrow" w:cs="Arial"/>
          <w:i/>
          <w:iCs/>
          <w:lang w:val="en-GB"/>
        </w:rPr>
        <w:t>Merchant Card Payment Costs and Surcharging – Issues Paper</w:t>
      </w:r>
      <w:r w:rsidRPr="76CD979D" w:rsidR="00FE1A96">
        <w:rPr>
          <w:rFonts w:ascii="Arial" w:hAnsi="Arial" w:eastAsia="Arial Narrow" w:cs="Arial"/>
          <w:lang w:val="en-GB"/>
        </w:rPr>
        <w:t xml:space="preserve">, released </w:t>
      </w:r>
      <w:r w:rsidRPr="76CD979D">
        <w:rPr>
          <w:rFonts w:ascii="Arial" w:hAnsi="Arial" w:eastAsia="Arial Narrow" w:cs="Arial"/>
          <w:lang w:val="en-GB"/>
        </w:rPr>
        <w:t xml:space="preserve">by the </w:t>
      </w:r>
      <w:r w:rsidRPr="76CD979D" w:rsidR="00FE1A96">
        <w:rPr>
          <w:rFonts w:ascii="Arial" w:hAnsi="Arial" w:eastAsia="Arial Narrow" w:cs="Arial"/>
          <w:lang w:val="en-GB"/>
        </w:rPr>
        <w:t>RBA i</w:t>
      </w:r>
      <w:r w:rsidRPr="76CD979D">
        <w:rPr>
          <w:rFonts w:ascii="Arial" w:hAnsi="Arial" w:eastAsia="Arial Narrow" w:cs="Arial"/>
          <w:lang w:val="en-GB"/>
        </w:rPr>
        <w:t xml:space="preserve">n </w:t>
      </w:r>
      <w:r w:rsidRPr="76CD979D" w:rsidR="00FE1A96">
        <w:rPr>
          <w:rFonts w:ascii="Arial" w:hAnsi="Arial" w:eastAsia="Arial Narrow" w:cs="Arial"/>
          <w:lang w:val="en-GB"/>
        </w:rPr>
        <w:t xml:space="preserve">October </w:t>
      </w:r>
      <w:r w:rsidRPr="76CD979D">
        <w:rPr>
          <w:rFonts w:ascii="Arial" w:hAnsi="Arial" w:eastAsia="Arial Narrow" w:cs="Arial"/>
          <w:lang w:val="en-GB"/>
        </w:rPr>
        <w:t xml:space="preserve">2024.  </w:t>
      </w:r>
    </w:p>
    <w:p w:rsidRPr="00FE1A96" w:rsidR="000A666A" w:rsidP="35636A72" w:rsidRDefault="336A76E4" w14:paraId="67631D9D" w14:textId="65FB4037">
      <w:pPr>
        <w:spacing w:before="240" w:after="240" w:line="276" w:lineRule="auto"/>
        <w:rPr>
          <w:rFonts w:ascii="Arial" w:hAnsi="Arial" w:cs="Arial"/>
        </w:rPr>
      </w:pPr>
      <w:r w:rsidRPr="76CD979D">
        <w:rPr>
          <w:rFonts w:ascii="Arial" w:hAnsi="Arial" w:eastAsia="Arial Narrow" w:cs="Arial"/>
          <w:lang w:val="en-GB"/>
        </w:rPr>
        <w:t>EPAA</w:t>
      </w:r>
      <w:r w:rsidRPr="76CD979D" w:rsidR="585816DE">
        <w:rPr>
          <w:rFonts w:ascii="Arial" w:hAnsi="Arial" w:eastAsia="Arial Narrow" w:cs="Arial"/>
          <w:lang w:val="en-GB"/>
        </w:rPr>
        <w:t>’</w:t>
      </w:r>
      <w:r w:rsidRPr="76CD979D">
        <w:rPr>
          <w:rFonts w:ascii="Arial" w:hAnsi="Arial" w:eastAsia="Arial Narrow" w:cs="Arial"/>
          <w:lang w:val="en-GB"/>
        </w:rPr>
        <w:t>s goal is to unify the payments agenda in the region, drive business development and improve the regulatory landscape for all organisations within the payments value chain.  We are a community of payments organisations whose goal is to strengthen and expand the payments industry for the benefit of all stakeholders. More information about EPA</w:t>
      </w:r>
      <w:r w:rsidRPr="76CD979D" w:rsidR="1797B144">
        <w:rPr>
          <w:rFonts w:ascii="Arial" w:hAnsi="Arial" w:eastAsia="Arial Narrow" w:cs="Arial"/>
          <w:lang w:val="en-GB"/>
        </w:rPr>
        <w:t>A</w:t>
      </w:r>
      <w:r w:rsidRPr="76CD979D">
        <w:rPr>
          <w:rFonts w:ascii="Arial" w:hAnsi="Arial" w:eastAsia="Arial Narrow" w:cs="Arial"/>
          <w:lang w:val="en-GB"/>
        </w:rPr>
        <w:t xml:space="preserve"> can be found on our website </w:t>
      </w:r>
      <w:hyperlink r:id="rId11">
        <w:r w:rsidRPr="76CD979D">
          <w:rPr>
            <w:rStyle w:val="Hyperlink"/>
            <w:rFonts w:ascii="Arial" w:hAnsi="Arial" w:eastAsia="Arial Narrow" w:cs="Arial"/>
            <w:color w:val="1155CC"/>
            <w:lang w:val="en-GB"/>
          </w:rPr>
          <w:t>www.emergingpaymentsasia.org</w:t>
        </w:r>
      </w:hyperlink>
      <w:r w:rsidRPr="76CD979D">
        <w:rPr>
          <w:rFonts w:ascii="Arial" w:hAnsi="Arial" w:eastAsia="Arial Narrow" w:cs="Arial"/>
          <w:lang w:val="en-GB"/>
        </w:rPr>
        <w:t>.</w:t>
      </w:r>
    </w:p>
    <w:p w:rsidRPr="00FE1A96" w:rsidR="000A666A" w:rsidP="35636A72" w:rsidRDefault="336A76E4" w14:paraId="7D6EF67E" w14:textId="21BF56C0">
      <w:pPr>
        <w:spacing w:before="240" w:after="240" w:line="276" w:lineRule="auto"/>
        <w:rPr>
          <w:rFonts w:ascii="Arial" w:hAnsi="Arial" w:cs="Arial"/>
        </w:rPr>
      </w:pPr>
      <w:r w:rsidRPr="76CD979D">
        <w:rPr>
          <w:rFonts w:ascii="Arial" w:hAnsi="Arial" w:eastAsia="Arial Narrow" w:cs="Arial"/>
          <w:lang w:val="en-GB"/>
        </w:rPr>
        <w:t>Please note, that while we have consulted within our membership, any views expressed in this submission are solely the views of EPAA and do not necessarily represent the views of individual contributors, EPA</w:t>
      </w:r>
      <w:r w:rsidRPr="76CD979D" w:rsidR="46235078">
        <w:rPr>
          <w:rFonts w:ascii="Arial" w:hAnsi="Arial" w:eastAsia="Arial Narrow" w:cs="Arial"/>
          <w:lang w:val="en-GB"/>
        </w:rPr>
        <w:t>A</w:t>
      </w:r>
      <w:r w:rsidRPr="76CD979D">
        <w:rPr>
          <w:rFonts w:ascii="Arial" w:hAnsi="Arial" w:eastAsia="Arial Narrow" w:cs="Arial"/>
          <w:lang w:val="en-GB"/>
        </w:rPr>
        <w:t xml:space="preserve"> Ambassadors or EPAA Members.</w:t>
      </w:r>
    </w:p>
    <w:p w:rsidRPr="00FE1A96" w:rsidR="000A666A" w:rsidP="35636A72" w:rsidRDefault="336A76E4" w14:paraId="2B64D65F" w14:textId="12E3749C">
      <w:pPr>
        <w:spacing w:before="240" w:after="240" w:line="276" w:lineRule="auto"/>
        <w:rPr>
          <w:rFonts w:ascii="Arial" w:hAnsi="Arial" w:cs="Arial"/>
        </w:rPr>
      </w:pPr>
      <w:r w:rsidRPr="76CD979D">
        <w:rPr>
          <w:rFonts w:ascii="Arial" w:hAnsi="Arial" w:eastAsia="Arial Narrow" w:cs="Arial"/>
          <w:b/>
          <w:bCs/>
          <w:u w:val="single"/>
          <w:lang w:val="en-GB"/>
        </w:rPr>
        <w:t>General Comments</w:t>
      </w:r>
    </w:p>
    <w:p w:rsidRPr="00FE1A96" w:rsidR="000A666A" w:rsidP="76CD979D" w:rsidRDefault="26F788C7" w14:paraId="20AE9DA1" w14:textId="29614E0A">
      <w:pPr>
        <w:spacing w:before="240" w:after="240" w:line="276" w:lineRule="auto"/>
        <w:rPr>
          <w:rFonts w:ascii="Arial" w:hAnsi="Arial" w:cs="Arial"/>
        </w:rPr>
      </w:pPr>
      <w:r w:rsidRPr="76CD979D">
        <w:rPr>
          <w:rFonts w:ascii="Arial" w:hAnsi="Arial" w:eastAsia="Arial Narrow" w:cs="Arial"/>
          <w:lang w:val="en-GB"/>
        </w:rPr>
        <w:t>EPAA</w:t>
      </w:r>
      <w:r w:rsidRPr="76CD979D" w:rsidR="336A76E4">
        <w:rPr>
          <w:rFonts w:ascii="Arial" w:hAnsi="Arial" w:eastAsia="Arial Narrow" w:cs="Arial"/>
          <w:lang w:val="en-GB"/>
        </w:rPr>
        <w:t xml:space="preserve"> wishes to provide some general comments </w:t>
      </w:r>
      <w:r w:rsidRPr="76CD979D" w:rsidR="00610EAA">
        <w:rPr>
          <w:rFonts w:ascii="Arial" w:hAnsi="Arial" w:eastAsia="Arial Narrow" w:cs="Arial"/>
          <w:lang w:val="en-GB"/>
        </w:rPr>
        <w:t xml:space="preserve">and observations </w:t>
      </w:r>
      <w:r w:rsidRPr="76CD979D" w:rsidR="336A76E4">
        <w:rPr>
          <w:rFonts w:ascii="Arial" w:hAnsi="Arial" w:eastAsia="Arial Narrow" w:cs="Arial"/>
          <w:lang w:val="en-GB"/>
        </w:rPr>
        <w:t xml:space="preserve">on </w:t>
      </w:r>
      <w:r w:rsidRPr="76CD979D" w:rsidR="00FE1A96">
        <w:rPr>
          <w:rFonts w:ascii="Arial" w:hAnsi="Arial" w:eastAsia="Arial Narrow" w:cs="Arial"/>
          <w:lang w:val="en-GB"/>
        </w:rPr>
        <w:t>the regulation of merchant payment costs</w:t>
      </w:r>
      <w:r w:rsidRPr="76CD979D" w:rsidR="00610EAA">
        <w:rPr>
          <w:rFonts w:ascii="Arial" w:hAnsi="Arial" w:eastAsia="Arial Narrow" w:cs="Arial"/>
          <w:lang w:val="en-GB"/>
        </w:rPr>
        <w:t xml:space="preserve"> in Australia</w:t>
      </w:r>
      <w:r w:rsidRPr="76CD979D" w:rsidR="336A76E4">
        <w:rPr>
          <w:rFonts w:ascii="Arial" w:hAnsi="Arial" w:eastAsia="Arial Narrow" w:cs="Arial"/>
          <w:lang w:val="en-GB"/>
        </w:rPr>
        <w:t xml:space="preserve">.    </w:t>
      </w:r>
    </w:p>
    <w:p w:rsidR="00015A30" w:rsidP="7E24BA3C" w:rsidRDefault="54C67E24" w14:paraId="3C2A36C7" w14:textId="5FF8182E">
      <w:pPr>
        <w:spacing w:before="240" w:after="240" w:line="276" w:lineRule="auto"/>
        <w:rPr>
          <w:rFonts w:ascii="Arial" w:hAnsi="Arial" w:eastAsia="Arial Narrow" w:cs="Arial"/>
        </w:rPr>
      </w:pPr>
      <w:r w:rsidRPr="7E24BA3C">
        <w:rPr>
          <w:rFonts w:ascii="Arial" w:hAnsi="Arial" w:eastAsia="Arial Narrow" w:cs="Arial"/>
        </w:rPr>
        <w:t>EPAA</w:t>
      </w:r>
      <w:r w:rsidRPr="7E24BA3C" w:rsidR="336A76E4">
        <w:rPr>
          <w:rFonts w:ascii="Arial" w:hAnsi="Arial" w:eastAsia="Arial Narrow" w:cs="Arial"/>
        </w:rPr>
        <w:t xml:space="preserve"> supports fit-for-purpose</w:t>
      </w:r>
      <w:r w:rsidRPr="7E24BA3C" w:rsidR="00610EAA">
        <w:rPr>
          <w:rFonts w:ascii="Arial" w:hAnsi="Arial" w:eastAsia="Arial Narrow" w:cs="Arial"/>
        </w:rPr>
        <w:t xml:space="preserve"> and</w:t>
      </w:r>
      <w:r w:rsidRPr="7E24BA3C" w:rsidR="336A76E4">
        <w:rPr>
          <w:rFonts w:ascii="Arial" w:hAnsi="Arial" w:eastAsia="Arial Narrow" w:cs="Arial"/>
        </w:rPr>
        <w:t xml:space="preserve"> appropriate regulation </w:t>
      </w:r>
      <w:r w:rsidRPr="7E24BA3C" w:rsidR="00610EAA">
        <w:rPr>
          <w:rFonts w:ascii="Arial" w:hAnsi="Arial" w:eastAsia="Arial Narrow" w:cs="Arial"/>
        </w:rPr>
        <w:t xml:space="preserve">that is </w:t>
      </w:r>
      <w:r w:rsidRPr="7E24BA3C" w:rsidR="336A76E4">
        <w:rPr>
          <w:rFonts w:ascii="Arial" w:hAnsi="Arial" w:eastAsia="Arial Narrow" w:cs="Arial"/>
        </w:rPr>
        <w:t xml:space="preserve">premised </w:t>
      </w:r>
      <w:r w:rsidRPr="7E24BA3C" w:rsidR="00610EAA">
        <w:rPr>
          <w:rFonts w:ascii="Arial" w:hAnsi="Arial" w:eastAsia="Arial Narrow" w:cs="Arial"/>
        </w:rPr>
        <w:t xml:space="preserve">on </w:t>
      </w:r>
      <w:r w:rsidRPr="7E24BA3C" w:rsidR="336A76E4">
        <w:rPr>
          <w:rFonts w:ascii="Arial" w:hAnsi="Arial" w:eastAsia="Arial Narrow" w:cs="Arial"/>
        </w:rPr>
        <w:t xml:space="preserve">“same activity, same risk, same regulation”.  </w:t>
      </w:r>
    </w:p>
    <w:p w:rsidRPr="00FE1A96" w:rsidR="000A666A" w:rsidP="35636A72" w:rsidRDefault="336A76E4" w14:paraId="72E6E87C" w14:textId="02EDCB77">
      <w:pPr>
        <w:spacing w:before="240" w:after="240" w:line="276" w:lineRule="auto"/>
        <w:rPr>
          <w:rFonts w:ascii="Arial" w:hAnsi="Arial" w:cs="Arial"/>
        </w:rPr>
      </w:pPr>
      <w:r w:rsidRPr="00FE1A96">
        <w:rPr>
          <w:rFonts w:ascii="Arial" w:hAnsi="Arial" w:eastAsia="Arial Narrow" w:cs="Arial"/>
          <w:lang w:val="en-GB"/>
        </w:rPr>
        <w:t xml:space="preserve">In pursuing </w:t>
      </w:r>
      <w:r w:rsidR="00BB0BAC">
        <w:rPr>
          <w:rFonts w:ascii="Arial" w:hAnsi="Arial" w:eastAsia="Arial Narrow" w:cs="Arial"/>
          <w:lang w:val="en-GB"/>
        </w:rPr>
        <w:t>any</w:t>
      </w:r>
      <w:r w:rsidRPr="00FE1A96">
        <w:rPr>
          <w:rFonts w:ascii="Arial" w:hAnsi="Arial" w:eastAsia="Arial Narrow" w:cs="Arial"/>
          <w:lang w:val="en-GB"/>
        </w:rPr>
        <w:t xml:space="preserve"> reform, we urge the </w:t>
      </w:r>
      <w:r w:rsidR="00610EAA">
        <w:rPr>
          <w:rFonts w:ascii="Arial" w:hAnsi="Arial" w:eastAsia="Arial Narrow" w:cs="Arial"/>
          <w:lang w:val="en-GB"/>
        </w:rPr>
        <w:t xml:space="preserve">RBA </w:t>
      </w:r>
      <w:r w:rsidRPr="00FE1A96">
        <w:rPr>
          <w:rFonts w:ascii="Arial" w:hAnsi="Arial" w:eastAsia="Arial Narrow" w:cs="Arial"/>
          <w:lang w:val="en-GB"/>
        </w:rPr>
        <w:t>to consider</w:t>
      </w:r>
      <w:r w:rsidRPr="00FE1A96" w:rsidR="2C80AA9E">
        <w:rPr>
          <w:rFonts w:ascii="Arial" w:hAnsi="Arial" w:eastAsia="Arial Narrow" w:cs="Arial"/>
          <w:lang w:val="en-GB"/>
        </w:rPr>
        <w:t xml:space="preserve"> </w:t>
      </w:r>
      <w:r w:rsidRPr="00FE1A96">
        <w:rPr>
          <w:rFonts w:ascii="Arial" w:hAnsi="Arial" w:eastAsia="Arial Narrow" w:cs="Arial"/>
          <w:lang w:val="en-GB"/>
        </w:rPr>
        <w:t>the impact</w:t>
      </w:r>
      <w:r w:rsidRPr="00FE1A96" w:rsidR="7331DE64">
        <w:rPr>
          <w:rFonts w:ascii="Arial" w:hAnsi="Arial" w:eastAsia="Arial Narrow" w:cs="Arial"/>
          <w:lang w:val="en-GB"/>
        </w:rPr>
        <w:t xml:space="preserve"> </w:t>
      </w:r>
      <w:r w:rsidRPr="00FE1A96">
        <w:rPr>
          <w:rFonts w:ascii="Arial" w:hAnsi="Arial" w:eastAsia="Arial Narrow" w:cs="Arial"/>
          <w:lang w:val="en-GB"/>
        </w:rPr>
        <w:t>on competition</w:t>
      </w:r>
      <w:r w:rsidR="00610EAA">
        <w:rPr>
          <w:rFonts w:ascii="Arial" w:hAnsi="Arial" w:eastAsia="Arial Narrow" w:cs="Arial"/>
          <w:lang w:val="en-GB"/>
        </w:rPr>
        <w:t xml:space="preserve"> and</w:t>
      </w:r>
      <w:r w:rsidRPr="00FE1A96">
        <w:rPr>
          <w:rFonts w:ascii="Arial" w:hAnsi="Arial" w:eastAsia="Arial Narrow" w:cs="Arial"/>
          <w:lang w:val="en-GB"/>
        </w:rPr>
        <w:t xml:space="preserve"> innovation, and </w:t>
      </w:r>
      <w:r w:rsidR="00610EAA">
        <w:rPr>
          <w:rFonts w:ascii="Arial" w:hAnsi="Arial" w:eastAsia="Arial Narrow" w:cs="Arial"/>
          <w:lang w:val="en-GB"/>
        </w:rPr>
        <w:t xml:space="preserve">in particular recognising that reforms will </w:t>
      </w:r>
      <w:r w:rsidR="00BB0BAC">
        <w:rPr>
          <w:rFonts w:ascii="Arial" w:hAnsi="Arial" w:eastAsia="Arial Narrow" w:cs="Arial"/>
          <w:lang w:val="en-GB"/>
        </w:rPr>
        <w:t xml:space="preserve">likely </w:t>
      </w:r>
      <w:r w:rsidR="00610EAA">
        <w:rPr>
          <w:rFonts w:ascii="Arial" w:hAnsi="Arial" w:eastAsia="Arial Narrow" w:cs="Arial"/>
          <w:lang w:val="en-GB"/>
        </w:rPr>
        <w:t>have an impact on cost to not only merchants but also to payment service providers.  We note that providing resilient and secure payments requires investment and that reform</w:t>
      </w:r>
      <w:r w:rsidR="00030C5B">
        <w:rPr>
          <w:rFonts w:ascii="Arial" w:hAnsi="Arial" w:eastAsia="Arial Narrow" w:cs="Arial"/>
          <w:lang w:val="en-GB"/>
        </w:rPr>
        <w:t>s</w:t>
      </w:r>
      <w:r w:rsidR="00610EAA">
        <w:rPr>
          <w:rFonts w:ascii="Arial" w:hAnsi="Arial" w:eastAsia="Arial Narrow" w:cs="Arial"/>
          <w:lang w:val="en-GB"/>
        </w:rPr>
        <w:t xml:space="preserve"> </w:t>
      </w:r>
      <w:r w:rsidR="00030C5B">
        <w:rPr>
          <w:rFonts w:ascii="Arial" w:hAnsi="Arial" w:eastAsia="Arial Narrow" w:cs="Arial"/>
          <w:lang w:val="en-GB"/>
        </w:rPr>
        <w:t xml:space="preserve">have the potential of </w:t>
      </w:r>
      <w:r w:rsidR="00610EAA">
        <w:rPr>
          <w:rFonts w:ascii="Arial" w:hAnsi="Arial" w:eastAsia="Arial Narrow" w:cs="Arial"/>
          <w:lang w:val="en-GB"/>
        </w:rPr>
        <w:t>reduc</w:t>
      </w:r>
      <w:r w:rsidR="00030C5B">
        <w:rPr>
          <w:rFonts w:ascii="Arial" w:hAnsi="Arial" w:eastAsia="Arial Narrow" w:cs="Arial"/>
          <w:lang w:val="en-GB"/>
        </w:rPr>
        <w:t>ing</w:t>
      </w:r>
      <w:r w:rsidR="00610EAA">
        <w:rPr>
          <w:rFonts w:ascii="Arial" w:hAnsi="Arial" w:eastAsia="Arial Narrow" w:cs="Arial"/>
          <w:lang w:val="en-GB"/>
        </w:rPr>
        <w:t xml:space="preserve"> </w:t>
      </w:r>
      <w:r w:rsidR="00030C5B">
        <w:rPr>
          <w:rFonts w:ascii="Arial" w:hAnsi="Arial" w:eastAsia="Arial Narrow" w:cs="Arial"/>
          <w:lang w:val="en-GB"/>
        </w:rPr>
        <w:t xml:space="preserve">incentives to </w:t>
      </w:r>
      <w:r w:rsidR="00610EAA">
        <w:rPr>
          <w:rFonts w:ascii="Arial" w:hAnsi="Arial" w:eastAsia="Arial Narrow" w:cs="Arial"/>
          <w:lang w:val="en-GB"/>
        </w:rPr>
        <w:t>invest</w:t>
      </w:r>
      <w:r w:rsidRPr="00FE1A96">
        <w:rPr>
          <w:rFonts w:ascii="Arial" w:hAnsi="Arial" w:eastAsia="Arial Narrow" w:cs="Arial"/>
          <w:lang w:val="en-GB"/>
        </w:rPr>
        <w:t xml:space="preserve">. </w:t>
      </w:r>
      <w:r w:rsidR="0033065D">
        <w:rPr>
          <w:rFonts w:ascii="Arial" w:hAnsi="Arial" w:eastAsia="Arial Narrow" w:cs="Arial"/>
          <w:lang w:val="en-GB"/>
        </w:rPr>
        <w:t xml:space="preserve">For example, consideration must be given to the impact of any reforms to the current surcharging framework on overall cost-of-living for Australians in response to any changes. </w:t>
      </w:r>
    </w:p>
    <w:p w:rsidRPr="00FE1A96" w:rsidR="000A666A" w:rsidP="32579073" w:rsidRDefault="00610EAA" w14:paraId="007CD2AC" w14:textId="513FBAF9">
      <w:pPr>
        <w:spacing w:before="240" w:after="240" w:line="276" w:lineRule="auto"/>
        <w:rPr>
          <w:rFonts w:ascii="Arial" w:hAnsi="Arial" w:cs="Arial"/>
        </w:rPr>
      </w:pPr>
      <w:r w:rsidRPr="32579073" w:rsidR="00610EAA">
        <w:rPr>
          <w:rFonts w:ascii="Arial" w:hAnsi="Arial" w:eastAsia="Arial Narrow" w:cs="Arial"/>
          <w:lang w:val="en-GB"/>
        </w:rPr>
        <w:t xml:space="preserve">We </w:t>
      </w:r>
      <w:r w:rsidRPr="32579073" w:rsidR="00FE1A96">
        <w:rPr>
          <w:rFonts w:ascii="Arial" w:hAnsi="Arial" w:eastAsia="Arial Narrow" w:cs="Arial"/>
          <w:lang w:val="en-GB"/>
        </w:rPr>
        <w:t xml:space="preserve">believe that reducing </w:t>
      </w:r>
      <w:r w:rsidRPr="32579073" w:rsidR="0070376C">
        <w:rPr>
          <w:rFonts w:ascii="Arial" w:hAnsi="Arial" w:eastAsia="Arial Narrow" w:cs="Arial"/>
          <w:lang w:val="en-GB"/>
        </w:rPr>
        <w:t xml:space="preserve">regulatory </w:t>
      </w:r>
      <w:r w:rsidRPr="32579073" w:rsidR="00FE1A96">
        <w:rPr>
          <w:rFonts w:ascii="Arial" w:hAnsi="Arial" w:eastAsia="Arial Narrow" w:cs="Arial"/>
          <w:lang w:val="en-GB"/>
        </w:rPr>
        <w:t xml:space="preserve">complexity is </w:t>
      </w:r>
      <w:r w:rsidRPr="32579073" w:rsidR="00610EAA">
        <w:rPr>
          <w:rFonts w:ascii="Arial" w:hAnsi="Arial" w:eastAsia="Arial Narrow" w:cs="Arial"/>
          <w:lang w:val="en-GB"/>
        </w:rPr>
        <w:t>desirable and</w:t>
      </w:r>
      <w:r w:rsidRPr="32579073" w:rsidR="00030C5B">
        <w:rPr>
          <w:rFonts w:ascii="Arial" w:hAnsi="Arial" w:eastAsia="Arial Narrow" w:cs="Arial"/>
          <w:lang w:val="en-GB"/>
        </w:rPr>
        <w:t>,</w:t>
      </w:r>
      <w:r w:rsidRPr="32579073" w:rsidR="00610EAA">
        <w:rPr>
          <w:rFonts w:ascii="Arial" w:hAnsi="Arial" w:eastAsia="Arial Narrow" w:cs="Arial"/>
          <w:lang w:val="en-GB"/>
        </w:rPr>
        <w:t xml:space="preserve"> along with appropriate disclosure, should always be a </w:t>
      </w:r>
      <w:r w:rsidRPr="32579073" w:rsidR="00FE1A96">
        <w:rPr>
          <w:rFonts w:ascii="Arial" w:hAnsi="Arial" w:eastAsia="Arial Narrow" w:cs="Arial"/>
          <w:lang w:val="en-GB"/>
        </w:rPr>
        <w:t xml:space="preserve">preferred </w:t>
      </w:r>
      <w:r w:rsidRPr="32579073" w:rsidR="00610EAA">
        <w:rPr>
          <w:rFonts w:ascii="Arial" w:hAnsi="Arial" w:eastAsia="Arial Narrow" w:cs="Arial"/>
          <w:lang w:val="en-GB"/>
        </w:rPr>
        <w:t xml:space="preserve">option when compared </w:t>
      </w:r>
      <w:r w:rsidRPr="32579073" w:rsidR="00FE1A96">
        <w:rPr>
          <w:rFonts w:ascii="Arial" w:hAnsi="Arial" w:eastAsia="Arial Narrow" w:cs="Arial"/>
          <w:lang w:val="en-GB"/>
        </w:rPr>
        <w:t>to the regulation of prices</w:t>
      </w:r>
      <w:r w:rsidRPr="32579073" w:rsidR="00BB0BAC">
        <w:rPr>
          <w:rFonts w:ascii="Arial" w:hAnsi="Arial" w:eastAsia="Arial Narrow" w:cs="Arial"/>
          <w:lang w:val="en-GB"/>
        </w:rPr>
        <w:t xml:space="preserve"> through caps and bans</w:t>
      </w:r>
      <w:r w:rsidRPr="32579073" w:rsidR="00FE1A96">
        <w:rPr>
          <w:rFonts w:ascii="Arial" w:hAnsi="Arial" w:eastAsia="Arial Narrow" w:cs="Arial"/>
          <w:lang w:val="en-GB"/>
        </w:rPr>
        <w:t xml:space="preserve">.  We note that in some other jurisdictions, such as South Korea, recent </w:t>
      </w:r>
      <w:r w:rsidRPr="32579073" w:rsidR="00FE1A96">
        <w:rPr>
          <w:rFonts w:ascii="Arial" w:hAnsi="Arial" w:eastAsia="Arial Narrow" w:cs="Arial"/>
          <w:lang w:val="en-GB"/>
        </w:rPr>
        <w:t>attempts to re</w:t>
      </w:r>
      <w:r w:rsidRPr="32579073" w:rsidR="00015A30">
        <w:rPr>
          <w:rFonts w:ascii="Arial" w:hAnsi="Arial" w:eastAsia="Arial Narrow" w:cs="Arial"/>
          <w:lang w:val="en-GB"/>
        </w:rPr>
        <w:t xml:space="preserve">duce payments </w:t>
      </w:r>
      <w:r w:rsidRPr="32579073" w:rsidR="00FE1A96">
        <w:rPr>
          <w:rFonts w:ascii="Arial" w:hAnsi="Arial" w:eastAsia="Arial Narrow" w:cs="Arial"/>
          <w:lang w:val="en-GB"/>
        </w:rPr>
        <w:t>costs for small merchants have generate</w:t>
      </w:r>
      <w:r w:rsidRPr="32579073" w:rsidR="00610EAA">
        <w:rPr>
          <w:rFonts w:ascii="Arial" w:hAnsi="Arial" w:eastAsia="Arial Narrow" w:cs="Arial"/>
          <w:lang w:val="en-GB"/>
        </w:rPr>
        <w:t>d</w:t>
      </w:r>
      <w:r w:rsidRPr="32579073" w:rsidR="00FE1A96">
        <w:rPr>
          <w:rFonts w:ascii="Arial" w:hAnsi="Arial" w:eastAsia="Arial Narrow" w:cs="Arial"/>
          <w:lang w:val="en-GB"/>
        </w:rPr>
        <w:t xml:space="preserve"> </w:t>
      </w:r>
      <w:r w:rsidRPr="32579073" w:rsidR="00015A30">
        <w:rPr>
          <w:rFonts w:ascii="Arial" w:hAnsi="Arial" w:eastAsia="Arial Narrow" w:cs="Arial"/>
          <w:lang w:val="en-GB"/>
        </w:rPr>
        <w:t xml:space="preserve">significant </w:t>
      </w:r>
      <w:r w:rsidRPr="32579073" w:rsidR="00FE1A96">
        <w:rPr>
          <w:rFonts w:ascii="Arial" w:hAnsi="Arial" w:eastAsia="Arial Narrow" w:cs="Arial"/>
          <w:lang w:val="en-GB"/>
        </w:rPr>
        <w:t xml:space="preserve">cost and complexity for </w:t>
      </w:r>
      <w:r w:rsidRPr="32579073" w:rsidR="00015A30">
        <w:rPr>
          <w:rFonts w:ascii="Arial" w:hAnsi="Arial" w:eastAsia="Arial Narrow" w:cs="Arial"/>
          <w:lang w:val="en-GB"/>
        </w:rPr>
        <w:t xml:space="preserve">a range of </w:t>
      </w:r>
      <w:r w:rsidRPr="32579073" w:rsidR="00FE1A96">
        <w:rPr>
          <w:rFonts w:ascii="Arial" w:hAnsi="Arial" w:eastAsia="Arial Narrow" w:cs="Arial"/>
          <w:lang w:val="en-GB"/>
        </w:rPr>
        <w:t xml:space="preserve">payment service providers. </w:t>
      </w:r>
    </w:p>
    <w:p w:rsidRPr="00FE1A96" w:rsidR="000A666A" w:rsidP="32579073" w:rsidRDefault="00610EAA" w14:paraId="5E7AB1BE" w14:textId="18B9E4FD">
      <w:pPr>
        <w:pStyle w:val="Normal"/>
        <w:spacing w:before="240" w:after="240" w:line="276" w:lineRule="auto"/>
        <w:rPr>
          <w:rFonts w:ascii="Arial" w:hAnsi="Arial" w:cs="Arial"/>
        </w:rPr>
      </w:pPr>
      <w:r w:rsidRPr="32579073" w:rsidR="64AC7E10">
        <w:rPr>
          <w:rFonts w:ascii="Arial" w:hAnsi="Arial" w:eastAsia="Arial" w:cs="Arial"/>
          <w:noProof w:val="0"/>
          <w:sz w:val="22"/>
          <w:szCs w:val="22"/>
          <w:lang w:val="en-GB"/>
        </w:rPr>
        <w:t>EPAA is concerned the proposals like mandatory differential pricing could reduce competition and limit merchant choice in payment service providers, reversing recent cost-saving trends. A tech-neutral approach to any surcharge ban could help preserve competition and flexibility for merchants.</w:t>
      </w:r>
      <w:r w:rsidRPr="32579073" w:rsidR="00FE1A96">
        <w:rPr>
          <w:rFonts w:ascii="Arial" w:hAnsi="Arial" w:eastAsia="Arial Narrow" w:cs="Arial"/>
          <w:lang w:val="en-GB"/>
        </w:rPr>
        <w:t xml:space="preserve">   </w:t>
      </w:r>
      <w:r w:rsidRPr="32579073" w:rsidR="336A76E4">
        <w:rPr>
          <w:rFonts w:ascii="Arial" w:hAnsi="Arial" w:eastAsia="Arial Narrow" w:cs="Arial"/>
          <w:lang w:val="en-GB"/>
        </w:rPr>
        <w:t xml:space="preserve">     </w:t>
      </w:r>
    </w:p>
    <w:p w:rsidR="0033065D" w:rsidP="00FF373B" w:rsidRDefault="00015A30" w14:paraId="156E877E" w14:textId="5B6B2BFB">
      <w:pPr>
        <w:spacing w:after="0" w:line="276" w:lineRule="auto"/>
        <w:rPr>
          <w:rFonts w:ascii="Arial" w:hAnsi="Arial" w:eastAsia="Arial Narrow" w:cs="Arial"/>
          <w:lang w:val="en-GB"/>
        </w:rPr>
      </w:pPr>
      <w:r>
        <w:rPr>
          <w:rFonts w:ascii="Arial" w:hAnsi="Arial" w:eastAsia="Arial Narrow" w:cs="Arial"/>
          <w:lang w:val="en-GB"/>
        </w:rPr>
        <w:t xml:space="preserve">Lastly, we have some concerns around the </w:t>
      </w:r>
      <w:r w:rsidR="000816E1">
        <w:rPr>
          <w:rFonts w:ascii="Arial" w:hAnsi="Arial" w:eastAsia="Arial Narrow" w:cs="Arial"/>
          <w:lang w:val="en-GB"/>
        </w:rPr>
        <w:t xml:space="preserve">scope and </w:t>
      </w:r>
      <w:r>
        <w:rPr>
          <w:rFonts w:ascii="Arial" w:hAnsi="Arial" w:eastAsia="Arial Narrow" w:cs="Arial"/>
          <w:lang w:val="en-GB"/>
        </w:rPr>
        <w:t xml:space="preserve">sequencing of this consultation.  In the </w:t>
      </w:r>
      <w:r w:rsidRPr="00030C5B">
        <w:rPr>
          <w:rFonts w:ascii="Arial" w:hAnsi="Arial" w:eastAsia="Arial Narrow" w:cs="Arial"/>
          <w:i/>
          <w:iCs/>
          <w:lang w:val="en-GB"/>
        </w:rPr>
        <w:t>Strategic Plan for Australia’s Payments</w:t>
      </w:r>
      <w:r w:rsidRPr="00015A30">
        <w:rPr>
          <w:rFonts w:ascii="Arial" w:hAnsi="Arial" w:eastAsia="Arial Narrow" w:cs="Arial"/>
          <w:lang w:val="en-GB"/>
        </w:rPr>
        <w:t xml:space="preserve"> </w:t>
      </w:r>
      <w:r w:rsidRPr="00030C5B">
        <w:rPr>
          <w:rFonts w:ascii="Arial" w:hAnsi="Arial" w:eastAsia="Arial Narrow" w:cs="Arial"/>
          <w:i/>
          <w:iCs/>
          <w:lang w:val="en-GB"/>
        </w:rPr>
        <w:t xml:space="preserve">System </w:t>
      </w:r>
      <w:r>
        <w:rPr>
          <w:rFonts w:ascii="Arial" w:hAnsi="Arial" w:eastAsia="Arial Narrow" w:cs="Arial"/>
          <w:lang w:val="en-GB"/>
        </w:rPr>
        <w:t xml:space="preserve">released in June 2023 as well as </w:t>
      </w:r>
      <w:r w:rsidR="000816E1">
        <w:rPr>
          <w:rFonts w:ascii="Arial" w:hAnsi="Arial" w:eastAsia="Arial Narrow" w:cs="Arial"/>
          <w:lang w:val="en-GB"/>
        </w:rPr>
        <w:t xml:space="preserve">subsequent </w:t>
      </w:r>
      <w:r>
        <w:rPr>
          <w:rFonts w:ascii="Arial" w:hAnsi="Arial" w:eastAsia="Arial Narrow" w:cs="Arial"/>
          <w:lang w:val="en-GB"/>
        </w:rPr>
        <w:t xml:space="preserve">RBA speeches, it was suggested that merchant cost issues would be progressed once reforms to the </w:t>
      </w:r>
      <w:r w:rsidR="0033065D">
        <w:rPr>
          <w:rFonts w:ascii="Arial" w:hAnsi="Arial" w:eastAsia="Arial Narrow" w:cs="Arial"/>
          <w:lang w:val="en-GB"/>
        </w:rPr>
        <w:t xml:space="preserve">Payment System (Regulation) Act (PSRA) </w:t>
      </w:r>
      <w:r>
        <w:rPr>
          <w:rFonts w:ascii="Arial" w:hAnsi="Arial" w:eastAsia="Arial Narrow" w:cs="Arial"/>
          <w:lang w:val="en-GB"/>
        </w:rPr>
        <w:t>and the expansion of the payments regulatory perimeter w</w:t>
      </w:r>
      <w:r w:rsidR="000816E1">
        <w:rPr>
          <w:rFonts w:ascii="Arial" w:hAnsi="Arial" w:eastAsia="Arial Narrow" w:cs="Arial"/>
          <w:lang w:val="en-GB"/>
        </w:rPr>
        <w:t>ere</w:t>
      </w:r>
      <w:r>
        <w:rPr>
          <w:rFonts w:ascii="Arial" w:hAnsi="Arial" w:eastAsia="Arial Narrow" w:cs="Arial"/>
          <w:lang w:val="en-GB"/>
        </w:rPr>
        <w:t xml:space="preserve"> completed</w:t>
      </w:r>
      <w:r w:rsidR="000816E1">
        <w:rPr>
          <w:rFonts w:ascii="Arial" w:hAnsi="Arial" w:eastAsia="Arial Narrow" w:cs="Arial"/>
          <w:lang w:val="en-GB"/>
        </w:rPr>
        <w:t xml:space="preserve"> so that the scope of any review would include mobile wallets as well as the costs and transparency of cross-border payments</w:t>
      </w:r>
      <w:r>
        <w:rPr>
          <w:rFonts w:ascii="Arial" w:hAnsi="Arial" w:eastAsia="Arial Narrow" w:cs="Arial"/>
          <w:lang w:val="en-GB"/>
        </w:rPr>
        <w:t>.  However</w:t>
      </w:r>
      <w:r w:rsidR="000816E1">
        <w:rPr>
          <w:rFonts w:ascii="Arial" w:hAnsi="Arial" w:eastAsia="Arial Narrow" w:cs="Arial"/>
          <w:lang w:val="en-GB"/>
        </w:rPr>
        <w:t>,</w:t>
      </w:r>
      <w:r>
        <w:rPr>
          <w:rFonts w:ascii="Arial" w:hAnsi="Arial" w:eastAsia="Arial Narrow" w:cs="Arial"/>
          <w:lang w:val="en-GB"/>
        </w:rPr>
        <w:t xml:space="preserve"> </w:t>
      </w:r>
      <w:r w:rsidR="0033065D">
        <w:rPr>
          <w:rFonts w:ascii="Arial" w:hAnsi="Arial" w:eastAsia="Arial Narrow" w:cs="Arial"/>
          <w:lang w:val="en-GB"/>
        </w:rPr>
        <w:t xml:space="preserve">we note that the PSRA Amendment Bill remains before the Senate, </w:t>
      </w:r>
      <w:r w:rsidR="000816E1">
        <w:rPr>
          <w:rFonts w:ascii="Arial" w:hAnsi="Arial" w:eastAsia="Arial Narrow" w:cs="Arial"/>
          <w:lang w:val="en-GB"/>
        </w:rPr>
        <w:t xml:space="preserve">and it is unclear how and when these other issues will be examined.  </w:t>
      </w:r>
    </w:p>
    <w:p w:rsidR="0033065D" w:rsidP="00FF373B" w:rsidRDefault="0033065D" w14:paraId="3A619EB9" w14:textId="77777777">
      <w:pPr>
        <w:spacing w:after="0" w:line="276" w:lineRule="auto"/>
        <w:rPr>
          <w:rFonts w:ascii="Arial" w:hAnsi="Arial" w:eastAsia="Arial Narrow" w:cs="Arial"/>
          <w:lang w:val="en-GB"/>
        </w:rPr>
      </w:pPr>
    </w:p>
    <w:p w:rsidR="0033065D" w:rsidP="00FF373B" w:rsidRDefault="0033065D" w14:paraId="2C8DDC99" w14:textId="50C58610">
      <w:pPr>
        <w:spacing w:after="0" w:line="276" w:lineRule="auto"/>
        <w:rPr>
          <w:rFonts w:ascii="Arial" w:hAnsi="Arial" w:eastAsia="Arial Narrow" w:cs="Arial"/>
        </w:rPr>
      </w:pPr>
      <w:r w:rsidRPr="0033065D">
        <w:rPr>
          <w:rFonts w:ascii="Arial" w:hAnsi="Arial" w:eastAsia="Arial Narrow" w:cs="Arial"/>
        </w:rPr>
        <w:t xml:space="preserve">The </w:t>
      </w:r>
      <w:proofErr w:type="spellStart"/>
      <w:r w:rsidRPr="0033065D">
        <w:rPr>
          <w:rFonts w:ascii="Arial" w:hAnsi="Arial" w:eastAsia="Arial Narrow" w:cs="Arial"/>
        </w:rPr>
        <w:t>moderni</w:t>
      </w:r>
      <w:r>
        <w:rPr>
          <w:rFonts w:ascii="Arial" w:hAnsi="Arial" w:eastAsia="Arial Narrow" w:cs="Arial"/>
        </w:rPr>
        <w:t>s</w:t>
      </w:r>
      <w:r w:rsidRPr="0033065D">
        <w:rPr>
          <w:rFonts w:ascii="Arial" w:hAnsi="Arial" w:eastAsia="Arial Narrow" w:cs="Arial"/>
        </w:rPr>
        <w:t>ation</w:t>
      </w:r>
      <w:proofErr w:type="spellEnd"/>
      <w:r w:rsidRPr="0033065D">
        <w:rPr>
          <w:rFonts w:ascii="Arial" w:hAnsi="Arial" w:eastAsia="Arial Narrow" w:cs="Arial"/>
        </w:rPr>
        <w:t xml:space="preserve"> of the </w:t>
      </w:r>
      <w:r>
        <w:rPr>
          <w:rFonts w:ascii="Arial" w:hAnsi="Arial" w:eastAsia="Arial Narrow" w:cs="Arial"/>
        </w:rPr>
        <w:t>PSRA</w:t>
      </w:r>
      <w:r w:rsidRPr="0033065D">
        <w:rPr>
          <w:rFonts w:ascii="Arial" w:hAnsi="Arial" w:eastAsia="Arial Narrow" w:cs="Arial"/>
        </w:rPr>
        <w:t xml:space="preserve"> presents a valuable opportunity for both payment service providers and the broader payments ecosystem. </w:t>
      </w:r>
      <w:r>
        <w:rPr>
          <w:rFonts w:ascii="Arial" w:hAnsi="Arial" w:eastAsia="Arial Narrow" w:cs="Arial"/>
        </w:rPr>
        <w:t>A collaborative</w:t>
      </w:r>
      <w:r w:rsidR="0070376C">
        <w:rPr>
          <w:rFonts w:ascii="Arial" w:hAnsi="Arial" w:eastAsia="Arial Narrow" w:cs="Arial"/>
        </w:rPr>
        <w:t xml:space="preserve">, standardized </w:t>
      </w:r>
      <w:r>
        <w:rPr>
          <w:rFonts w:ascii="Arial" w:hAnsi="Arial" w:eastAsia="Arial Narrow" w:cs="Arial"/>
        </w:rPr>
        <w:t>approach to e</w:t>
      </w:r>
      <w:r w:rsidRPr="0033065D">
        <w:rPr>
          <w:rFonts w:ascii="Arial" w:hAnsi="Arial" w:eastAsia="Arial Narrow" w:cs="Arial"/>
        </w:rPr>
        <w:t xml:space="preserve">nhanced mobile wallet interoperability </w:t>
      </w:r>
      <w:r>
        <w:rPr>
          <w:rFonts w:ascii="Arial" w:hAnsi="Arial" w:eastAsia="Arial Narrow" w:cs="Arial"/>
        </w:rPr>
        <w:t xml:space="preserve">within the Australian </w:t>
      </w:r>
      <w:proofErr w:type="gramStart"/>
      <w:r>
        <w:rPr>
          <w:rFonts w:ascii="Arial" w:hAnsi="Arial" w:eastAsia="Arial Narrow" w:cs="Arial"/>
        </w:rPr>
        <w:t>payments</w:t>
      </w:r>
      <w:proofErr w:type="gramEnd"/>
      <w:r w:rsidRPr="0033065D">
        <w:rPr>
          <w:rFonts w:ascii="Arial" w:hAnsi="Arial" w:eastAsia="Arial Narrow" w:cs="Arial"/>
        </w:rPr>
        <w:t xml:space="preserve"> </w:t>
      </w:r>
      <w:r>
        <w:rPr>
          <w:rFonts w:ascii="Arial" w:hAnsi="Arial" w:eastAsia="Arial Narrow" w:cs="Arial"/>
        </w:rPr>
        <w:t>eco</w:t>
      </w:r>
      <w:r w:rsidRPr="0033065D">
        <w:rPr>
          <w:rFonts w:ascii="Arial" w:hAnsi="Arial" w:eastAsia="Arial Narrow" w:cs="Arial"/>
        </w:rPr>
        <w:t>system</w:t>
      </w:r>
      <w:r>
        <w:rPr>
          <w:rFonts w:ascii="Arial" w:hAnsi="Arial" w:eastAsia="Arial Narrow" w:cs="Arial"/>
        </w:rPr>
        <w:t xml:space="preserve"> </w:t>
      </w:r>
      <w:r w:rsidRPr="0033065D">
        <w:rPr>
          <w:rFonts w:ascii="Arial" w:hAnsi="Arial" w:eastAsia="Arial Narrow" w:cs="Arial"/>
        </w:rPr>
        <w:t xml:space="preserve">would </w:t>
      </w:r>
      <w:r>
        <w:rPr>
          <w:rFonts w:ascii="Arial" w:hAnsi="Arial" w:eastAsia="Arial Narrow" w:cs="Arial"/>
        </w:rPr>
        <w:t xml:space="preserve">enhance competition and </w:t>
      </w:r>
      <w:r w:rsidRPr="0033065D">
        <w:rPr>
          <w:rFonts w:ascii="Arial" w:hAnsi="Arial" w:eastAsia="Arial Narrow" w:cs="Arial"/>
        </w:rPr>
        <w:t xml:space="preserve">enable payment </w:t>
      </w:r>
      <w:r>
        <w:rPr>
          <w:rFonts w:ascii="Arial" w:hAnsi="Arial" w:eastAsia="Arial Narrow" w:cs="Arial"/>
        </w:rPr>
        <w:t xml:space="preserve">service </w:t>
      </w:r>
      <w:r w:rsidRPr="0033065D">
        <w:rPr>
          <w:rFonts w:ascii="Arial" w:hAnsi="Arial" w:eastAsia="Arial Narrow" w:cs="Arial"/>
        </w:rPr>
        <w:t>providers</w:t>
      </w:r>
      <w:r>
        <w:rPr>
          <w:rFonts w:ascii="Arial" w:hAnsi="Arial" w:eastAsia="Arial Narrow" w:cs="Arial"/>
        </w:rPr>
        <w:t xml:space="preserve"> to deliver innovative solutions that benefit consumers and merchants, giving them choice in how they pay and receive mobile payments. </w:t>
      </w:r>
    </w:p>
    <w:p w:rsidR="0033065D" w:rsidP="00FF373B" w:rsidRDefault="0033065D" w14:paraId="52CEC4D0" w14:textId="77777777">
      <w:pPr>
        <w:spacing w:after="0" w:line="276" w:lineRule="auto"/>
        <w:rPr>
          <w:rFonts w:ascii="Arial" w:hAnsi="Arial" w:eastAsia="Arial Narrow" w:cs="Arial"/>
          <w:lang w:val="en-GB"/>
        </w:rPr>
      </w:pPr>
    </w:p>
    <w:p w:rsidR="0033065D" w:rsidP="00FF373B" w:rsidRDefault="0070376C" w14:paraId="5093203F" w14:textId="7E748876">
      <w:pPr>
        <w:spacing w:after="0" w:line="276" w:lineRule="auto"/>
        <w:rPr>
          <w:rFonts w:ascii="Arial" w:hAnsi="Arial" w:eastAsia="Arial Narrow" w:cs="Arial"/>
          <w:lang w:val="en-GB"/>
        </w:rPr>
      </w:pPr>
      <w:r>
        <w:rPr>
          <w:rFonts w:ascii="Arial" w:hAnsi="Arial" w:eastAsia="Arial Narrow" w:cs="Arial"/>
          <w:lang w:val="en-GB"/>
        </w:rPr>
        <w:t xml:space="preserve">Given the community and economic benefits outlined above, </w:t>
      </w:r>
      <w:r w:rsidR="0033065D">
        <w:rPr>
          <w:rFonts w:ascii="Arial" w:hAnsi="Arial" w:eastAsia="Arial Narrow" w:cs="Arial"/>
          <w:lang w:val="en-GB"/>
        </w:rPr>
        <w:t>EPA Asia continues to support the passage of the PSRA amendments as a matter of priority.</w:t>
      </w:r>
    </w:p>
    <w:p w:rsidR="0033065D" w:rsidP="00FF373B" w:rsidRDefault="0033065D" w14:paraId="329F4939" w14:textId="77777777">
      <w:pPr>
        <w:spacing w:after="0" w:line="276" w:lineRule="auto"/>
        <w:rPr>
          <w:rFonts w:ascii="Arial" w:hAnsi="Arial" w:eastAsia="Arial Narrow" w:cs="Arial"/>
          <w:lang w:val="en-GB"/>
        </w:rPr>
      </w:pPr>
    </w:p>
    <w:p w:rsidRPr="00FE1A96" w:rsidR="00FF373B" w:rsidP="00FF373B" w:rsidRDefault="000816E1" w14:paraId="76A3E439" w14:textId="5B7BACC1">
      <w:pPr>
        <w:spacing w:after="0" w:line="276" w:lineRule="auto"/>
        <w:rPr>
          <w:rFonts w:ascii="Arial" w:hAnsi="Arial" w:cs="Arial"/>
        </w:rPr>
      </w:pPr>
      <w:r>
        <w:rPr>
          <w:rFonts w:ascii="Arial" w:hAnsi="Arial" w:eastAsia="Arial Narrow" w:cs="Arial"/>
          <w:lang w:val="en-GB"/>
        </w:rPr>
        <w:t xml:space="preserve">Further, the recent announcement by the Government around mandating cash acceptance by certain merchants complicates some of the </w:t>
      </w:r>
      <w:r w:rsidR="00030C5B">
        <w:rPr>
          <w:rFonts w:ascii="Arial" w:hAnsi="Arial" w:eastAsia="Arial Narrow" w:cs="Arial"/>
          <w:lang w:val="en-GB"/>
        </w:rPr>
        <w:t xml:space="preserve">matters </w:t>
      </w:r>
      <w:r>
        <w:rPr>
          <w:rFonts w:ascii="Arial" w:hAnsi="Arial" w:eastAsia="Arial Narrow" w:cs="Arial"/>
          <w:lang w:val="en-GB"/>
        </w:rPr>
        <w:t xml:space="preserve">raised in the Issues Paper.  On this basis, we believe it would be beneficial for the RBA to provide the market with </w:t>
      </w:r>
      <w:r w:rsidR="00030C5B">
        <w:rPr>
          <w:rFonts w:ascii="Arial" w:hAnsi="Arial" w:eastAsia="Arial Narrow" w:cs="Arial"/>
          <w:lang w:val="en-GB"/>
        </w:rPr>
        <w:t xml:space="preserve">further details on its plans as </w:t>
      </w:r>
      <w:r>
        <w:rPr>
          <w:rFonts w:ascii="Arial" w:hAnsi="Arial" w:eastAsia="Arial Narrow" w:cs="Arial"/>
          <w:lang w:val="en-GB"/>
        </w:rPr>
        <w:t>to how and when it</w:t>
      </w:r>
      <w:r w:rsidR="00030C5B">
        <w:rPr>
          <w:rFonts w:ascii="Arial" w:hAnsi="Arial" w:eastAsia="Arial Narrow" w:cs="Arial"/>
          <w:lang w:val="en-GB"/>
        </w:rPr>
        <w:t xml:space="preserve"> will </w:t>
      </w:r>
      <w:r>
        <w:rPr>
          <w:rFonts w:ascii="Arial" w:hAnsi="Arial" w:eastAsia="Arial Narrow" w:cs="Arial"/>
          <w:lang w:val="en-GB"/>
        </w:rPr>
        <w:t xml:space="preserve">progress these </w:t>
      </w:r>
      <w:r w:rsidR="00030C5B">
        <w:rPr>
          <w:rFonts w:ascii="Arial" w:hAnsi="Arial" w:eastAsia="Arial Narrow" w:cs="Arial"/>
          <w:lang w:val="en-GB"/>
        </w:rPr>
        <w:t xml:space="preserve">outstanding </w:t>
      </w:r>
      <w:r>
        <w:rPr>
          <w:rFonts w:ascii="Arial" w:hAnsi="Arial" w:eastAsia="Arial Narrow" w:cs="Arial"/>
          <w:lang w:val="en-GB"/>
        </w:rPr>
        <w:t>issues</w:t>
      </w:r>
      <w:r w:rsidR="00030C5B">
        <w:rPr>
          <w:rFonts w:ascii="Arial" w:hAnsi="Arial" w:eastAsia="Arial Narrow" w:cs="Arial"/>
          <w:lang w:val="en-GB"/>
        </w:rPr>
        <w:t xml:space="preserve"> and how any cash mandate would affect the RBA’s thinking on merchant payment acceptance and payment costs (</w:t>
      </w:r>
      <w:r>
        <w:rPr>
          <w:rFonts w:ascii="Arial" w:hAnsi="Arial" w:eastAsia="Arial Narrow" w:cs="Arial"/>
          <w:lang w:val="en-GB"/>
        </w:rPr>
        <w:t xml:space="preserve">recognising the RBA has no control over the </w:t>
      </w:r>
      <w:r w:rsidR="00030C5B">
        <w:rPr>
          <w:rFonts w:ascii="Arial" w:hAnsi="Arial" w:eastAsia="Arial Narrow" w:cs="Arial"/>
          <w:lang w:val="en-GB"/>
        </w:rPr>
        <w:t xml:space="preserve">timing and </w:t>
      </w:r>
      <w:r>
        <w:rPr>
          <w:rFonts w:ascii="Arial" w:hAnsi="Arial" w:eastAsia="Arial Narrow" w:cs="Arial"/>
          <w:lang w:val="en-GB"/>
        </w:rPr>
        <w:t>progress of legislative reform</w:t>
      </w:r>
      <w:r w:rsidR="00030C5B">
        <w:rPr>
          <w:rFonts w:ascii="Arial" w:hAnsi="Arial" w:eastAsia="Arial Narrow" w:cs="Arial"/>
          <w:lang w:val="en-GB"/>
        </w:rPr>
        <w:t>)</w:t>
      </w:r>
      <w:r>
        <w:rPr>
          <w:rFonts w:ascii="Arial" w:hAnsi="Arial" w:eastAsia="Arial Narrow" w:cs="Arial"/>
          <w:lang w:val="en-GB"/>
        </w:rPr>
        <w:t xml:space="preserve">.  </w:t>
      </w:r>
    </w:p>
    <w:p w:rsidRPr="00FE1A96" w:rsidR="000A666A" w:rsidP="35636A72" w:rsidRDefault="336A76E4" w14:paraId="72AD09A3" w14:textId="20E989C4">
      <w:pPr>
        <w:spacing w:before="240" w:after="240" w:line="276" w:lineRule="auto"/>
        <w:rPr>
          <w:rFonts w:ascii="Arial" w:hAnsi="Arial" w:cs="Arial"/>
        </w:rPr>
      </w:pPr>
      <w:r w:rsidRPr="00FE1A96">
        <w:rPr>
          <w:rFonts w:ascii="Arial" w:hAnsi="Arial" w:eastAsia="Arial Narrow" w:cs="Arial"/>
          <w:lang w:val="en-GB"/>
        </w:rPr>
        <w:t>We are more than happy to expand further on the items raised in this submission or to provide further information. If you do have any comments or questions, please feel</w:t>
      </w:r>
      <w:r w:rsidRPr="00FE1A96">
        <w:rPr>
          <w:rFonts w:ascii="Arial" w:hAnsi="Arial" w:eastAsia="Arial" w:cs="Arial"/>
          <w:sz w:val="20"/>
          <w:szCs w:val="20"/>
          <w:lang w:val="en-GB"/>
        </w:rPr>
        <w:t xml:space="preserve"> free to contact </w:t>
      </w:r>
      <w:r w:rsidR="00FE1A96">
        <w:rPr>
          <w:rFonts w:ascii="Arial" w:hAnsi="Arial" w:eastAsia="Arial" w:cs="Arial"/>
          <w:sz w:val="20"/>
          <w:szCs w:val="20"/>
          <w:lang w:val="en-GB"/>
        </w:rPr>
        <w:t xml:space="preserve">me at </w:t>
      </w:r>
      <w:hyperlink w:history="1" r:id="rId12">
        <w:r w:rsidRPr="00E72410" w:rsidR="00030C5B">
          <w:rPr>
            <w:rStyle w:val="Hyperlink"/>
            <w:rFonts w:ascii="Arial" w:hAnsi="Arial" w:eastAsia="Arial" w:cs="Arial"/>
            <w:sz w:val="20"/>
            <w:szCs w:val="20"/>
            <w:lang w:val="en-GB"/>
          </w:rPr>
          <w:t>camilla.bullock@emergingpaymentsasia.org</w:t>
        </w:r>
      </w:hyperlink>
      <w:r w:rsidRPr="00FE1A96">
        <w:rPr>
          <w:rFonts w:ascii="Arial" w:hAnsi="Arial" w:eastAsia="Arial" w:cs="Arial"/>
          <w:sz w:val="20"/>
          <w:szCs w:val="20"/>
          <w:lang w:val="en-GB"/>
        </w:rPr>
        <w:t xml:space="preserve">. </w:t>
      </w:r>
    </w:p>
    <w:p w:rsidRPr="00FE1A96" w:rsidR="000A666A" w:rsidP="35636A72" w:rsidRDefault="336A76E4" w14:paraId="50473015" w14:textId="26AC5D3E">
      <w:pPr>
        <w:spacing w:before="160" w:after="0" w:line="276" w:lineRule="auto"/>
        <w:rPr>
          <w:rFonts w:ascii="Arial" w:hAnsi="Arial" w:cs="Arial"/>
        </w:rPr>
      </w:pPr>
      <w:r w:rsidRPr="00FE1A96">
        <w:rPr>
          <w:rFonts w:ascii="Arial" w:hAnsi="Arial" w:eastAsia="Arial" w:cs="Arial"/>
          <w:sz w:val="20"/>
          <w:szCs w:val="20"/>
          <w:lang w:val="en-GB"/>
        </w:rPr>
        <w:t xml:space="preserve"> </w:t>
      </w:r>
    </w:p>
    <w:p w:rsidRPr="00FE1A96" w:rsidR="000A666A" w:rsidP="35636A72" w:rsidRDefault="336A76E4" w14:paraId="4297D6FD" w14:textId="3AF5E3C4">
      <w:pPr>
        <w:spacing w:before="160" w:after="0" w:line="276" w:lineRule="auto"/>
        <w:rPr>
          <w:rFonts w:ascii="Arial" w:hAnsi="Arial" w:cs="Arial"/>
        </w:rPr>
      </w:pPr>
      <w:r w:rsidRPr="00FE1A96">
        <w:rPr>
          <w:rFonts w:ascii="Arial" w:hAnsi="Arial" w:eastAsia="Arial" w:cs="Arial"/>
          <w:sz w:val="20"/>
          <w:szCs w:val="20"/>
          <w:lang w:val="en-GB"/>
        </w:rPr>
        <w:t xml:space="preserve"> Kind regards, </w:t>
      </w:r>
    </w:p>
    <w:p w:rsidR="000A666A" w:rsidP="35636A72" w:rsidRDefault="336A76E4" w14:paraId="5930D8BF" w14:textId="31D79CCE">
      <w:pPr>
        <w:spacing w:before="160" w:after="0" w:line="276" w:lineRule="auto"/>
        <w:rPr>
          <w:rFonts w:ascii="Arial" w:hAnsi="Arial" w:eastAsia="Arial" w:cs="Arial"/>
          <w:sz w:val="20"/>
          <w:szCs w:val="20"/>
          <w:lang w:val="en-GB"/>
        </w:rPr>
      </w:pPr>
      <w:r w:rsidRPr="00FE1A96">
        <w:rPr>
          <w:rFonts w:ascii="Arial" w:hAnsi="Arial" w:eastAsia="Arial" w:cs="Arial"/>
          <w:sz w:val="20"/>
          <w:szCs w:val="20"/>
          <w:lang w:val="en-GB"/>
        </w:rPr>
        <w:t xml:space="preserve"> </w:t>
      </w:r>
    </w:p>
    <w:p w:rsidRPr="00FE1A96" w:rsidR="00030C5B" w:rsidP="35636A72" w:rsidRDefault="00030C5B" w14:paraId="596C856D" w14:textId="77777777">
      <w:pPr>
        <w:spacing w:before="160" w:after="0" w:line="276" w:lineRule="auto"/>
        <w:rPr>
          <w:rFonts w:ascii="Arial" w:hAnsi="Arial" w:cs="Arial"/>
        </w:rPr>
      </w:pPr>
    </w:p>
    <w:p w:rsidRPr="00FE1A96" w:rsidR="000A666A" w:rsidP="35636A72" w:rsidRDefault="336A76E4" w14:paraId="4A87D413" w14:textId="67163685">
      <w:pPr>
        <w:spacing w:before="160" w:after="0" w:line="276" w:lineRule="auto"/>
        <w:rPr>
          <w:rFonts w:ascii="Arial" w:hAnsi="Arial" w:cs="Arial"/>
        </w:rPr>
      </w:pPr>
      <w:r w:rsidRPr="00FE1A96">
        <w:rPr>
          <w:rFonts w:ascii="Arial" w:hAnsi="Arial" w:eastAsia="Arial" w:cs="Arial"/>
          <w:sz w:val="20"/>
          <w:szCs w:val="20"/>
          <w:lang w:val="en-GB"/>
        </w:rPr>
        <w:t>Camilla Bullock</w:t>
      </w:r>
      <w:r w:rsidRPr="00FE1A96" w:rsidR="000A666A">
        <w:rPr>
          <w:rFonts w:ascii="Arial" w:hAnsi="Arial" w:cs="Arial"/>
        </w:rPr>
        <w:br/>
      </w:r>
      <w:r w:rsidRPr="00FE1A96">
        <w:rPr>
          <w:rFonts w:ascii="Arial" w:hAnsi="Arial" w:eastAsia="Arial" w:cs="Arial"/>
          <w:sz w:val="20"/>
          <w:szCs w:val="20"/>
          <w:lang w:val="en-GB"/>
        </w:rPr>
        <w:t>CEO, Emerging Payments Association Asia</w:t>
      </w:r>
    </w:p>
    <w:p w:rsidRPr="00FE1A96" w:rsidR="000A666A" w:rsidP="35636A72" w:rsidRDefault="336A76E4" w14:paraId="2406EF21" w14:textId="3451BE60">
      <w:pPr>
        <w:spacing w:before="240" w:after="240" w:line="276" w:lineRule="auto"/>
        <w:rPr>
          <w:rFonts w:ascii="Arial" w:hAnsi="Arial" w:cs="Arial"/>
        </w:rPr>
      </w:pPr>
      <w:r w:rsidRPr="00FE1A96">
        <w:rPr>
          <w:rFonts w:ascii="Arial" w:hAnsi="Arial" w:eastAsia="Arial" w:cs="Arial"/>
          <w:sz w:val="20"/>
          <w:szCs w:val="20"/>
          <w:u w:val="single"/>
          <w:lang w:val="en-GB"/>
        </w:rPr>
        <w:t xml:space="preserve"> </w:t>
      </w:r>
    </w:p>
    <w:p w:rsidRPr="00FE1A96" w:rsidR="000A666A" w:rsidP="35636A72" w:rsidRDefault="336A76E4" w14:paraId="599D14D0" w14:textId="6EA4B4E3">
      <w:pPr>
        <w:spacing w:after="0" w:line="276" w:lineRule="auto"/>
        <w:rPr>
          <w:rFonts w:ascii="Arial" w:hAnsi="Arial" w:cs="Arial"/>
        </w:rPr>
      </w:pPr>
      <w:r w:rsidRPr="00FE1A96">
        <w:rPr>
          <w:rFonts w:ascii="Arial" w:hAnsi="Arial" w:eastAsia="Arial" w:cs="Arial"/>
          <w:lang w:val="en-GB"/>
        </w:rPr>
        <w:t xml:space="preserve"> </w:t>
      </w:r>
    </w:p>
    <w:p w:rsidRPr="00FE1A96" w:rsidR="000A666A" w:rsidP="35636A72" w:rsidRDefault="000A666A" w14:paraId="4D8A81F3" w14:textId="5E773F25">
      <w:pPr>
        <w:spacing w:after="0" w:line="276" w:lineRule="auto"/>
        <w:rPr>
          <w:rFonts w:ascii="Arial" w:hAnsi="Arial" w:eastAsia="Arial" w:cs="Arial"/>
          <w:lang w:val="en-GB"/>
        </w:rPr>
      </w:pPr>
    </w:p>
    <w:p w:rsidRPr="00FE1A96" w:rsidR="000A666A" w:rsidP="35636A72" w:rsidRDefault="000A666A" w14:paraId="4A226031" w14:textId="00E20BD6">
      <w:pPr>
        <w:rPr>
          <w:rFonts w:ascii="Arial" w:hAnsi="Arial" w:eastAsia="Arial" w:cs="Arial"/>
          <w:lang w:val="en-AU" w:eastAsia="en-AU"/>
        </w:rPr>
      </w:pPr>
    </w:p>
    <w:sectPr w:rsidRPr="00FE1A96" w:rsidR="000A666A" w:rsidSect="004E5242">
      <w:footerReference w:type="default" r:id="rId13"/>
      <w:headerReference w:type="first" r:id="rId14"/>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A05E0" w:rsidP="00C76BA2" w:rsidRDefault="000A05E0" w14:paraId="5804EB50" w14:textId="77777777">
      <w:pPr>
        <w:spacing w:after="0" w:line="240" w:lineRule="auto"/>
      </w:pPr>
      <w:r>
        <w:separator/>
      </w:r>
    </w:p>
  </w:endnote>
  <w:endnote w:type="continuationSeparator" w:id="0">
    <w:p w:rsidR="000A05E0" w:rsidP="00C76BA2" w:rsidRDefault="000A05E0" w14:paraId="34A2789C" w14:textId="77777777">
      <w:pPr>
        <w:spacing w:after="0" w:line="240" w:lineRule="auto"/>
      </w:pPr>
      <w:r>
        <w:continuationSeparator/>
      </w:r>
    </w:p>
  </w:endnote>
  <w:endnote w:type="continuationNotice" w:id="1">
    <w:p w:rsidR="000A05E0" w:rsidRDefault="000A05E0" w14:paraId="2408548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42443236"/>
      <w:docPartObj>
        <w:docPartGallery w:val="Page Numbers (Bottom of Page)"/>
        <w:docPartUnique/>
      </w:docPartObj>
    </w:sdtPr>
    <w:sdtEndPr>
      <w:rPr>
        <w:noProof/>
      </w:rPr>
    </w:sdtEndPr>
    <w:sdtContent>
      <w:p w:rsidR="00D46B33" w:rsidRDefault="00D46B33" w14:paraId="6293FBF5" w14:textId="26CBAA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D46B33" w:rsidRDefault="00D46B33" w14:paraId="05B64A3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A05E0" w:rsidP="00C76BA2" w:rsidRDefault="000A05E0" w14:paraId="12BB6C88" w14:textId="77777777">
      <w:pPr>
        <w:spacing w:after="0" w:line="240" w:lineRule="auto"/>
      </w:pPr>
      <w:r>
        <w:separator/>
      </w:r>
    </w:p>
  </w:footnote>
  <w:footnote w:type="continuationSeparator" w:id="0">
    <w:p w:rsidR="000A05E0" w:rsidP="00C76BA2" w:rsidRDefault="000A05E0" w14:paraId="068D6599" w14:textId="77777777">
      <w:pPr>
        <w:spacing w:after="0" w:line="240" w:lineRule="auto"/>
      </w:pPr>
      <w:r>
        <w:continuationSeparator/>
      </w:r>
    </w:p>
  </w:footnote>
  <w:footnote w:type="continuationNotice" w:id="1">
    <w:p w:rsidR="000A05E0" w:rsidRDefault="000A05E0" w14:paraId="237646E4"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7F2252" w:rsidRDefault="007F2252" w14:paraId="08BC9E1C" w14:textId="4EEEFE63">
    <w:pPr>
      <w:pStyle w:val="Header"/>
    </w:pPr>
    <w:r>
      <w:rPr>
        <w:noProof/>
      </w:rPr>
      <w:drawing>
        <wp:anchor distT="0" distB="0" distL="114300" distR="114300" simplePos="0" relativeHeight="251658240" behindDoc="0" locked="0" layoutInCell="1" allowOverlap="1" wp14:anchorId="41A1ED1D" wp14:editId="44705402">
          <wp:simplePos x="0" y="0"/>
          <wp:positionH relativeFrom="column">
            <wp:posOffset>-129540</wp:posOffset>
          </wp:positionH>
          <wp:positionV relativeFrom="paragraph">
            <wp:posOffset>-328295</wp:posOffset>
          </wp:positionV>
          <wp:extent cx="1692275" cy="981075"/>
          <wp:effectExtent l="0" t="0" r="3175" b="952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2275" cy="9810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A50C96"/>
    <w:multiLevelType w:val="hybridMultilevel"/>
    <w:tmpl w:val="36B4E7F6"/>
    <w:lvl w:ilvl="0" w:tplc="6CE62972">
      <w:start w:val="1"/>
      <w:numFmt w:val="decimal"/>
      <w:lvlText w:val="%1."/>
      <w:lvlJc w:val="left"/>
      <w:pPr>
        <w:ind w:left="720" w:hanging="360"/>
      </w:pPr>
    </w:lvl>
    <w:lvl w:ilvl="1" w:tplc="68DAD6D8">
      <w:start w:val="1"/>
      <w:numFmt w:val="lowerLetter"/>
      <w:lvlText w:val="%2."/>
      <w:lvlJc w:val="left"/>
      <w:pPr>
        <w:ind w:left="1440" w:hanging="360"/>
      </w:pPr>
    </w:lvl>
    <w:lvl w:ilvl="2" w:tplc="A3F69596">
      <w:start w:val="1"/>
      <w:numFmt w:val="lowerRoman"/>
      <w:lvlText w:val="%3."/>
      <w:lvlJc w:val="right"/>
      <w:pPr>
        <w:ind w:left="2160" w:hanging="180"/>
      </w:pPr>
    </w:lvl>
    <w:lvl w:ilvl="3" w:tplc="15047C26">
      <w:start w:val="1"/>
      <w:numFmt w:val="decimal"/>
      <w:lvlText w:val="%4."/>
      <w:lvlJc w:val="left"/>
      <w:pPr>
        <w:ind w:left="2880" w:hanging="360"/>
      </w:pPr>
    </w:lvl>
    <w:lvl w:ilvl="4" w:tplc="4B2AE878">
      <w:start w:val="1"/>
      <w:numFmt w:val="lowerLetter"/>
      <w:lvlText w:val="%5."/>
      <w:lvlJc w:val="left"/>
      <w:pPr>
        <w:ind w:left="3600" w:hanging="360"/>
      </w:pPr>
    </w:lvl>
    <w:lvl w:ilvl="5" w:tplc="C218CD16">
      <w:start w:val="1"/>
      <w:numFmt w:val="lowerRoman"/>
      <w:lvlText w:val="%6."/>
      <w:lvlJc w:val="right"/>
      <w:pPr>
        <w:ind w:left="4320" w:hanging="180"/>
      </w:pPr>
    </w:lvl>
    <w:lvl w:ilvl="6" w:tplc="6B7002FE">
      <w:start w:val="1"/>
      <w:numFmt w:val="decimal"/>
      <w:lvlText w:val="%7."/>
      <w:lvlJc w:val="left"/>
      <w:pPr>
        <w:ind w:left="5040" w:hanging="360"/>
      </w:pPr>
    </w:lvl>
    <w:lvl w:ilvl="7" w:tplc="07269ADA">
      <w:start w:val="1"/>
      <w:numFmt w:val="lowerLetter"/>
      <w:lvlText w:val="%8."/>
      <w:lvlJc w:val="left"/>
      <w:pPr>
        <w:ind w:left="5760" w:hanging="360"/>
      </w:pPr>
    </w:lvl>
    <w:lvl w:ilvl="8" w:tplc="2B9EB4E4">
      <w:start w:val="1"/>
      <w:numFmt w:val="lowerRoman"/>
      <w:lvlText w:val="%9."/>
      <w:lvlJc w:val="right"/>
      <w:pPr>
        <w:ind w:left="6480" w:hanging="180"/>
      </w:pPr>
    </w:lvl>
  </w:abstractNum>
  <w:abstractNum w:abstractNumId="1" w15:restartNumberingAfterBreak="0">
    <w:nsid w:val="22E56683"/>
    <w:multiLevelType w:val="hybridMultilevel"/>
    <w:tmpl w:val="D9CACD18"/>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2" w15:restartNumberingAfterBreak="0">
    <w:nsid w:val="27F942BA"/>
    <w:multiLevelType w:val="hybridMultilevel"/>
    <w:tmpl w:val="042A2166"/>
    <w:lvl w:ilvl="0" w:tplc="0C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7DF205C"/>
    <w:multiLevelType w:val="multilevel"/>
    <w:tmpl w:val="3A4ABB4A"/>
    <w:lvl w:ilvl="0">
      <w:start w:val="1"/>
      <w:numFmt w:val="bullet"/>
      <w:lvlText w:val=""/>
      <w:lvlJc w:val="left"/>
      <w:pPr>
        <w:tabs>
          <w:tab w:val="num" w:pos="720"/>
        </w:tabs>
        <w:ind w:left="720" w:hanging="360"/>
      </w:pPr>
      <w:rPr>
        <w:rFonts w:hint="default" w:ascii="Symbol" w:hAnsi="Symbol"/>
        <w:sz w:val="20"/>
      </w:rPr>
    </w:lvl>
    <w:lvl w:ilvl="1" w:tentative="1">
      <w:numFmt w:val="bullet"/>
      <w:lvlText w:val=""/>
      <w:lvlJc w:val="left"/>
      <w:pPr>
        <w:tabs>
          <w:tab w:val="num" w:pos="1440"/>
        </w:tabs>
        <w:ind w:left="1440" w:hanging="360"/>
      </w:pPr>
      <w:rPr>
        <w:rFonts w:hint="default" w:ascii="Symbol" w:hAnsi="Symbol"/>
        <w:sz w:val="20"/>
      </w:rPr>
    </w:lvl>
    <w:lvl w:ilvl="2" w:tentative="1">
      <w:numFmt w:val="bullet"/>
      <w:lvlText w:val=""/>
      <w:lvlJc w:val="left"/>
      <w:pPr>
        <w:tabs>
          <w:tab w:val="num" w:pos="2160"/>
        </w:tabs>
        <w:ind w:left="2160" w:hanging="360"/>
      </w:pPr>
      <w:rPr>
        <w:rFonts w:hint="default" w:ascii="Symbol" w:hAnsi="Symbol"/>
        <w:sz w:val="20"/>
      </w:rPr>
    </w:lvl>
    <w:lvl w:ilvl="3" w:tentative="1">
      <w:numFmt w:val="bullet"/>
      <w:lvlText w:val=""/>
      <w:lvlJc w:val="left"/>
      <w:pPr>
        <w:tabs>
          <w:tab w:val="num" w:pos="2880"/>
        </w:tabs>
        <w:ind w:left="2880" w:hanging="360"/>
      </w:pPr>
      <w:rPr>
        <w:rFonts w:hint="default" w:ascii="Symbol" w:hAnsi="Symbol"/>
        <w:sz w:val="20"/>
      </w:rPr>
    </w:lvl>
    <w:lvl w:ilvl="4" w:tentative="1">
      <w:numFmt w:val="bullet"/>
      <w:lvlText w:val=""/>
      <w:lvlJc w:val="left"/>
      <w:pPr>
        <w:tabs>
          <w:tab w:val="num" w:pos="3600"/>
        </w:tabs>
        <w:ind w:left="3600" w:hanging="360"/>
      </w:pPr>
      <w:rPr>
        <w:rFonts w:hint="default" w:ascii="Symbol" w:hAnsi="Symbol"/>
        <w:sz w:val="20"/>
      </w:rPr>
    </w:lvl>
    <w:lvl w:ilvl="5" w:tentative="1">
      <w:numFmt w:val="bullet"/>
      <w:lvlText w:val=""/>
      <w:lvlJc w:val="left"/>
      <w:pPr>
        <w:tabs>
          <w:tab w:val="num" w:pos="4320"/>
        </w:tabs>
        <w:ind w:left="4320" w:hanging="360"/>
      </w:pPr>
      <w:rPr>
        <w:rFonts w:hint="default" w:ascii="Symbol" w:hAnsi="Symbol"/>
        <w:sz w:val="20"/>
      </w:rPr>
    </w:lvl>
    <w:lvl w:ilvl="6" w:tentative="1">
      <w:numFmt w:val="bullet"/>
      <w:lvlText w:val=""/>
      <w:lvlJc w:val="left"/>
      <w:pPr>
        <w:tabs>
          <w:tab w:val="num" w:pos="5040"/>
        </w:tabs>
        <w:ind w:left="5040" w:hanging="360"/>
      </w:pPr>
      <w:rPr>
        <w:rFonts w:hint="default" w:ascii="Symbol" w:hAnsi="Symbol"/>
        <w:sz w:val="20"/>
      </w:rPr>
    </w:lvl>
    <w:lvl w:ilvl="7" w:tentative="1">
      <w:numFmt w:val="bullet"/>
      <w:lvlText w:val=""/>
      <w:lvlJc w:val="left"/>
      <w:pPr>
        <w:tabs>
          <w:tab w:val="num" w:pos="5760"/>
        </w:tabs>
        <w:ind w:left="5760" w:hanging="360"/>
      </w:pPr>
      <w:rPr>
        <w:rFonts w:hint="default" w:ascii="Symbol" w:hAnsi="Symbol"/>
        <w:sz w:val="20"/>
      </w:rPr>
    </w:lvl>
    <w:lvl w:ilvl="8" w:tentative="1">
      <w:numFmt w:val="bullet"/>
      <w:lvlText w:val=""/>
      <w:lvlJc w:val="left"/>
      <w:pPr>
        <w:tabs>
          <w:tab w:val="num" w:pos="6480"/>
        </w:tabs>
        <w:ind w:left="6480" w:hanging="360"/>
      </w:pPr>
      <w:rPr>
        <w:rFonts w:hint="default" w:ascii="Symbol" w:hAnsi="Symbol"/>
        <w:sz w:val="20"/>
      </w:rPr>
    </w:lvl>
  </w:abstractNum>
  <w:abstractNum w:abstractNumId="4" w15:restartNumberingAfterBreak="0">
    <w:nsid w:val="493118D3"/>
    <w:multiLevelType w:val="multilevel"/>
    <w:tmpl w:val="FA0EA5A8"/>
    <w:lvl w:ilvl="0">
      <w:start w:val="1"/>
      <w:numFmt w:val="bullet"/>
      <w:lvlText w:val=""/>
      <w:lvlJc w:val="left"/>
      <w:pPr>
        <w:tabs>
          <w:tab w:val="num" w:pos="720"/>
        </w:tabs>
        <w:ind w:left="720" w:hanging="360"/>
      </w:pPr>
      <w:rPr>
        <w:rFonts w:hint="default" w:ascii="Symbol" w:hAnsi="Symbol"/>
        <w:sz w:val="20"/>
      </w:rPr>
    </w:lvl>
    <w:lvl w:ilvl="1" w:tentative="1">
      <w:numFmt w:val="bullet"/>
      <w:lvlText w:val=""/>
      <w:lvlJc w:val="left"/>
      <w:pPr>
        <w:tabs>
          <w:tab w:val="num" w:pos="1440"/>
        </w:tabs>
        <w:ind w:left="1440" w:hanging="360"/>
      </w:pPr>
      <w:rPr>
        <w:rFonts w:hint="default" w:ascii="Symbol" w:hAnsi="Symbol"/>
        <w:sz w:val="20"/>
      </w:rPr>
    </w:lvl>
    <w:lvl w:ilvl="2" w:tentative="1">
      <w:numFmt w:val="bullet"/>
      <w:lvlText w:val=""/>
      <w:lvlJc w:val="left"/>
      <w:pPr>
        <w:tabs>
          <w:tab w:val="num" w:pos="2160"/>
        </w:tabs>
        <w:ind w:left="2160" w:hanging="360"/>
      </w:pPr>
      <w:rPr>
        <w:rFonts w:hint="default" w:ascii="Symbol" w:hAnsi="Symbol"/>
        <w:sz w:val="20"/>
      </w:rPr>
    </w:lvl>
    <w:lvl w:ilvl="3" w:tentative="1">
      <w:numFmt w:val="bullet"/>
      <w:lvlText w:val=""/>
      <w:lvlJc w:val="left"/>
      <w:pPr>
        <w:tabs>
          <w:tab w:val="num" w:pos="2880"/>
        </w:tabs>
        <w:ind w:left="2880" w:hanging="360"/>
      </w:pPr>
      <w:rPr>
        <w:rFonts w:hint="default" w:ascii="Symbol" w:hAnsi="Symbol"/>
        <w:sz w:val="20"/>
      </w:rPr>
    </w:lvl>
    <w:lvl w:ilvl="4" w:tentative="1">
      <w:numFmt w:val="bullet"/>
      <w:lvlText w:val=""/>
      <w:lvlJc w:val="left"/>
      <w:pPr>
        <w:tabs>
          <w:tab w:val="num" w:pos="3600"/>
        </w:tabs>
        <w:ind w:left="3600" w:hanging="360"/>
      </w:pPr>
      <w:rPr>
        <w:rFonts w:hint="default" w:ascii="Symbol" w:hAnsi="Symbol"/>
        <w:sz w:val="20"/>
      </w:rPr>
    </w:lvl>
    <w:lvl w:ilvl="5" w:tentative="1">
      <w:numFmt w:val="bullet"/>
      <w:lvlText w:val=""/>
      <w:lvlJc w:val="left"/>
      <w:pPr>
        <w:tabs>
          <w:tab w:val="num" w:pos="4320"/>
        </w:tabs>
        <w:ind w:left="4320" w:hanging="360"/>
      </w:pPr>
      <w:rPr>
        <w:rFonts w:hint="default" w:ascii="Symbol" w:hAnsi="Symbol"/>
        <w:sz w:val="20"/>
      </w:rPr>
    </w:lvl>
    <w:lvl w:ilvl="6" w:tentative="1">
      <w:numFmt w:val="bullet"/>
      <w:lvlText w:val=""/>
      <w:lvlJc w:val="left"/>
      <w:pPr>
        <w:tabs>
          <w:tab w:val="num" w:pos="5040"/>
        </w:tabs>
        <w:ind w:left="5040" w:hanging="360"/>
      </w:pPr>
      <w:rPr>
        <w:rFonts w:hint="default" w:ascii="Symbol" w:hAnsi="Symbol"/>
        <w:sz w:val="20"/>
      </w:rPr>
    </w:lvl>
    <w:lvl w:ilvl="7" w:tentative="1">
      <w:numFmt w:val="bullet"/>
      <w:lvlText w:val=""/>
      <w:lvlJc w:val="left"/>
      <w:pPr>
        <w:tabs>
          <w:tab w:val="num" w:pos="5760"/>
        </w:tabs>
        <w:ind w:left="5760" w:hanging="360"/>
      </w:pPr>
      <w:rPr>
        <w:rFonts w:hint="default" w:ascii="Symbol" w:hAnsi="Symbol"/>
        <w:sz w:val="20"/>
      </w:rPr>
    </w:lvl>
    <w:lvl w:ilvl="8" w:tentative="1">
      <w:numFmt w:val="bullet"/>
      <w:lvlText w:val=""/>
      <w:lvlJc w:val="left"/>
      <w:pPr>
        <w:tabs>
          <w:tab w:val="num" w:pos="6480"/>
        </w:tabs>
        <w:ind w:left="6480" w:hanging="360"/>
      </w:pPr>
      <w:rPr>
        <w:rFonts w:hint="default" w:ascii="Symbol" w:hAnsi="Symbol"/>
        <w:sz w:val="20"/>
      </w:rPr>
    </w:lvl>
  </w:abstractNum>
  <w:num w:numId="1" w16cid:durableId="903678803">
    <w:abstractNumId w:val="0"/>
  </w:num>
  <w:num w:numId="2" w16cid:durableId="1646004719">
    <w:abstractNumId w:val="1"/>
  </w:num>
  <w:num w:numId="3" w16cid:durableId="1524051653">
    <w:abstractNumId w:val="2"/>
  </w:num>
  <w:num w:numId="4" w16cid:durableId="1157720424">
    <w:abstractNumId w:val="4"/>
  </w:num>
  <w:num w:numId="5" w16cid:durableId="17498876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CBF"/>
    <w:rsid w:val="00001000"/>
    <w:rsid w:val="00005A7F"/>
    <w:rsid w:val="0000738F"/>
    <w:rsid w:val="000101C8"/>
    <w:rsid w:val="00010ACB"/>
    <w:rsid w:val="0001126D"/>
    <w:rsid w:val="00013100"/>
    <w:rsid w:val="00013464"/>
    <w:rsid w:val="00014600"/>
    <w:rsid w:val="00014B7F"/>
    <w:rsid w:val="0001565F"/>
    <w:rsid w:val="00015A30"/>
    <w:rsid w:val="00015EC1"/>
    <w:rsid w:val="0001665A"/>
    <w:rsid w:val="00017D77"/>
    <w:rsid w:val="00023DFC"/>
    <w:rsid w:val="00024B3C"/>
    <w:rsid w:val="00024F95"/>
    <w:rsid w:val="00025DD7"/>
    <w:rsid w:val="00026A1F"/>
    <w:rsid w:val="00027053"/>
    <w:rsid w:val="000275D1"/>
    <w:rsid w:val="00030C5B"/>
    <w:rsid w:val="00032721"/>
    <w:rsid w:val="00034636"/>
    <w:rsid w:val="00034E6F"/>
    <w:rsid w:val="00037ED9"/>
    <w:rsid w:val="000404E4"/>
    <w:rsid w:val="00042F57"/>
    <w:rsid w:val="00043D28"/>
    <w:rsid w:val="000444CF"/>
    <w:rsid w:val="0004520D"/>
    <w:rsid w:val="00045E3D"/>
    <w:rsid w:val="00060A04"/>
    <w:rsid w:val="00072E41"/>
    <w:rsid w:val="00077A8B"/>
    <w:rsid w:val="00080293"/>
    <w:rsid w:val="00080A9F"/>
    <w:rsid w:val="000816E1"/>
    <w:rsid w:val="00082229"/>
    <w:rsid w:val="00082234"/>
    <w:rsid w:val="0008295B"/>
    <w:rsid w:val="0008715D"/>
    <w:rsid w:val="00091979"/>
    <w:rsid w:val="00092B14"/>
    <w:rsid w:val="00095FCA"/>
    <w:rsid w:val="00096822"/>
    <w:rsid w:val="00096A18"/>
    <w:rsid w:val="00097DD3"/>
    <w:rsid w:val="000A05E0"/>
    <w:rsid w:val="000A1676"/>
    <w:rsid w:val="000A666A"/>
    <w:rsid w:val="000A7DFF"/>
    <w:rsid w:val="000B02DE"/>
    <w:rsid w:val="000B0735"/>
    <w:rsid w:val="000B2457"/>
    <w:rsid w:val="000B3277"/>
    <w:rsid w:val="000B5408"/>
    <w:rsid w:val="000B6B7E"/>
    <w:rsid w:val="000B72C9"/>
    <w:rsid w:val="000B733F"/>
    <w:rsid w:val="000B7408"/>
    <w:rsid w:val="000C05E2"/>
    <w:rsid w:val="000C2C1A"/>
    <w:rsid w:val="000D1050"/>
    <w:rsid w:val="000D306B"/>
    <w:rsid w:val="000D33A6"/>
    <w:rsid w:val="000D3F18"/>
    <w:rsid w:val="000D4E2D"/>
    <w:rsid w:val="000D5285"/>
    <w:rsid w:val="000D5799"/>
    <w:rsid w:val="000E0722"/>
    <w:rsid w:val="000E15C7"/>
    <w:rsid w:val="000E177C"/>
    <w:rsid w:val="000E2C0A"/>
    <w:rsid w:val="000E394B"/>
    <w:rsid w:val="000E4549"/>
    <w:rsid w:val="000E47D3"/>
    <w:rsid w:val="000F3730"/>
    <w:rsid w:val="00101FAE"/>
    <w:rsid w:val="00103547"/>
    <w:rsid w:val="001045B0"/>
    <w:rsid w:val="00107F05"/>
    <w:rsid w:val="001122EA"/>
    <w:rsid w:val="00112FDC"/>
    <w:rsid w:val="00113CD9"/>
    <w:rsid w:val="0011506A"/>
    <w:rsid w:val="00116CC8"/>
    <w:rsid w:val="0011702C"/>
    <w:rsid w:val="00120383"/>
    <w:rsid w:val="001209E6"/>
    <w:rsid w:val="00125AAC"/>
    <w:rsid w:val="00140AE3"/>
    <w:rsid w:val="00142FDF"/>
    <w:rsid w:val="00143A89"/>
    <w:rsid w:val="00144D88"/>
    <w:rsid w:val="001459A5"/>
    <w:rsid w:val="00146AEC"/>
    <w:rsid w:val="0014768C"/>
    <w:rsid w:val="001479EB"/>
    <w:rsid w:val="001526A9"/>
    <w:rsid w:val="001542DE"/>
    <w:rsid w:val="001543D5"/>
    <w:rsid w:val="00161AAC"/>
    <w:rsid w:val="0016201E"/>
    <w:rsid w:val="001658DE"/>
    <w:rsid w:val="00172FAE"/>
    <w:rsid w:val="00177A1C"/>
    <w:rsid w:val="00180227"/>
    <w:rsid w:val="00180A82"/>
    <w:rsid w:val="00181414"/>
    <w:rsid w:val="0018400F"/>
    <w:rsid w:val="00184E01"/>
    <w:rsid w:val="0018760B"/>
    <w:rsid w:val="00192113"/>
    <w:rsid w:val="00192267"/>
    <w:rsid w:val="001A307E"/>
    <w:rsid w:val="001A6E2A"/>
    <w:rsid w:val="001B1DD6"/>
    <w:rsid w:val="001B5CBF"/>
    <w:rsid w:val="001B6755"/>
    <w:rsid w:val="001B77D2"/>
    <w:rsid w:val="001C015F"/>
    <w:rsid w:val="001C0174"/>
    <w:rsid w:val="001C1E2D"/>
    <w:rsid w:val="001C3841"/>
    <w:rsid w:val="001D7173"/>
    <w:rsid w:val="001E2C08"/>
    <w:rsid w:val="001E30FC"/>
    <w:rsid w:val="001E4FFC"/>
    <w:rsid w:val="001E6531"/>
    <w:rsid w:val="001E7519"/>
    <w:rsid w:val="001F1387"/>
    <w:rsid w:val="001F13D5"/>
    <w:rsid w:val="001F14DE"/>
    <w:rsid w:val="001F4A37"/>
    <w:rsid w:val="001F4A54"/>
    <w:rsid w:val="00200E2F"/>
    <w:rsid w:val="00205F91"/>
    <w:rsid w:val="00217BAE"/>
    <w:rsid w:val="002204F1"/>
    <w:rsid w:val="002234EA"/>
    <w:rsid w:val="00230A0A"/>
    <w:rsid w:val="00230AD8"/>
    <w:rsid w:val="002321AC"/>
    <w:rsid w:val="00232FC5"/>
    <w:rsid w:val="0023665C"/>
    <w:rsid w:val="00236917"/>
    <w:rsid w:val="0023716C"/>
    <w:rsid w:val="00237889"/>
    <w:rsid w:val="0023789C"/>
    <w:rsid w:val="00243487"/>
    <w:rsid w:val="00245575"/>
    <w:rsid w:val="002471FA"/>
    <w:rsid w:val="0024721B"/>
    <w:rsid w:val="002473CE"/>
    <w:rsid w:val="002508A1"/>
    <w:rsid w:val="002523C2"/>
    <w:rsid w:val="00256B06"/>
    <w:rsid w:val="0025710F"/>
    <w:rsid w:val="002578CF"/>
    <w:rsid w:val="00257A5C"/>
    <w:rsid w:val="00262DA9"/>
    <w:rsid w:val="00264A39"/>
    <w:rsid w:val="00272A7F"/>
    <w:rsid w:val="00275B9C"/>
    <w:rsid w:val="00280FF5"/>
    <w:rsid w:val="002824D0"/>
    <w:rsid w:val="00284299"/>
    <w:rsid w:val="00285C0D"/>
    <w:rsid w:val="00290A28"/>
    <w:rsid w:val="002916D7"/>
    <w:rsid w:val="002917E0"/>
    <w:rsid w:val="00291BC6"/>
    <w:rsid w:val="00292727"/>
    <w:rsid w:val="00293467"/>
    <w:rsid w:val="002A0790"/>
    <w:rsid w:val="002A21C9"/>
    <w:rsid w:val="002A2B60"/>
    <w:rsid w:val="002A3ADC"/>
    <w:rsid w:val="002A3F05"/>
    <w:rsid w:val="002A3FBB"/>
    <w:rsid w:val="002A473E"/>
    <w:rsid w:val="002A49BE"/>
    <w:rsid w:val="002A75EC"/>
    <w:rsid w:val="002B0508"/>
    <w:rsid w:val="002B5CC7"/>
    <w:rsid w:val="002B60FC"/>
    <w:rsid w:val="002B687E"/>
    <w:rsid w:val="002C20F5"/>
    <w:rsid w:val="002C42FB"/>
    <w:rsid w:val="002C7F7D"/>
    <w:rsid w:val="002D0B47"/>
    <w:rsid w:val="002D1AA9"/>
    <w:rsid w:val="002D3AD3"/>
    <w:rsid w:val="002D6680"/>
    <w:rsid w:val="002D675B"/>
    <w:rsid w:val="002D6D07"/>
    <w:rsid w:val="002E6B27"/>
    <w:rsid w:val="002E6D96"/>
    <w:rsid w:val="002F5F58"/>
    <w:rsid w:val="002F78D1"/>
    <w:rsid w:val="003013AD"/>
    <w:rsid w:val="0030471F"/>
    <w:rsid w:val="00305336"/>
    <w:rsid w:val="00307CB8"/>
    <w:rsid w:val="00310608"/>
    <w:rsid w:val="0031142B"/>
    <w:rsid w:val="00312AE0"/>
    <w:rsid w:val="00316EB5"/>
    <w:rsid w:val="00316F79"/>
    <w:rsid w:val="003224B9"/>
    <w:rsid w:val="003266CC"/>
    <w:rsid w:val="0033065D"/>
    <w:rsid w:val="0033415E"/>
    <w:rsid w:val="003358E0"/>
    <w:rsid w:val="00336445"/>
    <w:rsid w:val="0033746D"/>
    <w:rsid w:val="00341D5C"/>
    <w:rsid w:val="0034535B"/>
    <w:rsid w:val="0035085E"/>
    <w:rsid w:val="003522C7"/>
    <w:rsid w:val="00352AEE"/>
    <w:rsid w:val="00363676"/>
    <w:rsid w:val="00365098"/>
    <w:rsid w:val="0036598A"/>
    <w:rsid w:val="00366ACF"/>
    <w:rsid w:val="00366C1F"/>
    <w:rsid w:val="00367887"/>
    <w:rsid w:val="00371359"/>
    <w:rsid w:val="00371874"/>
    <w:rsid w:val="003724CF"/>
    <w:rsid w:val="0037429D"/>
    <w:rsid w:val="00383F2A"/>
    <w:rsid w:val="00386CD3"/>
    <w:rsid w:val="00392B0E"/>
    <w:rsid w:val="0039377F"/>
    <w:rsid w:val="003945EE"/>
    <w:rsid w:val="003A5FA7"/>
    <w:rsid w:val="003A70AA"/>
    <w:rsid w:val="003B621F"/>
    <w:rsid w:val="003B7753"/>
    <w:rsid w:val="003C3DE7"/>
    <w:rsid w:val="003C4FD1"/>
    <w:rsid w:val="003D3465"/>
    <w:rsid w:val="003D37E2"/>
    <w:rsid w:val="003D3EAB"/>
    <w:rsid w:val="003D4844"/>
    <w:rsid w:val="003D5495"/>
    <w:rsid w:val="003E09A1"/>
    <w:rsid w:val="003E4484"/>
    <w:rsid w:val="003F02EC"/>
    <w:rsid w:val="003F04CF"/>
    <w:rsid w:val="003F3EB5"/>
    <w:rsid w:val="003F4AAC"/>
    <w:rsid w:val="003F4E28"/>
    <w:rsid w:val="004012E0"/>
    <w:rsid w:val="0040336E"/>
    <w:rsid w:val="0040587E"/>
    <w:rsid w:val="0040743C"/>
    <w:rsid w:val="004113EF"/>
    <w:rsid w:val="0041386D"/>
    <w:rsid w:val="00415384"/>
    <w:rsid w:val="00415DFE"/>
    <w:rsid w:val="00423FEA"/>
    <w:rsid w:val="00425943"/>
    <w:rsid w:val="0042663D"/>
    <w:rsid w:val="0043288F"/>
    <w:rsid w:val="00432DFC"/>
    <w:rsid w:val="00436BB6"/>
    <w:rsid w:val="0044242B"/>
    <w:rsid w:val="00442984"/>
    <w:rsid w:val="00442A65"/>
    <w:rsid w:val="00442A6F"/>
    <w:rsid w:val="00445897"/>
    <w:rsid w:val="00452AE0"/>
    <w:rsid w:val="004539B8"/>
    <w:rsid w:val="004547A7"/>
    <w:rsid w:val="004561E2"/>
    <w:rsid w:val="00456335"/>
    <w:rsid w:val="00456F57"/>
    <w:rsid w:val="0046192C"/>
    <w:rsid w:val="00461EE7"/>
    <w:rsid w:val="00464AF9"/>
    <w:rsid w:val="0047709A"/>
    <w:rsid w:val="00481965"/>
    <w:rsid w:val="004819D2"/>
    <w:rsid w:val="00483558"/>
    <w:rsid w:val="0048461F"/>
    <w:rsid w:val="004869BB"/>
    <w:rsid w:val="00486C8F"/>
    <w:rsid w:val="004902B0"/>
    <w:rsid w:val="00494DBB"/>
    <w:rsid w:val="00496576"/>
    <w:rsid w:val="00496EB5"/>
    <w:rsid w:val="00497FED"/>
    <w:rsid w:val="004A393D"/>
    <w:rsid w:val="004B0024"/>
    <w:rsid w:val="004B0488"/>
    <w:rsid w:val="004B0E69"/>
    <w:rsid w:val="004B37A7"/>
    <w:rsid w:val="004B42A5"/>
    <w:rsid w:val="004B75D0"/>
    <w:rsid w:val="004D3BBD"/>
    <w:rsid w:val="004D3E5B"/>
    <w:rsid w:val="004D4F2F"/>
    <w:rsid w:val="004D622E"/>
    <w:rsid w:val="004D6470"/>
    <w:rsid w:val="004D6856"/>
    <w:rsid w:val="004D74AD"/>
    <w:rsid w:val="004E2485"/>
    <w:rsid w:val="004E3EB7"/>
    <w:rsid w:val="004E5242"/>
    <w:rsid w:val="004E560E"/>
    <w:rsid w:val="004F115F"/>
    <w:rsid w:val="004F5191"/>
    <w:rsid w:val="004F5C1C"/>
    <w:rsid w:val="00501D6B"/>
    <w:rsid w:val="0050733B"/>
    <w:rsid w:val="00507F2F"/>
    <w:rsid w:val="00512FB8"/>
    <w:rsid w:val="00513014"/>
    <w:rsid w:val="00520909"/>
    <w:rsid w:val="005218C3"/>
    <w:rsid w:val="005261A6"/>
    <w:rsid w:val="0053110C"/>
    <w:rsid w:val="005328C0"/>
    <w:rsid w:val="00534040"/>
    <w:rsid w:val="00535992"/>
    <w:rsid w:val="005407FF"/>
    <w:rsid w:val="00541B38"/>
    <w:rsid w:val="00554582"/>
    <w:rsid w:val="00565510"/>
    <w:rsid w:val="00566188"/>
    <w:rsid w:val="00572796"/>
    <w:rsid w:val="005734F3"/>
    <w:rsid w:val="00574CE2"/>
    <w:rsid w:val="00575322"/>
    <w:rsid w:val="00581721"/>
    <w:rsid w:val="0058334C"/>
    <w:rsid w:val="00586DE7"/>
    <w:rsid w:val="005909E6"/>
    <w:rsid w:val="00591645"/>
    <w:rsid w:val="00592F28"/>
    <w:rsid w:val="00594508"/>
    <w:rsid w:val="00595472"/>
    <w:rsid w:val="005A0342"/>
    <w:rsid w:val="005A2E82"/>
    <w:rsid w:val="005A3DD6"/>
    <w:rsid w:val="005A5210"/>
    <w:rsid w:val="005A5FEA"/>
    <w:rsid w:val="005A73A6"/>
    <w:rsid w:val="005B10D0"/>
    <w:rsid w:val="005B200F"/>
    <w:rsid w:val="005B4717"/>
    <w:rsid w:val="005B576E"/>
    <w:rsid w:val="005B5903"/>
    <w:rsid w:val="005B6504"/>
    <w:rsid w:val="005C3D24"/>
    <w:rsid w:val="005D0B3D"/>
    <w:rsid w:val="005D13E7"/>
    <w:rsid w:val="005D352C"/>
    <w:rsid w:val="005D6BC0"/>
    <w:rsid w:val="005E224B"/>
    <w:rsid w:val="005E2317"/>
    <w:rsid w:val="005E4067"/>
    <w:rsid w:val="005F287F"/>
    <w:rsid w:val="005F3AFB"/>
    <w:rsid w:val="0060082E"/>
    <w:rsid w:val="00601134"/>
    <w:rsid w:val="006021A8"/>
    <w:rsid w:val="0060406B"/>
    <w:rsid w:val="00606B77"/>
    <w:rsid w:val="0061036C"/>
    <w:rsid w:val="00610EAA"/>
    <w:rsid w:val="006146A0"/>
    <w:rsid w:val="00617BB9"/>
    <w:rsid w:val="00622CA4"/>
    <w:rsid w:val="006242A0"/>
    <w:rsid w:val="00625112"/>
    <w:rsid w:val="00625225"/>
    <w:rsid w:val="0062705D"/>
    <w:rsid w:val="006341DF"/>
    <w:rsid w:val="00634CF1"/>
    <w:rsid w:val="006372A0"/>
    <w:rsid w:val="00637B29"/>
    <w:rsid w:val="00640BB1"/>
    <w:rsid w:val="00641B2A"/>
    <w:rsid w:val="0064365F"/>
    <w:rsid w:val="00652C28"/>
    <w:rsid w:val="00657B37"/>
    <w:rsid w:val="00660098"/>
    <w:rsid w:val="006622B5"/>
    <w:rsid w:val="00667D72"/>
    <w:rsid w:val="0067091A"/>
    <w:rsid w:val="006727F3"/>
    <w:rsid w:val="00677411"/>
    <w:rsid w:val="00680081"/>
    <w:rsid w:val="00681041"/>
    <w:rsid w:val="00683081"/>
    <w:rsid w:val="00683E06"/>
    <w:rsid w:val="006845A8"/>
    <w:rsid w:val="00691ECE"/>
    <w:rsid w:val="00692875"/>
    <w:rsid w:val="006936D2"/>
    <w:rsid w:val="00695A1E"/>
    <w:rsid w:val="006A02A8"/>
    <w:rsid w:val="006A0AD4"/>
    <w:rsid w:val="006A5A45"/>
    <w:rsid w:val="006A609A"/>
    <w:rsid w:val="006A753E"/>
    <w:rsid w:val="006B1376"/>
    <w:rsid w:val="006B6481"/>
    <w:rsid w:val="006C2730"/>
    <w:rsid w:val="006C3D57"/>
    <w:rsid w:val="006C5675"/>
    <w:rsid w:val="006D04E3"/>
    <w:rsid w:val="006D135C"/>
    <w:rsid w:val="006D53C4"/>
    <w:rsid w:val="006D53DF"/>
    <w:rsid w:val="006E061C"/>
    <w:rsid w:val="006E0BE9"/>
    <w:rsid w:val="006E32BB"/>
    <w:rsid w:val="006E5383"/>
    <w:rsid w:val="006E5504"/>
    <w:rsid w:val="006E5693"/>
    <w:rsid w:val="006E6820"/>
    <w:rsid w:val="006E795E"/>
    <w:rsid w:val="006E7D7F"/>
    <w:rsid w:val="006F116A"/>
    <w:rsid w:val="006F1CAC"/>
    <w:rsid w:val="006F2E15"/>
    <w:rsid w:val="006F33CB"/>
    <w:rsid w:val="006F3DA5"/>
    <w:rsid w:val="007000DA"/>
    <w:rsid w:val="0070376C"/>
    <w:rsid w:val="0070427F"/>
    <w:rsid w:val="00705F02"/>
    <w:rsid w:val="00707DA4"/>
    <w:rsid w:val="00712C7C"/>
    <w:rsid w:val="00713E29"/>
    <w:rsid w:val="00713FB6"/>
    <w:rsid w:val="007168D5"/>
    <w:rsid w:val="007230A3"/>
    <w:rsid w:val="00723EEB"/>
    <w:rsid w:val="007246A0"/>
    <w:rsid w:val="00724AA7"/>
    <w:rsid w:val="007300B2"/>
    <w:rsid w:val="0073204B"/>
    <w:rsid w:val="00732CCF"/>
    <w:rsid w:val="00734B8C"/>
    <w:rsid w:val="00734C34"/>
    <w:rsid w:val="00735F35"/>
    <w:rsid w:val="0073793A"/>
    <w:rsid w:val="00741F67"/>
    <w:rsid w:val="00742ADD"/>
    <w:rsid w:val="007432EF"/>
    <w:rsid w:val="00744761"/>
    <w:rsid w:val="007448F5"/>
    <w:rsid w:val="007457DB"/>
    <w:rsid w:val="00745F71"/>
    <w:rsid w:val="00750D8B"/>
    <w:rsid w:val="0075139F"/>
    <w:rsid w:val="00760895"/>
    <w:rsid w:val="007624BB"/>
    <w:rsid w:val="00764C04"/>
    <w:rsid w:val="007675DB"/>
    <w:rsid w:val="0077631D"/>
    <w:rsid w:val="00780BC9"/>
    <w:rsid w:val="007817A1"/>
    <w:rsid w:val="00782AAF"/>
    <w:rsid w:val="007840BF"/>
    <w:rsid w:val="00785134"/>
    <w:rsid w:val="0079067E"/>
    <w:rsid w:val="00790988"/>
    <w:rsid w:val="00793096"/>
    <w:rsid w:val="007954E0"/>
    <w:rsid w:val="007A0082"/>
    <w:rsid w:val="007B1429"/>
    <w:rsid w:val="007B5155"/>
    <w:rsid w:val="007B53BE"/>
    <w:rsid w:val="007B7357"/>
    <w:rsid w:val="007C31A5"/>
    <w:rsid w:val="007C554F"/>
    <w:rsid w:val="007C5E8D"/>
    <w:rsid w:val="007C6AC6"/>
    <w:rsid w:val="007D1743"/>
    <w:rsid w:val="007D2673"/>
    <w:rsid w:val="007D46F8"/>
    <w:rsid w:val="007D4869"/>
    <w:rsid w:val="007D53DB"/>
    <w:rsid w:val="007E1587"/>
    <w:rsid w:val="007E4912"/>
    <w:rsid w:val="007E5216"/>
    <w:rsid w:val="007F2252"/>
    <w:rsid w:val="007F40B4"/>
    <w:rsid w:val="007F595B"/>
    <w:rsid w:val="00802A8C"/>
    <w:rsid w:val="00804204"/>
    <w:rsid w:val="00805667"/>
    <w:rsid w:val="00811041"/>
    <w:rsid w:val="0081240B"/>
    <w:rsid w:val="00814CC4"/>
    <w:rsid w:val="0081571C"/>
    <w:rsid w:val="00820A20"/>
    <w:rsid w:val="008301EA"/>
    <w:rsid w:val="00830A65"/>
    <w:rsid w:val="00834087"/>
    <w:rsid w:val="008343E7"/>
    <w:rsid w:val="008348FE"/>
    <w:rsid w:val="00841219"/>
    <w:rsid w:val="00841AA8"/>
    <w:rsid w:val="00844096"/>
    <w:rsid w:val="0084488F"/>
    <w:rsid w:val="008477D2"/>
    <w:rsid w:val="00847ECC"/>
    <w:rsid w:val="0085058F"/>
    <w:rsid w:val="0085465A"/>
    <w:rsid w:val="0085606F"/>
    <w:rsid w:val="00856C08"/>
    <w:rsid w:val="00861724"/>
    <w:rsid w:val="0086214C"/>
    <w:rsid w:val="0086314A"/>
    <w:rsid w:val="0086342E"/>
    <w:rsid w:val="0086363B"/>
    <w:rsid w:val="0086519A"/>
    <w:rsid w:val="00870773"/>
    <w:rsid w:val="0087106E"/>
    <w:rsid w:val="00872A3E"/>
    <w:rsid w:val="00875812"/>
    <w:rsid w:val="00883B91"/>
    <w:rsid w:val="00886AF6"/>
    <w:rsid w:val="00886C6A"/>
    <w:rsid w:val="00892049"/>
    <w:rsid w:val="00893989"/>
    <w:rsid w:val="00893FFB"/>
    <w:rsid w:val="00895CB1"/>
    <w:rsid w:val="00896FB6"/>
    <w:rsid w:val="008A1ADE"/>
    <w:rsid w:val="008A4E4F"/>
    <w:rsid w:val="008A52EF"/>
    <w:rsid w:val="008B0A09"/>
    <w:rsid w:val="008B16D8"/>
    <w:rsid w:val="008B3839"/>
    <w:rsid w:val="008B488C"/>
    <w:rsid w:val="008C09C7"/>
    <w:rsid w:val="008C1E19"/>
    <w:rsid w:val="008C2488"/>
    <w:rsid w:val="008C2F53"/>
    <w:rsid w:val="008C4530"/>
    <w:rsid w:val="008C607C"/>
    <w:rsid w:val="008C61E9"/>
    <w:rsid w:val="008C6DC1"/>
    <w:rsid w:val="008D1CEA"/>
    <w:rsid w:val="008D6099"/>
    <w:rsid w:val="008E25DE"/>
    <w:rsid w:val="008E4147"/>
    <w:rsid w:val="008E5D32"/>
    <w:rsid w:val="008E7D99"/>
    <w:rsid w:val="008F08F3"/>
    <w:rsid w:val="008F7599"/>
    <w:rsid w:val="00902170"/>
    <w:rsid w:val="00907DF9"/>
    <w:rsid w:val="0091188F"/>
    <w:rsid w:val="0091284E"/>
    <w:rsid w:val="009134B4"/>
    <w:rsid w:val="009161BF"/>
    <w:rsid w:val="0091648B"/>
    <w:rsid w:val="009176FB"/>
    <w:rsid w:val="00921802"/>
    <w:rsid w:val="00921B5E"/>
    <w:rsid w:val="00922D95"/>
    <w:rsid w:val="00924185"/>
    <w:rsid w:val="0092619C"/>
    <w:rsid w:val="0092786E"/>
    <w:rsid w:val="009300FA"/>
    <w:rsid w:val="00930ADF"/>
    <w:rsid w:val="00933FBC"/>
    <w:rsid w:val="009354F1"/>
    <w:rsid w:val="00935B60"/>
    <w:rsid w:val="00945D79"/>
    <w:rsid w:val="00947069"/>
    <w:rsid w:val="00954D1E"/>
    <w:rsid w:val="00955124"/>
    <w:rsid w:val="00957A7B"/>
    <w:rsid w:val="00962890"/>
    <w:rsid w:val="009641FC"/>
    <w:rsid w:val="00965C6E"/>
    <w:rsid w:val="00967DCC"/>
    <w:rsid w:val="00970EF1"/>
    <w:rsid w:val="00974303"/>
    <w:rsid w:val="00977B6F"/>
    <w:rsid w:val="00981DC2"/>
    <w:rsid w:val="0099095D"/>
    <w:rsid w:val="00991CCB"/>
    <w:rsid w:val="0099352D"/>
    <w:rsid w:val="0099592B"/>
    <w:rsid w:val="0099615D"/>
    <w:rsid w:val="00996565"/>
    <w:rsid w:val="009A0E3B"/>
    <w:rsid w:val="009A4DD0"/>
    <w:rsid w:val="009A76AB"/>
    <w:rsid w:val="009B0179"/>
    <w:rsid w:val="009B0BFD"/>
    <w:rsid w:val="009B4411"/>
    <w:rsid w:val="009B4E39"/>
    <w:rsid w:val="009B6117"/>
    <w:rsid w:val="009B6A27"/>
    <w:rsid w:val="009B721B"/>
    <w:rsid w:val="009C125B"/>
    <w:rsid w:val="009C2918"/>
    <w:rsid w:val="009C5D1D"/>
    <w:rsid w:val="009C63BE"/>
    <w:rsid w:val="009D0BD2"/>
    <w:rsid w:val="009D5078"/>
    <w:rsid w:val="009E0E99"/>
    <w:rsid w:val="009E1480"/>
    <w:rsid w:val="009E1605"/>
    <w:rsid w:val="009E169D"/>
    <w:rsid w:val="009E2333"/>
    <w:rsid w:val="009E5BD7"/>
    <w:rsid w:val="009E6338"/>
    <w:rsid w:val="009E6ABA"/>
    <w:rsid w:val="009E7E1D"/>
    <w:rsid w:val="009F48B1"/>
    <w:rsid w:val="009F6DCD"/>
    <w:rsid w:val="00A0081F"/>
    <w:rsid w:val="00A00F7B"/>
    <w:rsid w:val="00A12A52"/>
    <w:rsid w:val="00A140D5"/>
    <w:rsid w:val="00A17743"/>
    <w:rsid w:val="00A20274"/>
    <w:rsid w:val="00A24AC5"/>
    <w:rsid w:val="00A25685"/>
    <w:rsid w:val="00A26282"/>
    <w:rsid w:val="00A267CC"/>
    <w:rsid w:val="00A31281"/>
    <w:rsid w:val="00A326AB"/>
    <w:rsid w:val="00A33C98"/>
    <w:rsid w:val="00A37F09"/>
    <w:rsid w:val="00A406CC"/>
    <w:rsid w:val="00A43536"/>
    <w:rsid w:val="00A43ECC"/>
    <w:rsid w:val="00A44484"/>
    <w:rsid w:val="00A44523"/>
    <w:rsid w:val="00A44DAF"/>
    <w:rsid w:val="00A466A7"/>
    <w:rsid w:val="00A50CF7"/>
    <w:rsid w:val="00A51CC0"/>
    <w:rsid w:val="00A53AF6"/>
    <w:rsid w:val="00A575D7"/>
    <w:rsid w:val="00A5792F"/>
    <w:rsid w:val="00A60517"/>
    <w:rsid w:val="00A61AB5"/>
    <w:rsid w:val="00A61D43"/>
    <w:rsid w:val="00A67261"/>
    <w:rsid w:val="00A71BAF"/>
    <w:rsid w:val="00A71D9E"/>
    <w:rsid w:val="00A75C69"/>
    <w:rsid w:val="00A762C3"/>
    <w:rsid w:val="00A76D04"/>
    <w:rsid w:val="00A77F8C"/>
    <w:rsid w:val="00A80A34"/>
    <w:rsid w:val="00A81D4D"/>
    <w:rsid w:val="00A822F7"/>
    <w:rsid w:val="00A82732"/>
    <w:rsid w:val="00A8473C"/>
    <w:rsid w:val="00A8672F"/>
    <w:rsid w:val="00A87EE6"/>
    <w:rsid w:val="00A92A7C"/>
    <w:rsid w:val="00A9370C"/>
    <w:rsid w:val="00A96188"/>
    <w:rsid w:val="00AA0CC9"/>
    <w:rsid w:val="00AA469B"/>
    <w:rsid w:val="00AA51EA"/>
    <w:rsid w:val="00AB0362"/>
    <w:rsid w:val="00AB047A"/>
    <w:rsid w:val="00AB16EB"/>
    <w:rsid w:val="00AB1FC3"/>
    <w:rsid w:val="00AB206B"/>
    <w:rsid w:val="00AC4D44"/>
    <w:rsid w:val="00AC7D85"/>
    <w:rsid w:val="00AD3FB0"/>
    <w:rsid w:val="00AD51C1"/>
    <w:rsid w:val="00AE238A"/>
    <w:rsid w:val="00AE3756"/>
    <w:rsid w:val="00AE60A9"/>
    <w:rsid w:val="00AE7AAF"/>
    <w:rsid w:val="00AF1251"/>
    <w:rsid w:val="00AF49DD"/>
    <w:rsid w:val="00AF7620"/>
    <w:rsid w:val="00B0394B"/>
    <w:rsid w:val="00B05BC5"/>
    <w:rsid w:val="00B066E2"/>
    <w:rsid w:val="00B07D90"/>
    <w:rsid w:val="00B124C0"/>
    <w:rsid w:val="00B133C8"/>
    <w:rsid w:val="00B13D15"/>
    <w:rsid w:val="00B223B3"/>
    <w:rsid w:val="00B23E4B"/>
    <w:rsid w:val="00B244DF"/>
    <w:rsid w:val="00B301FE"/>
    <w:rsid w:val="00B32CBF"/>
    <w:rsid w:val="00B32F45"/>
    <w:rsid w:val="00B338DB"/>
    <w:rsid w:val="00B405C8"/>
    <w:rsid w:val="00B4101B"/>
    <w:rsid w:val="00B41A94"/>
    <w:rsid w:val="00B42690"/>
    <w:rsid w:val="00B45C2C"/>
    <w:rsid w:val="00B45E57"/>
    <w:rsid w:val="00B45FB8"/>
    <w:rsid w:val="00B514F5"/>
    <w:rsid w:val="00B5484C"/>
    <w:rsid w:val="00B55C4C"/>
    <w:rsid w:val="00B56094"/>
    <w:rsid w:val="00B56186"/>
    <w:rsid w:val="00B603DC"/>
    <w:rsid w:val="00B61BE8"/>
    <w:rsid w:val="00B62629"/>
    <w:rsid w:val="00B62785"/>
    <w:rsid w:val="00B67CF3"/>
    <w:rsid w:val="00B716FE"/>
    <w:rsid w:val="00B72579"/>
    <w:rsid w:val="00B73F4E"/>
    <w:rsid w:val="00B74231"/>
    <w:rsid w:val="00B80F57"/>
    <w:rsid w:val="00B856BF"/>
    <w:rsid w:val="00B857BB"/>
    <w:rsid w:val="00B8755D"/>
    <w:rsid w:val="00B9169F"/>
    <w:rsid w:val="00B96459"/>
    <w:rsid w:val="00B9654D"/>
    <w:rsid w:val="00B968DB"/>
    <w:rsid w:val="00BA0519"/>
    <w:rsid w:val="00BA161D"/>
    <w:rsid w:val="00BA162F"/>
    <w:rsid w:val="00BA332B"/>
    <w:rsid w:val="00BA3EE8"/>
    <w:rsid w:val="00BA5288"/>
    <w:rsid w:val="00BB0156"/>
    <w:rsid w:val="00BB0BAC"/>
    <w:rsid w:val="00BB4C54"/>
    <w:rsid w:val="00BB5C1F"/>
    <w:rsid w:val="00BB7E18"/>
    <w:rsid w:val="00BC0B44"/>
    <w:rsid w:val="00BC10C3"/>
    <w:rsid w:val="00BC1D9B"/>
    <w:rsid w:val="00BC26AC"/>
    <w:rsid w:val="00BC41F9"/>
    <w:rsid w:val="00BC6392"/>
    <w:rsid w:val="00BC708B"/>
    <w:rsid w:val="00BD0104"/>
    <w:rsid w:val="00BD061E"/>
    <w:rsid w:val="00BD4B1A"/>
    <w:rsid w:val="00BD6AA5"/>
    <w:rsid w:val="00BE0ADE"/>
    <w:rsid w:val="00BE1027"/>
    <w:rsid w:val="00BE4178"/>
    <w:rsid w:val="00BE4B01"/>
    <w:rsid w:val="00BF0871"/>
    <w:rsid w:val="00BF3FEC"/>
    <w:rsid w:val="00BF63BF"/>
    <w:rsid w:val="00BF705E"/>
    <w:rsid w:val="00C00418"/>
    <w:rsid w:val="00C007AC"/>
    <w:rsid w:val="00C02504"/>
    <w:rsid w:val="00C025A7"/>
    <w:rsid w:val="00C0531B"/>
    <w:rsid w:val="00C07DC7"/>
    <w:rsid w:val="00C147BB"/>
    <w:rsid w:val="00C1557C"/>
    <w:rsid w:val="00C16816"/>
    <w:rsid w:val="00C23660"/>
    <w:rsid w:val="00C2382E"/>
    <w:rsid w:val="00C238CA"/>
    <w:rsid w:val="00C27542"/>
    <w:rsid w:val="00C328A7"/>
    <w:rsid w:val="00C343C7"/>
    <w:rsid w:val="00C3582C"/>
    <w:rsid w:val="00C467A5"/>
    <w:rsid w:val="00C46C86"/>
    <w:rsid w:val="00C50BF5"/>
    <w:rsid w:val="00C5322F"/>
    <w:rsid w:val="00C549ED"/>
    <w:rsid w:val="00C5557A"/>
    <w:rsid w:val="00C605AA"/>
    <w:rsid w:val="00C6483E"/>
    <w:rsid w:val="00C6711E"/>
    <w:rsid w:val="00C71C57"/>
    <w:rsid w:val="00C72010"/>
    <w:rsid w:val="00C740B7"/>
    <w:rsid w:val="00C767A5"/>
    <w:rsid w:val="00C76A44"/>
    <w:rsid w:val="00C76BA2"/>
    <w:rsid w:val="00C770DA"/>
    <w:rsid w:val="00C825BA"/>
    <w:rsid w:val="00C8663B"/>
    <w:rsid w:val="00C9133D"/>
    <w:rsid w:val="00C97727"/>
    <w:rsid w:val="00CA35AB"/>
    <w:rsid w:val="00CA7324"/>
    <w:rsid w:val="00CB03BA"/>
    <w:rsid w:val="00CB206E"/>
    <w:rsid w:val="00CB29E0"/>
    <w:rsid w:val="00CB3590"/>
    <w:rsid w:val="00CB4521"/>
    <w:rsid w:val="00CB61D0"/>
    <w:rsid w:val="00CC72D8"/>
    <w:rsid w:val="00CD1561"/>
    <w:rsid w:val="00CD1ABB"/>
    <w:rsid w:val="00CD5509"/>
    <w:rsid w:val="00CD6730"/>
    <w:rsid w:val="00CD78C2"/>
    <w:rsid w:val="00CE0F39"/>
    <w:rsid w:val="00CE1A09"/>
    <w:rsid w:val="00CE3451"/>
    <w:rsid w:val="00CE6244"/>
    <w:rsid w:val="00CE711B"/>
    <w:rsid w:val="00CF5035"/>
    <w:rsid w:val="00D04094"/>
    <w:rsid w:val="00D07FAA"/>
    <w:rsid w:val="00D12552"/>
    <w:rsid w:val="00D12B1F"/>
    <w:rsid w:val="00D1370E"/>
    <w:rsid w:val="00D13A56"/>
    <w:rsid w:val="00D20057"/>
    <w:rsid w:val="00D20D9D"/>
    <w:rsid w:val="00D21AFD"/>
    <w:rsid w:val="00D2383D"/>
    <w:rsid w:val="00D252FA"/>
    <w:rsid w:val="00D2787D"/>
    <w:rsid w:val="00D32A5B"/>
    <w:rsid w:val="00D46B33"/>
    <w:rsid w:val="00D477E6"/>
    <w:rsid w:val="00D500A5"/>
    <w:rsid w:val="00D62EC1"/>
    <w:rsid w:val="00D64C8F"/>
    <w:rsid w:val="00D64E65"/>
    <w:rsid w:val="00D6698B"/>
    <w:rsid w:val="00D671AF"/>
    <w:rsid w:val="00D708A6"/>
    <w:rsid w:val="00D7118D"/>
    <w:rsid w:val="00D71A70"/>
    <w:rsid w:val="00D72709"/>
    <w:rsid w:val="00D72B3A"/>
    <w:rsid w:val="00D74931"/>
    <w:rsid w:val="00D77B12"/>
    <w:rsid w:val="00D81A47"/>
    <w:rsid w:val="00D84CD0"/>
    <w:rsid w:val="00D873F0"/>
    <w:rsid w:val="00D87B1D"/>
    <w:rsid w:val="00D90087"/>
    <w:rsid w:val="00D90994"/>
    <w:rsid w:val="00D930E7"/>
    <w:rsid w:val="00DA050F"/>
    <w:rsid w:val="00DA1F03"/>
    <w:rsid w:val="00DA5F93"/>
    <w:rsid w:val="00DB2092"/>
    <w:rsid w:val="00DB26C0"/>
    <w:rsid w:val="00DB481C"/>
    <w:rsid w:val="00DB7F9D"/>
    <w:rsid w:val="00DC48A6"/>
    <w:rsid w:val="00DC6386"/>
    <w:rsid w:val="00DD10F3"/>
    <w:rsid w:val="00DD6F41"/>
    <w:rsid w:val="00DE1B0B"/>
    <w:rsid w:val="00DE2DFD"/>
    <w:rsid w:val="00DE319D"/>
    <w:rsid w:val="00DE3384"/>
    <w:rsid w:val="00DE3735"/>
    <w:rsid w:val="00DE604D"/>
    <w:rsid w:val="00DE7137"/>
    <w:rsid w:val="00DF19CC"/>
    <w:rsid w:val="00DF1D2B"/>
    <w:rsid w:val="00DF319F"/>
    <w:rsid w:val="00DF3DA5"/>
    <w:rsid w:val="00DF4B5A"/>
    <w:rsid w:val="00DF7983"/>
    <w:rsid w:val="00E010F5"/>
    <w:rsid w:val="00E011BF"/>
    <w:rsid w:val="00E0123C"/>
    <w:rsid w:val="00E015CD"/>
    <w:rsid w:val="00E0405B"/>
    <w:rsid w:val="00E05628"/>
    <w:rsid w:val="00E06197"/>
    <w:rsid w:val="00E07338"/>
    <w:rsid w:val="00E10324"/>
    <w:rsid w:val="00E107EB"/>
    <w:rsid w:val="00E109B9"/>
    <w:rsid w:val="00E12096"/>
    <w:rsid w:val="00E153E5"/>
    <w:rsid w:val="00E179B9"/>
    <w:rsid w:val="00E20F7E"/>
    <w:rsid w:val="00E23AB0"/>
    <w:rsid w:val="00E30D6E"/>
    <w:rsid w:val="00E318AD"/>
    <w:rsid w:val="00E32852"/>
    <w:rsid w:val="00E328B9"/>
    <w:rsid w:val="00E32E2E"/>
    <w:rsid w:val="00E33162"/>
    <w:rsid w:val="00E35135"/>
    <w:rsid w:val="00E36662"/>
    <w:rsid w:val="00E36DB0"/>
    <w:rsid w:val="00E37235"/>
    <w:rsid w:val="00E5188D"/>
    <w:rsid w:val="00E538E9"/>
    <w:rsid w:val="00E53ACF"/>
    <w:rsid w:val="00E5791E"/>
    <w:rsid w:val="00E600F2"/>
    <w:rsid w:val="00E633DD"/>
    <w:rsid w:val="00E67E8C"/>
    <w:rsid w:val="00E706DC"/>
    <w:rsid w:val="00E70711"/>
    <w:rsid w:val="00E7258B"/>
    <w:rsid w:val="00E74DAB"/>
    <w:rsid w:val="00E83E81"/>
    <w:rsid w:val="00E84CF0"/>
    <w:rsid w:val="00E86914"/>
    <w:rsid w:val="00E901DC"/>
    <w:rsid w:val="00E97BD7"/>
    <w:rsid w:val="00EA002D"/>
    <w:rsid w:val="00EA03DD"/>
    <w:rsid w:val="00EA3AD9"/>
    <w:rsid w:val="00EA67C6"/>
    <w:rsid w:val="00EA72EF"/>
    <w:rsid w:val="00EB1CD7"/>
    <w:rsid w:val="00EB25F3"/>
    <w:rsid w:val="00EC2B04"/>
    <w:rsid w:val="00ED21C9"/>
    <w:rsid w:val="00ED43DF"/>
    <w:rsid w:val="00ED5F89"/>
    <w:rsid w:val="00EF33DD"/>
    <w:rsid w:val="00EF3D41"/>
    <w:rsid w:val="00EF60A3"/>
    <w:rsid w:val="00EF6120"/>
    <w:rsid w:val="00EF7080"/>
    <w:rsid w:val="00EF7AF9"/>
    <w:rsid w:val="00F00704"/>
    <w:rsid w:val="00F05AB3"/>
    <w:rsid w:val="00F075EE"/>
    <w:rsid w:val="00F101C4"/>
    <w:rsid w:val="00F10B4E"/>
    <w:rsid w:val="00F111DF"/>
    <w:rsid w:val="00F12FF8"/>
    <w:rsid w:val="00F1379F"/>
    <w:rsid w:val="00F1573F"/>
    <w:rsid w:val="00F211D3"/>
    <w:rsid w:val="00F21BE3"/>
    <w:rsid w:val="00F22019"/>
    <w:rsid w:val="00F2334A"/>
    <w:rsid w:val="00F24027"/>
    <w:rsid w:val="00F27DD0"/>
    <w:rsid w:val="00F33469"/>
    <w:rsid w:val="00F33D6C"/>
    <w:rsid w:val="00F34748"/>
    <w:rsid w:val="00F34E4D"/>
    <w:rsid w:val="00F370CC"/>
    <w:rsid w:val="00F45688"/>
    <w:rsid w:val="00F45891"/>
    <w:rsid w:val="00F46478"/>
    <w:rsid w:val="00F507AC"/>
    <w:rsid w:val="00F5464B"/>
    <w:rsid w:val="00F62719"/>
    <w:rsid w:val="00F62C3F"/>
    <w:rsid w:val="00F66F40"/>
    <w:rsid w:val="00F672A0"/>
    <w:rsid w:val="00F67D46"/>
    <w:rsid w:val="00F72503"/>
    <w:rsid w:val="00F73831"/>
    <w:rsid w:val="00F8093F"/>
    <w:rsid w:val="00F83716"/>
    <w:rsid w:val="00F844CF"/>
    <w:rsid w:val="00F86070"/>
    <w:rsid w:val="00F8723C"/>
    <w:rsid w:val="00F940CC"/>
    <w:rsid w:val="00F96BDE"/>
    <w:rsid w:val="00F973ED"/>
    <w:rsid w:val="00FA4AA8"/>
    <w:rsid w:val="00FA4CBD"/>
    <w:rsid w:val="00FA6D5C"/>
    <w:rsid w:val="00FA6F64"/>
    <w:rsid w:val="00FB7809"/>
    <w:rsid w:val="00FC07D9"/>
    <w:rsid w:val="00FC15F3"/>
    <w:rsid w:val="00FC4440"/>
    <w:rsid w:val="00FC5140"/>
    <w:rsid w:val="00FC7522"/>
    <w:rsid w:val="00FD2612"/>
    <w:rsid w:val="00FD3A70"/>
    <w:rsid w:val="00FD505F"/>
    <w:rsid w:val="00FD599C"/>
    <w:rsid w:val="00FD73E6"/>
    <w:rsid w:val="00FE19AC"/>
    <w:rsid w:val="00FE1A96"/>
    <w:rsid w:val="00FE2A11"/>
    <w:rsid w:val="00FE614E"/>
    <w:rsid w:val="00FE664F"/>
    <w:rsid w:val="00FF0016"/>
    <w:rsid w:val="00FF0494"/>
    <w:rsid w:val="00FF20E3"/>
    <w:rsid w:val="00FF373B"/>
    <w:rsid w:val="00FF3EBF"/>
    <w:rsid w:val="00FF6FD2"/>
    <w:rsid w:val="059CAB19"/>
    <w:rsid w:val="066470CB"/>
    <w:rsid w:val="07C8EF81"/>
    <w:rsid w:val="137D8C44"/>
    <w:rsid w:val="15195CA5"/>
    <w:rsid w:val="1797B144"/>
    <w:rsid w:val="19ECCDC8"/>
    <w:rsid w:val="1B889E29"/>
    <w:rsid w:val="1DD219FF"/>
    <w:rsid w:val="1E148273"/>
    <w:rsid w:val="1EDA17BD"/>
    <w:rsid w:val="205C0F4C"/>
    <w:rsid w:val="26F788C7"/>
    <w:rsid w:val="286075D1"/>
    <w:rsid w:val="28A0B447"/>
    <w:rsid w:val="29006E1D"/>
    <w:rsid w:val="297EA3F1"/>
    <w:rsid w:val="2B4ABEE3"/>
    <w:rsid w:val="2C80AA9E"/>
    <w:rsid w:val="32579073"/>
    <w:rsid w:val="330C5DDA"/>
    <w:rsid w:val="336A76E4"/>
    <w:rsid w:val="35636A72"/>
    <w:rsid w:val="3752129A"/>
    <w:rsid w:val="3D20F374"/>
    <w:rsid w:val="439B3275"/>
    <w:rsid w:val="44E86899"/>
    <w:rsid w:val="46235078"/>
    <w:rsid w:val="463E501F"/>
    <w:rsid w:val="48C5F5ED"/>
    <w:rsid w:val="490E0338"/>
    <w:rsid w:val="4B11C142"/>
    <w:rsid w:val="4C80DEF0"/>
    <w:rsid w:val="4CAD91A3"/>
    <w:rsid w:val="4CD3216D"/>
    <w:rsid w:val="51E9B340"/>
    <w:rsid w:val="548BF0D5"/>
    <w:rsid w:val="54C67E24"/>
    <w:rsid w:val="55D541CF"/>
    <w:rsid w:val="566ADADF"/>
    <w:rsid w:val="579EFC42"/>
    <w:rsid w:val="585816DE"/>
    <w:rsid w:val="5CDACAB9"/>
    <w:rsid w:val="5D523E8A"/>
    <w:rsid w:val="5E3A551B"/>
    <w:rsid w:val="5FEA1B58"/>
    <w:rsid w:val="60BCC868"/>
    <w:rsid w:val="6177152E"/>
    <w:rsid w:val="625898C9"/>
    <w:rsid w:val="64AC7E10"/>
    <w:rsid w:val="68C7DA4D"/>
    <w:rsid w:val="68EC5BF6"/>
    <w:rsid w:val="7089E6F1"/>
    <w:rsid w:val="7331DE64"/>
    <w:rsid w:val="765BF650"/>
    <w:rsid w:val="76CD979D"/>
    <w:rsid w:val="7D03F0DB"/>
    <w:rsid w:val="7D95FAFA"/>
    <w:rsid w:val="7E24BA3C"/>
    <w:rsid w:val="7FE9E8E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E7570"/>
  <w15:docId w15:val="{513C5C6B-FF1F-4619-8F3B-9817E8D5D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35085E"/>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C76BA2"/>
    <w:pPr>
      <w:tabs>
        <w:tab w:val="center" w:pos="4513"/>
        <w:tab w:val="right" w:pos="9026"/>
      </w:tabs>
      <w:spacing w:after="0" w:line="240" w:lineRule="auto"/>
    </w:pPr>
  </w:style>
  <w:style w:type="character" w:styleId="HeaderChar" w:customStyle="1">
    <w:name w:val="Header Char"/>
    <w:basedOn w:val="DefaultParagraphFont"/>
    <w:link w:val="Header"/>
    <w:uiPriority w:val="99"/>
    <w:rsid w:val="00C76BA2"/>
  </w:style>
  <w:style w:type="paragraph" w:styleId="Footer">
    <w:name w:val="footer"/>
    <w:basedOn w:val="Normal"/>
    <w:link w:val="FooterChar"/>
    <w:uiPriority w:val="99"/>
    <w:unhideWhenUsed/>
    <w:rsid w:val="00C76BA2"/>
    <w:pPr>
      <w:tabs>
        <w:tab w:val="center" w:pos="4513"/>
        <w:tab w:val="right" w:pos="9026"/>
      </w:tabs>
      <w:spacing w:after="0" w:line="240" w:lineRule="auto"/>
    </w:pPr>
  </w:style>
  <w:style w:type="character" w:styleId="FooterChar" w:customStyle="1">
    <w:name w:val="Footer Char"/>
    <w:basedOn w:val="DefaultParagraphFont"/>
    <w:link w:val="Footer"/>
    <w:uiPriority w:val="99"/>
    <w:rsid w:val="00C76BA2"/>
  </w:style>
  <w:style w:type="paragraph" w:styleId="ListParagraph">
    <w:name w:val="List Paragraph"/>
    <w:basedOn w:val="Normal"/>
    <w:uiPriority w:val="34"/>
    <w:qFormat/>
    <w:rsid w:val="00B62785"/>
    <w:pPr>
      <w:ind w:left="720"/>
      <w:contextualSpacing/>
    </w:pPr>
  </w:style>
  <w:style w:type="table" w:styleId="TableGrid">
    <w:name w:val="Table Grid"/>
    <w:basedOn w:val="TableNormal"/>
    <w:uiPriority w:val="39"/>
    <w:rsid w:val="0041538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Revision">
    <w:name w:val="Revision"/>
    <w:hidden/>
    <w:uiPriority w:val="99"/>
    <w:semiHidden/>
    <w:rsid w:val="004B42A5"/>
    <w:pPr>
      <w:spacing w:after="0" w:line="240" w:lineRule="auto"/>
    </w:pPr>
  </w:style>
  <w:style w:type="character" w:styleId="Heading1Char" w:customStyle="1">
    <w:name w:val="Heading 1 Char"/>
    <w:basedOn w:val="DefaultParagraphFont"/>
    <w:link w:val="Heading1"/>
    <w:uiPriority w:val="9"/>
    <w:rsid w:val="0035085E"/>
    <w:rPr>
      <w:rFonts w:asciiTheme="majorHAnsi" w:hAnsiTheme="majorHAnsi" w:eastAsiaTheme="majorEastAsia" w:cstheme="majorBidi"/>
      <w:color w:val="2F5496" w:themeColor="accent1" w:themeShade="BF"/>
      <w:sz w:val="32"/>
      <w:szCs w:val="32"/>
    </w:rPr>
  </w:style>
  <w:style w:type="character" w:styleId="Hyperlink">
    <w:name w:val="Hyperlink"/>
    <w:basedOn w:val="DefaultParagraphFont"/>
    <w:uiPriority w:val="99"/>
    <w:unhideWhenUsed/>
    <w:rsid w:val="000E0722"/>
    <w:rPr>
      <w:color w:val="0563C1" w:themeColor="hyperlink"/>
      <w:u w:val="single"/>
    </w:rPr>
  </w:style>
  <w:style w:type="character" w:styleId="UnresolvedMention">
    <w:name w:val="Unresolved Mention"/>
    <w:basedOn w:val="DefaultParagraphFont"/>
    <w:uiPriority w:val="99"/>
    <w:semiHidden/>
    <w:unhideWhenUsed/>
    <w:rsid w:val="000E0722"/>
    <w:rPr>
      <w:color w:val="605E5C"/>
      <w:shd w:val="clear" w:color="auto" w:fill="E1DFDD"/>
    </w:rPr>
  </w:style>
  <w:style w:type="paragraph" w:styleId="NormalWeb">
    <w:name w:val="Normal (Web)"/>
    <w:basedOn w:val="Normal"/>
    <w:uiPriority w:val="99"/>
    <w:unhideWhenUsed/>
    <w:rsid w:val="00A77F8C"/>
    <w:pPr>
      <w:spacing w:before="100" w:beforeAutospacing="1" w:after="100" w:afterAutospacing="1" w:line="240" w:lineRule="auto"/>
    </w:pPr>
    <w:rPr>
      <w:rFonts w:ascii="Times New Roman" w:hAnsi="Times New Roman" w:eastAsia="Times New Roman" w:cs="Times New Roman"/>
      <w:sz w:val="24"/>
      <w:szCs w:val="24"/>
      <w:lang w:val="en-AU" w:eastAsia="en-AU"/>
    </w:rPr>
  </w:style>
  <w:style w:type="character" w:styleId="CommentReference">
    <w:name w:val="annotation reference"/>
    <w:basedOn w:val="DefaultParagraphFont"/>
    <w:uiPriority w:val="99"/>
    <w:semiHidden/>
    <w:unhideWhenUsed/>
    <w:rsid w:val="000D3F18"/>
    <w:rPr>
      <w:sz w:val="16"/>
      <w:szCs w:val="16"/>
    </w:rPr>
  </w:style>
  <w:style w:type="paragraph" w:styleId="CommentText">
    <w:name w:val="annotation text"/>
    <w:basedOn w:val="Normal"/>
    <w:link w:val="CommentTextChar"/>
    <w:uiPriority w:val="99"/>
    <w:unhideWhenUsed/>
    <w:rsid w:val="000D3F18"/>
    <w:pPr>
      <w:spacing w:line="240" w:lineRule="auto"/>
    </w:pPr>
    <w:rPr>
      <w:sz w:val="20"/>
      <w:szCs w:val="20"/>
    </w:rPr>
  </w:style>
  <w:style w:type="character" w:styleId="CommentTextChar" w:customStyle="1">
    <w:name w:val="Comment Text Char"/>
    <w:basedOn w:val="DefaultParagraphFont"/>
    <w:link w:val="CommentText"/>
    <w:uiPriority w:val="99"/>
    <w:rsid w:val="000D3F18"/>
    <w:rPr>
      <w:sz w:val="20"/>
      <w:szCs w:val="20"/>
    </w:rPr>
  </w:style>
  <w:style w:type="paragraph" w:styleId="CommentSubject">
    <w:name w:val="annotation subject"/>
    <w:basedOn w:val="CommentText"/>
    <w:next w:val="CommentText"/>
    <w:link w:val="CommentSubjectChar"/>
    <w:uiPriority w:val="99"/>
    <w:semiHidden/>
    <w:unhideWhenUsed/>
    <w:rsid w:val="000D3F18"/>
    <w:rPr>
      <w:b/>
      <w:bCs/>
    </w:rPr>
  </w:style>
  <w:style w:type="character" w:styleId="CommentSubjectChar" w:customStyle="1">
    <w:name w:val="Comment Subject Char"/>
    <w:basedOn w:val="CommentTextChar"/>
    <w:link w:val="CommentSubject"/>
    <w:uiPriority w:val="99"/>
    <w:semiHidden/>
    <w:rsid w:val="000D3F18"/>
    <w:rPr>
      <w:b/>
      <w:bCs/>
      <w:sz w:val="20"/>
      <w:szCs w:val="20"/>
    </w:rPr>
  </w:style>
  <w:style w:type="character" w:styleId="normaltextrun" w:customStyle="1">
    <w:name w:val="normaltextrun"/>
    <w:basedOn w:val="DefaultParagraphFont"/>
    <w:rsid w:val="00CD5509"/>
  </w:style>
  <w:style w:type="paragraph" w:styleId="paragraph" w:customStyle="1">
    <w:name w:val="paragraph"/>
    <w:basedOn w:val="Normal"/>
    <w:rsid w:val="00B301FE"/>
    <w:pPr>
      <w:spacing w:before="100" w:beforeAutospacing="1" w:after="100" w:afterAutospacing="1" w:line="240" w:lineRule="auto"/>
    </w:pPr>
    <w:rPr>
      <w:rFonts w:ascii="Times New Roman" w:hAnsi="Times New Roman" w:eastAsia="Times New Roman" w:cs="Times New Roman"/>
      <w:sz w:val="24"/>
      <w:szCs w:val="24"/>
      <w:lang w:val="en-US"/>
    </w:rPr>
  </w:style>
  <w:style w:type="character" w:styleId="eop" w:customStyle="1">
    <w:name w:val="eop"/>
    <w:basedOn w:val="DefaultParagraphFont"/>
    <w:rsid w:val="00B301FE"/>
  </w:style>
  <w:style w:type="paragraph" w:styleId="FootnoteText">
    <w:name w:val="footnote text"/>
    <w:basedOn w:val="Normal"/>
    <w:link w:val="FootnoteTextChar"/>
    <w:uiPriority w:val="99"/>
    <w:semiHidden/>
    <w:unhideWhenUsed/>
    <w:rsid w:val="00180227"/>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180227"/>
    <w:rPr>
      <w:sz w:val="20"/>
      <w:szCs w:val="20"/>
    </w:rPr>
  </w:style>
  <w:style w:type="character" w:styleId="FootnoteReference">
    <w:name w:val="footnote reference"/>
    <w:basedOn w:val="DefaultParagraphFont"/>
    <w:uiPriority w:val="99"/>
    <w:semiHidden/>
    <w:unhideWhenUsed/>
    <w:rsid w:val="001802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864978">
      <w:bodyDiv w:val="1"/>
      <w:marLeft w:val="0"/>
      <w:marRight w:val="0"/>
      <w:marTop w:val="0"/>
      <w:marBottom w:val="0"/>
      <w:divBdr>
        <w:top w:val="none" w:sz="0" w:space="0" w:color="auto"/>
        <w:left w:val="none" w:sz="0" w:space="0" w:color="auto"/>
        <w:bottom w:val="none" w:sz="0" w:space="0" w:color="auto"/>
        <w:right w:val="none" w:sz="0" w:space="0" w:color="auto"/>
      </w:divBdr>
    </w:div>
    <w:div w:id="179589417">
      <w:bodyDiv w:val="1"/>
      <w:marLeft w:val="0"/>
      <w:marRight w:val="0"/>
      <w:marTop w:val="0"/>
      <w:marBottom w:val="0"/>
      <w:divBdr>
        <w:top w:val="none" w:sz="0" w:space="0" w:color="auto"/>
        <w:left w:val="none" w:sz="0" w:space="0" w:color="auto"/>
        <w:bottom w:val="none" w:sz="0" w:space="0" w:color="auto"/>
        <w:right w:val="none" w:sz="0" w:space="0" w:color="auto"/>
      </w:divBdr>
    </w:div>
    <w:div w:id="249168416">
      <w:bodyDiv w:val="1"/>
      <w:marLeft w:val="0"/>
      <w:marRight w:val="0"/>
      <w:marTop w:val="0"/>
      <w:marBottom w:val="0"/>
      <w:divBdr>
        <w:top w:val="none" w:sz="0" w:space="0" w:color="auto"/>
        <w:left w:val="none" w:sz="0" w:space="0" w:color="auto"/>
        <w:bottom w:val="none" w:sz="0" w:space="0" w:color="auto"/>
        <w:right w:val="none" w:sz="0" w:space="0" w:color="auto"/>
      </w:divBdr>
    </w:div>
    <w:div w:id="272446646">
      <w:bodyDiv w:val="1"/>
      <w:marLeft w:val="0"/>
      <w:marRight w:val="0"/>
      <w:marTop w:val="0"/>
      <w:marBottom w:val="0"/>
      <w:divBdr>
        <w:top w:val="none" w:sz="0" w:space="0" w:color="auto"/>
        <w:left w:val="none" w:sz="0" w:space="0" w:color="auto"/>
        <w:bottom w:val="none" w:sz="0" w:space="0" w:color="auto"/>
        <w:right w:val="none" w:sz="0" w:space="0" w:color="auto"/>
      </w:divBdr>
    </w:div>
    <w:div w:id="298851927">
      <w:bodyDiv w:val="1"/>
      <w:marLeft w:val="0"/>
      <w:marRight w:val="0"/>
      <w:marTop w:val="0"/>
      <w:marBottom w:val="0"/>
      <w:divBdr>
        <w:top w:val="none" w:sz="0" w:space="0" w:color="auto"/>
        <w:left w:val="none" w:sz="0" w:space="0" w:color="auto"/>
        <w:bottom w:val="none" w:sz="0" w:space="0" w:color="auto"/>
        <w:right w:val="none" w:sz="0" w:space="0" w:color="auto"/>
      </w:divBdr>
    </w:div>
    <w:div w:id="437213417">
      <w:bodyDiv w:val="1"/>
      <w:marLeft w:val="0"/>
      <w:marRight w:val="0"/>
      <w:marTop w:val="0"/>
      <w:marBottom w:val="0"/>
      <w:divBdr>
        <w:top w:val="none" w:sz="0" w:space="0" w:color="auto"/>
        <w:left w:val="none" w:sz="0" w:space="0" w:color="auto"/>
        <w:bottom w:val="none" w:sz="0" w:space="0" w:color="auto"/>
        <w:right w:val="none" w:sz="0" w:space="0" w:color="auto"/>
      </w:divBdr>
    </w:div>
    <w:div w:id="753822200">
      <w:bodyDiv w:val="1"/>
      <w:marLeft w:val="0"/>
      <w:marRight w:val="0"/>
      <w:marTop w:val="0"/>
      <w:marBottom w:val="0"/>
      <w:divBdr>
        <w:top w:val="none" w:sz="0" w:space="0" w:color="auto"/>
        <w:left w:val="none" w:sz="0" w:space="0" w:color="auto"/>
        <w:bottom w:val="none" w:sz="0" w:space="0" w:color="auto"/>
        <w:right w:val="none" w:sz="0" w:space="0" w:color="auto"/>
      </w:divBdr>
    </w:div>
    <w:div w:id="1122117253">
      <w:bodyDiv w:val="1"/>
      <w:marLeft w:val="0"/>
      <w:marRight w:val="0"/>
      <w:marTop w:val="0"/>
      <w:marBottom w:val="0"/>
      <w:divBdr>
        <w:top w:val="none" w:sz="0" w:space="0" w:color="auto"/>
        <w:left w:val="none" w:sz="0" w:space="0" w:color="auto"/>
        <w:bottom w:val="none" w:sz="0" w:space="0" w:color="auto"/>
        <w:right w:val="none" w:sz="0" w:space="0" w:color="auto"/>
      </w:divBdr>
    </w:div>
    <w:div w:id="1123619719">
      <w:bodyDiv w:val="1"/>
      <w:marLeft w:val="0"/>
      <w:marRight w:val="0"/>
      <w:marTop w:val="0"/>
      <w:marBottom w:val="0"/>
      <w:divBdr>
        <w:top w:val="none" w:sz="0" w:space="0" w:color="auto"/>
        <w:left w:val="none" w:sz="0" w:space="0" w:color="auto"/>
        <w:bottom w:val="none" w:sz="0" w:space="0" w:color="auto"/>
        <w:right w:val="none" w:sz="0" w:space="0" w:color="auto"/>
      </w:divBdr>
    </w:div>
    <w:div w:id="1445491505">
      <w:bodyDiv w:val="1"/>
      <w:marLeft w:val="0"/>
      <w:marRight w:val="0"/>
      <w:marTop w:val="0"/>
      <w:marBottom w:val="0"/>
      <w:divBdr>
        <w:top w:val="none" w:sz="0" w:space="0" w:color="auto"/>
        <w:left w:val="none" w:sz="0" w:space="0" w:color="auto"/>
        <w:bottom w:val="none" w:sz="0" w:space="0" w:color="auto"/>
        <w:right w:val="none" w:sz="0" w:space="0" w:color="auto"/>
      </w:divBdr>
    </w:div>
    <w:div w:id="1565406669">
      <w:bodyDiv w:val="1"/>
      <w:marLeft w:val="0"/>
      <w:marRight w:val="0"/>
      <w:marTop w:val="0"/>
      <w:marBottom w:val="0"/>
      <w:divBdr>
        <w:top w:val="none" w:sz="0" w:space="0" w:color="auto"/>
        <w:left w:val="none" w:sz="0" w:space="0" w:color="auto"/>
        <w:bottom w:val="none" w:sz="0" w:space="0" w:color="auto"/>
        <w:right w:val="none" w:sz="0" w:space="0" w:color="auto"/>
      </w:divBdr>
    </w:div>
    <w:div w:id="1623537115">
      <w:bodyDiv w:val="1"/>
      <w:marLeft w:val="0"/>
      <w:marRight w:val="0"/>
      <w:marTop w:val="0"/>
      <w:marBottom w:val="0"/>
      <w:divBdr>
        <w:top w:val="none" w:sz="0" w:space="0" w:color="auto"/>
        <w:left w:val="none" w:sz="0" w:space="0" w:color="auto"/>
        <w:bottom w:val="none" w:sz="0" w:space="0" w:color="auto"/>
        <w:right w:val="none" w:sz="0" w:space="0" w:color="auto"/>
      </w:divBdr>
    </w:div>
    <w:div w:id="17526609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camilla.bullock@emergingpaymentsasia.org"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emergingpaymentsasia.org/" TargetMode="Externa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8a42096-64f4-4f17-bdc7-62d5c9f32141">
      <Terms xmlns="http://schemas.microsoft.com/office/infopath/2007/PartnerControls"/>
    </lcf76f155ced4ddcb4097134ff3c332f>
    <TaxCatchAll xmlns="5d82be8b-ad20-4a9d-bcc5-89a1778e7cc5" xsi:nil="true"/>
    <Order0 xmlns="08a42096-64f4-4f17-bdc7-62d5c9f32141" xsi:nil="true"/>
    <Date xmlns="08a42096-64f4-4f17-bdc7-62d5c9f3214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4A0FFFCB406494AB87C98DBA882C9BD" ma:contentTypeVersion="21" ma:contentTypeDescription="Create a new document." ma:contentTypeScope="" ma:versionID="194ae711ee19995de31e7a089ee2886f">
  <xsd:schema xmlns:xsd="http://www.w3.org/2001/XMLSchema" xmlns:xs="http://www.w3.org/2001/XMLSchema" xmlns:p="http://schemas.microsoft.com/office/2006/metadata/properties" xmlns:ns2="08a42096-64f4-4f17-bdc7-62d5c9f32141" xmlns:ns3="5d82be8b-ad20-4a9d-bcc5-89a1778e7cc5" targetNamespace="http://schemas.microsoft.com/office/2006/metadata/properties" ma:root="true" ma:fieldsID="5716e5ab306f52e58e4f3c7c06f8c8b3" ns2:_="" ns3:_="">
    <xsd:import namespace="08a42096-64f4-4f17-bdc7-62d5c9f32141"/>
    <xsd:import namespace="5d82be8b-ad20-4a9d-bcc5-89a1778e7cc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Date" minOccurs="0"/>
                <xsd:element ref="ns2:Order0"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a42096-64f4-4f17-bdc7-62d5c9f321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d50b791-f0e3-405f-92b2-7828e02f1daa" ma:termSetId="09814cd3-568e-fe90-9814-8d621ff8fb84" ma:anchorId="fba54fb3-c3e1-fe81-a776-ca4b69148c4d" ma:open="true" ma:isKeyword="false">
      <xsd:complexType>
        <xsd:sequence>
          <xsd:element ref="pc:Terms" minOccurs="0" maxOccurs="1"/>
        </xsd:sequence>
      </xsd:complexType>
    </xsd:element>
    <xsd:element name="Date" ma:index="24" nillable="true" ma:displayName="Date" ma:format="DateOnly" ma:internalName="Date">
      <xsd:simpleType>
        <xsd:restriction base="dms:DateTime"/>
      </xsd:simpleType>
    </xsd:element>
    <xsd:element name="Order0" ma:index="25" nillable="true" ma:displayName="Order" ma:format="Dropdown" ma:internalName="Order0" ma:percentage="FALSE">
      <xsd:simpleType>
        <xsd:restriction base="dms:Number"/>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82be8b-ad20-4a9d-bcc5-89a1778e7cc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78627ca-41ca-4920-aad0-e4019c17c894}" ma:internalName="TaxCatchAll" ma:showField="CatchAllData" ma:web="5d82be8b-ad20-4a9d-bcc5-89a1778e7c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590F2C-068E-424E-AA44-34D887591C94}">
  <ds:schemaRefs>
    <ds:schemaRef ds:uri="http://schemas.microsoft.com/office/2006/metadata/properties"/>
    <ds:schemaRef ds:uri="http://schemas.microsoft.com/office/infopath/2007/PartnerControls"/>
    <ds:schemaRef ds:uri="08a42096-64f4-4f17-bdc7-62d5c9f32141"/>
    <ds:schemaRef ds:uri="5d82be8b-ad20-4a9d-bcc5-89a1778e7cc5"/>
  </ds:schemaRefs>
</ds:datastoreItem>
</file>

<file path=customXml/itemProps2.xml><?xml version="1.0" encoding="utf-8"?>
<ds:datastoreItem xmlns:ds="http://schemas.openxmlformats.org/officeDocument/2006/customXml" ds:itemID="{8BB03FDC-0600-491F-B2B9-0B3D7E66E303}">
  <ds:schemaRefs>
    <ds:schemaRef ds:uri="http://schemas.microsoft.com/sharepoint/v3/contenttype/forms"/>
  </ds:schemaRefs>
</ds:datastoreItem>
</file>

<file path=customXml/itemProps3.xml><?xml version="1.0" encoding="utf-8"?>
<ds:datastoreItem xmlns:ds="http://schemas.openxmlformats.org/officeDocument/2006/customXml" ds:itemID="{6BC87AFF-422A-4883-90B4-D651403185D9}">
  <ds:schemaRefs>
    <ds:schemaRef ds:uri="http://schemas.openxmlformats.org/officeDocument/2006/bibliography"/>
  </ds:schemaRefs>
</ds:datastoreItem>
</file>

<file path=customXml/itemProps4.xml><?xml version="1.0" encoding="utf-8"?>
<ds:datastoreItem xmlns:ds="http://schemas.openxmlformats.org/officeDocument/2006/customXml" ds:itemID="{B403545A-D897-42E5-8927-997B70B255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a42096-64f4-4f17-bdc7-62d5c9f32141"/>
    <ds:schemaRef ds:uri="5d82be8b-ad20-4a9d-bcc5-89a1778e7c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Jen</dc:creator>
  <keywords/>
  <dc:description/>
  <lastModifiedBy>Danelle Denny</lastModifiedBy>
  <revision>3</revision>
  <dcterms:created xsi:type="dcterms:W3CDTF">2024-12-01T20:52:00.0000000Z</dcterms:created>
  <dcterms:modified xsi:type="dcterms:W3CDTF">2024-12-03T04:52:20.5547289Z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0x01010024A0FFFCB406494AB87C98DBA882C9BD</vt:lpwstr>
  </property>
  <property fmtid="{D5CDD505-2E9C-101B-9397-08002B2CF9AE}" pid="3" name="MediaServiceImageTags">
    <vt:lpwstr/>
  </property>
</Properties>
</file>