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12A781" w14:textId="77777777" w:rsidR="00F63EA4" w:rsidRDefault="00657DF0" w:rsidP="00F63EA4">
      <w:pPr>
        <w:spacing w:after="0" w:line="240" w:lineRule="auto"/>
        <w:contextualSpacing/>
        <w:jc w:val="both"/>
        <w:rPr>
          <w:rFonts w:cs="Calibri"/>
          <w:bCs/>
          <w:sz w:val="21"/>
        </w:rPr>
      </w:pPr>
      <w:r w:rsidRPr="00146F78">
        <w:rPr>
          <w:rFonts w:cs="Calibri"/>
          <w:bCs/>
          <w:sz w:val="21"/>
        </w:rPr>
        <w:t>Ellis Connolly</w:t>
      </w:r>
    </w:p>
    <w:p w14:paraId="5FAA0F4C" w14:textId="7FB79D18" w:rsidR="00657DF0" w:rsidRPr="00F63EA4" w:rsidRDefault="00657DF0" w:rsidP="00F63EA4">
      <w:pPr>
        <w:spacing w:after="0" w:line="240" w:lineRule="auto"/>
        <w:contextualSpacing/>
        <w:jc w:val="both"/>
        <w:rPr>
          <w:rFonts w:cs="Calibri"/>
          <w:bCs/>
          <w:sz w:val="21"/>
        </w:rPr>
      </w:pPr>
      <w:r>
        <w:rPr>
          <w:rFonts w:cs="Calibri"/>
          <w:sz w:val="21"/>
        </w:rPr>
        <w:t xml:space="preserve">Head of Payments Policy Department </w:t>
      </w:r>
    </w:p>
    <w:p w14:paraId="1A19C92D" w14:textId="77777777" w:rsidR="00657DF0" w:rsidRDefault="00657DF0" w:rsidP="00F63EA4">
      <w:pPr>
        <w:spacing w:after="0" w:line="240" w:lineRule="auto"/>
        <w:ind w:left="12" w:right="15" w:hanging="10"/>
        <w:contextualSpacing/>
      </w:pPr>
      <w:r>
        <w:rPr>
          <w:rFonts w:cs="Calibri"/>
          <w:sz w:val="21"/>
        </w:rPr>
        <w:t xml:space="preserve">Reserve Bank of Australia </w:t>
      </w:r>
    </w:p>
    <w:p w14:paraId="6A4792C5" w14:textId="77777777" w:rsidR="00657DF0" w:rsidRDefault="00657DF0" w:rsidP="00F63EA4">
      <w:pPr>
        <w:spacing w:after="0" w:line="240" w:lineRule="auto"/>
        <w:ind w:left="12" w:right="15" w:hanging="10"/>
        <w:contextualSpacing/>
      </w:pPr>
      <w:r>
        <w:rPr>
          <w:rFonts w:cs="Calibri"/>
          <w:sz w:val="21"/>
        </w:rPr>
        <w:t xml:space="preserve">GPO Box 3947 </w:t>
      </w:r>
    </w:p>
    <w:p w14:paraId="7DAFE8C1" w14:textId="00BD26C5" w:rsidR="00657DF0" w:rsidRPr="005F383E" w:rsidRDefault="00657DF0" w:rsidP="005F383E">
      <w:pPr>
        <w:spacing w:after="120" w:line="240" w:lineRule="auto"/>
        <w:ind w:left="11" w:right="17" w:hanging="11"/>
        <w:rPr>
          <w:b/>
          <w:bCs/>
        </w:rPr>
      </w:pPr>
      <w:r w:rsidRPr="00F63EA4">
        <w:rPr>
          <w:rFonts w:cs="Calibri"/>
          <w:b/>
          <w:bCs/>
          <w:sz w:val="21"/>
        </w:rPr>
        <w:t xml:space="preserve">Sydney NSW 2001 </w:t>
      </w:r>
      <w:r w:rsidR="005F383E">
        <w:rPr>
          <w:rFonts w:cs="Calibri"/>
          <w:b/>
          <w:bCs/>
          <w:sz w:val="21"/>
        </w:rPr>
        <w:tab/>
      </w:r>
      <w:r w:rsidR="005F383E">
        <w:rPr>
          <w:rFonts w:cs="Calibri"/>
          <w:b/>
          <w:bCs/>
          <w:sz w:val="21"/>
        </w:rPr>
        <w:tab/>
      </w:r>
      <w:r w:rsidR="005F383E">
        <w:rPr>
          <w:rFonts w:cs="Calibri"/>
          <w:b/>
          <w:bCs/>
          <w:sz w:val="21"/>
        </w:rPr>
        <w:tab/>
      </w:r>
      <w:r w:rsidR="005F383E">
        <w:rPr>
          <w:rFonts w:cs="Calibri"/>
          <w:b/>
          <w:bCs/>
          <w:sz w:val="21"/>
        </w:rPr>
        <w:tab/>
      </w:r>
      <w:r w:rsidR="005F383E">
        <w:rPr>
          <w:rFonts w:cs="Calibri"/>
          <w:b/>
          <w:bCs/>
          <w:sz w:val="21"/>
        </w:rPr>
        <w:tab/>
      </w:r>
      <w:r w:rsidR="005F383E">
        <w:rPr>
          <w:rFonts w:cs="Calibri"/>
          <w:b/>
          <w:bCs/>
          <w:sz w:val="21"/>
        </w:rPr>
        <w:tab/>
      </w:r>
      <w:hyperlink r:id="rId7" w:history="1">
        <w:r w:rsidR="005F383E" w:rsidRPr="005F383E">
          <w:rPr>
            <w:rStyle w:val="Hyperlink"/>
            <w:rFonts w:cs="Calibri"/>
            <w:sz w:val="21"/>
            <w:lang w:val="en-GB"/>
          </w:rPr>
          <w:t>pysubmissions@rba.gov.au</w:t>
        </w:r>
      </w:hyperlink>
    </w:p>
    <w:p w14:paraId="6081415A" w14:textId="77777777" w:rsidR="00657DF0" w:rsidRDefault="00657DF0" w:rsidP="00657DF0">
      <w:pPr>
        <w:spacing w:after="102" w:line="268" w:lineRule="auto"/>
        <w:ind w:left="12" w:right="15" w:hanging="10"/>
      </w:pPr>
      <w:r>
        <w:t>Dear Ellis,</w:t>
      </w:r>
    </w:p>
    <w:p w14:paraId="59B502AB" w14:textId="73F047BA" w:rsidR="00657DF0" w:rsidRPr="00657DF0" w:rsidRDefault="00657DF0" w:rsidP="00657DF0">
      <w:pPr>
        <w:spacing w:after="102" w:line="268" w:lineRule="auto"/>
        <w:ind w:left="12" w:right="15" w:hanging="10"/>
        <w:jc w:val="both"/>
        <w:rPr>
          <w:b/>
          <w:bCs/>
        </w:rPr>
      </w:pPr>
      <w:r w:rsidRPr="00B97CE7">
        <w:rPr>
          <w:b/>
          <w:bCs/>
        </w:rPr>
        <w:t>RE:</w:t>
      </w:r>
      <w:r>
        <w:t xml:space="preserve"> </w:t>
      </w:r>
      <w:r w:rsidRPr="00D67010">
        <w:rPr>
          <w:b/>
          <w:bCs/>
          <w:lang w:val="en-GB"/>
        </w:rPr>
        <w:t xml:space="preserve">Submission to </w:t>
      </w:r>
      <w:r>
        <w:rPr>
          <w:b/>
          <w:bCs/>
          <w:lang w:val="en-GB"/>
        </w:rPr>
        <w:t xml:space="preserve">2024 </w:t>
      </w:r>
      <w:r w:rsidRPr="00D67010">
        <w:rPr>
          <w:b/>
          <w:bCs/>
          <w:lang w:val="en-GB"/>
        </w:rPr>
        <w:t>RBA Review of merchant card payment costs and surcharging</w:t>
      </w:r>
    </w:p>
    <w:p w14:paraId="10344652" w14:textId="053CD9E0" w:rsidR="00657DF0" w:rsidRDefault="00657DF0" w:rsidP="00657DF0">
      <w:pPr>
        <w:spacing w:after="102" w:line="268" w:lineRule="auto"/>
        <w:ind w:left="12" w:right="15" w:hanging="10"/>
        <w:jc w:val="both"/>
        <w:rPr>
          <w:sz w:val="21"/>
          <w:szCs w:val="21"/>
        </w:rPr>
      </w:pPr>
      <w:bookmarkStart w:id="0" w:name="OLE_LINK19"/>
      <w:r>
        <w:rPr>
          <w:sz w:val="21"/>
          <w:szCs w:val="21"/>
        </w:rPr>
        <w:t xml:space="preserve">Thank you for the opportunity to comment on the October 2024 Merchant Payment Costs and Surcharging paper.  National Billing Group (NBG) is </w:t>
      </w:r>
      <w:r w:rsidRPr="00FD3856">
        <w:rPr>
          <w:sz w:val="21"/>
          <w:szCs w:val="21"/>
          <w:lang w:val="en-GB"/>
        </w:rPr>
        <w:t>an aggregator with a merchant account with an acquirer which is used to process debit and credit card payments for the</w:t>
      </w:r>
      <w:r>
        <w:rPr>
          <w:sz w:val="21"/>
          <w:szCs w:val="21"/>
          <w:lang w:val="en-GB"/>
        </w:rPr>
        <w:t xml:space="preserve"> </w:t>
      </w:r>
      <w:r>
        <w:rPr>
          <w:sz w:val="21"/>
          <w:szCs w:val="21"/>
        </w:rPr>
        <w:t xml:space="preserve">underbanked sector of </w:t>
      </w:r>
      <w:r>
        <w:rPr>
          <w:sz w:val="21"/>
          <w:szCs w:val="21"/>
          <w:lang w:val="en-GB"/>
        </w:rPr>
        <w:t>point-to-point</w:t>
      </w:r>
      <w:r>
        <w:rPr>
          <w:sz w:val="21"/>
          <w:szCs w:val="21"/>
          <w:lang w:val="en-GB"/>
        </w:rPr>
        <w:t xml:space="preserve"> transport services</w:t>
      </w:r>
      <w:r w:rsidRPr="00FD3856">
        <w:rPr>
          <w:sz w:val="21"/>
          <w:szCs w:val="21"/>
          <w:lang w:val="en-GB"/>
        </w:rPr>
        <w:t>.</w:t>
      </w:r>
    </w:p>
    <w:p w14:paraId="407A765B" w14:textId="77777777" w:rsidR="00657DF0" w:rsidRDefault="00657DF0" w:rsidP="00657DF0">
      <w:pPr>
        <w:spacing w:after="102" w:line="268" w:lineRule="auto"/>
        <w:ind w:left="12" w:right="15" w:hanging="10"/>
        <w:jc w:val="both"/>
        <w:rPr>
          <w:sz w:val="21"/>
          <w:szCs w:val="21"/>
          <w:lang w:val="en-AU"/>
        </w:rPr>
      </w:pPr>
      <w:r>
        <w:rPr>
          <w:sz w:val="21"/>
          <w:szCs w:val="21"/>
        </w:rPr>
        <w:t>W</w:t>
      </w:r>
      <w:r w:rsidRPr="00D577B8">
        <w:rPr>
          <w:sz w:val="21"/>
          <w:szCs w:val="21"/>
        </w:rPr>
        <w:t>e note that</w:t>
      </w:r>
      <w:r>
        <w:rPr>
          <w:sz w:val="21"/>
          <w:szCs w:val="21"/>
        </w:rPr>
        <w:t xml:space="preserve"> </w:t>
      </w:r>
      <w:r w:rsidRPr="00D577B8">
        <w:rPr>
          <w:sz w:val="21"/>
          <w:szCs w:val="21"/>
        </w:rPr>
        <w:t xml:space="preserve">the </w:t>
      </w:r>
      <w:r w:rsidRPr="00D577B8">
        <w:rPr>
          <w:sz w:val="21"/>
          <w:szCs w:val="21"/>
          <w:lang w:val="en-AU"/>
        </w:rPr>
        <w:t xml:space="preserve">Australian Taxation Office (ATO) </w:t>
      </w:r>
      <w:r>
        <w:rPr>
          <w:sz w:val="21"/>
          <w:szCs w:val="21"/>
          <w:lang w:val="en-AU"/>
        </w:rPr>
        <w:t xml:space="preserve">has announced that it </w:t>
      </w:r>
      <w:r w:rsidRPr="00D577B8">
        <w:rPr>
          <w:sz w:val="21"/>
          <w:szCs w:val="21"/>
          <w:lang w:val="en-AU"/>
        </w:rPr>
        <w:t xml:space="preserve">will cease applying surcharges on debit card payments starting January 1, 2025. </w:t>
      </w:r>
      <w:r>
        <w:rPr>
          <w:sz w:val="21"/>
          <w:szCs w:val="21"/>
          <w:lang w:val="en-AU"/>
        </w:rPr>
        <w:t xml:space="preserve"> </w:t>
      </w:r>
      <w:r w:rsidRPr="00D577B8">
        <w:rPr>
          <w:sz w:val="21"/>
          <w:szCs w:val="21"/>
          <w:lang w:val="en-AU"/>
        </w:rPr>
        <w:t>This change follow</w:t>
      </w:r>
      <w:r>
        <w:rPr>
          <w:sz w:val="21"/>
          <w:szCs w:val="21"/>
          <w:lang w:val="en-AU"/>
        </w:rPr>
        <w:t>ed</w:t>
      </w:r>
      <w:r w:rsidRPr="00D577B8">
        <w:rPr>
          <w:sz w:val="21"/>
          <w:szCs w:val="21"/>
          <w:lang w:val="en-AU"/>
        </w:rPr>
        <w:t xml:space="preserve"> the government’s announcement on November 22, 2024, aiming to reduce costs for Australians on everyday payments. </w:t>
      </w:r>
      <w:r>
        <w:rPr>
          <w:sz w:val="21"/>
          <w:szCs w:val="21"/>
          <w:lang w:val="en-AU"/>
        </w:rPr>
        <w:t xml:space="preserve"> </w:t>
      </w:r>
    </w:p>
    <w:p w14:paraId="2706848D" w14:textId="77777777" w:rsidR="00657DF0" w:rsidRDefault="00657DF0" w:rsidP="00657DF0">
      <w:pPr>
        <w:spacing w:after="102" w:line="268" w:lineRule="auto"/>
        <w:ind w:left="12" w:right="15" w:hanging="10"/>
        <w:jc w:val="both"/>
        <w:rPr>
          <w:sz w:val="21"/>
          <w:szCs w:val="21"/>
          <w:lang w:val="en-AU"/>
        </w:rPr>
      </w:pPr>
      <w:bookmarkStart w:id="1" w:name="OLE_LINK15"/>
      <w:r w:rsidRPr="00D46BC0">
        <w:rPr>
          <w:sz w:val="21"/>
          <w:szCs w:val="21"/>
          <w:lang w:val="en-AU"/>
        </w:rPr>
        <w:t xml:space="preserve">We acknowledge </w:t>
      </w:r>
      <w:bookmarkStart w:id="2" w:name="OLE_LINK17"/>
      <w:r w:rsidRPr="00D46BC0">
        <w:rPr>
          <w:sz w:val="21"/>
          <w:szCs w:val="21"/>
          <w:lang w:val="en-AU"/>
        </w:rPr>
        <w:t>the real cost-of-living problem</w:t>
      </w:r>
      <w:r>
        <w:rPr>
          <w:sz w:val="21"/>
          <w:szCs w:val="21"/>
          <w:lang w:val="en-AU"/>
        </w:rPr>
        <w:t xml:space="preserve"> faced by many Australians</w:t>
      </w:r>
      <w:bookmarkEnd w:id="2"/>
      <w:r w:rsidRPr="00D46BC0">
        <w:rPr>
          <w:sz w:val="21"/>
          <w:szCs w:val="21"/>
          <w:lang w:val="en-AU"/>
        </w:rPr>
        <w:t xml:space="preserve">. The elimination of surcharges on debit transactions, as announced by the ATO, or the capping of surcharges, as discussed in the media, oversimplifies a complex systemic issue. This narrative unfairly portrays merchants who apply surcharges to </w:t>
      </w:r>
      <w:r>
        <w:rPr>
          <w:sz w:val="21"/>
          <w:szCs w:val="21"/>
          <w:lang w:val="en-AU"/>
        </w:rPr>
        <w:t>card</w:t>
      </w:r>
      <w:r w:rsidRPr="00D46BC0">
        <w:rPr>
          <w:sz w:val="21"/>
          <w:szCs w:val="21"/>
          <w:lang w:val="en-AU"/>
        </w:rPr>
        <w:t xml:space="preserve"> payments as villains</w:t>
      </w:r>
      <w:r>
        <w:rPr>
          <w:sz w:val="21"/>
          <w:szCs w:val="21"/>
          <w:lang w:val="en-AU"/>
        </w:rPr>
        <w:t xml:space="preserve"> when in fact they are the victims</w:t>
      </w:r>
      <w:r w:rsidRPr="00D46BC0">
        <w:rPr>
          <w:sz w:val="21"/>
          <w:szCs w:val="21"/>
          <w:lang w:val="en-AU"/>
        </w:rPr>
        <w:t xml:space="preserve">. </w:t>
      </w:r>
      <w:r>
        <w:rPr>
          <w:sz w:val="21"/>
          <w:szCs w:val="21"/>
          <w:lang w:val="en-AU"/>
        </w:rPr>
        <w:t xml:space="preserve"> For commentators blaming the victim is seen as the simple solution rather than understanding and tackling </w:t>
      </w:r>
      <w:r w:rsidRPr="00D46BC0">
        <w:rPr>
          <w:sz w:val="21"/>
          <w:szCs w:val="21"/>
          <w:lang w:val="en-AU"/>
        </w:rPr>
        <w:t>the deeper systemic issues</w:t>
      </w:r>
      <w:r>
        <w:rPr>
          <w:sz w:val="21"/>
          <w:szCs w:val="21"/>
          <w:lang w:val="en-AU"/>
        </w:rPr>
        <w:t xml:space="preserve">.  </w:t>
      </w:r>
    </w:p>
    <w:p w14:paraId="351B4E3C" w14:textId="6E66AB12" w:rsidR="00657DF0" w:rsidRPr="003A2056" w:rsidRDefault="00657DF0" w:rsidP="00657DF0">
      <w:pPr>
        <w:spacing w:after="102" w:line="268" w:lineRule="auto"/>
        <w:ind w:left="12" w:right="15" w:hanging="10"/>
        <w:jc w:val="both"/>
        <w:rPr>
          <w:sz w:val="21"/>
          <w:szCs w:val="21"/>
          <w:lang w:val="en-AU"/>
        </w:rPr>
      </w:pPr>
      <w:r>
        <w:rPr>
          <w:sz w:val="21"/>
          <w:szCs w:val="21"/>
          <w:lang w:val="en-AU"/>
        </w:rPr>
        <w:t>These</w:t>
      </w:r>
      <w:r w:rsidRPr="00D46BC0">
        <w:rPr>
          <w:sz w:val="21"/>
          <w:szCs w:val="21"/>
          <w:lang w:val="en-AU"/>
        </w:rPr>
        <w:t xml:space="preserve"> </w:t>
      </w:r>
      <w:r>
        <w:rPr>
          <w:sz w:val="21"/>
          <w:szCs w:val="21"/>
          <w:lang w:val="en-AU"/>
        </w:rPr>
        <w:t xml:space="preserve">systemic failures will </w:t>
      </w:r>
      <w:r w:rsidRPr="00D46BC0">
        <w:rPr>
          <w:sz w:val="21"/>
          <w:szCs w:val="21"/>
          <w:lang w:val="en-AU"/>
        </w:rPr>
        <w:t>require courage</w:t>
      </w:r>
      <w:r>
        <w:rPr>
          <w:sz w:val="21"/>
          <w:szCs w:val="21"/>
          <w:lang w:val="en-AU"/>
        </w:rPr>
        <w:t xml:space="preserve"> by </w:t>
      </w:r>
      <w:r w:rsidRPr="00D46BC0">
        <w:rPr>
          <w:sz w:val="21"/>
          <w:szCs w:val="21"/>
          <w:lang w:val="en-AU"/>
        </w:rPr>
        <w:t xml:space="preserve">government and </w:t>
      </w:r>
      <w:r>
        <w:rPr>
          <w:sz w:val="21"/>
          <w:szCs w:val="21"/>
          <w:lang w:val="en-AU"/>
        </w:rPr>
        <w:t>regulators to address.  Wishing away</w:t>
      </w:r>
      <w:r>
        <w:rPr>
          <w:sz w:val="21"/>
          <w:szCs w:val="21"/>
          <w:lang w:val="en-AU"/>
        </w:rPr>
        <w:t>,</w:t>
      </w:r>
      <w:r>
        <w:rPr>
          <w:sz w:val="21"/>
          <w:szCs w:val="21"/>
          <w:lang w:val="en-AU"/>
        </w:rPr>
        <w:t xml:space="preserve"> by regulation</w:t>
      </w:r>
      <w:r>
        <w:rPr>
          <w:sz w:val="21"/>
          <w:szCs w:val="21"/>
          <w:lang w:val="en-AU"/>
        </w:rPr>
        <w:t>,</w:t>
      </w:r>
      <w:r>
        <w:rPr>
          <w:sz w:val="21"/>
          <w:szCs w:val="21"/>
          <w:lang w:val="en-AU"/>
        </w:rPr>
        <w:t xml:space="preserve"> payment surcharges is pure feel good “Emperor’s New Clothes” thinking.  The costs of having the convenience and speed of paying by card will not evaporate.</w:t>
      </w:r>
      <w:bookmarkEnd w:id="1"/>
      <w:r>
        <w:rPr>
          <w:sz w:val="21"/>
          <w:szCs w:val="21"/>
          <w:lang w:val="en-AU"/>
        </w:rPr>
        <w:t xml:space="preserve">  We face the choice of having transparency of the costs for all to see or have them buried in higher costs of goods and services.</w:t>
      </w:r>
    </w:p>
    <w:p w14:paraId="73953114" w14:textId="481743D3" w:rsidR="00657DF0" w:rsidRDefault="00657DF0" w:rsidP="00657DF0">
      <w:pPr>
        <w:spacing w:after="102" w:line="268" w:lineRule="auto"/>
        <w:ind w:left="12" w:right="15" w:hanging="10"/>
        <w:jc w:val="both"/>
        <w:rPr>
          <w:sz w:val="21"/>
          <w:szCs w:val="21"/>
          <w:lang w:val="en-AU"/>
        </w:rPr>
      </w:pPr>
      <w:r>
        <w:rPr>
          <w:sz w:val="21"/>
          <w:szCs w:val="21"/>
          <w:lang w:val="en-AU"/>
        </w:rPr>
        <w:t>In o</w:t>
      </w:r>
      <w:r w:rsidRPr="00D577B8">
        <w:rPr>
          <w:sz w:val="21"/>
          <w:szCs w:val="21"/>
          <w:lang w:val="en-AU"/>
        </w:rPr>
        <w:t xml:space="preserve">ur </w:t>
      </w:r>
      <w:r>
        <w:rPr>
          <w:sz w:val="21"/>
          <w:szCs w:val="21"/>
          <w:lang w:val="en-AU"/>
        </w:rPr>
        <w:t>responses</w:t>
      </w:r>
      <w:r w:rsidRPr="00D577B8">
        <w:rPr>
          <w:sz w:val="21"/>
          <w:szCs w:val="21"/>
          <w:lang w:val="en-AU"/>
        </w:rPr>
        <w:t xml:space="preserve"> to the RBA’s questions</w:t>
      </w:r>
      <w:r>
        <w:rPr>
          <w:sz w:val="21"/>
          <w:szCs w:val="21"/>
          <w:lang w:val="en-AU"/>
        </w:rPr>
        <w:t xml:space="preserve">, we set out </w:t>
      </w:r>
      <w:r w:rsidRPr="00D577B8">
        <w:rPr>
          <w:sz w:val="21"/>
          <w:szCs w:val="21"/>
          <w:lang w:val="en-AU"/>
        </w:rPr>
        <w:t xml:space="preserve">what we, as a </w:t>
      </w:r>
      <w:r>
        <w:rPr>
          <w:sz w:val="21"/>
          <w:szCs w:val="21"/>
          <w:lang w:val="en-AU"/>
        </w:rPr>
        <w:t xml:space="preserve">small </w:t>
      </w:r>
      <w:r w:rsidRPr="00D577B8">
        <w:rPr>
          <w:sz w:val="21"/>
          <w:szCs w:val="21"/>
          <w:lang w:val="en-AU"/>
        </w:rPr>
        <w:t>merchant, see a</w:t>
      </w:r>
      <w:r>
        <w:rPr>
          <w:sz w:val="21"/>
          <w:szCs w:val="21"/>
          <w:lang w:val="en-AU"/>
        </w:rPr>
        <w:t>re</w:t>
      </w:r>
      <w:r w:rsidRPr="00D577B8">
        <w:rPr>
          <w:sz w:val="21"/>
          <w:szCs w:val="21"/>
          <w:lang w:val="en-AU"/>
        </w:rPr>
        <w:t xml:space="preserve"> the s</w:t>
      </w:r>
      <w:r>
        <w:rPr>
          <w:sz w:val="21"/>
          <w:szCs w:val="21"/>
          <w:lang w:val="en-AU"/>
        </w:rPr>
        <w:t>tructural</w:t>
      </w:r>
      <w:r w:rsidRPr="00D577B8">
        <w:rPr>
          <w:sz w:val="21"/>
          <w:szCs w:val="21"/>
          <w:lang w:val="en-AU"/>
        </w:rPr>
        <w:t xml:space="preserve"> problems </w:t>
      </w:r>
      <w:r>
        <w:rPr>
          <w:sz w:val="21"/>
          <w:szCs w:val="21"/>
          <w:lang w:val="en-AU"/>
        </w:rPr>
        <w:t xml:space="preserve">inherent </w:t>
      </w:r>
      <w:r w:rsidRPr="00D577B8">
        <w:rPr>
          <w:sz w:val="21"/>
          <w:szCs w:val="21"/>
          <w:lang w:val="en-AU"/>
        </w:rPr>
        <w:t xml:space="preserve">in the Australian payments </w:t>
      </w:r>
      <w:r w:rsidRPr="00777293">
        <w:rPr>
          <w:sz w:val="21"/>
          <w:szCs w:val="21"/>
          <w:lang w:val="en-AU"/>
        </w:rPr>
        <w:t>industry</w:t>
      </w:r>
      <w:r>
        <w:rPr>
          <w:sz w:val="21"/>
          <w:szCs w:val="21"/>
          <w:lang w:val="en-AU"/>
        </w:rPr>
        <w:t xml:space="preserve"> generally,</w:t>
      </w:r>
      <w:r w:rsidRPr="00D577B8">
        <w:rPr>
          <w:sz w:val="21"/>
          <w:szCs w:val="21"/>
          <w:lang w:val="en-AU"/>
        </w:rPr>
        <w:t xml:space="preserve"> </w:t>
      </w:r>
      <w:r>
        <w:rPr>
          <w:sz w:val="21"/>
          <w:szCs w:val="21"/>
          <w:lang w:val="en-AU"/>
        </w:rPr>
        <w:t xml:space="preserve">and </w:t>
      </w:r>
      <w:r w:rsidRPr="00D577B8">
        <w:rPr>
          <w:sz w:val="21"/>
          <w:szCs w:val="21"/>
          <w:lang w:val="en-AU"/>
        </w:rPr>
        <w:t>interchange</w:t>
      </w:r>
      <w:r>
        <w:rPr>
          <w:sz w:val="21"/>
          <w:szCs w:val="21"/>
          <w:lang w:val="en-AU"/>
        </w:rPr>
        <w:t xml:space="preserve"> fees,</w:t>
      </w:r>
      <w:r w:rsidRPr="00D577B8">
        <w:rPr>
          <w:sz w:val="21"/>
          <w:szCs w:val="21"/>
          <w:lang w:val="en-AU"/>
        </w:rPr>
        <w:t xml:space="preserve"> and scheme fees</w:t>
      </w:r>
      <w:r>
        <w:rPr>
          <w:sz w:val="21"/>
          <w:szCs w:val="21"/>
          <w:lang w:val="en-AU"/>
        </w:rPr>
        <w:t xml:space="preserve"> in particular.  The concerns about</w:t>
      </w:r>
      <w:r w:rsidRPr="00D577B8">
        <w:rPr>
          <w:sz w:val="21"/>
          <w:szCs w:val="21"/>
          <w:lang w:val="en-AU"/>
        </w:rPr>
        <w:t xml:space="preserve"> surcharging </w:t>
      </w:r>
      <w:r>
        <w:rPr>
          <w:sz w:val="21"/>
          <w:szCs w:val="21"/>
          <w:lang w:val="en-AU"/>
        </w:rPr>
        <w:t>that have gained currency in the media mask</w:t>
      </w:r>
      <w:r w:rsidRPr="00D577B8">
        <w:rPr>
          <w:sz w:val="21"/>
          <w:szCs w:val="21"/>
          <w:lang w:val="en-AU"/>
        </w:rPr>
        <w:t xml:space="preserve"> systemic </w:t>
      </w:r>
      <w:r>
        <w:rPr>
          <w:sz w:val="21"/>
          <w:szCs w:val="21"/>
          <w:lang w:val="en-AU"/>
        </w:rPr>
        <w:t xml:space="preserve">market failures in the Multisided Platform market </w:t>
      </w:r>
      <w:r>
        <w:rPr>
          <w:sz w:val="21"/>
          <w:szCs w:val="21"/>
          <w:lang w:val="en-AU"/>
        </w:rPr>
        <w:t>with</w:t>
      </w:r>
      <w:r>
        <w:rPr>
          <w:sz w:val="21"/>
          <w:szCs w:val="21"/>
          <w:lang w:val="en-AU"/>
        </w:rPr>
        <w:t>in which payments operate</w:t>
      </w:r>
      <w:r>
        <w:rPr>
          <w:sz w:val="21"/>
          <w:szCs w:val="21"/>
          <w:lang w:val="en-AU"/>
        </w:rPr>
        <w:t>.  These market failures</w:t>
      </w:r>
      <w:r>
        <w:rPr>
          <w:sz w:val="21"/>
          <w:szCs w:val="21"/>
          <w:lang w:val="en-AU"/>
        </w:rPr>
        <w:t xml:space="preserve"> are a direct </w:t>
      </w:r>
      <w:r>
        <w:rPr>
          <w:rFonts w:cs="Calibri"/>
          <w:bCs/>
          <w:sz w:val="21"/>
        </w:rPr>
        <w:t xml:space="preserve">result of </w:t>
      </w:r>
      <w:r>
        <w:rPr>
          <w:rFonts w:cs="Calibri"/>
          <w:bCs/>
          <w:sz w:val="21"/>
        </w:rPr>
        <w:t xml:space="preserve">a number of issues but especially </w:t>
      </w:r>
      <w:r>
        <w:rPr>
          <w:rFonts w:cs="Calibri"/>
          <w:bCs/>
          <w:sz w:val="21"/>
        </w:rPr>
        <w:t>the inadequate structural separation between the major issuers, the major acquirers, and the schemes</w:t>
      </w:r>
      <w:r>
        <w:rPr>
          <w:sz w:val="21"/>
          <w:szCs w:val="21"/>
          <w:lang w:val="en-AU"/>
        </w:rPr>
        <w:t>.</w:t>
      </w:r>
    </w:p>
    <w:p w14:paraId="3D88D1F0" w14:textId="77777777" w:rsidR="00657DF0" w:rsidRDefault="00657DF0" w:rsidP="00657DF0">
      <w:pPr>
        <w:spacing w:after="102" w:line="268" w:lineRule="auto"/>
        <w:ind w:left="12" w:right="15" w:hanging="10"/>
        <w:jc w:val="both"/>
        <w:rPr>
          <w:sz w:val="21"/>
          <w:szCs w:val="21"/>
          <w:lang w:val="en-AU"/>
        </w:rPr>
      </w:pPr>
      <w:bookmarkStart w:id="3" w:name="OLE_LINK18"/>
      <w:r>
        <w:rPr>
          <w:sz w:val="21"/>
          <w:szCs w:val="21"/>
          <w:lang w:val="en-AU"/>
        </w:rPr>
        <w:t>T</w:t>
      </w:r>
      <w:r w:rsidRPr="00C22AF6">
        <w:rPr>
          <w:sz w:val="21"/>
          <w:szCs w:val="21"/>
          <w:lang w:val="en-AU"/>
        </w:rPr>
        <w:t>o effectively tackle the cost-of-living problem in Australia</w:t>
      </w:r>
      <w:r>
        <w:rPr>
          <w:sz w:val="21"/>
          <w:szCs w:val="21"/>
          <w:lang w:val="en-AU"/>
        </w:rPr>
        <w:t>, these failures need to be addressed by driving meaningful reform and technological innovation in the card payment industry</w:t>
      </w:r>
      <w:r w:rsidRPr="00D577B8">
        <w:rPr>
          <w:sz w:val="21"/>
          <w:szCs w:val="21"/>
          <w:lang w:val="en-AU"/>
        </w:rPr>
        <w:t>.</w:t>
      </w:r>
    </w:p>
    <w:bookmarkEnd w:id="3"/>
    <w:p w14:paraId="44EABFD3" w14:textId="77777777" w:rsidR="00657DF0" w:rsidRDefault="00657DF0" w:rsidP="00657DF0">
      <w:pPr>
        <w:spacing w:after="102" w:line="268" w:lineRule="auto"/>
        <w:ind w:left="12" w:right="15" w:hanging="10"/>
        <w:jc w:val="both"/>
        <w:rPr>
          <w:sz w:val="21"/>
          <w:szCs w:val="21"/>
          <w:lang w:val="en-AU"/>
        </w:rPr>
      </w:pPr>
      <w:r>
        <w:rPr>
          <w:sz w:val="21"/>
          <w:szCs w:val="21"/>
          <w:lang w:val="en-AU"/>
        </w:rPr>
        <w:t>We are available to discuss any of the matters we have set out in this response to the RBA issues paper.</w:t>
      </w:r>
    </w:p>
    <w:bookmarkEnd w:id="0"/>
    <w:p w14:paraId="7CCDE11C" w14:textId="77777777" w:rsidR="00657DF0" w:rsidRDefault="00657DF0" w:rsidP="00657DF0">
      <w:pPr>
        <w:spacing w:after="102" w:line="268" w:lineRule="auto"/>
        <w:ind w:left="12" w:right="15" w:hanging="10"/>
        <w:rPr>
          <w:sz w:val="21"/>
          <w:szCs w:val="21"/>
          <w:lang w:val="en-AU"/>
        </w:rPr>
      </w:pPr>
    </w:p>
    <w:p w14:paraId="0141D8C0" w14:textId="77777777" w:rsidR="00657DF0" w:rsidRDefault="00657DF0" w:rsidP="00657DF0">
      <w:pPr>
        <w:spacing w:after="102" w:line="268" w:lineRule="auto"/>
        <w:ind w:left="12" w:right="15" w:hanging="10"/>
        <w:rPr>
          <w:sz w:val="21"/>
          <w:szCs w:val="21"/>
          <w:lang w:val="en-AU"/>
        </w:rPr>
      </w:pPr>
      <w:r>
        <w:rPr>
          <w:sz w:val="21"/>
          <w:szCs w:val="21"/>
          <w:lang w:val="en-AU"/>
        </w:rPr>
        <w:t>Kind regards</w:t>
      </w:r>
    </w:p>
    <w:p w14:paraId="5624EEAD" w14:textId="77777777" w:rsidR="00657DF0" w:rsidRDefault="00657DF0" w:rsidP="00657DF0">
      <w:pPr>
        <w:spacing w:after="102" w:line="268" w:lineRule="auto"/>
        <w:ind w:left="12" w:right="15" w:hanging="10"/>
        <w:rPr>
          <w:sz w:val="21"/>
          <w:szCs w:val="21"/>
          <w:lang w:val="en-AU"/>
        </w:rPr>
      </w:pPr>
    </w:p>
    <w:p w14:paraId="61E55423" w14:textId="4212FC5B" w:rsidR="00657DF0" w:rsidRPr="000B24BD" w:rsidRDefault="00657DF0" w:rsidP="00657DF0">
      <w:pPr>
        <w:spacing w:after="0" w:line="240" w:lineRule="auto"/>
        <w:ind w:left="11" w:right="17" w:hanging="11"/>
        <w:rPr>
          <w:b/>
          <w:bCs/>
          <w:sz w:val="21"/>
          <w:szCs w:val="21"/>
          <w:lang w:val="en-AU"/>
        </w:rPr>
      </w:pPr>
      <w:r w:rsidRPr="000B24BD">
        <w:rPr>
          <w:b/>
          <w:bCs/>
          <w:sz w:val="21"/>
          <w:szCs w:val="21"/>
          <w:lang w:val="en-AU"/>
        </w:rPr>
        <w:t xml:space="preserve">David </w:t>
      </w:r>
      <w:r w:rsidR="005F383E">
        <w:rPr>
          <w:b/>
          <w:bCs/>
          <w:sz w:val="21"/>
          <w:szCs w:val="21"/>
          <w:lang w:val="en-AU"/>
        </w:rPr>
        <w:t xml:space="preserve">R </w:t>
      </w:r>
      <w:r w:rsidRPr="000B24BD">
        <w:rPr>
          <w:b/>
          <w:bCs/>
          <w:sz w:val="21"/>
          <w:szCs w:val="21"/>
          <w:lang w:val="en-AU"/>
        </w:rPr>
        <w:t>Hamilton</w:t>
      </w:r>
    </w:p>
    <w:p w14:paraId="35D9C098" w14:textId="77777777" w:rsidR="00657DF0" w:rsidRPr="000B24BD" w:rsidRDefault="00657DF0" w:rsidP="00657DF0">
      <w:pPr>
        <w:spacing w:after="0" w:line="240" w:lineRule="auto"/>
        <w:ind w:left="11" w:right="17" w:hanging="11"/>
        <w:rPr>
          <w:b/>
          <w:bCs/>
          <w:sz w:val="21"/>
          <w:szCs w:val="21"/>
          <w:lang w:val="en-AU"/>
        </w:rPr>
      </w:pPr>
      <w:r w:rsidRPr="000B24BD">
        <w:rPr>
          <w:b/>
          <w:bCs/>
          <w:sz w:val="21"/>
          <w:szCs w:val="21"/>
          <w:lang w:val="en-AU"/>
        </w:rPr>
        <w:t>Chief Strategy Officer</w:t>
      </w:r>
    </w:p>
    <w:p w14:paraId="7DBE670C" w14:textId="77777777" w:rsidR="00657DF0" w:rsidRPr="000B24BD" w:rsidRDefault="00657DF0" w:rsidP="00657DF0">
      <w:pPr>
        <w:spacing w:after="0" w:line="240" w:lineRule="auto"/>
        <w:ind w:left="11" w:right="17" w:hanging="11"/>
        <w:rPr>
          <w:b/>
          <w:bCs/>
          <w:sz w:val="21"/>
          <w:szCs w:val="21"/>
          <w:lang w:val="en-AU"/>
        </w:rPr>
      </w:pPr>
      <w:r w:rsidRPr="000B24BD">
        <w:rPr>
          <w:b/>
          <w:bCs/>
          <w:sz w:val="21"/>
          <w:szCs w:val="21"/>
          <w:lang w:val="en-AU"/>
        </w:rPr>
        <w:t xml:space="preserve">National Billing Group </w:t>
      </w:r>
    </w:p>
    <w:p w14:paraId="0C8443C7" w14:textId="5E099326" w:rsidR="00657DF0" w:rsidRPr="00D577B8" w:rsidRDefault="005527D8" w:rsidP="00657DF0">
      <w:pPr>
        <w:spacing w:after="0" w:line="240" w:lineRule="auto"/>
        <w:ind w:left="11" w:right="17" w:hanging="11"/>
        <w:rPr>
          <w:sz w:val="21"/>
          <w:szCs w:val="21"/>
          <w:lang w:val="en-AU"/>
        </w:rPr>
      </w:pPr>
      <w:r>
        <w:rPr>
          <w:sz w:val="21"/>
          <w:szCs w:val="21"/>
          <w:lang w:val="en-AU"/>
        </w:rPr>
        <w:t>2</w:t>
      </w:r>
      <w:r w:rsidR="00657DF0">
        <w:rPr>
          <w:sz w:val="21"/>
          <w:szCs w:val="21"/>
          <w:lang w:val="en-AU"/>
        </w:rPr>
        <w:t xml:space="preserve"> December 2024</w:t>
      </w:r>
    </w:p>
    <w:p w14:paraId="4928EBE7" w14:textId="77777777" w:rsidR="00657DF0" w:rsidRDefault="00657DF0" w:rsidP="00657DF0">
      <w:pPr>
        <w:spacing w:after="0" w:line="240" w:lineRule="auto"/>
        <w:rPr>
          <w:rFonts w:cs="Calibri"/>
          <w:b/>
          <w:sz w:val="21"/>
        </w:rPr>
        <w:sectPr w:rsidR="00657DF0" w:rsidSect="0011056E">
          <w:footerReference w:type="default" r:id="rId8"/>
          <w:headerReference w:type="first" r:id="rId9"/>
          <w:footerReference w:type="first" r:id="rId10"/>
          <w:pgSz w:w="11900" w:h="16840"/>
          <w:pgMar w:top="1440" w:right="1440" w:bottom="1440" w:left="1440" w:header="708" w:footer="708" w:gutter="0"/>
          <w:cols w:space="708"/>
          <w:titlePg/>
          <w:docGrid w:linePitch="360"/>
        </w:sectPr>
      </w:pPr>
    </w:p>
    <w:p w14:paraId="41EEE91D" w14:textId="77777777" w:rsidR="00657DF0" w:rsidRDefault="00657DF0" w:rsidP="00657DF0">
      <w:pPr>
        <w:spacing w:after="0" w:line="240" w:lineRule="auto"/>
        <w:rPr>
          <w:rFonts w:cs="Calibri"/>
          <w:b/>
          <w:sz w:val="21"/>
        </w:rPr>
      </w:pPr>
    </w:p>
    <w:p w14:paraId="0571E278" w14:textId="77777777" w:rsidR="00657DF0" w:rsidRPr="005527D8" w:rsidRDefault="00657DF0" w:rsidP="005527D8">
      <w:pPr>
        <w:spacing w:after="240" w:line="240" w:lineRule="auto"/>
        <w:ind w:left="822"/>
        <w:jc w:val="center"/>
        <w:rPr>
          <w:rFonts w:cs="Calibri"/>
          <w:b/>
          <w:sz w:val="28"/>
          <w:szCs w:val="28"/>
        </w:rPr>
      </w:pPr>
      <w:r w:rsidRPr="005527D8">
        <w:rPr>
          <w:rFonts w:cs="Calibri"/>
          <w:b/>
          <w:sz w:val="28"/>
          <w:szCs w:val="28"/>
        </w:rPr>
        <w:t>RBA Stakeholder Questions</w:t>
      </w:r>
    </w:p>
    <w:p w14:paraId="7D09BC67" w14:textId="77777777" w:rsidR="00657DF0" w:rsidRPr="000B24BD" w:rsidRDefault="00657DF0" w:rsidP="00657DF0">
      <w:pPr>
        <w:numPr>
          <w:ilvl w:val="0"/>
          <w:numId w:val="1"/>
        </w:numPr>
        <w:spacing w:after="101" w:line="269" w:lineRule="auto"/>
        <w:ind w:hanging="406"/>
        <w:jc w:val="both"/>
        <w:rPr>
          <w:b/>
        </w:rPr>
      </w:pPr>
      <w:r w:rsidRPr="000B24BD">
        <w:rPr>
          <w:rFonts w:cs="Calibri"/>
          <w:b/>
          <w:sz w:val="21"/>
        </w:rPr>
        <w:t xml:space="preserve">Is there a case for lowering the level of interchange benchmarks or caps? Should the difference between the interchange fees paid by big and small businesses be limited in some way? </w:t>
      </w:r>
    </w:p>
    <w:p w14:paraId="798DBF10"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4DE7CE8F" w14:textId="77777777" w:rsidR="00657DF0" w:rsidRPr="0052089F" w:rsidRDefault="00657DF0" w:rsidP="00657DF0">
      <w:pPr>
        <w:spacing w:after="101" w:line="269" w:lineRule="auto"/>
        <w:jc w:val="both"/>
        <w:rPr>
          <w:rFonts w:cs="Calibri"/>
          <w:bCs/>
          <w:i/>
          <w:iCs/>
          <w:sz w:val="21"/>
        </w:rPr>
      </w:pPr>
      <w:r w:rsidRPr="0052089F">
        <w:rPr>
          <w:rFonts w:cs="Calibri"/>
          <w:bCs/>
          <w:i/>
          <w:iCs/>
          <w:sz w:val="21"/>
        </w:rPr>
        <w:t>Lowering of interchange benchmark caps</w:t>
      </w:r>
    </w:p>
    <w:p w14:paraId="50EC26A1" w14:textId="77777777" w:rsidR="00657DF0" w:rsidRDefault="00657DF0" w:rsidP="00657DF0">
      <w:pPr>
        <w:spacing w:after="101" w:line="269" w:lineRule="auto"/>
        <w:jc w:val="both"/>
        <w:rPr>
          <w:sz w:val="21"/>
          <w:szCs w:val="21"/>
        </w:rPr>
      </w:pPr>
      <w:r>
        <w:rPr>
          <w:sz w:val="21"/>
          <w:szCs w:val="21"/>
        </w:rPr>
        <w:t>As both the RBA and ACCC recognised in October 2020 and again in 2024 and the Productivity Commission (PC) recognised in 2018 the principal beneficiaries are:</w:t>
      </w:r>
    </w:p>
    <w:p w14:paraId="0E92D0CC" w14:textId="77777777" w:rsidR="00657DF0" w:rsidRPr="0052089F" w:rsidRDefault="00657DF0" w:rsidP="00657DF0">
      <w:pPr>
        <w:pStyle w:val="ListParagraph"/>
        <w:numPr>
          <w:ilvl w:val="0"/>
          <w:numId w:val="2"/>
        </w:numPr>
        <w:spacing w:after="101" w:line="269" w:lineRule="auto"/>
        <w:jc w:val="both"/>
      </w:pPr>
      <w:r w:rsidRPr="0052089F">
        <w:rPr>
          <w:sz w:val="21"/>
          <w:szCs w:val="21"/>
        </w:rPr>
        <w:t xml:space="preserve">Card Issuers </w:t>
      </w:r>
      <w:r w:rsidRPr="00331FB7">
        <w:rPr>
          <w:lang w:val="en-AU"/>
        </w:rPr>
        <w:t>who can reduce costs to their customers and benefit from branding and promotion opportunities, creating an impression of differentiation in what is effectively a generic product</w:t>
      </w:r>
      <w:r w:rsidRPr="0052089F">
        <w:t>.</w:t>
      </w:r>
    </w:p>
    <w:p w14:paraId="3160E193" w14:textId="77777777" w:rsidR="00657DF0" w:rsidRPr="0052089F" w:rsidRDefault="00657DF0" w:rsidP="00657DF0">
      <w:pPr>
        <w:pStyle w:val="ListParagraph"/>
        <w:numPr>
          <w:ilvl w:val="0"/>
          <w:numId w:val="2"/>
        </w:numPr>
        <w:spacing w:after="101" w:line="269" w:lineRule="auto"/>
        <w:jc w:val="both"/>
        <w:rPr>
          <w:sz w:val="21"/>
          <w:szCs w:val="21"/>
        </w:rPr>
      </w:pPr>
      <w:r w:rsidRPr="0052089F">
        <w:rPr>
          <w:sz w:val="21"/>
          <w:szCs w:val="21"/>
        </w:rPr>
        <w:t xml:space="preserve">Cardholders who </w:t>
      </w:r>
      <w:r w:rsidRPr="00331FB7">
        <w:rPr>
          <w:sz w:val="21"/>
          <w:szCs w:val="21"/>
        </w:rPr>
        <w:t>perceive they are receiving</w:t>
      </w:r>
      <w:r w:rsidRPr="0052089F">
        <w:rPr>
          <w:sz w:val="21"/>
          <w:szCs w:val="21"/>
        </w:rPr>
        <w:t xml:space="preserve"> a “free benefit” whether it is air miles, reward points, or interest free periods. </w:t>
      </w:r>
    </w:p>
    <w:p w14:paraId="6CBA9878" w14:textId="77777777" w:rsidR="00657DF0" w:rsidRPr="00D577B8" w:rsidRDefault="00657DF0" w:rsidP="00657DF0">
      <w:pPr>
        <w:spacing w:after="101" w:line="269" w:lineRule="auto"/>
        <w:jc w:val="both"/>
        <w:rPr>
          <w:sz w:val="21"/>
          <w:szCs w:val="21"/>
          <w:lang w:val="en-AU"/>
        </w:rPr>
      </w:pPr>
      <w:bookmarkStart w:id="4" w:name="OLE_LINK10"/>
      <w:bookmarkStart w:id="5" w:name="OLE_LINK11"/>
      <w:r>
        <w:rPr>
          <w:sz w:val="21"/>
          <w:szCs w:val="21"/>
        </w:rPr>
        <w:t xml:space="preserve">The Productivity Commission recommended in 2018 that interchange fees be reduced to Zero for all merchants and replaced with higher card fees for card holders who benefited from the rewards funded by the interchange.   </w:t>
      </w:r>
      <w:bookmarkEnd w:id="4"/>
      <w:r>
        <w:rPr>
          <w:sz w:val="21"/>
          <w:szCs w:val="21"/>
        </w:rPr>
        <w:t>Their 2018 estimate was $8.00 per annum per card holder across all card holders</w:t>
      </w:r>
      <w:r w:rsidRPr="00A8742B">
        <w:rPr>
          <w:sz w:val="21"/>
          <w:szCs w:val="21"/>
        </w:rPr>
        <w:t>, rather than embedding it in individual transaction fees</w:t>
      </w:r>
      <w:r>
        <w:rPr>
          <w:sz w:val="21"/>
          <w:szCs w:val="21"/>
        </w:rPr>
        <w:t xml:space="preserve">.  </w:t>
      </w:r>
      <w:bookmarkStart w:id="6" w:name="OLE_LINK12"/>
      <w:r>
        <w:rPr>
          <w:sz w:val="21"/>
          <w:szCs w:val="21"/>
        </w:rPr>
        <w:t>Whilst this is a smeared cost, it is no different from smearing it across all transactions paid by card at the point of sale. However, this method eliminates a distortion in the market at the time of purchase</w:t>
      </w:r>
      <w:r w:rsidRPr="00A8742B">
        <w:rPr>
          <w:sz w:val="21"/>
          <w:szCs w:val="21"/>
          <w:lang w:val="en-AU"/>
        </w:rPr>
        <w:t xml:space="preserve">, </w:t>
      </w:r>
      <w:r w:rsidRPr="00D577B8">
        <w:rPr>
          <w:sz w:val="21"/>
          <w:szCs w:val="21"/>
        </w:rPr>
        <w:t>which could potentially influence purchase decisions or favour certain payment methods</w:t>
      </w:r>
      <w:bookmarkEnd w:id="6"/>
      <w:r>
        <w:rPr>
          <w:sz w:val="21"/>
          <w:szCs w:val="21"/>
        </w:rPr>
        <w:t>.</w:t>
      </w:r>
    </w:p>
    <w:bookmarkEnd w:id="5"/>
    <w:p w14:paraId="4D782C27" w14:textId="77777777" w:rsidR="00657DF0" w:rsidRPr="00BA0AA5" w:rsidRDefault="00657DF0" w:rsidP="00657DF0">
      <w:pPr>
        <w:spacing w:after="101" w:line="269" w:lineRule="auto"/>
        <w:jc w:val="both"/>
        <w:rPr>
          <w:i/>
          <w:iCs/>
          <w:sz w:val="21"/>
          <w:szCs w:val="21"/>
        </w:rPr>
      </w:pPr>
      <w:r w:rsidRPr="00BA0AA5">
        <w:rPr>
          <w:rFonts w:cs="Calibri"/>
          <w:bCs/>
          <w:i/>
          <w:iCs/>
          <w:sz w:val="21"/>
        </w:rPr>
        <w:t>Should the difference between the interchange fees paid by big and small businesses be limited in some way?</w:t>
      </w:r>
    </w:p>
    <w:p w14:paraId="1642B80D" w14:textId="370CD0A0" w:rsidR="00657DF0" w:rsidRDefault="00657DF0" w:rsidP="00657DF0">
      <w:pPr>
        <w:spacing w:after="101" w:line="269" w:lineRule="auto"/>
        <w:jc w:val="both"/>
        <w:rPr>
          <w:sz w:val="21"/>
          <w:szCs w:val="21"/>
        </w:rPr>
      </w:pPr>
      <w:r>
        <w:rPr>
          <w:sz w:val="21"/>
          <w:szCs w:val="21"/>
        </w:rPr>
        <w:t>There is no justification for continuing the distinction between large (strategic merchants) and small merchants if interchange fees are to be a continuing feature of the card payment system.  The PC’s 2018 arguments hold in 2024.  This is a very mature market and the concept that large merchants are deserving of “special status</w:t>
      </w:r>
      <w:r w:rsidR="00074ED5">
        <w:rPr>
          <w:sz w:val="21"/>
          <w:szCs w:val="21"/>
        </w:rPr>
        <w:t>”,</w:t>
      </w:r>
      <w:r>
        <w:rPr>
          <w:sz w:val="21"/>
          <w:szCs w:val="21"/>
        </w:rPr>
        <w:t xml:space="preserve"> and pricing only introduces additional inefficiencies.</w:t>
      </w:r>
    </w:p>
    <w:p w14:paraId="189B8312" w14:textId="77777777" w:rsidR="00657DF0" w:rsidRDefault="00657DF0" w:rsidP="00657DF0">
      <w:pPr>
        <w:spacing w:after="101" w:line="269" w:lineRule="auto"/>
        <w:jc w:val="both"/>
        <w:rPr>
          <w:sz w:val="21"/>
          <w:szCs w:val="21"/>
        </w:rPr>
      </w:pPr>
      <w:r>
        <w:rPr>
          <w:sz w:val="21"/>
          <w:szCs w:val="21"/>
        </w:rPr>
        <w:t xml:space="preserve">If Interchange fees are to continue, then the benchmark should be the rate paid by large “Strategic” merchants and it should be the maximum paid by all merchants.  That is, as issuers offer lower rates to large merchants, they become the rate for the entire market driving, ongoing pressure to lower interchange fees and afford issuers the opportunity to either reduce illusory benefits to card holders or recover costs from those who benefit.  </w:t>
      </w:r>
    </w:p>
    <w:p w14:paraId="210013CC" w14:textId="77777777" w:rsidR="00657DF0" w:rsidRPr="002E18A7" w:rsidRDefault="00657DF0" w:rsidP="005527D8">
      <w:pPr>
        <w:spacing w:after="240" w:line="269" w:lineRule="auto"/>
        <w:jc w:val="both"/>
        <w:rPr>
          <w:i/>
          <w:iCs/>
          <w:sz w:val="21"/>
          <w:szCs w:val="21"/>
        </w:rPr>
      </w:pPr>
      <w:r w:rsidRPr="002E18A7">
        <w:rPr>
          <w:i/>
          <w:iCs/>
          <w:sz w:val="21"/>
          <w:szCs w:val="21"/>
        </w:rPr>
        <w:t>In summary Interchange Fees are long overdue a major reform.  The justification for their use has long passed</w:t>
      </w:r>
      <w:r>
        <w:rPr>
          <w:i/>
          <w:iCs/>
          <w:sz w:val="21"/>
          <w:szCs w:val="21"/>
        </w:rPr>
        <w:t>.  T</w:t>
      </w:r>
      <w:r w:rsidRPr="002E18A7">
        <w:rPr>
          <w:i/>
          <w:iCs/>
          <w:sz w:val="21"/>
          <w:szCs w:val="21"/>
        </w:rPr>
        <w:t xml:space="preserve">hey have been used to prop up </w:t>
      </w:r>
      <w:r>
        <w:rPr>
          <w:i/>
          <w:iCs/>
          <w:sz w:val="21"/>
          <w:szCs w:val="21"/>
        </w:rPr>
        <w:t xml:space="preserve">artificial </w:t>
      </w:r>
      <w:r w:rsidRPr="002E18A7">
        <w:rPr>
          <w:i/>
          <w:iCs/>
          <w:sz w:val="21"/>
          <w:szCs w:val="21"/>
        </w:rPr>
        <w:t>branding and marketing initiatives to bolster card issuers market</w:t>
      </w:r>
      <w:r>
        <w:rPr>
          <w:i/>
          <w:iCs/>
          <w:sz w:val="21"/>
          <w:szCs w:val="21"/>
        </w:rPr>
        <w:t xml:space="preserve"> penetration and fails to </w:t>
      </w:r>
      <w:r w:rsidRPr="002E18A7">
        <w:rPr>
          <w:i/>
          <w:iCs/>
          <w:sz w:val="21"/>
          <w:szCs w:val="21"/>
        </w:rPr>
        <w:t>deliver any systemic payment system benefits</w:t>
      </w:r>
      <w:r>
        <w:rPr>
          <w:i/>
          <w:iCs/>
          <w:sz w:val="21"/>
          <w:szCs w:val="21"/>
        </w:rPr>
        <w:t>.  Further, Merchants receive no discernable benefits from the interchange fees despite being the party that pays the costs of the interchange fees</w:t>
      </w:r>
      <w:r w:rsidRPr="002E18A7">
        <w:rPr>
          <w:i/>
          <w:iCs/>
          <w:sz w:val="21"/>
          <w:szCs w:val="21"/>
        </w:rPr>
        <w:t>.</w:t>
      </w:r>
    </w:p>
    <w:p w14:paraId="1B042CD0" w14:textId="77777777" w:rsidR="00657DF0" w:rsidRPr="000B24BD" w:rsidRDefault="00657DF0" w:rsidP="00657DF0">
      <w:pPr>
        <w:numPr>
          <w:ilvl w:val="0"/>
          <w:numId w:val="1"/>
        </w:numPr>
        <w:spacing w:after="101" w:line="269" w:lineRule="auto"/>
        <w:ind w:hanging="406"/>
        <w:jc w:val="both"/>
        <w:rPr>
          <w:rFonts w:cs="Calibri"/>
          <w:b/>
          <w:sz w:val="21"/>
        </w:rPr>
      </w:pPr>
      <w:bookmarkStart w:id="7" w:name="OLE_LINK1"/>
      <w:r w:rsidRPr="000B24BD">
        <w:rPr>
          <w:rFonts w:cs="Calibri"/>
          <w:b/>
          <w:sz w:val="21"/>
        </w:rPr>
        <w:t>Should interchange regulation be extended to foreign card transactions in Australia?</w:t>
      </w:r>
    </w:p>
    <w:p w14:paraId="0A37E7C8"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1DC38A52" w14:textId="77777777" w:rsidR="00657DF0" w:rsidRDefault="00657DF0" w:rsidP="00657DF0">
      <w:pPr>
        <w:spacing w:after="101" w:line="269" w:lineRule="auto"/>
        <w:jc w:val="both"/>
        <w:rPr>
          <w:rFonts w:cs="Calibri"/>
          <w:bCs/>
          <w:sz w:val="21"/>
        </w:rPr>
      </w:pPr>
      <w:r>
        <w:rPr>
          <w:rFonts w:cs="Calibri"/>
          <w:bCs/>
          <w:sz w:val="21"/>
        </w:rPr>
        <w:t xml:space="preserve">Yes.  Again the 2018 PC report adequately addressed this issue and should provide the guidance the RBA requires in 2024.  It flagged not only the high rates being applied but that the cost was only visible to consumers post transaction.  The situation has become worse for consumers since the PC report.  Today a purchaser can be led to believe they are dealing with an Australian based merchant online and are interacting with a </w:t>
      </w:r>
      <w:r w:rsidRPr="00D577B8">
        <w:rPr>
          <w:rFonts w:cs="Calibri"/>
          <w:bCs/>
          <w:i/>
          <w:iCs/>
          <w:sz w:val="21"/>
        </w:rPr>
        <w:t>“.com.au</w:t>
      </w:r>
      <w:r>
        <w:rPr>
          <w:rFonts w:cs="Calibri"/>
          <w:bCs/>
          <w:sz w:val="21"/>
        </w:rPr>
        <w:t xml:space="preserve">” domain name.  But after purchasing they then become aware that it is a foreign </w:t>
      </w:r>
      <w:r>
        <w:rPr>
          <w:rFonts w:cs="Calibri"/>
          <w:bCs/>
          <w:sz w:val="21"/>
        </w:rPr>
        <w:lastRenderedPageBreak/>
        <w:t>transaction with high fees including dynamic currency conversion (DCC).  Clearly this is an issue that the ACCC should address as it is akin to drip pricing and potentially misleading and deceptive.</w:t>
      </w:r>
    </w:p>
    <w:p w14:paraId="719E3B23" w14:textId="77777777" w:rsidR="00657DF0" w:rsidRDefault="00657DF0" w:rsidP="00657DF0">
      <w:pPr>
        <w:spacing w:after="101" w:line="269" w:lineRule="auto"/>
        <w:jc w:val="both"/>
        <w:rPr>
          <w:rFonts w:cs="Calibri"/>
          <w:bCs/>
          <w:sz w:val="21"/>
        </w:rPr>
      </w:pPr>
      <w:r>
        <w:rPr>
          <w:rFonts w:cs="Calibri"/>
          <w:bCs/>
          <w:sz w:val="21"/>
        </w:rPr>
        <w:t xml:space="preserve">For Australian merchants’ similar higher foreign card interchange fees impact any in person transactions in Australia.  This contributes to MSF and their overall costs of acceptance which is then born by all consumers.  </w:t>
      </w:r>
    </w:p>
    <w:p w14:paraId="5E4F9544" w14:textId="77777777" w:rsidR="00657DF0" w:rsidRDefault="00657DF0" w:rsidP="00657DF0">
      <w:pPr>
        <w:spacing w:after="101" w:line="269" w:lineRule="auto"/>
        <w:jc w:val="both"/>
        <w:rPr>
          <w:rFonts w:cs="Calibri"/>
          <w:bCs/>
          <w:sz w:val="21"/>
        </w:rPr>
      </w:pPr>
      <w:r>
        <w:rPr>
          <w:rFonts w:cs="Calibri"/>
          <w:bCs/>
          <w:sz w:val="21"/>
        </w:rPr>
        <w:t xml:space="preserve">To date card issuers and schemes have little or no incentive to educate or inform either consumers or merchants as to what underpins higher fees and what steps they are taking to minimise them.  Whilst they are now required to publish the rates this is not education it is only information not an explanation as to why the fees are set at the levels they are.  As the RBA has highlighted, </w:t>
      </w:r>
      <w:bookmarkStart w:id="8" w:name="OLE_LINK16"/>
      <w:r>
        <w:rPr>
          <w:rFonts w:cs="Calibri"/>
          <w:bCs/>
          <w:sz w:val="21"/>
        </w:rPr>
        <w:t xml:space="preserve">the </w:t>
      </w:r>
      <w:r w:rsidRPr="00806D6F">
        <w:rPr>
          <w:rFonts w:cs="Calibri"/>
          <w:bCs/>
          <w:sz w:val="21"/>
        </w:rPr>
        <w:t xml:space="preserve">interchange fees for </w:t>
      </w:r>
      <w:r>
        <w:rPr>
          <w:rFonts w:cs="Calibri"/>
          <w:bCs/>
          <w:sz w:val="21"/>
        </w:rPr>
        <w:t xml:space="preserve">all </w:t>
      </w:r>
      <w:r w:rsidRPr="00806D6F">
        <w:rPr>
          <w:rFonts w:cs="Calibri"/>
          <w:bCs/>
          <w:sz w:val="21"/>
        </w:rPr>
        <w:t xml:space="preserve">debit and credit transactions </w:t>
      </w:r>
      <w:r>
        <w:rPr>
          <w:rFonts w:cs="Calibri"/>
          <w:bCs/>
          <w:sz w:val="21"/>
        </w:rPr>
        <w:t>across</w:t>
      </w:r>
      <w:r w:rsidRPr="00806D6F">
        <w:rPr>
          <w:rFonts w:cs="Calibri"/>
          <w:bCs/>
          <w:sz w:val="21"/>
        </w:rPr>
        <w:t xml:space="preserve"> the European Economic Area</w:t>
      </w:r>
      <w:r>
        <w:rPr>
          <w:rFonts w:cs="Calibri"/>
          <w:bCs/>
          <w:sz w:val="21"/>
        </w:rPr>
        <w:t>,</w:t>
      </w:r>
      <w:r w:rsidRPr="00806D6F">
        <w:rPr>
          <w:rFonts w:cs="Calibri"/>
          <w:bCs/>
          <w:sz w:val="21"/>
        </w:rPr>
        <w:t xml:space="preserve"> </w:t>
      </w:r>
      <w:r>
        <w:rPr>
          <w:rFonts w:cs="Calibri"/>
          <w:bCs/>
          <w:sz w:val="21"/>
        </w:rPr>
        <w:t>which had been treated as Foreign Cards, has been</w:t>
      </w:r>
      <w:r w:rsidRPr="00806D6F">
        <w:rPr>
          <w:rFonts w:cs="Calibri"/>
          <w:bCs/>
          <w:sz w:val="21"/>
        </w:rPr>
        <w:t xml:space="preserve"> capped at</w:t>
      </w:r>
      <w:bookmarkEnd w:id="8"/>
      <w:r w:rsidRPr="00806D6F">
        <w:rPr>
          <w:rFonts w:cs="Calibri"/>
          <w:bCs/>
          <w:sz w:val="21"/>
        </w:rPr>
        <w:t xml:space="preserve"> 0.2% and 0.3 % of the transaction value</w:t>
      </w:r>
      <w:r>
        <w:rPr>
          <w:rFonts w:cs="Calibri"/>
          <w:bCs/>
          <w:sz w:val="21"/>
        </w:rPr>
        <w:t xml:space="preserve"> for several years.  This is higher than in Australia for Foreign Cards.  As a benchmark that is a useful starting point.</w:t>
      </w:r>
    </w:p>
    <w:p w14:paraId="2E1E2C98" w14:textId="77777777" w:rsidR="00657DF0" w:rsidRDefault="00657DF0" w:rsidP="00657DF0">
      <w:pPr>
        <w:spacing w:after="101" w:line="269" w:lineRule="auto"/>
        <w:jc w:val="both"/>
        <w:rPr>
          <w:rFonts w:cs="Calibri"/>
          <w:bCs/>
          <w:sz w:val="21"/>
        </w:rPr>
      </w:pPr>
      <w:r>
        <w:rPr>
          <w:rFonts w:cs="Calibri"/>
          <w:bCs/>
          <w:sz w:val="21"/>
        </w:rPr>
        <w:t xml:space="preserve">It is instructive that the Schemes supported the objectives of the changes </w:t>
      </w:r>
      <w:r w:rsidRPr="00806D6F">
        <w:rPr>
          <w:rFonts w:cs="Calibri"/>
          <w:bCs/>
          <w:sz w:val="21"/>
        </w:rPr>
        <w:t>behind the regulation, namely</w:t>
      </w:r>
      <w:r>
        <w:rPr>
          <w:rFonts w:cs="Calibri"/>
          <w:bCs/>
          <w:sz w:val="21"/>
        </w:rPr>
        <w:t>,</w:t>
      </w:r>
      <w:r w:rsidRPr="00806D6F">
        <w:rPr>
          <w:rFonts w:cs="Calibri"/>
          <w:bCs/>
          <w:sz w:val="21"/>
        </w:rPr>
        <w:t xml:space="preserve"> promoting greater competition; increasing choice and transparency for consumers; more innovation; and furthering payment security and customer trust </w:t>
      </w:r>
      <w:r>
        <w:rPr>
          <w:rFonts w:cs="Calibri"/>
          <w:bCs/>
          <w:sz w:val="21"/>
        </w:rPr>
        <w:t xml:space="preserve">when they were proposed.  But then argued that </w:t>
      </w:r>
      <w:r w:rsidRPr="00806D6F">
        <w:rPr>
          <w:rFonts w:cs="Calibri"/>
          <w:bCs/>
          <w:sz w:val="21"/>
        </w:rPr>
        <w:t>the regulation would</w:t>
      </w:r>
      <w:r>
        <w:rPr>
          <w:rFonts w:cs="Calibri"/>
          <w:bCs/>
          <w:sz w:val="21"/>
        </w:rPr>
        <w:t>,</w:t>
      </w:r>
      <w:r w:rsidRPr="00806D6F">
        <w:rPr>
          <w:rFonts w:cs="Calibri"/>
          <w:bCs/>
          <w:sz w:val="21"/>
        </w:rPr>
        <w:t xml:space="preserve"> in many respects</w:t>
      </w:r>
      <w:r>
        <w:rPr>
          <w:rFonts w:cs="Calibri"/>
          <w:bCs/>
          <w:sz w:val="21"/>
        </w:rPr>
        <w:t>,</w:t>
      </w:r>
      <w:r w:rsidRPr="00806D6F">
        <w:rPr>
          <w:rFonts w:cs="Calibri"/>
          <w:bCs/>
          <w:sz w:val="21"/>
        </w:rPr>
        <w:t xml:space="preserve"> be a retrograde step and would impede Europe from meeting this challenge.</w:t>
      </w:r>
      <w:r>
        <w:rPr>
          <w:rFonts w:cs="Calibri"/>
          <w:bCs/>
          <w:sz w:val="21"/>
        </w:rPr>
        <w:t xml:space="preserve">  Much like a dominant operator, when confronted with regulation intervention to promote structural change, responds with ingenuous statements that they welcome competition.</w:t>
      </w:r>
    </w:p>
    <w:p w14:paraId="56A1835B" w14:textId="77777777" w:rsidR="00657DF0" w:rsidRDefault="00657DF0" w:rsidP="00657DF0">
      <w:pPr>
        <w:spacing w:after="101" w:line="269" w:lineRule="auto"/>
        <w:jc w:val="both"/>
        <w:rPr>
          <w:rFonts w:cs="Calibri"/>
          <w:bCs/>
          <w:sz w:val="21"/>
          <w:lang w:val="en-AU"/>
        </w:rPr>
      </w:pPr>
      <w:r>
        <w:rPr>
          <w:rFonts w:cs="Calibri"/>
          <w:bCs/>
          <w:sz w:val="21"/>
        </w:rPr>
        <w:t>Their arguments in opposing change also asserted that in the EU’ application of its “</w:t>
      </w:r>
      <w:r w:rsidRPr="00D577B8">
        <w:rPr>
          <w:rFonts w:cs="Calibri"/>
          <w:bCs/>
          <w:i/>
          <w:iCs/>
          <w:sz w:val="21"/>
        </w:rPr>
        <w:t>Tourist Test / Merchant Indifference Test (MIT)</w:t>
      </w:r>
      <w:r>
        <w:rPr>
          <w:rFonts w:cs="Calibri"/>
          <w:bCs/>
          <w:sz w:val="21"/>
        </w:rPr>
        <w:t xml:space="preserve">” failed to account for the </w:t>
      </w:r>
      <w:r w:rsidRPr="0082747C">
        <w:rPr>
          <w:rFonts w:cs="Calibri"/>
          <w:bCs/>
          <w:sz w:val="21"/>
        </w:rPr>
        <w:t xml:space="preserve">numerous benefits from card payments that </w:t>
      </w:r>
      <w:r>
        <w:rPr>
          <w:rFonts w:cs="Calibri"/>
          <w:bCs/>
          <w:sz w:val="21"/>
        </w:rPr>
        <w:t>merchants</w:t>
      </w:r>
      <w:r w:rsidRPr="0082747C">
        <w:rPr>
          <w:rFonts w:cs="Calibri"/>
          <w:bCs/>
          <w:sz w:val="21"/>
        </w:rPr>
        <w:t xml:space="preserve"> do not receive from cash</w:t>
      </w:r>
      <w:r>
        <w:rPr>
          <w:rFonts w:cs="Calibri"/>
          <w:bCs/>
          <w:sz w:val="21"/>
        </w:rPr>
        <w:t>.  This merchant benefit trope is one they have used for decades across the globe with regulators.  But, as we know, the only beneficiaries from an interchange fee are the card issuer and the card holder, and these benefits are funded by the Merchant.</w:t>
      </w:r>
    </w:p>
    <w:p w14:paraId="0D39267C" w14:textId="0FA3648C" w:rsidR="00657DF0" w:rsidRPr="00D577B8" w:rsidRDefault="00657DF0" w:rsidP="005527D8">
      <w:pPr>
        <w:spacing w:after="240" w:line="240" w:lineRule="auto"/>
        <w:jc w:val="both"/>
        <w:rPr>
          <w:rFonts w:cs="Calibri"/>
          <w:bCs/>
          <w:sz w:val="21"/>
          <w:lang w:val="en-AU"/>
        </w:rPr>
      </w:pPr>
      <w:r>
        <w:rPr>
          <w:rFonts w:cs="Calibri"/>
          <w:bCs/>
          <w:sz w:val="21"/>
          <w:lang w:val="en-AU"/>
        </w:rPr>
        <w:t>Accordingly, this RBA review of Foreign Card fees is timely in that it can enable the costs and benefits of the foreign credit transaction fees to be tested and subjected to the same regime as domestic card transactions.</w:t>
      </w:r>
    </w:p>
    <w:p w14:paraId="64861027" w14:textId="77777777" w:rsidR="00657DF0" w:rsidRPr="000B24BD" w:rsidRDefault="00657DF0" w:rsidP="00657DF0">
      <w:pPr>
        <w:numPr>
          <w:ilvl w:val="0"/>
          <w:numId w:val="1"/>
        </w:numPr>
        <w:spacing w:after="101" w:line="269" w:lineRule="auto"/>
        <w:ind w:hanging="406"/>
        <w:jc w:val="both"/>
        <w:rPr>
          <w:rFonts w:cs="Calibri"/>
          <w:b/>
          <w:sz w:val="21"/>
        </w:rPr>
      </w:pPr>
      <w:bookmarkStart w:id="9" w:name="OLE_LINK2"/>
      <w:bookmarkEnd w:id="7"/>
      <w:r w:rsidRPr="000B24BD">
        <w:rPr>
          <w:rFonts w:cs="Calibri"/>
          <w:b/>
          <w:sz w:val="21"/>
        </w:rPr>
        <w:t>Is there a case for reducing the complexity, and/or enhancing the transparency, of interchange fees? If so, how?</w:t>
      </w:r>
    </w:p>
    <w:p w14:paraId="06268F59" w14:textId="77777777" w:rsidR="00657DF0" w:rsidRDefault="00657DF0" w:rsidP="00657DF0">
      <w:pPr>
        <w:spacing w:after="101" w:line="269" w:lineRule="auto"/>
        <w:jc w:val="both"/>
        <w:rPr>
          <w:rFonts w:cs="Calibri"/>
          <w:bCs/>
          <w:sz w:val="21"/>
        </w:rPr>
      </w:pPr>
      <w:r w:rsidRPr="000B24BD">
        <w:rPr>
          <w:rFonts w:cs="Calibri"/>
          <w:bCs/>
          <w:i/>
          <w:iCs/>
          <w:sz w:val="21"/>
        </w:rPr>
        <w:t>NBG Response</w:t>
      </w:r>
      <w:r w:rsidRPr="00D577B8">
        <w:rPr>
          <w:rFonts w:cs="Calibri"/>
          <w:bCs/>
          <w:sz w:val="21"/>
        </w:rPr>
        <w:t>:</w:t>
      </w:r>
    </w:p>
    <w:p w14:paraId="10560162" w14:textId="77777777" w:rsidR="00657DF0" w:rsidRDefault="00657DF0" w:rsidP="00657DF0">
      <w:pPr>
        <w:spacing w:after="101" w:line="269" w:lineRule="auto"/>
        <w:jc w:val="both"/>
        <w:rPr>
          <w:rFonts w:cs="Calibri"/>
          <w:bCs/>
          <w:sz w:val="21"/>
        </w:rPr>
      </w:pPr>
      <w:r>
        <w:rPr>
          <w:rFonts w:cs="Calibri"/>
          <w:bCs/>
          <w:sz w:val="21"/>
        </w:rPr>
        <w:t xml:space="preserve">Yes: </w:t>
      </w:r>
    </w:p>
    <w:p w14:paraId="4E7FBAFB" w14:textId="77777777" w:rsidR="00657DF0" w:rsidRDefault="00657DF0" w:rsidP="00657DF0">
      <w:pPr>
        <w:spacing w:after="101" w:line="269" w:lineRule="auto"/>
        <w:jc w:val="both"/>
        <w:rPr>
          <w:rFonts w:cs="Calibri"/>
          <w:bCs/>
          <w:sz w:val="21"/>
        </w:rPr>
      </w:pPr>
      <w:r>
        <w:rPr>
          <w:rFonts w:cs="Calibri"/>
          <w:bCs/>
          <w:sz w:val="21"/>
        </w:rPr>
        <w:t>The RBA’s 2020 paper highlights the increasing complexity and artificial distinctions being drawn by PSP on interchange fees.  The best example is mobile wallet transactions having high rates for in person mobile wallet transactions than plastic card present transactions.  Some of the complexity is historical e.g. card present v card not present was justified when fraud protection systems were less well developed than today, and mobile wallet seems to be more rooted in PSP’s fear of technology companies and their ability to disrupt the existing arrangements.  As an aside, an agile card issuer should embrace mobile wallets and move to replace physical cards by offering a pricing signal (a higher fee) to those wanting a physical card so driving down the issuer’s operating costs.  Instead, perversely Merchants pay higher fees for mobile wallet transactions.</w:t>
      </w:r>
    </w:p>
    <w:p w14:paraId="153519BC" w14:textId="77777777" w:rsidR="00657DF0" w:rsidRDefault="00657DF0" w:rsidP="00657DF0">
      <w:pPr>
        <w:spacing w:after="101" w:line="269" w:lineRule="auto"/>
        <w:jc w:val="both"/>
        <w:rPr>
          <w:rFonts w:cs="Calibri"/>
          <w:bCs/>
          <w:sz w:val="21"/>
        </w:rPr>
      </w:pPr>
      <w:r>
        <w:rPr>
          <w:rFonts w:cs="Calibri"/>
          <w:bCs/>
          <w:sz w:val="21"/>
        </w:rPr>
        <w:t xml:space="preserve">This simply suggests that the Productivity Commission’s conclusions from 2018 are well founded, and their solution will be the only mechanism of simplifying and freeing the system from artificially imposed inefficiencies from which only incumbent operators in a highly structured oligopoly benefit.  The complexity in fee structurers is symptomatic of the behaviour of a protected industry ripe for structural change imposed from outside. </w:t>
      </w:r>
    </w:p>
    <w:p w14:paraId="31290003" w14:textId="77777777" w:rsidR="00657DF0" w:rsidRDefault="00657DF0" w:rsidP="00657DF0">
      <w:pPr>
        <w:spacing w:after="101" w:line="269" w:lineRule="auto"/>
        <w:jc w:val="both"/>
        <w:rPr>
          <w:rFonts w:cs="Calibri"/>
          <w:bCs/>
          <w:sz w:val="21"/>
        </w:rPr>
      </w:pPr>
      <w:r>
        <w:rPr>
          <w:rFonts w:cs="Calibri"/>
          <w:bCs/>
          <w:sz w:val="21"/>
        </w:rPr>
        <w:t xml:space="preserve">The RBA has contributed in part to the complexity by its light-handed regulatory approach to benchmarking, which has opened the door for regulatory gaming by schemes and their members.  </w:t>
      </w:r>
    </w:p>
    <w:p w14:paraId="0CF24E35" w14:textId="77777777" w:rsidR="00657DF0" w:rsidRDefault="00657DF0" w:rsidP="005527D8">
      <w:pPr>
        <w:spacing w:after="240" w:line="240" w:lineRule="auto"/>
        <w:jc w:val="both"/>
        <w:rPr>
          <w:rFonts w:cs="Calibri"/>
          <w:bCs/>
          <w:sz w:val="21"/>
        </w:rPr>
      </w:pPr>
      <w:r>
        <w:rPr>
          <w:rFonts w:cs="Calibri"/>
          <w:bCs/>
          <w:sz w:val="21"/>
        </w:rPr>
        <w:lastRenderedPageBreak/>
        <w:t>If interchange fees and benchmarking are to continue to be part of the payment system, then a simpler system is required and is found by adopting a simple benchmark, namely the rate that large “strategic” customers pay and applying it to all Merchants across all PSP irrespective of the type of transaction and how it is conducted.  That is one size should fit all, and it should be the least cost.</w:t>
      </w:r>
    </w:p>
    <w:p w14:paraId="46AEF5EF" w14:textId="77777777" w:rsidR="00657DF0" w:rsidRPr="000B24BD" w:rsidRDefault="00657DF0" w:rsidP="00657DF0">
      <w:pPr>
        <w:numPr>
          <w:ilvl w:val="0"/>
          <w:numId w:val="1"/>
        </w:numPr>
        <w:spacing w:after="101" w:line="269" w:lineRule="auto"/>
        <w:ind w:hanging="406"/>
        <w:jc w:val="both"/>
        <w:rPr>
          <w:b/>
        </w:rPr>
      </w:pPr>
      <w:bookmarkStart w:id="10" w:name="OLE_LINK3"/>
      <w:bookmarkEnd w:id="9"/>
      <w:r w:rsidRPr="000B24BD">
        <w:rPr>
          <w:rFonts w:cs="Calibri"/>
          <w:b/>
          <w:sz w:val="21"/>
        </w:rPr>
        <w:t>Is there a case for further transparency of scheme fees to promote efficiency and competition? If so, what additional information would be beneficial?</w:t>
      </w:r>
    </w:p>
    <w:p w14:paraId="411DB1E2"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2B3DFFB2" w14:textId="77777777" w:rsidR="00657DF0" w:rsidRDefault="00657DF0" w:rsidP="00657DF0">
      <w:pPr>
        <w:spacing w:after="101" w:line="269" w:lineRule="auto"/>
        <w:jc w:val="both"/>
        <w:rPr>
          <w:rFonts w:cs="Calibri"/>
          <w:bCs/>
          <w:sz w:val="21"/>
        </w:rPr>
      </w:pPr>
      <w:r>
        <w:rPr>
          <w:rFonts w:cs="Calibri"/>
          <w:bCs/>
          <w:sz w:val="21"/>
        </w:rPr>
        <w:t xml:space="preserve">Yes: </w:t>
      </w:r>
    </w:p>
    <w:p w14:paraId="04872C48" w14:textId="77777777" w:rsidR="00657DF0" w:rsidRDefault="00657DF0" w:rsidP="00657DF0">
      <w:pPr>
        <w:spacing w:after="101" w:line="269" w:lineRule="auto"/>
        <w:jc w:val="both"/>
        <w:rPr>
          <w:rFonts w:cs="Calibri"/>
          <w:bCs/>
          <w:sz w:val="21"/>
        </w:rPr>
      </w:pPr>
      <w:r>
        <w:rPr>
          <w:rFonts w:cs="Calibri"/>
          <w:bCs/>
          <w:sz w:val="21"/>
        </w:rPr>
        <w:t>Since Scheme fees constitute a $1.8b impost on the payment system there is considerable need for greater transparency.  At present scheme membership and operations are treated as a club with little transparency.  This contrasts with other regulated network markets such as telecommunications and electricity.</w:t>
      </w:r>
    </w:p>
    <w:p w14:paraId="50BA66C0" w14:textId="77777777" w:rsidR="00657DF0" w:rsidRDefault="00657DF0" w:rsidP="00657DF0">
      <w:pPr>
        <w:spacing w:after="101" w:line="269" w:lineRule="auto"/>
        <w:jc w:val="both"/>
        <w:rPr>
          <w:rFonts w:cs="Calibri"/>
          <w:bCs/>
          <w:sz w:val="21"/>
        </w:rPr>
      </w:pPr>
      <w:r>
        <w:rPr>
          <w:rFonts w:cs="Calibri"/>
          <w:bCs/>
          <w:sz w:val="21"/>
        </w:rPr>
        <w:t xml:space="preserve">The existing system is characterised by significant information asymmetry including the secrecy and complexity surrounding Scheme Rules.  These should be available publicly and in a simple format so that consumers, consumer advocates, merchants, media commentators, and politicians can intelligently comment on the system.  </w:t>
      </w:r>
    </w:p>
    <w:p w14:paraId="1A04AE1E" w14:textId="77777777" w:rsidR="00657DF0" w:rsidRDefault="00657DF0" w:rsidP="00657DF0">
      <w:pPr>
        <w:spacing w:after="101" w:line="269" w:lineRule="auto"/>
        <w:jc w:val="both"/>
        <w:rPr>
          <w:rFonts w:cs="Calibri"/>
          <w:bCs/>
          <w:sz w:val="21"/>
        </w:rPr>
      </w:pPr>
      <w:r>
        <w:rPr>
          <w:rFonts w:cs="Calibri"/>
          <w:bCs/>
          <w:sz w:val="21"/>
        </w:rPr>
        <w:t>Historically Banks elected to pursue Scheme Membership in order:</w:t>
      </w:r>
    </w:p>
    <w:p w14:paraId="40986A9F" w14:textId="77777777" w:rsidR="00657DF0" w:rsidRPr="0032437C" w:rsidRDefault="00657DF0" w:rsidP="00657DF0">
      <w:pPr>
        <w:pStyle w:val="ListParagraph"/>
        <w:numPr>
          <w:ilvl w:val="0"/>
          <w:numId w:val="3"/>
        </w:numPr>
        <w:spacing w:after="101" w:line="269" w:lineRule="auto"/>
        <w:jc w:val="both"/>
        <w:rPr>
          <w:rFonts w:cs="Calibri"/>
          <w:bCs/>
          <w:sz w:val="21"/>
        </w:rPr>
      </w:pPr>
      <w:r w:rsidRPr="0032437C">
        <w:rPr>
          <w:rFonts w:cs="Calibri"/>
          <w:bCs/>
          <w:sz w:val="21"/>
        </w:rPr>
        <w:t>To offer customers a brand with Global Acceptance and recognition to compete against brands such as AMEX and to retire the BankCard brand.</w:t>
      </w:r>
    </w:p>
    <w:p w14:paraId="323F38AB" w14:textId="77777777" w:rsidR="00657DF0" w:rsidRPr="0032437C" w:rsidRDefault="00657DF0" w:rsidP="00657DF0">
      <w:pPr>
        <w:pStyle w:val="ListParagraph"/>
        <w:numPr>
          <w:ilvl w:val="0"/>
          <w:numId w:val="3"/>
        </w:numPr>
        <w:spacing w:after="101" w:line="269" w:lineRule="auto"/>
        <w:jc w:val="both"/>
        <w:rPr>
          <w:rFonts w:cs="Calibri"/>
          <w:bCs/>
          <w:sz w:val="21"/>
        </w:rPr>
      </w:pPr>
      <w:r w:rsidRPr="0032437C">
        <w:rPr>
          <w:rFonts w:cs="Calibri"/>
          <w:bCs/>
          <w:sz w:val="21"/>
        </w:rPr>
        <w:t>To reduce the costs of technology innovation by “buying in” technology from Visa/Mastercard</w:t>
      </w:r>
      <w:r>
        <w:rPr>
          <w:rFonts w:cs="Calibri"/>
          <w:bCs/>
          <w:sz w:val="21"/>
        </w:rPr>
        <w:t xml:space="preserve"> </w:t>
      </w:r>
      <w:r w:rsidRPr="0032437C">
        <w:rPr>
          <w:rFonts w:cs="Calibri"/>
          <w:bCs/>
          <w:sz w:val="21"/>
        </w:rPr>
        <w:t xml:space="preserve">rather than building payment acceptance and processing technology to replace the </w:t>
      </w:r>
      <w:r>
        <w:rPr>
          <w:rFonts w:cs="Calibri"/>
          <w:bCs/>
          <w:sz w:val="21"/>
        </w:rPr>
        <w:t xml:space="preserve">legacy </w:t>
      </w:r>
      <w:r w:rsidRPr="0032437C">
        <w:rPr>
          <w:rFonts w:cs="Calibri"/>
          <w:bCs/>
          <w:sz w:val="21"/>
        </w:rPr>
        <w:t xml:space="preserve">bank card system.  This </w:t>
      </w:r>
      <w:r>
        <w:rPr>
          <w:rFonts w:cs="Calibri"/>
          <w:bCs/>
          <w:sz w:val="21"/>
        </w:rPr>
        <w:t xml:space="preserve">business decision </w:t>
      </w:r>
      <w:r w:rsidRPr="0032437C">
        <w:rPr>
          <w:rFonts w:cs="Calibri"/>
          <w:bCs/>
          <w:sz w:val="21"/>
        </w:rPr>
        <w:t xml:space="preserve">left a significant technology hole in Australia and </w:t>
      </w:r>
      <w:r>
        <w:rPr>
          <w:rFonts w:cs="Calibri"/>
          <w:bCs/>
          <w:sz w:val="21"/>
        </w:rPr>
        <w:t xml:space="preserve">potentially has </w:t>
      </w:r>
      <w:r w:rsidRPr="0032437C">
        <w:rPr>
          <w:rFonts w:cs="Calibri"/>
          <w:bCs/>
          <w:sz w:val="21"/>
        </w:rPr>
        <w:t xml:space="preserve">exposed merchants and card holders to higher cost solutions.  </w:t>
      </w:r>
      <w:r>
        <w:rPr>
          <w:rFonts w:cs="Calibri"/>
          <w:bCs/>
          <w:sz w:val="21"/>
        </w:rPr>
        <w:t>It is instructive that u</w:t>
      </w:r>
      <w:r w:rsidRPr="0032437C">
        <w:rPr>
          <w:rFonts w:cs="Calibri"/>
          <w:bCs/>
          <w:sz w:val="21"/>
        </w:rPr>
        <w:t xml:space="preserve">ntil </w:t>
      </w:r>
      <w:r>
        <w:rPr>
          <w:rFonts w:cs="Calibri"/>
          <w:bCs/>
          <w:sz w:val="21"/>
        </w:rPr>
        <w:t xml:space="preserve">specialist </w:t>
      </w:r>
      <w:r w:rsidRPr="0032437C">
        <w:rPr>
          <w:rFonts w:cs="Calibri"/>
          <w:bCs/>
          <w:sz w:val="21"/>
        </w:rPr>
        <w:t xml:space="preserve">companies such as Tyro entered the </w:t>
      </w:r>
      <w:r>
        <w:rPr>
          <w:rFonts w:cs="Calibri"/>
          <w:bCs/>
          <w:sz w:val="21"/>
        </w:rPr>
        <w:t xml:space="preserve">Australian </w:t>
      </w:r>
      <w:r w:rsidRPr="0032437C">
        <w:rPr>
          <w:rFonts w:cs="Calibri"/>
          <w:bCs/>
          <w:sz w:val="21"/>
        </w:rPr>
        <w:t>market</w:t>
      </w:r>
      <w:r>
        <w:rPr>
          <w:rFonts w:cs="Calibri"/>
          <w:bCs/>
          <w:sz w:val="21"/>
        </w:rPr>
        <w:t>,</w:t>
      </w:r>
      <w:r w:rsidRPr="0032437C">
        <w:rPr>
          <w:rFonts w:cs="Calibri"/>
          <w:bCs/>
          <w:sz w:val="21"/>
        </w:rPr>
        <w:t xml:space="preserve"> there was limited investment in card processing and acquiring innovation in Australia.  </w:t>
      </w:r>
      <w:r>
        <w:rPr>
          <w:rFonts w:cs="Calibri"/>
          <w:bCs/>
          <w:sz w:val="21"/>
        </w:rPr>
        <w:t>Their entry was only possible at the time because the RBA took the lead with APRA to drive reform to recast the Australian payment landscape.</w:t>
      </w:r>
    </w:p>
    <w:p w14:paraId="3E6DC8F8" w14:textId="77777777" w:rsidR="00657DF0" w:rsidRPr="0032437C" w:rsidRDefault="00657DF0" w:rsidP="00657DF0">
      <w:pPr>
        <w:pStyle w:val="ListParagraph"/>
        <w:numPr>
          <w:ilvl w:val="0"/>
          <w:numId w:val="3"/>
        </w:numPr>
        <w:spacing w:after="101" w:line="269" w:lineRule="auto"/>
        <w:jc w:val="both"/>
        <w:rPr>
          <w:rFonts w:cs="Calibri"/>
          <w:bCs/>
          <w:sz w:val="21"/>
        </w:rPr>
      </w:pPr>
      <w:r w:rsidRPr="0032437C">
        <w:rPr>
          <w:rFonts w:cs="Calibri"/>
          <w:bCs/>
          <w:sz w:val="21"/>
        </w:rPr>
        <w:t>To migrate card management to a marketing function</w:t>
      </w:r>
      <w:r>
        <w:rPr>
          <w:rFonts w:cs="Calibri"/>
          <w:bCs/>
          <w:sz w:val="21"/>
        </w:rPr>
        <w:t>,</w:t>
      </w:r>
      <w:r w:rsidRPr="0032437C">
        <w:rPr>
          <w:rFonts w:cs="Calibri"/>
          <w:bCs/>
          <w:sz w:val="21"/>
        </w:rPr>
        <w:t xml:space="preserve"> underpinned by </w:t>
      </w:r>
      <w:r>
        <w:rPr>
          <w:rFonts w:cs="Calibri"/>
          <w:bCs/>
          <w:sz w:val="21"/>
        </w:rPr>
        <w:t xml:space="preserve">the </w:t>
      </w:r>
      <w:r w:rsidRPr="0032437C">
        <w:rPr>
          <w:rFonts w:cs="Calibri"/>
          <w:bCs/>
          <w:sz w:val="21"/>
        </w:rPr>
        <w:t xml:space="preserve">interchange fees </w:t>
      </w:r>
      <w:r>
        <w:rPr>
          <w:rFonts w:cs="Calibri"/>
          <w:bCs/>
          <w:sz w:val="21"/>
        </w:rPr>
        <w:t xml:space="preserve">cash cow, and to </w:t>
      </w:r>
      <w:r w:rsidRPr="0032437C">
        <w:rPr>
          <w:rFonts w:cs="Calibri"/>
          <w:bCs/>
          <w:sz w:val="21"/>
        </w:rPr>
        <w:t>rel</w:t>
      </w:r>
      <w:r>
        <w:rPr>
          <w:rFonts w:cs="Calibri"/>
          <w:bCs/>
          <w:sz w:val="21"/>
        </w:rPr>
        <w:t>y</w:t>
      </w:r>
      <w:r w:rsidRPr="0032437C">
        <w:rPr>
          <w:rFonts w:cs="Calibri"/>
          <w:bCs/>
          <w:sz w:val="21"/>
        </w:rPr>
        <w:t xml:space="preserve"> on </w:t>
      </w:r>
      <w:r>
        <w:rPr>
          <w:rFonts w:cs="Calibri"/>
          <w:bCs/>
          <w:sz w:val="21"/>
        </w:rPr>
        <w:t>the schemes for</w:t>
      </w:r>
      <w:r w:rsidRPr="0032437C">
        <w:rPr>
          <w:rFonts w:cs="Calibri"/>
          <w:bCs/>
          <w:sz w:val="21"/>
        </w:rPr>
        <w:t xml:space="preserve"> product and technical development.</w:t>
      </w:r>
    </w:p>
    <w:p w14:paraId="14C3AB90" w14:textId="0BF49CBD" w:rsidR="00657DF0" w:rsidRDefault="00657DF0" w:rsidP="00657DF0">
      <w:pPr>
        <w:spacing w:after="101" w:line="269" w:lineRule="auto"/>
        <w:jc w:val="both"/>
        <w:rPr>
          <w:rFonts w:cs="Calibri"/>
          <w:bCs/>
          <w:sz w:val="21"/>
        </w:rPr>
      </w:pPr>
      <w:r>
        <w:rPr>
          <w:rFonts w:cs="Calibri"/>
          <w:bCs/>
          <w:sz w:val="21"/>
        </w:rPr>
        <w:t xml:space="preserve">The current complexity in scheme fee arrangements is designed to obfuscate, especially merchants who are neither scheme members </w:t>
      </w:r>
      <w:r w:rsidR="00074ED5">
        <w:rPr>
          <w:rFonts w:cs="Calibri"/>
          <w:bCs/>
          <w:sz w:val="21"/>
        </w:rPr>
        <w:t>nor</w:t>
      </w:r>
      <w:r>
        <w:rPr>
          <w:rFonts w:cs="Calibri"/>
          <w:bCs/>
          <w:sz w:val="21"/>
        </w:rPr>
        <w:t xml:space="preserve"> Payment System Providers (PSP).  Arguably this complexity is a tool used to lock in merchants and inhibit switching behaviour.  </w:t>
      </w:r>
    </w:p>
    <w:p w14:paraId="31996225" w14:textId="77777777" w:rsidR="00657DF0" w:rsidRPr="007F21A4" w:rsidRDefault="00657DF0" w:rsidP="005527D8">
      <w:pPr>
        <w:spacing w:after="240" w:line="240" w:lineRule="auto"/>
        <w:jc w:val="both"/>
        <w:rPr>
          <w:rFonts w:cs="Calibri"/>
          <w:sz w:val="21"/>
        </w:rPr>
      </w:pPr>
      <w:r>
        <w:rPr>
          <w:rFonts w:cs="Calibri"/>
          <w:bCs/>
          <w:sz w:val="21"/>
        </w:rPr>
        <w:t xml:space="preserve">This approach is in stark contrast with the information provided to merchants by some new entrant parties offering services to merchants such as Stripe. </w:t>
      </w:r>
      <w:r w:rsidRPr="00D577B8">
        <w:rPr>
          <w:rFonts w:cs="Calibri"/>
          <w:bCs/>
          <w:sz w:val="21"/>
        </w:rPr>
        <w:t>Stripe provides a detail</w:t>
      </w:r>
      <w:r>
        <w:rPr>
          <w:rFonts w:cs="Calibri"/>
          <w:bCs/>
          <w:sz w:val="21"/>
        </w:rPr>
        <w:t>ed</w:t>
      </w:r>
      <w:r w:rsidRPr="00D577B8">
        <w:rPr>
          <w:rFonts w:cs="Calibri"/>
          <w:bCs/>
          <w:sz w:val="21"/>
        </w:rPr>
        <w:t xml:space="preserve"> explanation of interchange fees here: </w:t>
      </w:r>
      <w:hyperlink r:id="rId11" w:history="1">
        <w:r w:rsidRPr="005527D8">
          <w:rPr>
            <w:rStyle w:val="Hyperlink"/>
            <w:sz w:val="20"/>
            <w:szCs w:val="20"/>
          </w:rPr>
          <w:t>https://stripe.com/au/resources/more/interchange-fees-101-what-they-are-how-they-work-and-how-to-cut-costs</w:t>
        </w:r>
      </w:hyperlink>
      <w:r w:rsidRPr="005527D8">
        <w:rPr>
          <w:rFonts w:cs="Calibri"/>
          <w:bCs/>
          <w:sz w:val="20"/>
          <w:szCs w:val="20"/>
        </w:rPr>
        <w:t>.</w:t>
      </w:r>
      <w:r>
        <w:rPr>
          <w:rFonts w:cs="Calibri"/>
          <w:bCs/>
          <w:sz w:val="21"/>
        </w:rPr>
        <w:t xml:space="preserve">  It also offers some of its merchants what is marketed </w:t>
      </w:r>
      <w:r w:rsidRPr="00D577B8">
        <w:rPr>
          <w:rFonts w:cs="Calibri"/>
          <w:sz w:val="21"/>
          <w:lang w:val="en-GB"/>
        </w:rPr>
        <w:t>Stripe IC+ fees which exposes all fees including scheme fees</w:t>
      </w:r>
      <w:r>
        <w:rPr>
          <w:rFonts w:cs="Calibri"/>
          <w:sz w:val="21"/>
          <w:lang w:val="en-GB"/>
        </w:rPr>
        <w:t>.</w:t>
      </w:r>
    </w:p>
    <w:bookmarkEnd w:id="10"/>
    <w:p w14:paraId="6456ED12" w14:textId="77777777" w:rsidR="00657DF0" w:rsidRPr="000B24BD" w:rsidRDefault="00657DF0" w:rsidP="00657DF0">
      <w:pPr>
        <w:numPr>
          <w:ilvl w:val="0"/>
          <w:numId w:val="1"/>
        </w:numPr>
        <w:spacing w:after="101" w:line="269" w:lineRule="auto"/>
        <w:ind w:hanging="406"/>
        <w:jc w:val="both"/>
        <w:rPr>
          <w:rFonts w:cs="Calibri"/>
          <w:b/>
          <w:sz w:val="21"/>
        </w:rPr>
      </w:pPr>
      <w:r w:rsidRPr="000B24BD">
        <w:rPr>
          <w:rFonts w:cs="Calibri"/>
          <w:b/>
          <w:sz w:val="21"/>
        </w:rPr>
        <w:t>Is there a case for regulatory action to reduce the complexity or growth of scheme fees? If so, what form should this take?</w:t>
      </w:r>
    </w:p>
    <w:p w14:paraId="75D1BE40" w14:textId="77777777" w:rsidR="00657DF0" w:rsidRDefault="00657DF0" w:rsidP="00657DF0">
      <w:pPr>
        <w:spacing w:after="101" w:line="269" w:lineRule="auto"/>
        <w:jc w:val="both"/>
        <w:rPr>
          <w:rFonts w:cs="Calibri"/>
          <w:bCs/>
          <w:sz w:val="21"/>
        </w:rPr>
      </w:pPr>
      <w:r w:rsidRPr="000B24BD">
        <w:rPr>
          <w:rFonts w:cs="Calibri"/>
          <w:bCs/>
          <w:i/>
          <w:iCs/>
          <w:sz w:val="21"/>
        </w:rPr>
        <w:t>NBG Response:</w:t>
      </w:r>
    </w:p>
    <w:p w14:paraId="0A7CA0FA" w14:textId="77777777" w:rsidR="00657DF0" w:rsidRDefault="00657DF0" w:rsidP="00657DF0">
      <w:pPr>
        <w:spacing w:after="101" w:line="269" w:lineRule="auto"/>
        <w:jc w:val="both"/>
        <w:rPr>
          <w:rFonts w:cs="Calibri"/>
          <w:bCs/>
          <w:sz w:val="21"/>
        </w:rPr>
      </w:pPr>
      <w:r>
        <w:rPr>
          <w:rFonts w:cs="Calibri"/>
          <w:bCs/>
          <w:sz w:val="21"/>
        </w:rPr>
        <w:t>Scheme fees should be subject to regular regulatory review, as occurs in other network industries (e.g. Telecommunications and Electricity transmission and distribution) particularly as it is a highly structured oligopoly with two (2) main players (Visa and Mastercard) who are price setters.</w:t>
      </w:r>
    </w:p>
    <w:p w14:paraId="6A3856BB" w14:textId="77777777" w:rsidR="00657DF0" w:rsidRDefault="00657DF0" w:rsidP="00657DF0">
      <w:pPr>
        <w:spacing w:after="101" w:line="269" w:lineRule="auto"/>
        <w:jc w:val="both"/>
        <w:rPr>
          <w:rFonts w:cs="Calibri"/>
          <w:bCs/>
          <w:sz w:val="21"/>
        </w:rPr>
      </w:pPr>
      <w:r>
        <w:rPr>
          <w:rFonts w:cs="Calibri"/>
          <w:bCs/>
          <w:sz w:val="21"/>
        </w:rPr>
        <w:t xml:space="preserve">The cost of processing a $1.00 transaction is no different to processing a $1,000 transaction so the case to use postage pricing and not ad valorum pricing is strong.  Whilst there may be arguments put forward that </w:t>
      </w:r>
      <w:r>
        <w:rPr>
          <w:rFonts w:cs="Calibri"/>
          <w:bCs/>
          <w:sz w:val="21"/>
        </w:rPr>
        <w:lastRenderedPageBreak/>
        <w:t>the cost of security and risk is higher with high value transactions, fraud starts with small value testing transactions.  The real time monitoring costs are no different for a $1.00 transaction to a $1,000 transaction.  Similarly low value transactions and high value transactions attract the same investigative costs.</w:t>
      </w:r>
    </w:p>
    <w:p w14:paraId="0E6441D1" w14:textId="77777777" w:rsidR="00657DF0" w:rsidRDefault="00657DF0" w:rsidP="00657DF0">
      <w:pPr>
        <w:spacing w:after="101" w:line="269" w:lineRule="auto"/>
        <w:jc w:val="both"/>
        <w:rPr>
          <w:rFonts w:cs="Calibri"/>
          <w:bCs/>
          <w:sz w:val="21"/>
        </w:rPr>
      </w:pPr>
      <w:r>
        <w:rPr>
          <w:rFonts w:cs="Calibri"/>
          <w:bCs/>
          <w:sz w:val="21"/>
        </w:rPr>
        <w:t xml:space="preserve">As noted above, there has been a historical pattern to create complexity rather than simplicity in the industry by Card Issuers and Schemes.  It almost borders on the “if you can’t convince, then confuse” paradigm.  Making something complex is a tool of control and enables hiding the inefficiencies and the real design of the system.  It also deprives the end users (Merchants and Consumers) of the full benefits of technology change, thus inflating costs to benefit incumbent players.  Again, the Mobile Wallet (mentioned in our answer to question 3.) is a prime example.  </w:t>
      </w:r>
    </w:p>
    <w:p w14:paraId="373DA866" w14:textId="77777777" w:rsidR="00657DF0" w:rsidRDefault="00657DF0" w:rsidP="00657DF0">
      <w:pPr>
        <w:spacing w:after="101" w:line="269" w:lineRule="auto"/>
        <w:jc w:val="both"/>
        <w:rPr>
          <w:rFonts w:cs="Calibri"/>
          <w:bCs/>
          <w:sz w:val="21"/>
        </w:rPr>
      </w:pPr>
      <w:r>
        <w:rPr>
          <w:rFonts w:cs="Calibri"/>
          <w:bCs/>
          <w:sz w:val="21"/>
        </w:rPr>
        <w:t xml:space="preserve">A flow on effect of the complexity is that merchants in turn are unable to be transparent with cardholders about the surcharge.  </w:t>
      </w:r>
    </w:p>
    <w:p w14:paraId="537210BE" w14:textId="77777777" w:rsidR="00657DF0" w:rsidRPr="003E068A" w:rsidRDefault="00657DF0" w:rsidP="005527D8">
      <w:pPr>
        <w:spacing w:after="240" w:line="240" w:lineRule="auto"/>
        <w:jc w:val="both"/>
        <w:rPr>
          <w:bCs/>
        </w:rPr>
      </w:pPr>
      <w:r>
        <w:rPr>
          <w:rFonts w:cs="Calibri"/>
          <w:bCs/>
          <w:sz w:val="21"/>
        </w:rPr>
        <w:t>The issue is not just one of complexity but rather, of greater importance is the secrecy surrounding Scheme Fees and Rules.  The time has come for these rules and their impacts on Merchants and Cardholders to be made transparent, and ultimately simplified.</w:t>
      </w:r>
    </w:p>
    <w:p w14:paraId="59F931FF" w14:textId="77777777" w:rsidR="00657DF0" w:rsidRPr="000B24BD" w:rsidRDefault="00657DF0" w:rsidP="00657DF0">
      <w:pPr>
        <w:numPr>
          <w:ilvl w:val="0"/>
          <w:numId w:val="1"/>
        </w:numPr>
        <w:spacing w:after="101" w:line="269" w:lineRule="auto"/>
        <w:ind w:hanging="406"/>
        <w:jc w:val="both"/>
        <w:rPr>
          <w:b/>
        </w:rPr>
      </w:pPr>
      <w:r w:rsidRPr="000B24BD">
        <w:rPr>
          <w:rFonts w:cs="Calibri"/>
          <w:b/>
          <w:sz w:val="21"/>
        </w:rPr>
        <w:t>What other regulatory action should the RBA consider to increase the competitive pressure on scheme fees?</w:t>
      </w:r>
    </w:p>
    <w:p w14:paraId="47FFEFD5"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40A0A34F" w14:textId="77777777" w:rsidR="00657DF0" w:rsidRDefault="00657DF0" w:rsidP="00657DF0">
      <w:pPr>
        <w:spacing w:after="101" w:line="269" w:lineRule="auto"/>
        <w:jc w:val="both"/>
        <w:rPr>
          <w:rFonts w:cs="Calibri"/>
          <w:bCs/>
          <w:sz w:val="21"/>
        </w:rPr>
      </w:pPr>
      <w:r>
        <w:rPr>
          <w:rFonts w:cs="Calibri"/>
          <w:bCs/>
          <w:sz w:val="21"/>
        </w:rPr>
        <w:t xml:space="preserve">There is a strong case for different regulatory oversight going forward than operates today.  Consideration should be given to applying a more efficient regulatory pricing model with an objective to deliver systemic efficiencies to issuers, acquirers and </w:t>
      </w:r>
      <w:bookmarkStart w:id="11" w:name="OLE_LINK4"/>
      <w:r>
        <w:rPr>
          <w:rFonts w:cs="Calibri"/>
          <w:bCs/>
          <w:sz w:val="21"/>
        </w:rPr>
        <w:t xml:space="preserve">schemes </w:t>
      </w:r>
      <w:bookmarkEnd w:id="11"/>
      <w:r>
        <w:rPr>
          <w:rFonts w:cs="Calibri"/>
          <w:bCs/>
          <w:sz w:val="21"/>
        </w:rPr>
        <w:t>with a focus on the schemes as they face the least competitive pressures, unlike acquirers and issuers.  Looking to other network industries such as telecommunications and electricity markets demonstrates that regulatory oversight of key elements can deliver more efficient outcomes for end users, whether they be consumers or merchants.</w:t>
      </w:r>
    </w:p>
    <w:p w14:paraId="6DA5DADF" w14:textId="77777777" w:rsidR="00657DF0" w:rsidRPr="0094041E" w:rsidRDefault="00657DF0" w:rsidP="005527D8">
      <w:pPr>
        <w:spacing w:after="240" w:line="240" w:lineRule="auto"/>
        <w:jc w:val="both"/>
        <w:rPr>
          <w:rFonts w:cs="Calibri"/>
          <w:bCs/>
          <w:sz w:val="21"/>
        </w:rPr>
      </w:pPr>
      <w:r>
        <w:rPr>
          <w:rFonts w:cs="Calibri"/>
          <w:bCs/>
          <w:sz w:val="21"/>
        </w:rPr>
        <w:t>Given the highly structured platforms operating at the level of the schemes and their membership, consideration should be given to undertaking formal industry reviews with the ACCC every 5 years applying CPI-X model with a glide path to the next regulatory review point, as occurs in some other network industries.</w:t>
      </w:r>
    </w:p>
    <w:p w14:paraId="0ECAA0AA" w14:textId="77777777" w:rsidR="00657DF0" w:rsidRPr="000B24BD" w:rsidRDefault="00657DF0" w:rsidP="00657DF0">
      <w:pPr>
        <w:numPr>
          <w:ilvl w:val="0"/>
          <w:numId w:val="1"/>
        </w:numPr>
        <w:spacing w:after="101" w:line="269" w:lineRule="auto"/>
        <w:ind w:hanging="406"/>
        <w:jc w:val="both"/>
        <w:rPr>
          <w:b/>
        </w:rPr>
      </w:pPr>
      <w:r w:rsidRPr="000B24BD">
        <w:rPr>
          <w:rFonts w:cs="Calibri"/>
          <w:b/>
          <w:sz w:val="21"/>
        </w:rPr>
        <w:t xml:space="preserve">How do stakeholders assess the functioning and effectiveness to date of LCR for </w:t>
      </w:r>
      <w:r w:rsidRPr="000B24BD">
        <w:rPr>
          <w:rFonts w:cs="Calibri"/>
          <w:b/>
          <w:i/>
          <w:sz w:val="21"/>
        </w:rPr>
        <w:t xml:space="preserve">in-person </w:t>
      </w:r>
      <w:r w:rsidRPr="000B24BD">
        <w:rPr>
          <w:rFonts w:cs="Calibri"/>
          <w:b/>
          <w:sz w:val="21"/>
        </w:rPr>
        <w:t xml:space="preserve">transactions? Is further regulatory intervention needed? What might that look like? </w:t>
      </w:r>
    </w:p>
    <w:p w14:paraId="0E8252C8"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38AE7EE6" w14:textId="77777777" w:rsidR="00657DF0" w:rsidRDefault="00657DF0" w:rsidP="00657DF0">
      <w:pPr>
        <w:spacing w:after="101" w:line="269" w:lineRule="auto"/>
        <w:jc w:val="both"/>
        <w:rPr>
          <w:rFonts w:cs="Calibri"/>
          <w:bCs/>
          <w:sz w:val="21"/>
        </w:rPr>
      </w:pPr>
      <w:r>
        <w:rPr>
          <w:rFonts w:cs="Calibri"/>
          <w:bCs/>
          <w:sz w:val="21"/>
        </w:rPr>
        <w:t>The rate of implementation of LCR has been abysmal.  NBG first flagged with its acquirer Tyro in 2015 the possibility of LCR and using the EPAL rails on dual channel cards to deliver the outcome.  Tyro had a viable functioning system in place with us within 12 months.  Ten years later we have major institutions with low take up rates for LCR.</w:t>
      </w:r>
    </w:p>
    <w:p w14:paraId="194718E5" w14:textId="77777777" w:rsidR="00657DF0" w:rsidRDefault="00657DF0" w:rsidP="00657DF0">
      <w:pPr>
        <w:spacing w:after="101" w:line="269" w:lineRule="auto"/>
        <w:jc w:val="both"/>
        <w:rPr>
          <w:rFonts w:cs="Calibri"/>
          <w:bCs/>
          <w:sz w:val="21"/>
        </w:rPr>
      </w:pPr>
      <w:r>
        <w:rPr>
          <w:rFonts w:cs="Calibri"/>
          <w:bCs/>
          <w:sz w:val="21"/>
        </w:rPr>
        <w:t>The reason for this slow take up is that:</w:t>
      </w:r>
    </w:p>
    <w:p w14:paraId="5792CCC7" w14:textId="77777777" w:rsidR="00657DF0" w:rsidRPr="003B7678" w:rsidRDefault="00657DF0" w:rsidP="00657DF0">
      <w:pPr>
        <w:pStyle w:val="ListParagraph"/>
        <w:numPr>
          <w:ilvl w:val="0"/>
          <w:numId w:val="7"/>
        </w:numPr>
        <w:spacing w:after="101" w:line="269" w:lineRule="auto"/>
        <w:jc w:val="both"/>
        <w:rPr>
          <w:rFonts w:cs="Calibri"/>
          <w:bCs/>
          <w:sz w:val="21"/>
        </w:rPr>
      </w:pPr>
      <w:r w:rsidRPr="003B7678">
        <w:rPr>
          <w:rFonts w:cs="Calibri"/>
          <w:bCs/>
          <w:sz w:val="21"/>
        </w:rPr>
        <w:t xml:space="preserve">LCR is operated as an “Opt In” system for Merchants not an “Opt Out”. </w:t>
      </w:r>
    </w:p>
    <w:p w14:paraId="35C6C1FD" w14:textId="77777777" w:rsidR="00657DF0" w:rsidRPr="003B7678" w:rsidRDefault="00657DF0" w:rsidP="00657DF0">
      <w:pPr>
        <w:pStyle w:val="ListParagraph"/>
        <w:numPr>
          <w:ilvl w:val="0"/>
          <w:numId w:val="7"/>
        </w:numPr>
        <w:spacing w:after="101" w:line="269" w:lineRule="auto"/>
        <w:jc w:val="both"/>
        <w:rPr>
          <w:rFonts w:cs="Calibri"/>
          <w:bCs/>
          <w:sz w:val="21"/>
        </w:rPr>
      </w:pPr>
      <w:r w:rsidRPr="003B7678">
        <w:rPr>
          <w:rFonts w:cs="Calibri"/>
          <w:bCs/>
          <w:sz w:val="21"/>
        </w:rPr>
        <w:t>The benefits to a Merchant are not clearly articulated by most acquirers so the level of understanding by many small merchants is limited.</w:t>
      </w:r>
    </w:p>
    <w:p w14:paraId="250CDCA1" w14:textId="77777777" w:rsidR="00657DF0" w:rsidRDefault="00657DF0" w:rsidP="00657DF0">
      <w:pPr>
        <w:pStyle w:val="ListParagraph"/>
        <w:numPr>
          <w:ilvl w:val="0"/>
          <w:numId w:val="7"/>
        </w:numPr>
        <w:spacing w:after="101" w:line="269" w:lineRule="auto"/>
        <w:jc w:val="both"/>
        <w:rPr>
          <w:rFonts w:cs="Calibri"/>
          <w:bCs/>
          <w:sz w:val="21"/>
        </w:rPr>
      </w:pPr>
      <w:r w:rsidRPr="003B7678">
        <w:rPr>
          <w:rFonts w:cs="Calibri"/>
          <w:bCs/>
          <w:sz w:val="21"/>
        </w:rPr>
        <w:t>Many Merchants are unaware of the benefits of LCR</w:t>
      </w:r>
      <w:r>
        <w:rPr>
          <w:rFonts w:cs="Calibri"/>
          <w:bCs/>
          <w:sz w:val="21"/>
        </w:rPr>
        <w:t>.</w:t>
      </w:r>
      <w:r w:rsidRPr="003B7678">
        <w:rPr>
          <w:rFonts w:cs="Calibri"/>
          <w:bCs/>
          <w:sz w:val="21"/>
        </w:rPr>
        <w:t xml:space="preserve"> </w:t>
      </w:r>
    </w:p>
    <w:p w14:paraId="7978DE88" w14:textId="77777777" w:rsidR="00657DF0" w:rsidRPr="003B7678" w:rsidRDefault="00657DF0" w:rsidP="00657DF0">
      <w:pPr>
        <w:pStyle w:val="ListParagraph"/>
        <w:numPr>
          <w:ilvl w:val="0"/>
          <w:numId w:val="7"/>
        </w:numPr>
        <w:spacing w:after="101" w:line="269" w:lineRule="auto"/>
        <w:jc w:val="both"/>
        <w:rPr>
          <w:rFonts w:cs="Calibri"/>
          <w:bCs/>
          <w:sz w:val="21"/>
        </w:rPr>
      </w:pPr>
      <w:r>
        <w:rPr>
          <w:rFonts w:cs="Calibri"/>
          <w:bCs/>
          <w:sz w:val="21"/>
        </w:rPr>
        <w:t xml:space="preserve">Some PSPs offer merchants </w:t>
      </w:r>
      <w:r w:rsidRPr="003B7678">
        <w:rPr>
          <w:rFonts w:cs="Calibri"/>
          <w:bCs/>
          <w:sz w:val="21"/>
        </w:rPr>
        <w:t xml:space="preserve">bundled “No cost” EFTPOS services </w:t>
      </w:r>
      <w:r>
        <w:rPr>
          <w:rFonts w:cs="Calibri"/>
          <w:bCs/>
          <w:sz w:val="21"/>
        </w:rPr>
        <w:t>that</w:t>
      </w:r>
      <w:r w:rsidRPr="003B7678">
        <w:rPr>
          <w:rFonts w:cs="Calibri"/>
          <w:bCs/>
          <w:sz w:val="21"/>
        </w:rPr>
        <w:t xml:space="preserve"> have important market signals masked from the merchants so </w:t>
      </w:r>
      <w:r>
        <w:rPr>
          <w:rFonts w:cs="Calibri"/>
          <w:bCs/>
          <w:sz w:val="21"/>
        </w:rPr>
        <w:t xml:space="preserve">potentially the </w:t>
      </w:r>
      <w:r w:rsidRPr="003B7678">
        <w:rPr>
          <w:rFonts w:cs="Calibri"/>
          <w:bCs/>
          <w:sz w:val="21"/>
        </w:rPr>
        <w:t>LCR benefits are being captured by the PSP.</w:t>
      </w:r>
    </w:p>
    <w:p w14:paraId="518149F7" w14:textId="77777777" w:rsidR="00B97CE7" w:rsidRDefault="00B97CE7">
      <w:pPr>
        <w:spacing w:after="0" w:line="240" w:lineRule="auto"/>
        <w:rPr>
          <w:rFonts w:cs="Calibri"/>
          <w:bCs/>
          <w:i/>
          <w:iCs/>
          <w:sz w:val="21"/>
        </w:rPr>
      </w:pPr>
      <w:r>
        <w:rPr>
          <w:rFonts w:cs="Calibri"/>
          <w:bCs/>
          <w:i/>
          <w:iCs/>
          <w:sz w:val="21"/>
        </w:rPr>
        <w:br w:type="page"/>
      </w:r>
    </w:p>
    <w:p w14:paraId="2CFE03A4" w14:textId="0B478335" w:rsidR="00657DF0" w:rsidRPr="008837C0" w:rsidRDefault="00657DF0" w:rsidP="00657DF0">
      <w:pPr>
        <w:spacing w:after="101" w:line="269" w:lineRule="auto"/>
        <w:jc w:val="both"/>
        <w:rPr>
          <w:rFonts w:cs="Calibri"/>
          <w:bCs/>
          <w:i/>
          <w:iCs/>
          <w:sz w:val="21"/>
        </w:rPr>
      </w:pPr>
      <w:r w:rsidRPr="008837C0">
        <w:rPr>
          <w:rFonts w:cs="Calibri"/>
          <w:bCs/>
          <w:i/>
          <w:iCs/>
          <w:sz w:val="21"/>
        </w:rPr>
        <w:lastRenderedPageBreak/>
        <w:t>Regulatory Interventions</w:t>
      </w:r>
    </w:p>
    <w:p w14:paraId="27DE6433" w14:textId="77777777" w:rsidR="00657DF0" w:rsidRPr="005527D8" w:rsidRDefault="00657DF0" w:rsidP="005527D8">
      <w:pPr>
        <w:pStyle w:val="ListParagraph"/>
        <w:numPr>
          <w:ilvl w:val="0"/>
          <w:numId w:val="9"/>
        </w:numPr>
        <w:spacing w:after="101" w:line="269" w:lineRule="auto"/>
        <w:jc w:val="both"/>
        <w:rPr>
          <w:rFonts w:cs="Calibri"/>
          <w:bCs/>
          <w:sz w:val="21"/>
        </w:rPr>
      </w:pPr>
      <w:r w:rsidRPr="005527D8">
        <w:rPr>
          <w:rFonts w:cs="Calibri"/>
          <w:bCs/>
          <w:sz w:val="21"/>
        </w:rPr>
        <w:t>A simple and effective regulatory change would be to make LCR an OPT OUT decision for a Merchant and not an OPT IN as occurs currently.  That is, the behavioural economics dynamic is shifted driving the potential for take up for benefits LCR to be crystallised by merchants.</w:t>
      </w:r>
    </w:p>
    <w:p w14:paraId="19B6C628" w14:textId="77777777" w:rsidR="00657DF0" w:rsidRPr="005527D8" w:rsidRDefault="00657DF0" w:rsidP="005527D8">
      <w:pPr>
        <w:pStyle w:val="ListParagraph"/>
        <w:numPr>
          <w:ilvl w:val="0"/>
          <w:numId w:val="9"/>
        </w:numPr>
        <w:spacing w:after="101" w:line="269" w:lineRule="auto"/>
        <w:jc w:val="both"/>
        <w:rPr>
          <w:rFonts w:cs="Calibri"/>
          <w:bCs/>
          <w:sz w:val="21"/>
        </w:rPr>
      </w:pPr>
      <w:r w:rsidRPr="005527D8">
        <w:rPr>
          <w:rFonts w:cs="Calibri"/>
          <w:bCs/>
          <w:sz w:val="21"/>
        </w:rPr>
        <w:t xml:space="preserve">Going forward Dynamic LCR should be the norm.  What is required for system efficiency is Dynamic LCR so that the Merchant is paying the least cost based on transaction value and card type.  </w:t>
      </w:r>
    </w:p>
    <w:p w14:paraId="13DCA6E7" w14:textId="77777777" w:rsidR="00657DF0" w:rsidRPr="005527D8" w:rsidRDefault="00657DF0" w:rsidP="005527D8">
      <w:pPr>
        <w:pStyle w:val="ListParagraph"/>
        <w:numPr>
          <w:ilvl w:val="0"/>
          <w:numId w:val="9"/>
        </w:numPr>
        <w:spacing w:after="240" w:line="240" w:lineRule="auto"/>
        <w:jc w:val="both"/>
        <w:rPr>
          <w:rFonts w:cs="Calibri"/>
          <w:bCs/>
          <w:i/>
          <w:iCs/>
          <w:sz w:val="21"/>
        </w:rPr>
      </w:pPr>
      <w:r w:rsidRPr="005527D8">
        <w:rPr>
          <w:rFonts w:cs="Calibri"/>
          <w:bCs/>
          <w:sz w:val="21"/>
        </w:rPr>
        <w:t>Given the poor implementation performance of LCR to date, there is a strong case for the RBA to consider a hardline date for the implementation of dynamic LCR with penalties for PSP participants that fail to deliver the technology solution to Merchants with performance hurdles on take up</w:t>
      </w:r>
      <w:r w:rsidRPr="005527D8">
        <w:rPr>
          <w:rFonts w:cs="Calibri"/>
          <w:bCs/>
          <w:i/>
          <w:iCs/>
          <w:sz w:val="21"/>
        </w:rPr>
        <w:t>.</w:t>
      </w:r>
    </w:p>
    <w:p w14:paraId="12FBB281" w14:textId="77777777" w:rsidR="00657DF0" w:rsidRDefault="00657DF0" w:rsidP="00657DF0">
      <w:pPr>
        <w:numPr>
          <w:ilvl w:val="0"/>
          <w:numId w:val="1"/>
        </w:numPr>
        <w:spacing w:after="101" w:line="269" w:lineRule="auto"/>
        <w:ind w:hanging="406"/>
        <w:jc w:val="both"/>
        <w:rPr>
          <w:rFonts w:cs="Calibri"/>
          <w:bCs/>
          <w:sz w:val="21"/>
        </w:rPr>
      </w:pPr>
      <w:r w:rsidRPr="000B24BD">
        <w:rPr>
          <w:rFonts w:cs="Calibri"/>
          <w:b/>
          <w:sz w:val="21"/>
        </w:rPr>
        <w:t>Is there a case for greater transparency of fees, wholesale costs and market shares for some payment services? If so, what form should this take? What benefits or drawbacks might arise from implementing any of these measures</w:t>
      </w:r>
      <w:r w:rsidRPr="005527D8">
        <w:rPr>
          <w:rFonts w:cs="Calibri"/>
          <w:b/>
          <w:sz w:val="21"/>
        </w:rPr>
        <w:t>?</w:t>
      </w:r>
    </w:p>
    <w:p w14:paraId="5CFBB662"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3F90BE4B" w14:textId="77777777" w:rsidR="00657DF0" w:rsidRDefault="00657DF0" w:rsidP="00657DF0">
      <w:pPr>
        <w:spacing w:after="101" w:line="269" w:lineRule="auto"/>
        <w:jc w:val="both"/>
        <w:rPr>
          <w:rFonts w:cs="Calibri"/>
          <w:bCs/>
          <w:sz w:val="21"/>
        </w:rPr>
      </w:pPr>
      <w:r>
        <w:rPr>
          <w:rFonts w:cs="Calibri"/>
          <w:bCs/>
          <w:sz w:val="21"/>
        </w:rPr>
        <w:t xml:space="preserve">YES </w:t>
      </w:r>
    </w:p>
    <w:p w14:paraId="2EE12448" w14:textId="77777777" w:rsidR="00657DF0" w:rsidRDefault="00657DF0" w:rsidP="00657DF0">
      <w:pPr>
        <w:spacing w:after="101" w:line="269" w:lineRule="auto"/>
        <w:jc w:val="both"/>
        <w:rPr>
          <w:rFonts w:cs="Calibri"/>
          <w:bCs/>
          <w:sz w:val="21"/>
        </w:rPr>
      </w:pPr>
      <w:r>
        <w:rPr>
          <w:rFonts w:cs="Calibri"/>
          <w:bCs/>
          <w:sz w:val="21"/>
        </w:rPr>
        <w:t xml:space="preserve">As indicated above, the existing system is characterised by significant information asymmetry including the secrecy and complexity surrounding Scheme Rules.  These should be available publicly and in a simple format so that consumers, consumer advocates, merchants, media commentators, and politicians can intelligently comment on the system.  </w:t>
      </w:r>
    </w:p>
    <w:p w14:paraId="0E399A41" w14:textId="77777777" w:rsidR="00657DF0" w:rsidRDefault="00657DF0" w:rsidP="005527D8">
      <w:pPr>
        <w:spacing w:after="240" w:line="240" w:lineRule="auto"/>
        <w:jc w:val="both"/>
        <w:rPr>
          <w:rFonts w:cs="Calibri"/>
          <w:bCs/>
          <w:sz w:val="21"/>
        </w:rPr>
      </w:pPr>
      <w:r>
        <w:rPr>
          <w:rFonts w:cs="Calibri"/>
          <w:bCs/>
          <w:sz w:val="21"/>
        </w:rPr>
        <w:t>Schemes will mount arguments against such disclosure citing commercial in confidence, but these arguments seem to be difficult to sustain in the financial sector years after the Banking Royal Commission.</w:t>
      </w:r>
    </w:p>
    <w:p w14:paraId="52DF56A6" w14:textId="77777777" w:rsidR="00657DF0" w:rsidRPr="000B24BD" w:rsidRDefault="00657DF0" w:rsidP="00657DF0">
      <w:pPr>
        <w:numPr>
          <w:ilvl w:val="0"/>
          <w:numId w:val="1"/>
        </w:numPr>
        <w:spacing w:after="101" w:line="269" w:lineRule="auto"/>
        <w:ind w:hanging="406"/>
        <w:jc w:val="both"/>
        <w:rPr>
          <w:b/>
        </w:rPr>
      </w:pPr>
      <w:r w:rsidRPr="000B24BD">
        <w:rPr>
          <w:rFonts w:cs="Calibri"/>
          <w:b/>
          <w:sz w:val="21"/>
        </w:rPr>
        <w:t xml:space="preserve">Should PSPs be required to provide individual merchants more detailed information on their regular statements (or through other channels)? How could this information be presented without creating additional complexity for merchants? </w:t>
      </w:r>
    </w:p>
    <w:p w14:paraId="5D0C107E"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32E1AB15" w14:textId="77777777" w:rsidR="00657DF0" w:rsidRDefault="00657DF0" w:rsidP="00657DF0">
      <w:pPr>
        <w:spacing w:after="101" w:line="269" w:lineRule="auto"/>
        <w:jc w:val="both"/>
        <w:rPr>
          <w:rFonts w:cs="Calibri"/>
          <w:bCs/>
          <w:sz w:val="21"/>
        </w:rPr>
      </w:pPr>
      <w:r>
        <w:rPr>
          <w:rFonts w:cs="Calibri"/>
          <w:bCs/>
          <w:sz w:val="21"/>
        </w:rPr>
        <w:t xml:space="preserve">YES: </w:t>
      </w:r>
    </w:p>
    <w:p w14:paraId="166D2165" w14:textId="77777777" w:rsidR="00657DF0" w:rsidRDefault="00657DF0" w:rsidP="00657DF0">
      <w:pPr>
        <w:spacing w:after="101" w:line="269" w:lineRule="auto"/>
        <w:jc w:val="both"/>
        <w:rPr>
          <w:rFonts w:cs="Calibri"/>
          <w:bCs/>
          <w:sz w:val="21"/>
        </w:rPr>
      </w:pPr>
      <w:r>
        <w:rPr>
          <w:rFonts w:cs="Calibri"/>
          <w:bCs/>
          <w:sz w:val="21"/>
        </w:rPr>
        <w:t>In many other network industries, there is a focus on delivering clear and simplified information in invoicing, but that innovation has escaped many participants in payment processing services.  Having better information in the hand of the Merchant will enable them to make informed decisions not only on the costs of the service from the party from whom they are sourcing payment processing, thus facilitating switching; but also enable them to make more informed decisions about surcharging and the cost of convenience customers should pay for card transactions.</w:t>
      </w:r>
    </w:p>
    <w:p w14:paraId="73A6CE38" w14:textId="7D6378F3" w:rsidR="00657DF0" w:rsidRPr="005F65DE" w:rsidRDefault="00657DF0" w:rsidP="005527D8">
      <w:pPr>
        <w:spacing w:after="240" w:line="240" w:lineRule="auto"/>
        <w:jc w:val="both"/>
        <w:rPr>
          <w:rFonts w:cs="Calibri"/>
          <w:bCs/>
          <w:sz w:val="21"/>
        </w:rPr>
      </w:pPr>
      <w:r>
        <w:rPr>
          <w:rFonts w:cs="Calibri"/>
          <w:bCs/>
          <w:sz w:val="21"/>
        </w:rPr>
        <w:t>As noted above parties such as Stripe already offers detailed information for Merchants clearly articulating their cost-plus model.</w:t>
      </w:r>
    </w:p>
    <w:p w14:paraId="614232D4" w14:textId="77777777" w:rsidR="00657DF0" w:rsidRPr="000B24BD" w:rsidRDefault="00657DF0" w:rsidP="00657DF0">
      <w:pPr>
        <w:numPr>
          <w:ilvl w:val="0"/>
          <w:numId w:val="1"/>
        </w:numPr>
        <w:spacing w:after="101" w:line="269" w:lineRule="auto"/>
        <w:ind w:hanging="406"/>
        <w:jc w:val="both"/>
        <w:rPr>
          <w:rFonts w:cs="Calibri"/>
          <w:b/>
          <w:sz w:val="21"/>
        </w:rPr>
      </w:pPr>
      <w:r w:rsidRPr="000B24BD">
        <w:rPr>
          <w:rFonts w:cs="Calibri"/>
          <w:b/>
          <w:sz w:val="21"/>
        </w:rPr>
        <w:t xml:space="preserve">Should PSPs be required to publish standardised information on their pricing and services for merchants (in line with reforms introduced in the United Kingdom)? </w:t>
      </w:r>
    </w:p>
    <w:p w14:paraId="43A4CBDA"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242D460F" w14:textId="2DB25ACB" w:rsidR="005527D8" w:rsidRDefault="00657DF0" w:rsidP="00657DF0">
      <w:pPr>
        <w:spacing w:after="101" w:line="269" w:lineRule="auto"/>
        <w:jc w:val="both"/>
        <w:rPr>
          <w:rFonts w:cs="Calibri"/>
          <w:bCs/>
          <w:sz w:val="21"/>
        </w:rPr>
      </w:pPr>
      <w:r w:rsidRPr="00D94A16">
        <w:rPr>
          <w:rFonts w:cs="Calibri"/>
          <w:bCs/>
          <w:sz w:val="21"/>
        </w:rPr>
        <w:t>YES:  This is an industry that has long assumed it is a secret club.</w:t>
      </w:r>
      <w:r>
        <w:rPr>
          <w:rFonts w:cs="Calibri"/>
          <w:bCs/>
          <w:sz w:val="21"/>
        </w:rPr>
        <w:t xml:space="preserve">  Redressing the information asymmetry by schemes would be a major advance.</w:t>
      </w:r>
    </w:p>
    <w:p w14:paraId="2E51F484" w14:textId="77777777" w:rsidR="005527D8" w:rsidRDefault="005527D8">
      <w:pPr>
        <w:spacing w:after="0" w:line="240" w:lineRule="auto"/>
        <w:rPr>
          <w:rFonts w:cs="Calibri"/>
          <w:bCs/>
          <w:sz w:val="21"/>
        </w:rPr>
      </w:pPr>
      <w:r>
        <w:rPr>
          <w:rFonts w:cs="Calibri"/>
          <w:bCs/>
          <w:sz w:val="21"/>
        </w:rPr>
        <w:br w:type="page"/>
      </w:r>
    </w:p>
    <w:p w14:paraId="77E57B72" w14:textId="77777777" w:rsidR="00657DF0" w:rsidRPr="000B24BD" w:rsidRDefault="00657DF0" w:rsidP="00657DF0">
      <w:pPr>
        <w:numPr>
          <w:ilvl w:val="0"/>
          <w:numId w:val="1"/>
        </w:numPr>
        <w:spacing w:after="101" w:line="269" w:lineRule="auto"/>
        <w:ind w:hanging="406"/>
        <w:jc w:val="both"/>
        <w:rPr>
          <w:b/>
        </w:rPr>
      </w:pPr>
      <w:r w:rsidRPr="000B24BD">
        <w:rPr>
          <w:rFonts w:cs="Calibri"/>
          <w:b/>
          <w:sz w:val="21"/>
        </w:rPr>
        <w:lastRenderedPageBreak/>
        <w:t xml:space="preserve">What other regulatory measures should the RBA consider </w:t>
      </w:r>
      <w:proofErr w:type="gramStart"/>
      <w:r w:rsidRPr="000B24BD">
        <w:rPr>
          <w:rFonts w:cs="Calibri"/>
          <w:b/>
          <w:sz w:val="21"/>
        </w:rPr>
        <w:t>to improve</w:t>
      </w:r>
      <w:proofErr w:type="gramEnd"/>
      <w:r w:rsidRPr="000B24BD">
        <w:rPr>
          <w:rFonts w:cs="Calibri"/>
          <w:b/>
          <w:sz w:val="21"/>
        </w:rPr>
        <w:t xml:space="preserve"> competition between PSPs? </w:t>
      </w:r>
    </w:p>
    <w:p w14:paraId="39BDC7FD"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40AE0D40" w14:textId="77777777" w:rsidR="00657DF0" w:rsidRDefault="00657DF0" w:rsidP="00657DF0">
      <w:pPr>
        <w:spacing w:after="101" w:line="269" w:lineRule="auto"/>
        <w:jc w:val="both"/>
        <w:rPr>
          <w:rFonts w:cs="Calibri"/>
          <w:bCs/>
          <w:sz w:val="21"/>
        </w:rPr>
      </w:pPr>
      <w:r>
        <w:rPr>
          <w:rFonts w:cs="Calibri"/>
          <w:bCs/>
          <w:sz w:val="21"/>
        </w:rPr>
        <w:t xml:space="preserve">Enforce structural separation between card issuing and payment acquiring. </w:t>
      </w:r>
    </w:p>
    <w:p w14:paraId="703F3001" w14:textId="77777777" w:rsidR="00657DF0" w:rsidRPr="00D03639" w:rsidRDefault="00657DF0" w:rsidP="00657DF0">
      <w:pPr>
        <w:spacing w:after="101" w:line="269" w:lineRule="auto"/>
        <w:jc w:val="both"/>
        <w:rPr>
          <w:rFonts w:cs="Calibri"/>
          <w:bCs/>
          <w:i/>
          <w:iCs/>
          <w:sz w:val="21"/>
        </w:rPr>
      </w:pPr>
      <w:r w:rsidRPr="00D03639">
        <w:rPr>
          <w:rFonts w:cs="Calibri"/>
          <w:bCs/>
          <w:i/>
          <w:iCs/>
          <w:sz w:val="21"/>
        </w:rPr>
        <w:t>The</w:t>
      </w:r>
      <w:r>
        <w:rPr>
          <w:rFonts w:cs="Calibri"/>
          <w:bCs/>
          <w:i/>
          <w:iCs/>
          <w:sz w:val="21"/>
        </w:rPr>
        <w:t xml:space="preserve">re is a </w:t>
      </w:r>
      <w:r w:rsidRPr="00D03639">
        <w:rPr>
          <w:rFonts w:cs="Calibri"/>
          <w:bCs/>
          <w:i/>
          <w:iCs/>
          <w:sz w:val="21"/>
        </w:rPr>
        <w:t xml:space="preserve">myth </w:t>
      </w:r>
      <w:r>
        <w:rPr>
          <w:rFonts w:cs="Calibri"/>
          <w:bCs/>
          <w:i/>
          <w:iCs/>
          <w:sz w:val="21"/>
        </w:rPr>
        <w:t>that</w:t>
      </w:r>
      <w:r w:rsidRPr="00D03639">
        <w:rPr>
          <w:rFonts w:cs="Calibri"/>
          <w:bCs/>
          <w:i/>
          <w:iCs/>
          <w:sz w:val="21"/>
        </w:rPr>
        <w:t xml:space="preserve"> the 4-party payment system</w:t>
      </w:r>
      <w:r>
        <w:rPr>
          <w:rFonts w:cs="Calibri"/>
          <w:bCs/>
          <w:i/>
          <w:iCs/>
          <w:sz w:val="21"/>
        </w:rPr>
        <w:t xml:space="preserve"> is operating efficiently when the reality is that it has been subject to a de-facto merger process between the major players</w:t>
      </w:r>
      <w:r w:rsidRPr="00D03639">
        <w:rPr>
          <w:rFonts w:cs="Calibri"/>
          <w:bCs/>
          <w:i/>
          <w:iCs/>
          <w:sz w:val="21"/>
        </w:rPr>
        <w:t>.</w:t>
      </w:r>
    </w:p>
    <w:p w14:paraId="43219BD0" w14:textId="77777777" w:rsidR="00657DF0" w:rsidRDefault="00657DF0" w:rsidP="00657DF0">
      <w:pPr>
        <w:spacing w:after="101" w:line="269" w:lineRule="auto"/>
        <w:jc w:val="both"/>
        <w:rPr>
          <w:rFonts w:cs="Calibri"/>
          <w:bCs/>
          <w:sz w:val="21"/>
        </w:rPr>
      </w:pPr>
      <w:r>
        <w:rPr>
          <w:rFonts w:cs="Calibri"/>
          <w:bCs/>
          <w:sz w:val="21"/>
        </w:rPr>
        <w:t>Conventional wisdom is that there are 4 actors in a payment system which the background notes to the current discussion paper reference.  The assumption is that it operates as a multisided platform business model delivering network costs and benefits efficiently.</w:t>
      </w:r>
    </w:p>
    <w:p w14:paraId="7B63415E" w14:textId="77777777" w:rsidR="00657DF0" w:rsidRDefault="00657DF0" w:rsidP="00657DF0">
      <w:pPr>
        <w:spacing w:after="101" w:line="269" w:lineRule="auto"/>
        <w:jc w:val="both"/>
        <w:rPr>
          <w:rFonts w:cs="Calibri"/>
          <w:bCs/>
          <w:sz w:val="21"/>
        </w:rPr>
      </w:pPr>
      <w:r>
        <w:rPr>
          <w:noProof/>
        </w:rPr>
        <w:drawing>
          <wp:inline distT="0" distB="0" distL="0" distR="0" wp14:anchorId="55D3A696" wp14:editId="33AA9F1C">
            <wp:extent cx="5131837" cy="2444620"/>
            <wp:effectExtent l="0" t="0" r="0" b="0"/>
            <wp:docPr id="86201" name="Picture 86201" descr="A diagram that shows the fee flows in a card transaction involving a four-party card scheme. The merchant’s payments provider (acquirer) pays an interchange fee to the cardholder’s bank (issuer), which is then recouped from the merchant via a merchant service fee. Both the acquirer and issuer pay a scheme fee to the card scheme/network."/>
            <wp:cNvGraphicFramePr/>
            <a:graphic xmlns:a="http://schemas.openxmlformats.org/drawingml/2006/main">
              <a:graphicData uri="http://schemas.openxmlformats.org/drawingml/2006/picture">
                <pic:pic xmlns:pic="http://schemas.openxmlformats.org/drawingml/2006/picture">
                  <pic:nvPicPr>
                    <pic:cNvPr id="86201" name="Picture 86201"/>
                    <pic:cNvPicPr/>
                  </pic:nvPicPr>
                  <pic:blipFill>
                    <a:blip r:embed="rId12"/>
                    <a:stretch>
                      <a:fillRect/>
                    </a:stretch>
                  </pic:blipFill>
                  <pic:spPr>
                    <a:xfrm>
                      <a:off x="0" y="0"/>
                      <a:ext cx="5244073" cy="2498085"/>
                    </a:xfrm>
                    <a:prstGeom prst="rect">
                      <a:avLst/>
                    </a:prstGeom>
                  </pic:spPr>
                </pic:pic>
              </a:graphicData>
            </a:graphic>
          </wp:inline>
        </w:drawing>
      </w:r>
    </w:p>
    <w:p w14:paraId="29CFA5F1" w14:textId="77777777" w:rsidR="00657DF0" w:rsidRDefault="00657DF0" w:rsidP="00657DF0">
      <w:pPr>
        <w:spacing w:after="101" w:line="269" w:lineRule="auto"/>
        <w:jc w:val="both"/>
        <w:rPr>
          <w:rFonts w:cs="Calibri"/>
          <w:bCs/>
          <w:sz w:val="21"/>
        </w:rPr>
      </w:pPr>
      <w:r>
        <w:rPr>
          <w:rFonts w:cs="Calibri"/>
          <w:bCs/>
          <w:sz w:val="21"/>
        </w:rPr>
        <w:t xml:space="preserve">On the surface it appears as a rational system operating with discrete roles.  But the bulk of transactions are occurring between parties that are playing roles of both card issuers and acquirers.  There is structural failure resulting from inadequate structural separation between many of the lead actors that has been flagged previously by both the RBA and the PC and is well documented in competition literature on Multisided Platform markets.  </w:t>
      </w:r>
    </w:p>
    <w:p w14:paraId="1E1DCC85" w14:textId="77777777" w:rsidR="00657DF0" w:rsidRDefault="00657DF0" w:rsidP="00657DF0">
      <w:pPr>
        <w:spacing w:after="101" w:line="269" w:lineRule="auto"/>
        <w:jc w:val="both"/>
        <w:rPr>
          <w:rFonts w:cs="Calibri"/>
          <w:bCs/>
          <w:sz w:val="21"/>
        </w:rPr>
      </w:pPr>
      <w:r>
        <w:rPr>
          <w:rFonts w:cs="Calibri"/>
          <w:bCs/>
          <w:sz w:val="21"/>
        </w:rPr>
        <w:t>When the roles of card issuer and payment acquirer are held by the same party there is in effect a merger where the net losers of that process are card holders and, merchants in particular who face higher costs and reduced benefits.</w:t>
      </w:r>
      <w:r>
        <w:rPr>
          <w:rStyle w:val="FootnoteReference"/>
          <w:rFonts w:cs="Calibri"/>
          <w:bCs/>
          <w:sz w:val="21"/>
        </w:rPr>
        <w:footnoteReference w:id="1"/>
      </w:r>
      <w:r>
        <w:rPr>
          <w:rFonts w:cs="Calibri"/>
          <w:bCs/>
          <w:sz w:val="21"/>
        </w:rPr>
        <w:t xml:space="preserve">  A Card issuer who is also an Acquirer can thus promote behaviour in its card holders to increase spending through incentives but fund this through interchange fees from its acquiring arm paid by the merchants.  Separately, increased spending by card holders has the potential to increase interest income revenues from card holders.  A “win-win” situation for the issuer who is also an acquirer.  Given the volume of transactions processed by the major card issuers/acquirers, it doesn’t even need to be on their own acquiring infrastructure to deliver net benefits to them.</w:t>
      </w:r>
    </w:p>
    <w:p w14:paraId="783BC61B" w14:textId="77777777" w:rsidR="00657DF0" w:rsidRDefault="00657DF0" w:rsidP="00657DF0">
      <w:pPr>
        <w:spacing w:after="101" w:line="269" w:lineRule="auto"/>
        <w:jc w:val="both"/>
        <w:rPr>
          <w:rFonts w:cs="Calibri"/>
          <w:bCs/>
          <w:sz w:val="21"/>
        </w:rPr>
      </w:pPr>
      <w:r>
        <w:rPr>
          <w:rFonts w:cs="Calibri"/>
          <w:bCs/>
          <w:sz w:val="21"/>
        </w:rPr>
        <w:t>This is exactly what has underpinned the bulk of the Australian payment market.  The PC report documented the structural separation issue.  It found that in 2017 80% of all acquiring and issuing was undertaken by the major banks acting in one of these roles in every transaction so at an aggregate level there was no structural separation.</w:t>
      </w:r>
    </w:p>
    <w:p w14:paraId="282BF811" w14:textId="77777777" w:rsidR="00657DF0" w:rsidRDefault="00657DF0" w:rsidP="00657DF0">
      <w:pPr>
        <w:spacing w:after="101" w:line="269" w:lineRule="auto"/>
        <w:jc w:val="both"/>
        <w:rPr>
          <w:rFonts w:cs="Calibri"/>
          <w:bCs/>
          <w:sz w:val="21"/>
        </w:rPr>
      </w:pPr>
      <w:r>
        <w:rPr>
          <w:rFonts w:cs="Calibri"/>
          <w:bCs/>
          <w:sz w:val="21"/>
        </w:rPr>
        <w:t>When structural separation is absent in multisided platforms there:</w:t>
      </w:r>
    </w:p>
    <w:p w14:paraId="39D85A33" w14:textId="77777777" w:rsidR="00657DF0" w:rsidRPr="001C2A21" w:rsidRDefault="00657DF0" w:rsidP="00657DF0">
      <w:pPr>
        <w:pStyle w:val="ListParagraph"/>
        <w:numPr>
          <w:ilvl w:val="0"/>
          <w:numId w:val="4"/>
        </w:numPr>
        <w:spacing w:after="101" w:line="269" w:lineRule="auto"/>
        <w:jc w:val="both"/>
        <w:rPr>
          <w:rFonts w:cs="Calibri"/>
          <w:bCs/>
          <w:sz w:val="21"/>
        </w:rPr>
      </w:pPr>
      <w:r w:rsidRPr="001C2A21">
        <w:rPr>
          <w:rFonts w:cs="Calibri"/>
          <w:bCs/>
          <w:sz w:val="21"/>
        </w:rPr>
        <w:lastRenderedPageBreak/>
        <w:t>Are mixed signals and inadequate information for rational choices by end users whether they are merchants or card holders.</w:t>
      </w:r>
    </w:p>
    <w:p w14:paraId="3C092EF1" w14:textId="77777777" w:rsidR="00657DF0" w:rsidRPr="001C2A21" w:rsidRDefault="00657DF0" w:rsidP="00657DF0">
      <w:pPr>
        <w:pStyle w:val="ListParagraph"/>
        <w:numPr>
          <w:ilvl w:val="0"/>
          <w:numId w:val="4"/>
        </w:numPr>
        <w:spacing w:after="101" w:line="269" w:lineRule="auto"/>
        <w:jc w:val="both"/>
        <w:rPr>
          <w:rFonts w:cs="Calibri"/>
          <w:bCs/>
          <w:sz w:val="21"/>
        </w:rPr>
      </w:pPr>
      <w:r w:rsidRPr="001C2A21">
        <w:rPr>
          <w:rFonts w:cs="Calibri"/>
          <w:bCs/>
          <w:sz w:val="21"/>
        </w:rPr>
        <w:t>Inadequate information is often in the form of confusing data as occurs in payments and in most cases is not publicly available</w:t>
      </w:r>
      <w:r>
        <w:rPr>
          <w:rFonts w:cs="Calibri"/>
          <w:bCs/>
          <w:sz w:val="21"/>
        </w:rPr>
        <w:t>,</w:t>
      </w:r>
      <w:r w:rsidRPr="001C2A21">
        <w:rPr>
          <w:rFonts w:cs="Calibri"/>
          <w:bCs/>
          <w:sz w:val="21"/>
        </w:rPr>
        <w:t xml:space="preserve"> so end users </w:t>
      </w:r>
      <w:r>
        <w:rPr>
          <w:rFonts w:cs="Calibri"/>
          <w:bCs/>
          <w:sz w:val="21"/>
        </w:rPr>
        <w:t>are unable to</w:t>
      </w:r>
      <w:r w:rsidRPr="001C2A21">
        <w:rPr>
          <w:rFonts w:cs="Calibri"/>
          <w:bCs/>
          <w:sz w:val="21"/>
        </w:rPr>
        <w:t xml:space="preserve"> make informed purchasing decisions.</w:t>
      </w:r>
    </w:p>
    <w:p w14:paraId="475ABA47" w14:textId="77777777" w:rsidR="00657DF0" w:rsidRPr="001C2A21" w:rsidRDefault="00657DF0" w:rsidP="00657DF0">
      <w:pPr>
        <w:pStyle w:val="ListParagraph"/>
        <w:numPr>
          <w:ilvl w:val="0"/>
          <w:numId w:val="4"/>
        </w:numPr>
        <w:spacing w:after="101" w:line="269" w:lineRule="auto"/>
        <w:jc w:val="both"/>
        <w:rPr>
          <w:rFonts w:cs="Calibri"/>
          <w:bCs/>
          <w:sz w:val="21"/>
        </w:rPr>
      </w:pPr>
      <w:r w:rsidRPr="001C2A21">
        <w:rPr>
          <w:rFonts w:cs="Calibri"/>
          <w:bCs/>
          <w:sz w:val="21"/>
        </w:rPr>
        <w:t>Actors undertaking multiple roles in the system can optimise their revenues and minimise their costs at will.</w:t>
      </w:r>
    </w:p>
    <w:p w14:paraId="7EA910C1" w14:textId="77777777" w:rsidR="00657DF0" w:rsidRDefault="00657DF0" w:rsidP="00657DF0">
      <w:pPr>
        <w:pStyle w:val="ListParagraph"/>
        <w:numPr>
          <w:ilvl w:val="0"/>
          <w:numId w:val="4"/>
        </w:numPr>
        <w:spacing w:after="101" w:line="269" w:lineRule="auto"/>
        <w:jc w:val="both"/>
        <w:rPr>
          <w:rFonts w:cs="Calibri"/>
          <w:bCs/>
          <w:sz w:val="21"/>
        </w:rPr>
      </w:pPr>
      <w:r w:rsidRPr="001C2A21">
        <w:rPr>
          <w:rFonts w:cs="Calibri"/>
          <w:bCs/>
          <w:sz w:val="21"/>
        </w:rPr>
        <w:t xml:space="preserve">There are flawed signals sent to regulators </w:t>
      </w:r>
      <w:r>
        <w:rPr>
          <w:rFonts w:cs="Calibri"/>
          <w:bCs/>
          <w:sz w:val="21"/>
        </w:rPr>
        <w:t xml:space="preserve">impeding the ability </w:t>
      </w:r>
      <w:r w:rsidRPr="001C2A21">
        <w:rPr>
          <w:rFonts w:cs="Calibri"/>
          <w:bCs/>
          <w:sz w:val="21"/>
        </w:rPr>
        <w:t>to determine when and what intervention is required to ensure an efficient market is operating.</w:t>
      </w:r>
    </w:p>
    <w:p w14:paraId="36F4A996" w14:textId="77777777" w:rsidR="00657DF0" w:rsidRPr="00665416" w:rsidRDefault="00657DF0" w:rsidP="00657DF0">
      <w:pPr>
        <w:pStyle w:val="ListParagraph"/>
        <w:numPr>
          <w:ilvl w:val="0"/>
          <w:numId w:val="4"/>
        </w:numPr>
        <w:spacing w:after="101" w:line="269" w:lineRule="auto"/>
        <w:jc w:val="both"/>
        <w:rPr>
          <w:rFonts w:cs="Calibri"/>
          <w:bCs/>
          <w:sz w:val="21"/>
        </w:rPr>
      </w:pPr>
      <w:r w:rsidRPr="00665416">
        <w:rPr>
          <w:rFonts w:cs="Calibri"/>
          <w:bCs/>
          <w:sz w:val="21"/>
        </w:rPr>
        <w:t xml:space="preserve">New entrants and technology change is restricted if it threatens the interests of some </w:t>
      </w:r>
      <w:r>
        <w:rPr>
          <w:rFonts w:cs="Calibri"/>
          <w:bCs/>
          <w:sz w:val="21"/>
        </w:rPr>
        <w:t xml:space="preserve">established </w:t>
      </w:r>
      <w:r w:rsidRPr="00665416">
        <w:rPr>
          <w:rFonts w:cs="Calibri"/>
          <w:bCs/>
          <w:sz w:val="21"/>
        </w:rPr>
        <w:t>parties.  (e.g. the entrance of specialist card acquirers was vigorously resisted for many years until the regulator finally intervened</w:t>
      </w:r>
      <w:r>
        <w:rPr>
          <w:rFonts w:cs="Calibri"/>
          <w:bCs/>
          <w:sz w:val="21"/>
        </w:rPr>
        <w:t>)</w:t>
      </w:r>
      <w:r w:rsidRPr="00665416">
        <w:rPr>
          <w:rFonts w:cs="Calibri"/>
          <w:bCs/>
          <w:sz w:val="21"/>
        </w:rPr>
        <w:t xml:space="preserve">.  More recently the drive by technology companies to require payment for access to the NFC chips on phones was resisted because it restructured the power balance in payments.  This was resolved </w:t>
      </w:r>
      <w:r>
        <w:rPr>
          <w:rFonts w:cs="Calibri"/>
          <w:bCs/>
          <w:sz w:val="21"/>
        </w:rPr>
        <w:t xml:space="preserve">as the RBA notes in its paper </w:t>
      </w:r>
      <w:r w:rsidRPr="00665416">
        <w:rPr>
          <w:rFonts w:cs="Calibri"/>
          <w:bCs/>
          <w:sz w:val="21"/>
        </w:rPr>
        <w:t>when Card Issuers recover</w:t>
      </w:r>
      <w:r>
        <w:rPr>
          <w:rFonts w:cs="Calibri"/>
          <w:bCs/>
          <w:sz w:val="21"/>
        </w:rPr>
        <w:t>ed</w:t>
      </w:r>
      <w:r w:rsidRPr="00665416">
        <w:rPr>
          <w:rFonts w:cs="Calibri"/>
          <w:bCs/>
          <w:sz w:val="21"/>
        </w:rPr>
        <w:t xml:space="preserve"> these fees </w:t>
      </w:r>
      <w:r>
        <w:rPr>
          <w:rFonts w:cs="Calibri"/>
          <w:bCs/>
          <w:sz w:val="21"/>
        </w:rPr>
        <w:t>by imposing</w:t>
      </w:r>
      <w:r w:rsidRPr="00665416">
        <w:rPr>
          <w:rFonts w:cs="Calibri"/>
          <w:bCs/>
          <w:sz w:val="21"/>
        </w:rPr>
        <w:t xml:space="preserve"> higher interchange fees for in person wallet transactions than in person card transactions.</w:t>
      </w:r>
    </w:p>
    <w:p w14:paraId="631AA181" w14:textId="77777777" w:rsidR="00657DF0" w:rsidRDefault="00657DF0" w:rsidP="00657DF0">
      <w:pPr>
        <w:spacing w:after="101" w:line="269" w:lineRule="auto"/>
        <w:jc w:val="both"/>
        <w:rPr>
          <w:rFonts w:cs="Calibri"/>
          <w:bCs/>
          <w:sz w:val="21"/>
        </w:rPr>
      </w:pPr>
      <w:r>
        <w:rPr>
          <w:rFonts w:cs="Calibri"/>
          <w:bCs/>
          <w:sz w:val="21"/>
        </w:rPr>
        <w:t>The impacts of the merging of issuing and acquiring is further exacerbated by two significant behavioural factors:</w:t>
      </w:r>
    </w:p>
    <w:p w14:paraId="0FB2ACAE" w14:textId="77777777" w:rsidR="00657DF0" w:rsidRPr="00665416" w:rsidRDefault="00657DF0" w:rsidP="00657DF0">
      <w:pPr>
        <w:pStyle w:val="ListParagraph"/>
        <w:numPr>
          <w:ilvl w:val="0"/>
          <w:numId w:val="5"/>
        </w:numPr>
        <w:spacing w:after="101" w:line="269" w:lineRule="auto"/>
        <w:jc w:val="both"/>
        <w:rPr>
          <w:rFonts w:cs="Calibri"/>
          <w:bCs/>
          <w:sz w:val="21"/>
        </w:rPr>
      </w:pPr>
      <w:r w:rsidRPr="00665416">
        <w:rPr>
          <w:rFonts w:cs="Calibri"/>
          <w:bCs/>
          <w:sz w:val="21"/>
        </w:rPr>
        <w:t>The Scheme’s role in the system and the Rules they impose on their member</w:t>
      </w:r>
      <w:r>
        <w:rPr>
          <w:rFonts w:cs="Calibri"/>
          <w:bCs/>
          <w:sz w:val="21"/>
        </w:rPr>
        <w:t>s.</w:t>
      </w:r>
      <w:r w:rsidRPr="00665416">
        <w:rPr>
          <w:rFonts w:cs="Calibri"/>
          <w:bCs/>
          <w:sz w:val="21"/>
        </w:rPr>
        <w:t xml:space="preserve"> </w:t>
      </w:r>
    </w:p>
    <w:p w14:paraId="54974861" w14:textId="77777777" w:rsidR="00657DF0" w:rsidRDefault="00657DF0" w:rsidP="00657DF0">
      <w:pPr>
        <w:pStyle w:val="ListParagraph"/>
        <w:numPr>
          <w:ilvl w:val="0"/>
          <w:numId w:val="5"/>
        </w:numPr>
        <w:spacing w:after="101" w:line="269" w:lineRule="auto"/>
        <w:jc w:val="both"/>
        <w:rPr>
          <w:rFonts w:cs="Calibri"/>
          <w:bCs/>
          <w:sz w:val="21"/>
        </w:rPr>
      </w:pPr>
      <w:r w:rsidRPr="00665416">
        <w:rPr>
          <w:rFonts w:cs="Calibri"/>
          <w:bCs/>
          <w:sz w:val="21"/>
        </w:rPr>
        <w:t>Executives</w:t>
      </w:r>
      <w:r>
        <w:rPr>
          <w:rFonts w:cs="Calibri"/>
          <w:bCs/>
          <w:sz w:val="21"/>
        </w:rPr>
        <w:t>’</w:t>
      </w:r>
      <w:r w:rsidRPr="00665416">
        <w:rPr>
          <w:rFonts w:cs="Calibri"/>
          <w:bCs/>
          <w:sz w:val="21"/>
        </w:rPr>
        <w:t xml:space="preserve"> </w:t>
      </w:r>
      <w:r>
        <w:rPr>
          <w:rFonts w:cs="Calibri"/>
          <w:bCs/>
          <w:sz w:val="21"/>
        </w:rPr>
        <w:t xml:space="preserve">tenure </w:t>
      </w:r>
      <w:r w:rsidRPr="00665416">
        <w:rPr>
          <w:rFonts w:cs="Calibri"/>
          <w:bCs/>
          <w:sz w:val="21"/>
        </w:rPr>
        <w:t>in payments</w:t>
      </w:r>
      <w:r>
        <w:rPr>
          <w:rFonts w:cs="Calibri"/>
          <w:bCs/>
          <w:sz w:val="21"/>
        </w:rPr>
        <w:t xml:space="preserve"> companies</w:t>
      </w:r>
      <w:r w:rsidRPr="00665416">
        <w:rPr>
          <w:rFonts w:cs="Calibri"/>
          <w:bCs/>
          <w:sz w:val="21"/>
        </w:rPr>
        <w:t xml:space="preserve"> flow between Schemes and Card Issuers.  This incestuous “relationship” pattern entrenches thinking and limits innovation.  Particularly when most of the effort in both Schemes and Issuers </w:t>
      </w:r>
      <w:r>
        <w:rPr>
          <w:rFonts w:cs="Calibri"/>
          <w:bCs/>
          <w:sz w:val="21"/>
        </w:rPr>
        <w:t xml:space="preserve">in Australia </w:t>
      </w:r>
      <w:r w:rsidRPr="00665416">
        <w:rPr>
          <w:rFonts w:cs="Calibri"/>
          <w:bCs/>
          <w:sz w:val="21"/>
        </w:rPr>
        <w:t xml:space="preserve">is </w:t>
      </w:r>
      <w:r>
        <w:rPr>
          <w:rFonts w:cs="Calibri"/>
          <w:bCs/>
          <w:sz w:val="21"/>
        </w:rPr>
        <w:t>about brands, card product business development</w:t>
      </w:r>
      <w:r w:rsidRPr="00665416">
        <w:rPr>
          <w:rFonts w:cs="Calibri"/>
          <w:bCs/>
          <w:sz w:val="21"/>
        </w:rPr>
        <w:t xml:space="preserve"> and marketing</w:t>
      </w:r>
      <w:r>
        <w:rPr>
          <w:rFonts w:cs="Calibri"/>
          <w:bCs/>
          <w:sz w:val="21"/>
        </w:rPr>
        <w:t xml:space="preserve"> of the brand whether it is the card issuer or the scheme.  The tendency is to generate group think and conformity in approaching the market.</w:t>
      </w:r>
    </w:p>
    <w:p w14:paraId="4AC0A1C8" w14:textId="77777777" w:rsidR="00657DF0" w:rsidRPr="00446022" w:rsidRDefault="00657DF0" w:rsidP="00657DF0">
      <w:pPr>
        <w:spacing w:after="101" w:line="269" w:lineRule="auto"/>
        <w:ind w:left="360"/>
        <w:jc w:val="both"/>
        <w:rPr>
          <w:rFonts w:cs="Calibri"/>
          <w:bCs/>
          <w:sz w:val="21"/>
        </w:rPr>
      </w:pPr>
      <w:r>
        <w:rPr>
          <w:rFonts w:cs="Calibri"/>
          <w:bCs/>
          <w:sz w:val="21"/>
        </w:rPr>
        <w:t>The combined structural flaws and the behavioural factors necessitate a different approach to determining fees than has existed to date.</w:t>
      </w:r>
    </w:p>
    <w:p w14:paraId="5B0B48C0" w14:textId="77777777" w:rsidR="00657DF0" w:rsidRPr="003B7678" w:rsidRDefault="00657DF0" w:rsidP="00657DF0">
      <w:pPr>
        <w:spacing w:after="101" w:line="269" w:lineRule="auto"/>
        <w:jc w:val="both"/>
        <w:rPr>
          <w:rFonts w:cs="Calibri"/>
          <w:bCs/>
          <w:i/>
          <w:iCs/>
          <w:sz w:val="21"/>
        </w:rPr>
      </w:pPr>
      <w:r w:rsidRPr="00665416">
        <w:rPr>
          <w:rFonts w:cs="Calibri"/>
          <w:bCs/>
          <w:i/>
          <w:iCs/>
          <w:sz w:val="21"/>
        </w:rPr>
        <w:t>What can be done to deliver real reform that lowers costs to end users?</w:t>
      </w:r>
    </w:p>
    <w:p w14:paraId="5AF2D872" w14:textId="77777777" w:rsidR="00657DF0" w:rsidRDefault="00657DF0" w:rsidP="00657DF0">
      <w:pPr>
        <w:spacing w:after="101" w:line="269" w:lineRule="auto"/>
        <w:jc w:val="both"/>
        <w:rPr>
          <w:rFonts w:cs="Calibri"/>
          <w:bCs/>
          <w:sz w:val="21"/>
        </w:rPr>
      </w:pPr>
      <w:r w:rsidRPr="00EF66D1">
        <w:rPr>
          <w:rFonts w:cs="Calibri"/>
          <w:bCs/>
          <w:i/>
          <w:iCs/>
          <w:sz w:val="21"/>
        </w:rPr>
        <w:t>Interchange fees should be driven to Zero</w:t>
      </w:r>
      <w:r>
        <w:rPr>
          <w:rFonts w:cs="Calibri"/>
          <w:bCs/>
          <w:sz w:val="21"/>
        </w:rPr>
        <w:t>.  Currently these are blended (smeared) across all card holders and debit payments, yet the benefits are delivered to some card holders.  This may require Banks (Card Issuers) to raise fees to customers holding cards with benefits or offer them no frills cards.  Either way, costs of the phony branding behaviour would be exposed enabling card holders to decide if they wish to pay for the illusory benefits.</w:t>
      </w:r>
    </w:p>
    <w:p w14:paraId="3166806E" w14:textId="77777777" w:rsidR="00657DF0" w:rsidRDefault="00657DF0" w:rsidP="00657DF0">
      <w:pPr>
        <w:spacing w:after="101" w:line="269" w:lineRule="auto"/>
        <w:jc w:val="both"/>
        <w:rPr>
          <w:rFonts w:cs="Calibri"/>
          <w:bCs/>
          <w:sz w:val="21"/>
        </w:rPr>
      </w:pPr>
      <w:r w:rsidRPr="00EF66D1">
        <w:rPr>
          <w:rFonts w:cs="Calibri"/>
          <w:bCs/>
          <w:i/>
          <w:iCs/>
          <w:sz w:val="21"/>
        </w:rPr>
        <w:t>Benchmarking activities should only involve acquirers who are not card issuers</w:t>
      </w:r>
      <w:r>
        <w:rPr>
          <w:rFonts w:cs="Calibri"/>
          <w:bCs/>
          <w:sz w:val="21"/>
        </w:rPr>
        <w:t>.  This will deliver a more accurate cost of acquisition, eliminating the mixed incentives elements when those acquirers and card issuers are the same entity. That benchmark should be the basis for Merchant Service Fees applied across all participants.</w:t>
      </w:r>
    </w:p>
    <w:p w14:paraId="4459CED5" w14:textId="77777777" w:rsidR="00657DF0" w:rsidRPr="00EF66D1" w:rsidRDefault="00657DF0" w:rsidP="00657DF0">
      <w:pPr>
        <w:spacing w:after="101" w:line="269" w:lineRule="auto"/>
        <w:jc w:val="both"/>
        <w:rPr>
          <w:rFonts w:cs="Calibri"/>
          <w:bCs/>
          <w:i/>
          <w:iCs/>
          <w:sz w:val="21"/>
        </w:rPr>
      </w:pPr>
      <w:r w:rsidRPr="00EF66D1">
        <w:rPr>
          <w:rFonts w:cs="Calibri"/>
          <w:bCs/>
          <w:i/>
          <w:iCs/>
          <w:sz w:val="21"/>
        </w:rPr>
        <w:t xml:space="preserve">Scheme fees, which are a $1.8b impost on Merchants and Card Holders, clearly need tighter regulation to assess what is being delivered </w:t>
      </w:r>
      <w:r>
        <w:rPr>
          <w:rFonts w:cs="Calibri"/>
          <w:bCs/>
          <w:i/>
          <w:iCs/>
          <w:sz w:val="21"/>
        </w:rPr>
        <w:t>at</w:t>
      </w:r>
      <w:r w:rsidRPr="00EF66D1">
        <w:rPr>
          <w:rFonts w:cs="Calibri"/>
          <w:bCs/>
          <w:i/>
          <w:iCs/>
          <w:sz w:val="21"/>
        </w:rPr>
        <w:t xml:space="preserve"> the least cost</w:t>
      </w:r>
      <w:r>
        <w:rPr>
          <w:rFonts w:cs="Calibri"/>
          <w:bCs/>
          <w:i/>
          <w:iCs/>
          <w:sz w:val="21"/>
        </w:rPr>
        <w:t>,</w:t>
      </w:r>
      <w:r w:rsidRPr="00EF66D1">
        <w:rPr>
          <w:rFonts w:cs="Calibri"/>
          <w:bCs/>
          <w:i/>
          <w:iCs/>
          <w:sz w:val="21"/>
        </w:rPr>
        <w:t xml:space="preserve"> highest quality mechanism.</w:t>
      </w:r>
    </w:p>
    <w:tbl>
      <w:tblPr>
        <w:tblStyle w:val="TableGrid"/>
        <w:tblW w:w="0" w:type="auto"/>
        <w:tblLook w:val="04A0" w:firstRow="1" w:lastRow="0" w:firstColumn="1" w:lastColumn="0" w:noHBand="0" w:noVBand="1"/>
      </w:tblPr>
      <w:tblGrid>
        <w:gridCol w:w="4840"/>
        <w:gridCol w:w="4170"/>
      </w:tblGrid>
      <w:tr w:rsidR="00657DF0" w:rsidRPr="00AA7DDB" w14:paraId="7C346DBE" w14:textId="77777777" w:rsidTr="00E5308A">
        <w:tc>
          <w:tcPr>
            <w:tcW w:w="4840" w:type="dxa"/>
          </w:tcPr>
          <w:p w14:paraId="4460972C" w14:textId="77777777" w:rsidR="00657DF0" w:rsidRPr="00AA7DDB" w:rsidRDefault="00657DF0" w:rsidP="00E5308A">
            <w:pPr>
              <w:spacing w:after="102" w:line="268" w:lineRule="auto"/>
              <w:rPr>
                <w:rFonts w:cs="Calibri"/>
                <w:b/>
                <w:sz w:val="21"/>
              </w:rPr>
            </w:pPr>
            <w:r>
              <w:rPr>
                <w:rFonts w:cs="Calibri"/>
                <w:b/>
                <w:sz w:val="21"/>
              </w:rPr>
              <w:t>What the Schemes claims they Deliver for $1.8B</w:t>
            </w:r>
          </w:p>
        </w:tc>
        <w:tc>
          <w:tcPr>
            <w:tcW w:w="4170" w:type="dxa"/>
          </w:tcPr>
          <w:p w14:paraId="48944C00" w14:textId="77777777" w:rsidR="00657DF0" w:rsidRPr="00AA7DDB" w:rsidRDefault="00657DF0" w:rsidP="00E5308A">
            <w:pPr>
              <w:spacing w:after="102" w:line="268" w:lineRule="auto"/>
              <w:rPr>
                <w:rFonts w:cs="Calibri"/>
                <w:b/>
                <w:sz w:val="21"/>
              </w:rPr>
            </w:pPr>
            <w:r>
              <w:rPr>
                <w:rFonts w:cs="Calibri"/>
                <w:b/>
                <w:sz w:val="21"/>
              </w:rPr>
              <w:t>NBG Comment</w:t>
            </w:r>
          </w:p>
        </w:tc>
      </w:tr>
      <w:tr w:rsidR="00657DF0" w:rsidRPr="00AA7DDB" w14:paraId="0F46AAE8" w14:textId="77777777" w:rsidTr="00E5308A">
        <w:tc>
          <w:tcPr>
            <w:tcW w:w="4840" w:type="dxa"/>
          </w:tcPr>
          <w:p w14:paraId="026318C0" w14:textId="77777777" w:rsidR="00657DF0" w:rsidRPr="00AA7DDB" w:rsidRDefault="00657DF0" w:rsidP="00E5308A">
            <w:pPr>
              <w:spacing w:after="102" w:line="268" w:lineRule="auto"/>
            </w:pPr>
            <w:r w:rsidRPr="00AA7DDB">
              <w:rPr>
                <w:rFonts w:cs="Calibri"/>
                <w:b/>
                <w:sz w:val="21"/>
              </w:rPr>
              <w:t>Assessment fees</w:t>
            </w:r>
            <w:r w:rsidRPr="00AA7DDB">
              <w:rPr>
                <w:rFonts w:cs="Calibri"/>
                <w:sz w:val="21"/>
              </w:rPr>
              <w:t xml:space="preserve"> – used to cover the costs of operating and maintaining the card network’s infrastructure. </w:t>
            </w:r>
          </w:p>
        </w:tc>
        <w:tc>
          <w:tcPr>
            <w:tcW w:w="4170" w:type="dxa"/>
          </w:tcPr>
          <w:p w14:paraId="2EB9217E" w14:textId="7219E7BE" w:rsidR="00657DF0" w:rsidRPr="00AA7DDB" w:rsidRDefault="00657DF0" w:rsidP="00E5308A">
            <w:pPr>
              <w:spacing w:after="102" w:line="268" w:lineRule="auto"/>
              <w:rPr>
                <w:rFonts w:cs="Calibri"/>
                <w:bCs/>
                <w:sz w:val="21"/>
              </w:rPr>
            </w:pPr>
            <w:r>
              <w:rPr>
                <w:rFonts w:cs="Calibri"/>
                <w:bCs/>
                <w:sz w:val="21"/>
              </w:rPr>
              <w:t xml:space="preserve">Information Technology Infrastructure costs have been declining rapidly internationally for years but there is no way of knowing if any of these </w:t>
            </w:r>
            <w:r w:rsidR="00074ED5">
              <w:rPr>
                <w:rFonts w:cs="Calibri"/>
                <w:bCs/>
                <w:sz w:val="21"/>
              </w:rPr>
              <w:t>cost</w:t>
            </w:r>
            <w:r w:rsidR="00074ED5">
              <w:rPr>
                <w:rFonts w:cs="Calibri"/>
                <w:bCs/>
                <w:sz w:val="21"/>
              </w:rPr>
              <w:t xml:space="preserve"> </w:t>
            </w:r>
            <w:r>
              <w:rPr>
                <w:rFonts w:cs="Calibri"/>
                <w:bCs/>
                <w:sz w:val="21"/>
              </w:rPr>
              <w:t xml:space="preserve">reductions have transferred to merchants and cardholders. </w:t>
            </w:r>
          </w:p>
        </w:tc>
      </w:tr>
      <w:tr w:rsidR="00657DF0" w:rsidRPr="00AA7DDB" w14:paraId="4B1425FE" w14:textId="77777777" w:rsidTr="00E5308A">
        <w:tc>
          <w:tcPr>
            <w:tcW w:w="4840" w:type="dxa"/>
          </w:tcPr>
          <w:p w14:paraId="25173F61" w14:textId="77777777" w:rsidR="00657DF0" w:rsidRPr="00AA7DDB" w:rsidRDefault="00657DF0" w:rsidP="00E5308A">
            <w:pPr>
              <w:spacing w:after="102" w:line="268" w:lineRule="auto"/>
            </w:pPr>
            <w:r w:rsidRPr="00AA7DDB">
              <w:rPr>
                <w:rFonts w:cs="Calibri"/>
                <w:b/>
                <w:sz w:val="21"/>
              </w:rPr>
              <w:lastRenderedPageBreak/>
              <w:t>Processing fees</w:t>
            </w:r>
            <w:r w:rsidRPr="00AA7DDB">
              <w:rPr>
                <w:rFonts w:cs="Calibri"/>
                <w:sz w:val="21"/>
              </w:rPr>
              <w:t xml:space="preserve"> – charged for processing and authorising transactions. </w:t>
            </w:r>
          </w:p>
        </w:tc>
        <w:tc>
          <w:tcPr>
            <w:tcW w:w="4170" w:type="dxa"/>
          </w:tcPr>
          <w:p w14:paraId="07E72F74" w14:textId="77777777" w:rsidR="00657DF0" w:rsidRPr="00AA7DDB" w:rsidRDefault="00657DF0" w:rsidP="00E5308A">
            <w:pPr>
              <w:spacing w:after="102" w:line="268" w:lineRule="auto"/>
              <w:rPr>
                <w:rFonts w:cs="Calibri"/>
                <w:b/>
                <w:sz w:val="21"/>
              </w:rPr>
            </w:pPr>
            <w:r>
              <w:rPr>
                <w:rFonts w:cs="Calibri"/>
                <w:bCs/>
                <w:sz w:val="21"/>
              </w:rPr>
              <w:t>Same comment as in Assessment fees</w:t>
            </w:r>
          </w:p>
        </w:tc>
      </w:tr>
      <w:tr w:rsidR="00657DF0" w:rsidRPr="00AA7DDB" w14:paraId="7C187F96" w14:textId="77777777" w:rsidTr="00E5308A">
        <w:tc>
          <w:tcPr>
            <w:tcW w:w="4840" w:type="dxa"/>
          </w:tcPr>
          <w:p w14:paraId="5F026B98" w14:textId="77777777" w:rsidR="00657DF0" w:rsidRPr="00AA7DDB" w:rsidRDefault="00657DF0" w:rsidP="00E5308A">
            <w:pPr>
              <w:spacing w:after="102" w:line="268" w:lineRule="auto"/>
            </w:pPr>
            <w:r w:rsidRPr="00AA7DDB">
              <w:rPr>
                <w:rFonts w:cs="Calibri"/>
                <w:b/>
                <w:sz w:val="21"/>
              </w:rPr>
              <w:t>Licensing and access fees</w:t>
            </w:r>
            <w:r w:rsidRPr="00AA7DDB">
              <w:rPr>
                <w:rFonts w:cs="Calibri"/>
                <w:sz w:val="21"/>
              </w:rPr>
              <w:t xml:space="preserve"> – charged for use of the network and its brand. </w:t>
            </w:r>
          </w:p>
        </w:tc>
        <w:tc>
          <w:tcPr>
            <w:tcW w:w="4170" w:type="dxa"/>
          </w:tcPr>
          <w:p w14:paraId="7AE69CC1" w14:textId="77777777" w:rsidR="00657DF0" w:rsidRPr="00AA7DDB" w:rsidRDefault="00657DF0" w:rsidP="00E5308A">
            <w:pPr>
              <w:spacing w:after="102" w:line="268" w:lineRule="auto"/>
              <w:rPr>
                <w:rFonts w:cs="Calibri"/>
                <w:bCs/>
                <w:sz w:val="21"/>
              </w:rPr>
            </w:pPr>
            <w:r w:rsidRPr="00AA7DDB">
              <w:rPr>
                <w:rFonts w:cs="Calibri"/>
                <w:bCs/>
                <w:sz w:val="21"/>
              </w:rPr>
              <w:t>This is the softest and least justifiable cost.  The Brand is ubiquitous, and this cost should be minimal in a highly mature market such as Australia</w:t>
            </w:r>
            <w:r>
              <w:rPr>
                <w:rFonts w:cs="Calibri"/>
                <w:bCs/>
                <w:sz w:val="21"/>
              </w:rPr>
              <w:t xml:space="preserve">. </w:t>
            </w:r>
          </w:p>
        </w:tc>
      </w:tr>
      <w:tr w:rsidR="00657DF0" w:rsidRPr="00AA7DDB" w14:paraId="1E256AC1" w14:textId="77777777" w:rsidTr="00E5308A">
        <w:tc>
          <w:tcPr>
            <w:tcW w:w="4840" w:type="dxa"/>
          </w:tcPr>
          <w:p w14:paraId="52E397D9" w14:textId="77777777" w:rsidR="00657DF0" w:rsidRPr="00AA7DDB" w:rsidRDefault="00657DF0" w:rsidP="00E5308A">
            <w:pPr>
              <w:spacing w:after="214" w:line="268" w:lineRule="auto"/>
            </w:pPr>
            <w:r w:rsidRPr="00AA7DDB">
              <w:rPr>
                <w:rFonts w:cs="Calibri"/>
                <w:b/>
                <w:sz w:val="21"/>
              </w:rPr>
              <w:t>Other fees</w:t>
            </w:r>
            <w:r w:rsidRPr="00AA7DDB">
              <w:rPr>
                <w:rFonts w:cs="Calibri"/>
                <w:sz w:val="21"/>
              </w:rPr>
              <w:t xml:space="preserve"> – charged for discrete services such as chargebacks, security features, new technologies, compliance and currency conversion. </w:t>
            </w:r>
          </w:p>
        </w:tc>
        <w:tc>
          <w:tcPr>
            <w:tcW w:w="4170" w:type="dxa"/>
          </w:tcPr>
          <w:p w14:paraId="00455181" w14:textId="77777777" w:rsidR="00657DF0" w:rsidRDefault="00657DF0" w:rsidP="00E5308A">
            <w:pPr>
              <w:spacing w:after="214" w:line="268" w:lineRule="auto"/>
              <w:rPr>
                <w:rFonts w:cs="Calibri"/>
                <w:bCs/>
                <w:sz w:val="21"/>
              </w:rPr>
            </w:pPr>
            <w:r w:rsidRPr="00EF66D1">
              <w:rPr>
                <w:rFonts w:cs="Calibri"/>
                <w:bCs/>
                <w:sz w:val="21"/>
              </w:rPr>
              <w:t xml:space="preserve">Schemes maintain they have been at the forefront of technology innovation.  </w:t>
            </w:r>
            <w:r>
              <w:rPr>
                <w:rFonts w:cs="Calibri"/>
                <w:bCs/>
                <w:sz w:val="21"/>
              </w:rPr>
              <w:t>The innovators in payments globally have proven to be</w:t>
            </w:r>
            <w:r w:rsidRPr="00EF66D1">
              <w:rPr>
                <w:rFonts w:cs="Calibri"/>
                <w:bCs/>
                <w:sz w:val="21"/>
              </w:rPr>
              <w:t xml:space="preserve"> technology businesses such as Apple and Google (e.g. the introduction of NFC chips into phones drove open loop transit system payments NOT the Schemes)</w:t>
            </w:r>
            <w:r>
              <w:rPr>
                <w:rFonts w:cs="Calibri"/>
                <w:bCs/>
                <w:sz w:val="21"/>
              </w:rPr>
              <w:t xml:space="preserve"> or new entrants such as Square and Stripe</w:t>
            </w:r>
            <w:r w:rsidRPr="00EF66D1">
              <w:rPr>
                <w:rFonts w:cs="Calibri"/>
                <w:bCs/>
                <w:sz w:val="21"/>
              </w:rPr>
              <w:t>.</w:t>
            </w:r>
            <w:r>
              <w:rPr>
                <w:rFonts w:cs="Calibri"/>
                <w:bCs/>
                <w:sz w:val="21"/>
              </w:rPr>
              <w:t xml:space="preserve">  </w:t>
            </w:r>
          </w:p>
          <w:p w14:paraId="7E546407" w14:textId="77777777" w:rsidR="00657DF0" w:rsidRDefault="00657DF0" w:rsidP="00E5308A">
            <w:pPr>
              <w:spacing w:after="214" w:line="268" w:lineRule="auto"/>
              <w:rPr>
                <w:rFonts w:cs="Calibri"/>
                <w:bCs/>
                <w:sz w:val="21"/>
              </w:rPr>
            </w:pPr>
            <w:r>
              <w:rPr>
                <w:rFonts w:cs="Calibri"/>
                <w:bCs/>
                <w:sz w:val="21"/>
              </w:rPr>
              <w:t>Chargeback costs are borne by Merchants.</w:t>
            </w:r>
          </w:p>
          <w:p w14:paraId="068E5A28" w14:textId="77777777" w:rsidR="00657DF0" w:rsidRPr="00EF66D1" w:rsidRDefault="00657DF0" w:rsidP="00E5308A">
            <w:pPr>
              <w:spacing w:after="214" w:line="268" w:lineRule="auto"/>
              <w:rPr>
                <w:rFonts w:cs="Calibri"/>
                <w:bCs/>
                <w:sz w:val="21"/>
              </w:rPr>
            </w:pPr>
            <w:r>
              <w:rPr>
                <w:rFonts w:cs="Calibri"/>
                <w:bCs/>
                <w:sz w:val="21"/>
              </w:rPr>
              <w:t>Security, KYC and AML features are commodities delivered by third parties not by schemes.</w:t>
            </w:r>
          </w:p>
        </w:tc>
      </w:tr>
    </w:tbl>
    <w:p w14:paraId="1C7D26C3" w14:textId="77777777" w:rsidR="00657DF0" w:rsidRPr="00D00F78" w:rsidRDefault="00657DF0" w:rsidP="005527D8">
      <w:pPr>
        <w:spacing w:after="240" w:line="240" w:lineRule="auto"/>
        <w:jc w:val="both"/>
        <w:rPr>
          <w:bCs/>
        </w:rPr>
      </w:pPr>
    </w:p>
    <w:p w14:paraId="0844C69C" w14:textId="77777777" w:rsidR="00657DF0" w:rsidRPr="000B24BD" w:rsidRDefault="00657DF0" w:rsidP="00657DF0">
      <w:pPr>
        <w:numPr>
          <w:ilvl w:val="0"/>
          <w:numId w:val="1"/>
        </w:numPr>
        <w:spacing w:after="101" w:line="269" w:lineRule="auto"/>
        <w:ind w:hanging="406"/>
        <w:jc w:val="both"/>
        <w:rPr>
          <w:rFonts w:cs="Calibri"/>
          <w:b/>
          <w:sz w:val="21"/>
        </w:rPr>
      </w:pPr>
      <w:r w:rsidRPr="000B24BD">
        <w:rPr>
          <w:rFonts w:cs="Calibri"/>
          <w:b/>
          <w:sz w:val="21"/>
        </w:rPr>
        <w:t xml:space="preserve">Is there a case for revising the RBA’s surcharging framework? If so, which options or combination of options would best address the current concerns around surcharging? What other options should the RBA consider? </w:t>
      </w:r>
    </w:p>
    <w:p w14:paraId="5183F1E3" w14:textId="77777777" w:rsidR="00657DF0" w:rsidRDefault="00657DF0" w:rsidP="00657DF0">
      <w:pPr>
        <w:spacing w:after="101" w:line="269" w:lineRule="auto"/>
        <w:jc w:val="both"/>
        <w:rPr>
          <w:rFonts w:cs="Calibri"/>
          <w:bCs/>
          <w:sz w:val="21"/>
        </w:rPr>
      </w:pPr>
      <w:r w:rsidRPr="000B24BD">
        <w:rPr>
          <w:rFonts w:cs="Calibri"/>
          <w:bCs/>
          <w:i/>
          <w:iCs/>
          <w:sz w:val="21"/>
        </w:rPr>
        <w:t>NBG Response:</w:t>
      </w:r>
    </w:p>
    <w:p w14:paraId="4DE3798A" w14:textId="77777777" w:rsidR="00657DF0" w:rsidRDefault="00657DF0" w:rsidP="00657DF0">
      <w:pPr>
        <w:spacing w:after="101" w:line="269" w:lineRule="auto"/>
        <w:jc w:val="both"/>
        <w:rPr>
          <w:rFonts w:cs="Calibri"/>
          <w:bCs/>
          <w:sz w:val="21"/>
        </w:rPr>
      </w:pPr>
      <w:r>
        <w:rPr>
          <w:rFonts w:cs="Calibri"/>
          <w:bCs/>
          <w:sz w:val="21"/>
        </w:rPr>
        <w:t>Changes to the Surcharging framework should only be pursued once the RBA addresses the fundamentals raised by the pervious 11 issues in its paper, especially the structural inefficiencies and market failures resulting from the overlapping of card issuing and acquiring that we have outlined.</w:t>
      </w:r>
    </w:p>
    <w:p w14:paraId="2ABA8870" w14:textId="77777777" w:rsidR="00657DF0" w:rsidRDefault="00657DF0" w:rsidP="00657DF0">
      <w:pPr>
        <w:spacing w:after="101" w:line="269" w:lineRule="auto"/>
        <w:jc w:val="both"/>
        <w:rPr>
          <w:rFonts w:cs="Calibri"/>
          <w:bCs/>
          <w:sz w:val="21"/>
        </w:rPr>
      </w:pPr>
      <w:r w:rsidRPr="005F0152">
        <w:rPr>
          <w:rFonts w:cs="Calibri"/>
          <w:b/>
          <w:sz w:val="21"/>
        </w:rPr>
        <w:t>Capping:</w:t>
      </w:r>
      <w:r>
        <w:rPr>
          <w:rFonts w:cs="Calibri"/>
          <w:bCs/>
          <w:sz w:val="21"/>
        </w:rPr>
        <w:t xml:space="preserve">  It is easy to implement but as Competition literature has demonstrated repeatedly, price caps only result in pricing to the cap.  Capping is a brute force solution to a market failure particularly when there is a single supplier or there is a Community Service Obligation that needs to be funded.  </w:t>
      </w:r>
    </w:p>
    <w:p w14:paraId="5110FA57" w14:textId="77777777" w:rsidR="00657DF0" w:rsidRDefault="00657DF0" w:rsidP="00657DF0">
      <w:pPr>
        <w:spacing w:after="101" w:line="269" w:lineRule="auto"/>
        <w:jc w:val="both"/>
        <w:rPr>
          <w:rFonts w:cs="Calibri"/>
          <w:bCs/>
          <w:sz w:val="21"/>
        </w:rPr>
      </w:pPr>
      <w:r>
        <w:rPr>
          <w:rFonts w:cs="Calibri"/>
          <w:bCs/>
          <w:sz w:val="21"/>
        </w:rPr>
        <w:t xml:space="preserve">Capping fails to address the fundamental structural flaws in Australian Payments Systems where a multi sided platform is operating with most issuers and acquirers are effectively the same actor.  The only party impacted by capping is the Merchant and is a blaming the victim exercise.  Finally, once a cap is set it then sets in train an expectation for regular reviews adding to the administrative burden of the entire system.  </w:t>
      </w:r>
    </w:p>
    <w:p w14:paraId="1360CAA7" w14:textId="77777777" w:rsidR="00657DF0" w:rsidRDefault="00657DF0" w:rsidP="00657DF0">
      <w:pPr>
        <w:spacing w:after="101" w:line="269" w:lineRule="auto"/>
        <w:jc w:val="both"/>
        <w:rPr>
          <w:rFonts w:cs="Calibri"/>
          <w:bCs/>
          <w:sz w:val="21"/>
        </w:rPr>
      </w:pPr>
      <w:bookmarkStart w:id="12" w:name="OLE_LINK13"/>
      <w:r>
        <w:rPr>
          <w:rFonts w:cs="Calibri"/>
          <w:bCs/>
          <w:sz w:val="21"/>
        </w:rPr>
        <w:t>Caps are not the solution to the market failure evident in this industry, which stems from the de-facto merging of acquiring and issuing by the major participants, as well as the membership rules and costs by the Schemes.</w:t>
      </w:r>
    </w:p>
    <w:bookmarkEnd w:id="12"/>
    <w:p w14:paraId="034B237E" w14:textId="6F816E9F" w:rsidR="00657DF0" w:rsidRDefault="00657DF0" w:rsidP="00657DF0">
      <w:pPr>
        <w:spacing w:after="101" w:line="269" w:lineRule="auto"/>
        <w:jc w:val="both"/>
        <w:rPr>
          <w:rFonts w:cs="Calibri"/>
          <w:bCs/>
          <w:sz w:val="21"/>
        </w:rPr>
      </w:pPr>
      <w:r w:rsidRPr="005F0152">
        <w:rPr>
          <w:rFonts w:cs="Calibri"/>
          <w:b/>
          <w:sz w:val="21"/>
        </w:rPr>
        <w:t xml:space="preserve">Tightening the </w:t>
      </w:r>
      <w:bookmarkStart w:id="13" w:name="OLE_LINK14"/>
      <w:r w:rsidRPr="005F0152">
        <w:rPr>
          <w:rFonts w:cs="Calibri"/>
          <w:b/>
          <w:sz w:val="21"/>
        </w:rPr>
        <w:t>definition of the cost of acceptance</w:t>
      </w:r>
      <w:bookmarkEnd w:id="13"/>
      <w:r w:rsidRPr="005F0152">
        <w:rPr>
          <w:rFonts w:cs="Calibri"/>
          <w:b/>
          <w:sz w:val="21"/>
        </w:rPr>
        <w:t>.</w:t>
      </w:r>
      <w:r>
        <w:rPr>
          <w:rFonts w:cs="Calibri"/>
          <w:b/>
          <w:sz w:val="21"/>
        </w:rPr>
        <w:t xml:space="preserve">  </w:t>
      </w:r>
      <w:r>
        <w:rPr>
          <w:rFonts w:cs="Calibri"/>
          <w:bCs/>
          <w:sz w:val="21"/>
        </w:rPr>
        <w:t>Like</w:t>
      </w:r>
      <w:r w:rsidRPr="005F0152">
        <w:rPr>
          <w:rFonts w:cs="Calibri"/>
          <w:bCs/>
          <w:sz w:val="21"/>
        </w:rPr>
        <w:t xml:space="preserve"> </w:t>
      </w:r>
      <w:r>
        <w:rPr>
          <w:rFonts w:cs="Calibri"/>
          <w:bCs/>
          <w:sz w:val="21"/>
        </w:rPr>
        <w:t xml:space="preserve">the </w:t>
      </w:r>
      <w:r w:rsidRPr="005F0152">
        <w:rPr>
          <w:rFonts w:cs="Calibri"/>
          <w:bCs/>
          <w:sz w:val="21"/>
        </w:rPr>
        <w:t>capping</w:t>
      </w:r>
      <w:r>
        <w:rPr>
          <w:rFonts w:cs="Calibri"/>
          <w:bCs/>
          <w:sz w:val="21"/>
        </w:rPr>
        <w:t xml:space="preserve"> option, the </w:t>
      </w:r>
      <w:r w:rsidRPr="00D577B8">
        <w:rPr>
          <w:rFonts w:cs="Calibri"/>
          <w:sz w:val="21"/>
        </w:rPr>
        <w:t>definition of the cost of acceptance</w:t>
      </w:r>
      <w:r w:rsidRPr="005F0152">
        <w:rPr>
          <w:rFonts w:cs="Calibri"/>
          <w:bCs/>
          <w:sz w:val="21"/>
        </w:rPr>
        <w:t xml:space="preserve"> </w:t>
      </w:r>
      <w:r>
        <w:rPr>
          <w:rFonts w:cs="Calibri"/>
          <w:bCs/>
          <w:sz w:val="21"/>
        </w:rPr>
        <w:t xml:space="preserve">option </w:t>
      </w:r>
      <w:r w:rsidRPr="005F0152">
        <w:rPr>
          <w:rFonts w:cs="Calibri"/>
          <w:bCs/>
          <w:sz w:val="21"/>
        </w:rPr>
        <w:t xml:space="preserve">fails to address the fundamental flaws in the multi sided platform.  </w:t>
      </w:r>
      <w:bookmarkStart w:id="14" w:name="OLE_LINK5"/>
      <w:r>
        <w:rPr>
          <w:rFonts w:cs="Calibri"/>
          <w:bCs/>
          <w:sz w:val="21"/>
        </w:rPr>
        <w:t xml:space="preserve">Since the current definition of the cost of acceptance has been in operation, there is nothing to suggest that the </w:t>
      </w:r>
      <w:r w:rsidRPr="005F0152">
        <w:rPr>
          <w:rFonts w:cs="Calibri"/>
          <w:bCs/>
          <w:sz w:val="21"/>
        </w:rPr>
        <w:t xml:space="preserve">ACCC has been unable to enforce </w:t>
      </w:r>
      <w:r>
        <w:rPr>
          <w:rFonts w:cs="Calibri"/>
          <w:bCs/>
          <w:sz w:val="21"/>
        </w:rPr>
        <w:t xml:space="preserve">it </w:t>
      </w:r>
      <w:r w:rsidRPr="005F0152">
        <w:rPr>
          <w:rFonts w:cs="Calibri"/>
          <w:bCs/>
          <w:sz w:val="21"/>
        </w:rPr>
        <w:t>or that it has been subject to regulatory gaming.</w:t>
      </w:r>
      <w:bookmarkEnd w:id="14"/>
      <w:r>
        <w:rPr>
          <w:rFonts w:cs="Calibri"/>
          <w:bCs/>
          <w:sz w:val="21"/>
        </w:rPr>
        <w:t xml:space="preserve"> In </w:t>
      </w:r>
      <w:r w:rsidR="00074ED5">
        <w:rPr>
          <w:rFonts w:cs="Calibri"/>
          <w:bCs/>
          <w:sz w:val="21"/>
        </w:rPr>
        <w:t>fact,</w:t>
      </w:r>
      <w:r>
        <w:rPr>
          <w:rFonts w:cs="Calibri"/>
          <w:bCs/>
          <w:sz w:val="21"/>
        </w:rPr>
        <w:t xml:space="preserve"> the number of enforcement actions, given the number of firms and card holders is incredibly small, suggesting that the majority are conforming and the current definition of the cost of acceptance is sound.  </w:t>
      </w:r>
    </w:p>
    <w:p w14:paraId="749D3C70" w14:textId="77777777" w:rsidR="00657DF0" w:rsidRDefault="00657DF0" w:rsidP="00657DF0">
      <w:pPr>
        <w:spacing w:after="101" w:line="269" w:lineRule="auto"/>
        <w:jc w:val="both"/>
        <w:rPr>
          <w:rFonts w:cs="Calibri"/>
          <w:b/>
          <w:sz w:val="21"/>
        </w:rPr>
      </w:pPr>
      <w:r w:rsidRPr="00BF52D3">
        <w:rPr>
          <w:rFonts w:cs="Calibri"/>
          <w:b/>
          <w:sz w:val="21"/>
        </w:rPr>
        <w:lastRenderedPageBreak/>
        <w:t>Mandating differentiated pricing for transactions processed across different networks</w:t>
      </w:r>
      <w:r>
        <w:rPr>
          <w:rFonts w:cs="Calibri"/>
          <w:b/>
          <w:sz w:val="21"/>
        </w:rPr>
        <w:t xml:space="preserve">.  </w:t>
      </w:r>
    </w:p>
    <w:p w14:paraId="4F248036" w14:textId="77777777" w:rsidR="00657DF0" w:rsidRPr="00D577B8" w:rsidRDefault="00657DF0" w:rsidP="00657DF0">
      <w:pPr>
        <w:spacing w:after="101" w:line="269" w:lineRule="auto"/>
        <w:jc w:val="both"/>
        <w:rPr>
          <w:rFonts w:cs="Calibri"/>
          <w:bCs/>
          <w:sz w:val="21"/>
        </w:rPr>
      </w:pPr>
      <w:r>
        <w:rPr>
          <w:rFonts w:cs="Calibri"/>
          <w:bCs/>
          <w:sz w:val="21"/>
        </w:rPr>
        <w:t>Both Merchants and Cardholders could incur far lower costs if the following occurs:</w:t>
      </w:r>
    </w:p>
    <w:p w14:paraId="46577B32" w14:textId="77777777" w:rsidR="00657DF0" w:rsidRDefault="00657DF0" w:rsidP="00657DF0">
      <w:pPr>
        <w:spacing w:after="101" w:line="269" w:lineRule="auto"/>
        <w:jc w:val="both"/>
        <w:rPr>
          <w:rFonts w:cs="Calibri"/>
          <w:bCs/>
          <w:sz w:val="21"/>
        </w:rPr>
      </w:pPr>
      <w:r>
        <w:rPr>
          <w:rFonts w:cs="Calibri"/>
          <w:bCs/>
          <w:sz w:val="21"/>
        </w:rPr>
        <w:t>M</w:t>
      </w:r>
      <w:r w:rsidRPr="00BF52D3">
        <w:rPr>
          <w:rFonts w:cs="Calibri"/>
          <w:bCs/>
          <w:sz w:val="21"/>
        </w:rPr>
        <w:t xml:space="preserve">andating </w:t>
      </w:r>
      <w:r>
        <w:rPr>
          <w:rFonts w:cs="Calibri"/>
          <w:bCs/>
          <w:sz w:val="21"/>
        </w:rPr>
        <w:t>D</w:t>
      </w:r>
      <w:r w:rsidRPr="00BF52D3">
        <w:rPr>
          <w:rFonts w:cs="Calibri"/>
          <w:bCs/>
          <w:sz w:val="21"/>
        </w:rPr>
        <w:t xml:space="preserve">ynamic </w:t>
      </w:r>
      <w:r>
        <w:rPr>
          <w:rFonts w:cs="Calibri"/>
          <w:bCs/>
          <w:sz w:val="21"/>
        </w:rPr>
        <w:t>L</w:t>
      </w:r>
      <w:r w:rsidRPr="00BF52D3">
        <w:rPr>
          <w:rFonts w:cs="Calibri"/>
          <w:bCs/>
          <w:sz w:val="21"/>
        </w:rPr>
        <w:t xml:space="preserve">east </w:t>
      </w:r>
      <w:r>
        <w:rPr>
          <w:rFonts w:cs="Calibri"/>
          <w:bCs/>
          <w:sz w:val="21"/>
        </w:rPr>
        <w:t>C</w:t>
      </w:r>
      <w:r w:rsidRPr="00BF52D3">
        <w:rPr>
          <w:rFonts w:cs="Calibri"/>
          <w:bCs/>
          <w:sz w:val="21"/>
        </w:rPr>
        <w:t xml:space="preserve">ost </w:t>
      </w:r>
      <w:r>
        <w:rPr>
          <w:rFonts w:cs="Calibri"/>
          <w:bCs/>
          <w:sz w:val="21"/>
        </w:rPr>
        <w:t>R</w:t>
      </w:r>
      <w:r w:rsidRPr="00BF52D3">
        <w:rPr>
          <w:rFonts w:cs="Calibri"/>
          <w:bCs/>
          <w:sz w:val="21"/>
        </w:rPr>
        <w:t xml:space="preserve">outing </w:t>
      </w:r>
      <w:r>
        <w:rPr>
          <w:rFonts w:cs="Calibri"/>
          <w:bCs/>
          <w:sz w:val="21"/>
        </w:rPr>
        <w:t xml:space="preserve">(DLCR) by PPS </w:t>
      </w:r>
      <w:r w:rsidRPr="00BF52D3">
        <w:rPr>
          <w:rFonts w:cs="Calibri"/>
          <w:bCs/>
          <w:sz w:val="21"/>
        </w:rPr>
        <w:t xml:space="preserve">would </w:t>
      </w:r>
      <w:r>
        <w:rPr>
          <w:rFonts w:cs="Calibri"/>
          <w:bCs/>
          <w:sz w:val="21"/>
        </w:rPr>
        <w:t xml:space="preserve">offer the technology solution for all Merchants making differentiated pricing simple and automated.  </w:t>
      </w:r>
    </w:p>
    <w:p w14:paraId="251E165E" w14:textId="77777777" w:rsidR="00657DF0" w:rsidRDefault="00657DF0" w:rsidP="00657DF0">
      <w:pPr>
        <w:spacing w:after="101" w:line="269" w:lineRule="auto"/>
        <w:jc w:val="both"/>
        <w:rPr>
          <w:rFonts w:cs="Calibri"/>
          <w:bCs/>
          <w:sz w:val="21"/>
        </w:rPr>
      </w:pPr>
      <w:r>
        <w:rPr>
          <w:rFonts w:cs="Calibri"/>
          <w:bCs/>
          <w:sz w:val="21"/>
        </w:rPr>
        <w:t>R</w:t>
      </w:r>
      <w:r w:rsidRPr="00BF52D3">
        <w:rPr>
          <w:rFonts w:cs="Calibri"/>
          <w:bCs/>
          <w:sz w:val="21"/>
        </w:rPr>
        <w:t xml:space="preserve">educing the interchange fee to Zero and assessing the level of Scheme fees imposed in a mature payment market. (e.g. removing all marketing and branding costs and benchmarking the data processing costs against large scale third parties such as AWS, Google, Microsoft, and Apple). </w:t>
      </w:r>
      <w:r>
        <w:rPr>
          <w:rFonts w:cs="Calibri"/>
          <w:bCs/>
          <w:sz w:val="21"/>
        </w:rPr>
        <w:t xml:space="preserve"> </w:t>
      </w:r>
    </w:p>
    <w:p w14:paraId="0E4CC887" w14:textId="2F796339" w:rsidR="00657DF0" w:rsidRDefault="00657DF0" w:rsidP="00657DF0">
      <w:pPr>
        <w:spacing w:after="101" w:line="269" w:lineRule="auto"/>
        <w:jc w:val="both"/>
        <w:rPr>
          <w:rFonts w:cs="Calibri"/>
          <w:bCs/>
          <w:sz w:val="21"/>
        </w:rPr>
      </w:pPr>
      <w:r w:rsidRPr="00D94A16">
        <w:rPr>
          <w:rFonts w:cs="Calibri"/>
          <w:b/>
          <w:sz w:val="21"/>
        </w:rPr>
        <w:t>Mandating</w:t>
      </w:r>
      <w:r>
        <w:rPr>
          <w:rFonts w:cs="Calibri"/>
          <w:b/>
          <w:sz w:val="21"/>
        </w:rPr>
        <w:t xml:space="preserve"> monitoring of surcharging by networks and acquirers.  </w:t>
      </w:r>
      <w:r w:rsidRPr="007F1F08">
        <w:rPr>
          <w:rFonts w:cs="Calibri"/>
          <w:bCs/>
          <w:sz w:val="21"/>
        </w:rPr>
        <w:t>This is arguably the simplest intervention for the RBA</w:t>
      </w:r>
      <w:r>
        <w:rPr>
          <w:rFonts w:cs="Calibri"/>
          <w:bCs/>
          <w:sz w:val="21"/>
        </w:rPr>
        <w:t>,</w:t>
      </w:r>
      <w:r w:rsidRPr="007F1F08">
        <w:rPr>
          <w:rFonts w:cs="Calibri"/>
          <w:bCs/>
          <w:sz w:val="21"/>
        </w:rPr>
        <w:t xml:space="preserve"> especially if coupled with mandating Dynamic Least Cost Routing with a hardline implementation date.  </w:t>
      </w:r>
      <w:r>
        <w:rPr>
          <w:rFonts w:cs="Calibri"/>
          <w:bCs/>
          <w:sz w:val="21"/>
        </w:rPr>
        <w:t xml:space="preserve">We note that this should be implemented after reforms to interchange and scheme fees </w:t>
      </w:r>
      <w:r w:rsidR="00074ED5">
        <w:rPr>
          <w:rFonts w:cs="Calibri"/>
          <w:bCs/>
          <w:sz w:val="21"/>
        </w:rPr>
        <w:t>for</w:t>
      </w:r>
      <w:r>
        <w:rPr>
          <w:rFonts w:cs="Calibri"/>
          <w:bCs/>
          <w:sz w:val="21"/>
        </w:rPr>
        <w:t xml:space="preserve"> the full benefits to be crystallised for the Merchant and thus the card holder.</w:t>
      </w:r>
    </w:p>
    <w:p w14:paraId="32B5953F" w14:textId="77777777" w:rsidR="00657DF0" w:rsidRPr="00D577B8" w:rsidRDefault="00657DF0" w:rsidP="00657DF0">
      <w:pPr>
        <w:spacing w:after="101" w:line="269" w:lineRule="auto"/>
        <w:jc w:val="both"/>
        <w:rPr>
          <w:rFonts w:cs="Calibri"/>
          <w:bCs/>
          <w:i/>
          <w:iCs/>
          <w:sz w:val="21"/>
        </w:rPr>
      </w:pPr>
      <w:r w:rsidRPr="00D577B8">
        <w:rPr>
          <w:rFonts w:cs="Calibri"/>
          <w:bCs/>
          <w:i/>
          <w:iCs/>
          <w:sz w:val="21"/>
        </w:rPr>
        <w:t>In summary</w:t>
      </w:r>
      <w:r>
        <w:rPr>
          <w:rFonts w:cs="Calibri"/>
          <w:bCs/>
          <w:i/>
          <w:iCs/>
          <w:sz w:val="21"/>
        </w:rPr>
        <w:t>:</w:t>
      </w:r>
    </w:p>
    <w:p w14:paraId="7B2B602F" w14:textId="77777777" w:rsidR="00657DF0" w:rsidRDefault="00657DF0" w:rsidP="00657DF0">
      <w:pPr>
        <w:spacing w:after="101" w:line="269" w:lineRule="auto"/>
        <w:jc w:val="both"/>
        <w:rPr>
          <w:rFonts w:cs="Calibri"/>
          <w:bCs/>
          <w:sz w:val="21"/>
        </w:rPr>
      </w:pPr>
      <w:r>
        <w:rPr>
          <w:rFonts w:cs="Calibri"/>
          <w:bCs/>
          <w:sz w:val="21"/>
        </w:rPr>
        <w:t>Before the RBA responds to the current populist demands with some crude brute force solution a more nuanced approach would be to undertake a systemic review, focusing on the elements we have outlined above in our response to Issue 11.</w:t>
      </w:r>
    </w:p>
    <w:p w14:paraId="4A15E428" w14:textId="77777777" w:rsidR="00657DF0" w:rsidRDefault="00657DF0" w:rsidP="00657DF0">
      <w:pPr>
        <w:spacing w:after="101" w:line="269" w:lineRule="auto"/>
        <w:jc w:val="both"/>
        <w:rPr>
          <w:rFonts w:cs="Calibri"/>
          <w:bCs/>
          <w:sz w:val="21"/>
        </w:rPr>
      </w:pPr>
      <w:r>
        <w:rPr>
          <w:rFonts w:cs="Calibri"/>
          <w:bCs/>
          <w:sz w:val="21"/>
        </w:rPr>
        <w:t>The first response should be to finally address 25 years of regulatory reviews by the ACCC, RBA, and Productivity Commission all of which flag the same systemic failures namely the highly structured oligopoly, the miss allocation of costs and benefits by the Schemes and Card Issuers, and the lack of significant structural separation in the system before pandering to surcharge “banning” or capping demands.</w:t>
      </w:r>
    </w:p>
    <w:p w14:paraId="44DEC0C0" w14:textId="77777777" w:rsidR="00657DF0" w:rsidRDefault="00657DF0" w:rsidP="00657DF0">
      <w:pPr>
        <w:spacing w:after="101" w:line="269" w:lineRule="auto"/>
        <w:jc w:val="both"/>
        <w:rPr>
          <w:rFonts w:cs="Calibri"/>
          <w:bCs/>
          <w:sz w:val="21"/>
        </w:rPr>
      </w:pPr>
      <w:r>
        <w:rPr>
          <w:rFonts w:cs="Calibri"/>
          <w:bCs/>
          <w:sz w:val="21"/>
        </w:rPr>
        <w:t xml:space="preserve">No matter what change is made, the consumer will either continue to pay with a transparent surcharge, or without a transparent surcharge but with higher costs for the same good or service.  </w:t>
      </w:r>
    </w:p>
    <w:p w14:paraId="30956702" w14:textId="77777777" w:rsidR="00657DF0" w:rsidRDefault="00657DF0" w:rsidP="005527D8">
      <w:pPr>
        <w:spacing w:after="240" w:line="240" w:lineRule="auto"/>
        <w:jc w:val="both"/>
        <w:rPr>
          <w:rFonts w:cs="Calibri"/>
          <w:bCs/>
          <w:sz w:val="21"/>
        </w:rPr>
      </w:pPr>
      <w:r>
        <w:rPr>
          <w:rFonts w:cs="Calibri"/>
          <w:bCs/>
          <w:sz w:val="21"/>
        </w:rPr>
        <w:t>The $5.00 coffee with a $0.07 surcharge if paid by card will become a $5.10 coffee without a surcharge no matter whether paid by cash or card.  Assuming that consumer choice is solely price driven is of course false otherwise marketing and branding and the entire discipline of behavioural economics is a wasted exercise.</w:t>
      </w:r>
    </w:p>
    <w:p w14:paraId="6E9D88B9" w14:textId="77777777" w:rsidR="00657DF0" w:rsidRPr="000B24BD" w:rsidRDefault="00657DF0" w:rsidP="00657DF0">
      <w:pPr>
        <w:numPr>
          <w:ilvl w:val="0"/>
          <w:numId w:val="1"/>
        </w:numPr>
        <w:spacing w:after="101" w:line="269" w:lineRule="auto"/>
        <w:ind w:hanging="406"/>
        <w:jc w:val="both"/>
        <w:rPr>
          <w:b/>
        </w:rPr>
      </w:pPr>
      <w:r w:rsidRPr="000B24BD">
        <w:rPr>
          <w:rFonts w:cs="Calibri"/>
          <w:b/>
          <w:sz w:val="21"/>
        </w:rPr>
        <w:t xml:space="preserve">What are the implications for merchant payment costs from changes to the surcharging framework? Could the RBA address these with other regulatory actions? </w:t>
      </w:r>
    </w:p>
    <w:p w14:paraId="2C93089C" w14:textId="77777777" w:rsidR="00657DF0" w:rsidRDefault="00657DF0" w:rsidP="00657DF0">
      <w:pPr>
        <w:spacing w:after="101" w:line="269" w:lineRule="auto"/>
        <w:jc w:val="both"/>
        <w:rPr>
          <w:rFonts w:cs="Calibri"/>
          <w:bCs/>
          <w:sz w:val="21"/>
        </w:rPr>
      </w:pPr>
      <w:r w:rsidRPr="000B24BD">
        <w:rPr>
          <w:rFonts w:cs="Calibri"/>
          <w:bCs/>
          <w:i/>
          <w:iCs/>
          <w:sz w:val="21"/>
        </w:rPr>
        <w:t>NBG Response</w:t>
      </w:r>
      <w:r w:rsidRPr="00D577B8">
        <w:rPr>
          <w:rFonts w:cs="Calibri"/>
          <w:bCs/>
          <w:sz w:val="21"/>
        </w:rPr>
        <w:t>:</w:t>
      </w:r>
    </w:p>
    <w:p w14:paraId="1FBE15A0" w14:textId="77777777" w:rsidR="00657DF0" w:rsidRDefault="00657DF0" w:rsidP="00657DF0">
      <w:pPr>
        <w:spacing w:after="101" w:line="269" w:lineRule="auto"/>
        <w:jc w:val="both"/>
        <w:rPr>
          <w:rFonts w:cs="Calibri"/>
          <w:bCs/>
          <w:sz w:val="21"/>
        </w:rPr>
      </w:pPr>
      <w:r>
        <w:rPr>
          <w:rFonts w:cs="Calibri"/>
          <w:bCs/>
          <w:sz w:val="21"/>
        </w:rPr>
        <w:t xml:space="preserve">We have stated several times that the starting point needs to be a complete and thorough competition analysis of this multisided platform and whether it is an efficient market given the de-facto mergers of issuing and acquiring have occurred.  </w:t>
      </w:r>
    </w:p>
    <w:p w14:paraId="5A506381" w14:textId="77777777" w:rsidR="00657DF0" w:rsidRPr="00C630C7" w:rsidRDefault="00657DF0" w:rsidP="005527D8">
      <w:pPr>
        <w:spacing w:after="240" w:line="240" w:lineRule="auto"/>
        <w:jc w:val="both"/>
        <w:rPr>
          <w:bCs/>
        </w:rPr>
      </w:pPr>
      <w:r>
        <w:rPr>
          <w:rFonts w:cs="Calibri"/>
          <w:bCs/>
          <w:sz w:val="21"/>
        </w:rPr>
        <w:t xml:space="preserve">The RBA’s own questions address the areas it needs to target in delivering surcharging reform.  </w:t>
      </w:r>
      <w:bookmarkStart w:id="15" w:name="OLE_LINK6"/>
      <w:r>
        <w:rPr>
          <w:rFonts w:cs="Calibri"/>
          <w:bCs/>
          <w:sz w:val="21"/>
        </w:rPr>
        <w:t>The question is whether it is willing to take firm action on interchange fees, scheme fees, information asymmetry, and complexity, while also pushing for transparency and technology innovation.</w:t>
      </w:r>
      <w:bookmarkEnd w:id="15"/>
      <w:r>
        <w:rPr>
          <w:rFonts w:cs="Calibri"/>
          <w:bCs/>
          <w:sz w:val="21"/>
        </w:rPr>
        <w:t xml:space="preserve"> </w:t>
      </w:r>
    </w:p>
    <w:p w14:paraId="59063789" w14:textId="77777777" w:rsidR="00657DF0" w:rsidRPr="000B24BD" w:rsidRDefault="00657DF0" w:rsidP="00657DF0">
      <w:pPr>
        <w:numPr>
          <w:ilvl w:val="0"/>
          <w:numId w:val="1"/>
        </w:numPr>
        <w:spacing w:after="101" w:line="269" w:lineRule="auto"/>
        <w:ind w:hanging="406"/>
        <w:jc w:val="both"/>
        <w:rPr>
          <w:rFonts w:cs="Calibri"/>
          <w:b/>
          <w:sz w:val="21"/>
        </w:rPr>
      </w:pPr>
      <w:r w:rsidRPr="000B24BD">
        <w:rPr>
          <w:rFonts w:cs="Calibri"/>
          <w:b/>
          <w:sz w:val="21"/>
        </w:rPr>
        <w:t>Are there any other regulatory actions that the RBA should consider taking in response to the issues raised in this paper?</w:t>
      </w:r>
    </w:p>
    <w:p w14:paraId="5E8D5D48"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70407D2D" w14:textId="77777777" w:rsidR="00657DF0" w:rsidRPr="005719A1" w:rsidRDefault="00657DF0" w:rsidP="00657DF0">
      <w:pPr>
        <w:pStyle w:val="ListParagraph"/>
        <w:numPr>
          <w:ilvl w:val="0"/>
          <w:numId w:val="8"/>
        </w:numPr>
        <w:spacing w:after="101" w:line="269" w:lineRule="auto"/>
        <w:jc w:val="both"/>
        <w:rPr>
          <w:rFonts w:cs="Calibri"/>
          <w:bCs/>
          <w:sz w:val="21"/>
        </w:rPr>
      </w:pPr>
      <w:r w:rsidRPr="005719A1">
        <w:rPr>
          <w:rFonts w:cs="Calibri"/>
          <w:bCs/>
          <w:sz w:val="21"/>
        </w:rPr>
        <w:t xml:space="preserve">Implement strict structural separation of Card Issuing and Merchant Acquiring functions by requiring Card Issuers to </w:t>
      </w:r>
      <w:r>
        <w:rPr>
          <w:rFonts w:cs="Calibri"/>
          <w:bCs/>
          <w:sz w:val="21"/>
        </w:rPr>
        <w:t>dispose of</w:t>
      </w:r>
      <w:r w:rsidRPr="005719A1">
        <w:rPr>
          <w:rFonts w:cs="Calibri"/>
          <w:bCs/>
          <w:sz w:val="21"/>
        </w:rPr>
        <w:t xml:space="preserve"> their acquiring functions to specialist merchant acquirers if they wish to retain Interchange Fees.</w:t>
      </w:r>
      <w:r>
        <w:rPr>
          <w:rFonts w:cs="Calibri"/>
          <w:bCs/>
          <w:sz w:val="21"/>
        </w:rPr>
        <w:t xml:space="preserve">  This will ensure that potentially a multi sided platform market can function efficiently.</w:t>
      </w:r>
    </w:p>
    <w:p w14:paraId="750F285F" w14:textId="77777777" w:rsidR="00657DF0" w:rsidRPr="005719A1" w:rsidRDefault="00657DF0" w:rsidP="00657DF0">
      <w:pPr>
        <w:pStyle w:val="ListParagraph"/>
        <w:numPr>
          <w:ilvl w:val="0"/>
          <w:numId w:val="8"/>
        </w:numPr>
        <w:spacing w:after="101" w:line="269" w:lineRule="auto"/>
        <w:jc w:val="both"/>
        <w:rPr>
          <w:rFonts w:cs="Calibri"/>
          <w:bCs/>
          <w:sz w:val="21"/>
        </w:rPr>
      </w:pPr>
      <w:r w:rsidRPr="005719A1">
        <w:rPr>
          <w:rFonts w:cs="Calibri"/>
          <w:bCs/>
          <w:sz w:val="21"/>
        </w:rPr>
        <w:t xml:space="preserve">Require all Scheme Rules and Fees to be </w:t>
      </w:r>
      <w:r>
        <w:rPr>
          <w:rFonts w:cs="Calibri"/>
          <w:bCs/>
          <w:sz w:val="21"/>
        </w:rPr>
        <w:t xml:space="preserve">transparent and </w:t>
      </w:r>
      <w:r w:rsidRPr="005719A1">
        <w:rPr>
          <w:rFonts w:cs="Calibri"/>
          <w:bCs/>
          <w:sz w:val="21"/>
        </w:rPr>
        <w:t>publicly available.</w:t>
      </w:r>
    </w:p>
    <w:p w14:paraId="618CBC78" w14:textId="77777777" w:rsidR="00657DF0" w:rsidRDefault="00657DF0" w:rsidP="00657DF0">
      <w:pPr>
        <w:pStyle w:val="ListParagraph"/>
        <w:numPr>
          <w:ilvl w:val="0"/>
          <w:numId w:val="8"/>
        </w:numPr>
        <w:spacing w:after="101" w:line="269" w:lineRule="auto"/>
        <w:jc w:val="both"/>
        <w:rPr>
          <w:rFonts w:cs="Calibri"/>
          <w:bCs/>
          <w:sz w:val="21"/>
        </w:rPr>
      </w:pPr>
      <w:r w:rsidRPr="005719A1">
        <w:rPr>
          <w:rFonts w:cs="Calibri"/>
          <w:bCs/>
          <w:sz w:val="21"/>
        </w:rPr>
        <w:lastRenderedPageBreak/>
        <w:t xml:space="preserve">Require a plain </w:t>
      </w:r>
      <w:r>
        <w:rPr>
          <w:rFonts w:cs="Calibri"/>
          <w:bCs/>
          <w:sz w:val="21"/>
        </w:rPr>
        <w:t>E</w:t>
      </w:r>
      <w:r w:rsidRPr="005719A1">
        <w:rPr>
          <w:rFonts w:cs="Calibri"/>
          <w:bCs/>
          <w:sz w:val="21"/>
        </w:rPr>
        <w:t>nglish version of Scheme Rules to be developed</w:t>
      </w:r>
      <w:r>
        <w:rPr>
          <w:rFonts w:cs="Calibri"/>
          <w:bCs/>
          <w:sz w:val="21"/>
        </w:rPr>
        <w:t xml:space="preserve"> and to be publicly available</w:t>
      </w:r>
      <w:r w:rsidRPr="005719A1">
        <w:rPr>
          <w:rFonts w:cs="Calibri"/>
          <w:bCs/>
          <w:sz w:val="21"/>
        </w:rPr>
        <w:t>.</w:t>
      </w:r>
    </w:p>
    <w:p w14:paraId="6F274073" w14:textId="77777777" w:rsidR="00657DF0" w:rsidRDefault="00657DF0" w:rsidP="00657DF0">
      <w:pPr>
        <w:pStyle w:val="ListParagraph"/>
        <w:numPr>
          <w:ilvl w:val="0"/>
          <w:numId w:val="8"/>
        </w:numPr>
        <w:spacing w:after="101" w:line="269" w:lineRule="auto"/>
        <w:jc w:val="both"/>
        <w:rPr>
          <w:rFonts w:cs="Calibri"/>
          <w:bCs/>
          <w:sz w:val="21"/>
        </w:rPr>
      </w:pPr>
      <w:r>
        <w:rPr>
          <w:rFonts w:cs="Calibri"/>
          <w:bCs/>
          <w:sz w:val="21"/>
        </w:rPr>
        <w:t>Require Least Cost Routing to be moved to an Opt Out choice for a Merchant rather than an Opt In choice from their Acquirer.</w:t>
      </w:r>
    </w:p>
    <w:p w14:paraId="4FE07B74" w14:textId="16EB91D5" w:rsidR="00657DF0" w:rsidRPr="005719A1" w:rsidRDefault="00657DF0" w:rsidP="005527D8">
      <w:pPr>
        <w:pStyle w:val="ListParagraph"/>
        <w:numPr>
          <w:ilvl w:val="0"/>
          <w:numId w:val="8"/>
        </w:numPr>
        <w:spacing w:after="240" w:line="240" w:lineRule="auto"/>
        <w:ind w:left="714" w:hanging="357"/>
        <w:contextualSpacing w:val="0"/>
        <w:jc w:val="both"/>
        <w:rPr>
          <w:rFonts w:cs="Calibri"/>
          <w:bCs/>
          <w:sz w:val="21"/>
        </w:rPr>
      </w:pPr>
      <w:r>
        <w:rPr>
          <w:rFonts w:cs="Calibri"/>
          <w:bCs/>
          <w:sz w:val="21"/>
        </w:rPr>
        <w:t xml:space="preserve">Set a hardline date </w:t>
      </w:r>
      <w:r w:rsidR="00074ED5">
        <w:rPr>
          <w:rFonts w:cs="Calibri"/>
          <w:bCs/>
          <w:sz w:val="21"/>
        </w:rPr>
        <w:t>for the</w:t>
      </w:r>
      <w:r>
        <w:rPr>
          <w:rFonts w:cs="Calibri"/>
          <w:bCs/>
          <w:sz w:val="21"/>
        </w:rPr>
        <w:t xml:space="preserve"> implementation of Dynamic Least Cost Routing by all acquirers for their systems for their Merchants.</w:t>
      </w:r>
    </w:p>
    <w:p w14:paraId="71ECFEC2" w14:textId="77777777" w:rsidR="00657DF0" w:rsidRPr="000B24BD" w:rsidRDefault="00657DF0" w:rsidP="00657DF0">
      <w:pPr>
        <w:numPr>
          <w:ilvl w:val="0"/>
          <w:numId w:val="1"/>
        </w:numPr>
        <w:spacing w:after="101" w:line="269" w:lineRule="auto"/>
        <w:ind w:hanging="406"/>
        <w:jc w:val="both"/>
        <w:rPr>
          <w:rFonts w:cs="Calibri"/>
          <w:b/>
          <w:sz w:val="21"/>
        </w:rPr>
      </w:pPr>
      <w:r w:rsidRPr="000B24BD">
        <w:rPr>
          <w:rFonts w:cs="Calibri"/>
          <w:b/>
          <w:sz w:val="21"/>
        </w:rPr>
        <w:t xml:space="preserve">Are there any issues in, or implications for, the broader payments ecosystem that the RBA should be aware of when designing a regulatory response to any of the issues discussed in this paper? </w:t>
      </w:r>
    </w:p>
    <w:p w14:paraId="2BF64EB7" w14:textId="77777777" w:rsidR="00657DF0" w:rsidRPr="000B24BD" w:rsidRDefault="00657DF0" w:rsidP="00657DF0">
      <w:pPr>
        <w:spacing w:after="101" w:line="269" w:lineRule="auto"/>
        <w:jc w:val="both"/>
        <w:rPr>
          <w:rFonts w:cs="Calibri"/>
          <w:bCs/>
          <w:i/>
          <w:iCs/>
          <w:sz w:val="21"/>
        </w:rPr>
      </w:pPr>
      <w:r w:rsidRPr="000B24BD">
        <w:rPr>
          <w:rFonts w:cs="Calibri"/>
          <w:bCs/>
          <w:i/>
          <w:iCs/>
          <w:sz w:val="21"/>
        </w:rPr>
        <w:t>NBG Response:</w:t>
      </w:r>
    </w:p>
    <w:p w14:paraId="23368E16" w14:textId="77777777" w:rsidR="00657DF0" w:rsidRDefault="00657DF0" w:rsidP="00657DF0">
      <w:pPr>
        <w:spacing w:after="101" w:line="269" w:lineRule="auto"/>
        <w:ind w:left="406"/>
        <w:jc w:val="both"/>
        <w:rPr>
          <w:rFonts w:cs="Calibri"/>
          <w:bCs/>
          <w:sz w:val="21"/>
        </w:rPr>
      </w:pPr>
      <w:r>
        <w:rPr>
          <w:rFonts w:cs="Calibri"/>
          <w:bCs/>
          <w:sz w:val="21"/>
        </w:rPr>
        <w:t>There are three issues:</w:t>
      </w:r>
    </w:p>
    <w:p w14:paraId="7EF5A008" w14:textId="77777777" w:rsidR="00657DF0" w:rsidRPr="00E16E2E" w:rsidRDefault="00657DF0" w:rsidP="00657DF0">
      <w:pPr>
        <w:pStyle w:val="ListParagraph"/>
        <w:numPr>
          <w:ilvl w:val="0"/>
          <w:numId w:val="6"/>
        </w:numPr>
        <w:spacing w:after="101" w:line="269" w:lineRule="auto"/>
        <w:jc w:val="both"/>
        <w:rPr>
          <w:rFonts w:cs="Calibri"/>
          <w:bCs/>
          <w:sz w:val="21"/>
        </w:rPr>
      </w:pPr>
      <w:bookmarkStart w:id="16" w:name="OLE_LINK8"/>
      <w:r w:rsidRPr="00E16E2E">
        <w:rPr>
          <w:rFonts w:cs="Calibri"/>
          <w:bCs/>
          <w:sz w:val="21"/>
        </w:rPr>
        <w:t xml:space="preserve">How should technology </w:t>
      </w:r>
      <w:r>
        <w:rPr>
          <w:rFonts w:cs="Calibri"/>
          <w:bCs/>
          <w:sz w:val="21"/>
        </w:rPr>
        <w:t xml:space="preserve">drive </w:t>
      </w:r>
      <w:r w:rsidRPr="00E16E2E">
        <w:rPr>
          <w:rFonts w:cs="Calibri"/>
          <w:bCs/>
          <w:sz w:val="21"/>
        </w:rPr>
        <w:t>change</w:t>
      </w:r>
      <w:r>
        <w:rPr>
          <w:rFonts w:cs="Calibri"/>
          <w:bCs/>
          <w:sz w:val="21"/>
        </w:rPr>
        <w:t xml:space="preserve"> and reduce scheme fees,</w:t>
      </w:r>
      <w:r w:rsidRPr="00E16E2E">
        <w:rPr>
          <w:rFonts w:cs="Calibri"/>
          <w:bCs/>
          <w:sz w:val="21"/>
        </w:rPr>
        <w:t xml:space="preserve"> particularly th</w:t>
      </w:r>
      <w:r>
        <w:rPr>
          <w:rFonts w:cs="Calibri"/>
          <w:bCs/>
          <w:sz w:val="21"/>
        </w:rPr>
        <w:t>rough the</w:t>
      </w:r>
      <w:r w:rsidRPr="00E16E2E">
        <w:rPr>
          <w:rFonts w:cs="Calibri"/>
          <w:bCs/>
          <w:sz w:val="21"/>
        </w:rPr>
        <w:t xml:space="preserve"> role </w:t>
      </w:r>
      <w:r>
        <w:rPr>
          <w:rFonts w:cs="Calibri"/>
          <w:bCs/>
          <w:sz w:val="21"/>
        </w:rPr>
        <w:t>of</w:t>
      </w:r>
      <w:r w:rsidRPr="00E16E2E">
        <w:rPr>
          <w:rFonts w:cs="Calibri"/>
          <w:bCs/>
          <w:sz w:val="21"/>
        </w:rPr>
        <w:t xml:space="preserve"> technology companies</w:t>
      </w:r>
      <w:r>
        <w:rPr>
          <w:rFonts w:cs="Calibri"/>
          <w:bCs/>
          <w:sz w:val="21"/>
        </w:rPr>
        <w:t xml:space="preserve"> lowering the risk profile of payments via innovations like</w:t>
      </w:r>
      <w:r w:rsidRPr="00E16E2E">
        <w:rPr>
          <w:rFonts w:cs="Calibri"/>
          <w:bCs/>
          <w:sz w:val="21"/>
        </w:rPr>
        <w:t xml:space="preserve"> Apply or Google </w:t>
      </w:r>
      <w:r>
        <w:rPr>
          <w:rFonts w:cs="Calibri"/>
          <w:bCs/>
          <w:sz w:val="21"/>
        </w:rPr>
        <w:t>smartphone</w:t>
      </w:r>
      <w:r w:rsidRPr="00E16E2E">
        <w:rPr>
          <w:rFonts w:cs="Calibri"/>
          <w:bCs/>
          <w:sz w:val="21"/>
        </w:rPr>
        <w:t xml:space="preserve"> tap to pay</w:t>
      </w:r>
      <w:r>
        <w:rPr>
          <w:rFonts w:cs="Calibri"/>
          <w:bCs/>
          <w:sz w:val="21"/>
        </w:rPr>
        <w:t>, which leverage</w:t>
      </w:r>
      <w:bookmarkStart w:id="17" w:name="OLE_LINK7"/>
      <w:r>
        <w:rPr>
          <w:rFonts w:cs="Calibri"/>
          <w:bCs/>
          <w:sz w:val="21"/>
        </w:rPr>
        <w:t xml:space="preserve"> enhanced security such as biometric authorisation?</w:t>
      </w:r>
      <w:bookmarkEnd w:id="17"/>
    </w:p>
    <w:bookmarkEnd w:id="16"/>
    <w:p w14:paraId="30093C08" w14:textId="77777777" w:rsidR="00657DF0" w:rsidRPr="00E16E2E" w:rsidRDefault="00657DF0" w:rsidP="00657DF0">
      <w:pPr>
        <w:pStyle w:val="ListParagraph"/>
        <w:numPr>
          <w:ilvl w:val="0"/>
          <w:numId w:val="6"/>
        </w:numPr>
        <w:spacing w:after="101" w:line="269" w:lineRule="auto"/>
        <w:jc w:val="both"/>
        <w:rPr>
          <w:rFonts w:cs="Calibri"/>
          <w:bCs/>
          <w:sz w:val="21"/>
        </w:rPr>
      </w:pPr>
      <w:r w:rsidRPr="00E16E2E">
        <w:rPr>
          <w:rFonts w:cs="Calibri"/>
          <w:bCs/>
          <w:sz w:val="21"/>
        </w:rPr>
        <w:t xml:space="preserve">How can new entrants such as Stripe, with lower </w:t>
      </w:r>
      <w:r>
        <w:rPr>
          <w:rFonts w:cs="Calibri"/>
          <w:bCs/>
          <w:sz w:val="21"/>
        </w:rPr>
        <w:t xml:space="preserve">operating </w:t>
      </w:r>
      <w:r w:rsidRPr="00E16E2E">
        <w:rPr>
          <w:rFonts w:cs="Calibri"/>
          <w:bCs/>
          <w:sz w:val="21"/>
        </w:rPr>
        <w:t>cost</w:t>
      </w:r>
      <w:r>
        <w:rPr>
          <w:rFonts w:cs="Calibri"/>
          <w:bCs/>
          <w:sz w:val="21"/>
        </w:rPr>
        <w:t>s</w:t>
      </w:r>
      <w:r w:rsidRPr="00E16E2E">
        <w:rPr>
          <w:rFonts w:cs="Calibri"/>
          <w:bCs/>
          <w:sz w:val="21"/>
        </w:rPr>
        <w:t xml:space="preserve"> and better technology be encouraged to grow in the Australian market</w:t>
      </w:r>
      <w:r>
        <w:rPr>
          <w:rFonts w:cs="Calibri"/>
          <w:bCs/>
          <w:sz w:val="21"/>
        </w:rPr>
        <w:t xml:space="preserve"> outside Card Issuer Acquirers?</w:t>
      </w:r>
    </w:p>
    <w:p w14:paraId="50B1F367" w14:textId="16D1732E" w:rsidR="00657DF0" w:rsidRPr="005527D8" w:rsidRDefault="00657DF0" w:rsidP="005527D8">
      <w:pPr>
        <w:pStyle w:val="ListParagraph"/>
        <w:numPr>
          <w:ilvl w:val="0"/>
          <w:numId w:val="6"/>
        </w:numPr>
        <w:spacing w:after="240" w:line="240" w:lineRule="auto"/>
        <w:ind w:left="1122" w:hanging="357"/>
        <w:contextualSpacing w:val="0"/>
        <w:jc w:val="both"/>
        <w:rPr>
          <w:bCs/>
        </w:rPr>
      </w:pPr>
      <w:bookmarkStart w:id="18" w:name="OLE_LINK9"/>
      <w:r>
        <w:rPr>
          <w:rFonts w:cs="Calibri"/>
          <w:bCs/>
          <w:sz w:val="21"/>
        </w:rPr>
        <w:t>How can the</w:t>
      </w:r>
      <w:r w:rsidRPr="00E16E2E">
        <w:rPr>
          <w:rFonts w:cs="Calibri"/>
          <w:bCs/>
          <w:sz w:val="21"/>
        </w:rPr>
        <w:t xml:space="preserve"> </w:t>
      </w:r>
      <w:r>
        <w:rPr>
          <w:rFonts w:cs="Calibri"/>
          <w:bCs/>
          <w:sz w:val="21"/>
        </w:rPr>
        <w:t xml:space="preserve">savings from the </w:t>
      </w:r>
      <w:r w:rsidRPr="00E16E2E">
        <w:rPr>
          <w:rFonts w:cs="Calibri"/>
          <w:bCs/>
          <w:sz w:val="21"/>
        </w:rPr>
        <w:t xml:space="preserve">transition to </w:t>
      </w:r>
      <w:r>
        <w:rPr>
          <w:rFonts w:cs="Calibri"/>
          <w:bCs/>
          <w:sz w:val="21"/>
        </w:rPr>
        <w:t>digital,</w:t>
      </w:r>
      <w:r w:rsidRPr="00E16E2E">
        <w:rPr>
          <w:rFonts w:cs="Calibri"/>
          <w:bCs/>
          <w:sz w:val="21"/>
        </w:rPr>
        <w:t xml:space="preserve"> </w:t>
      </w:r>
      <w:r>
        <w:rPr>
          <w:rFonts w:cs="Calibri"/>
          <w:bCs/>
          <w:sz w:val="21"/>
        </w:rPr>
        <w:t>moving</w:t>
      </w:r>
      <w:r w:rsidRPr="00E16E2E">
        <w:rPr>
          <w:rFonts w:cs="Calibri"/>
          <w:bCs/>
          <w:sz w:val="21"/>
        </w:rPr>
        <w:t xml:space="preserve"> away from cash within Banks </w:t>
      </w:r>
      <w:r>
        <w:rPr>
          <w:rFonts w:cs="Calibri"/>
          <w:bCs/>
          <w:sz w:val="21"/>
        </w:rPr>
        <w:t>(which</w:t>
      </w:r>
      <w:r w:rsidRPr="00E16E2E">
        <w:rPr>
          <w:rFonts w:cs="Calibri"/>
          <w:bCs/>
          <w:sz w:val="21"/>
        </w:rPr>
        <w:t xml:space="preserve"> are</w:t>
      </w:r>
      <w:r>
        <w:rPr>
          <w:rFonts w:cs="Calibri"/>
          <w:bCs/>
          <w:sz w:val="21"/>
        </w:rPr>
        <w:t xml:space="preserve"> also </w:t>
      </w:r>
      <w:r w:rsidRPr="00E16E2E">
        <w:rPr>
          <w:rFonts w:cs="Calibri"/>
          <w:bCs/>
          <w:sz w:val="21"/>
        </w:rPr>
        <w:t>card issuers</w:t>
      </w:r>
      <w:r>
        <w:rPr>
          <w:rFonts w:cs="Calibri"/>
          <w:bCs/>
          <w:sz w:val="21"/>
        </w:rPr>
        <w:t>),</w:t>
      </w:r>
      <w:r w:rsidRPr="00E16E2E">
        <w:rPr>
          <w:rFonts w:cs="Calibri"/>
          <w:bCs/>
          <w:sz w:val="21"/>
        </w:rPr>
        <w:t xml:space="preserve"> </w:t>
      </w:r>
      <w:r>
        <w:rPr>
          <w:rFonts w:cs="Calibri"/>
          <w:bCs/>
          <w:sz w:val="21"/>
        </w:rPr>
        <w:t>be shared with</w:t>
      </w:r>
      <w:r w:rsidRPr="00E16E2E">
        <w:rPr>
          <w:rFonts w:cs="Calibri"/>
          <w:bCs/>
          <w:sz w:val="21"/>
        </w:rPr>
        <w:t xml:space="preserve"> </w:t>
      </w:r>
      <w:r>
        <w:rPr>
          <w:rFonts w:cs="Calibri"/>
          <w:bCs/>
          <w:sz w:val="21"/>
        </w:rPr>
        <w:t>m</w:t>
      </w:r>
      <w:r w:rsidRPr="00E16E2E">
        <w:rPr>
          <w:rFonts w:cs="Calibri"/>
          <w:bCs/>
          <w:sz w:val="21"/>
        </w:rPr>
        <w:t>erchants and cardholders</w:t>
      </w:r>
      <w:r>
        <w:rPr>
          <w:rFonts w:cs="Calibri"/>
          <w:bCs/>
          <w:sz w:val="21"/>
        </w:rPr>
        <w:t>?</w:t>
      </w:r>
      <w:r w:rsidRPr="00E16E2E">
        <w:rPr>
          <w:rFonts w:cs="Calibri"/>
          <w:bCs/>
          <w:sz w:val="21"/>
        </w:rPr>
        <w:t xml:space="preserve"> </w:t>
      </w:r>
      <w:r>
        <w:rPr>
          <w:bCs/>
        </w:rPr>
        <w:t>This saving could also be applied to supporting underbanked sections in the community especially in remote and rural locations.</w:t>
      </w:r>
      <w:bookmarkEnd w:id="18"/>
    </w:p>
    <w:p w14:paraId="40BE9D8E" w14:textId="77777777" w:rsidR="005527D8" w:rsidRPr="000B24BD" w:rsidRDefault="005527D8" w:rsidP="005527D8">
      <w:pPr>
        <w:spacing w:after="0" w:line="240" w:lineRule="auto"/>
        <w:ind w:left="11" w:right="17" w:hanging="11"/>
        <w:rPr>
          <w:b/>
          <w:bCs/>
          <w:sz w:val="21"/>
          <w:szCs w:val="21"/>
          <w:lang w:val="en-AU"/>
        </w:rPr>
      </w:pPr>
      <w:r w:rsidRPr="000B24BD">
        <w:rPr>
          <w:b/>
          <w:bCs/>
          <w:sz w:val="21"/>
          <w:szCs w:val="21"/>
          <w:lang w:val="en-AU"/>
        </w:rPr>
        <w:t xml:space="preserve">David </w:t>
      </w:r>
      <w:r>
        <w:rPr>
          <w:b/>
          <w:bCs/>
          <w:sz w:val="21"/>
          <w:szCs w:val="21"/>
          <w:lang w:val="en-AU"/>
        </w:rPr>
        <w:t xml:space="preserve">R </w:t>
      </w:r>
      <w:r w:rsidRPr="000B24BD">
        <w:rPr>
          <w:b/>
          <w:bCs/>
          <w:sz w:val="21"/>
          <w:szCs w:val="21"/>
          <w:lang w:val="en-AU"/>
        </w:rPr>
        <w:t>Hamilton</w:t>
      </w:r>
    </w:p>
    <w:p w14:paraId="6BAF2687" w14:textId="77777777" w:rsidR="005527D8" w:rsidRPr="000B24BD" w:rsidRDefault="005527D8" w:rsidP="005527D8">
      <w:pPr>
        <w:spacing w:after="0" w:line="240" w:lineRule="auto"/>
        <w:ind w:left="11" w:right="17" w:hanging="11"/>
        <w:rPr>
          <w:b/>
          <w:bCs/>
          <w:sz w:val="21"/>
          <w:szCs w:val="21"/>
          <w:lang w:val="en-AU"/>
        </w:rPr>
      </w:pPr>
      <w:r w:rsidRPr="000B24BD">
        <w:rPr>
          <w:b/>
          <w:bCs/>
          <w:sz w:val="21"/>
          <w:szCs w:val="21"/>
          <w:lang w:val="en-AU"/>
        </w:rPr>
        <w:t>Chief Strategy Officer</w:t>
      </w:r>
    </w:p>
    <w:p w14:paraId="3965EFFF" w14:textId="77777777" w:rsidR="005527D8" w:rsidRPr="000B24BD" w:rsidRDefault="005527D8" w:rsidP="005527D8">
      <w:pPr>
        <w:spacing w:after="0" w:line="240" w:lineRule="auto"/>
        <w:ind w:left="11" w:right="17" w:hanging="11"/>
        <w:rPr>
          <w:b/>
          <w:bCs/>
          <w:sz w:val="21"/>
          <w:szCs w:val="21"/>
          <w:lang w:val="en-AU"/>
        </w:rPr>
      </w:pPr>
      <w:r w:rsidRPr="000B24BD">
        <w:rPr>
          <w:b/>
          <w:bCs/>
          <w:sz w:val="21"/>
          <w:szCs w:val="21"/>
          <w:lang w:val="en-AU"/>
        </w:rPr>
        <w:t xml:space="preserve">National Billing Group </w:t>
      </w:r>
    </w:p>
    <w:p w14:paraId="087E8CB3" w14:textId="453379C0" w:rsidR="001A6D46" w:rsidRDefault="005527D8" w:rsidP="005527D8">
      <w:r>
        <w:rPr>
          <w:sz w:val="21"/>
          <w:szCs w:val="21"/>
          <w:lang w:val="en-AU"/>
        </w:rPr>
        <w:t>2</w:t>
      </w:r>
      <w:r>
        <w:rPr>
          <w:sz w:val="21"/>
          <w:szCs w:val="21"/>
          <w:lang w:val="en-AU"/>
        </w:rPr>
        <w:t xml:space="preserve"> December 2024</w:t>
      </w:r>
    </w:p>
    <w:sectPr w:rsidR="001A6D46" w:rsidSect="00DC512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61A888" w14:textId="77777777" w:rsidR="00247F9A" w:rsidRDefault="00247F9A" w:rsidP="00657DF0">
      <w:pPr>
        <w:spacing w:after="0" w:line="240" w:lineRule="auto"/>
      </w:pPr>
      <w:r>
        <w:separator/>
      </w:r>
    </w:p>
  </w:endnote>
  <w:endnote w:type="continuationSeparator" w:id="0">
    <w:p w14:paraId="4D239398" w14:textId="77777777" w:rsidR="00247F9A" w:rsidRDefault="00247F9A" w:rsidP="00657D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0423E1" w14:textId="5DBEAE42" w:rsidR="00EA0054" w:rsidRPr="00EA0054" w:rsidRDefault="00EA0054" w:rsidP="00EA0054">
    <w:pPr>
      <w:pStyle w:val="Footer"/>
      <w:jc w:val="right"/>
      <w:rPr>
        <w:b/>
        <w:bCs/>
        <w:lang w:val="en-US"/>
      </w:rPr>
    </w:pPr>
    <w:r w:rsidRPr="00EA0054">
      <w:rPr>
        <w:rFonts w:cs="Calibri"/>
        <w:b/>
        <w:bCs/>
        <w:sz w:val="18"/>
        <w:szCs w:val="18"/>
        <w:lang w:val="en-GB"/>
      </w:rPr>
      <w:t xml:space="preserve">Page </w:t>
    </w:r>
    <w:r w:rsidRPr="00EA0054">
      <w:rPr>
        <w:rFonts w:cs="Calibri"/>
        <w:b/>
        <w:bCs/>
        <w:sz w:val="18"/>
        <w:szCs w:val="18"/>
        <w:lang w:val="en-GB"/>
      </w:rPr>
      <w:fldChar w:fldCharType="begin"/>
    </w:r>
    <w:r w:rsidRPr="00EA0054">
      <w:rPr>
        <w:rFonts w:cs="Calibri"/>
        <w:b/>
        <w:bCs/>
        <w:sz w:val="18"/>
        <w:szCs w:val="18"/>
        <w:lang w:val="en-GB"/>
      </w:rPr>
      <w:instrText xml:space="preserve"> PAGE </w:instrText>
    </w:r>
    <w:r w:rsidRPr="00EA0054">
      <w:rPr>
        <w:rFonts w:cs="Calibri"/>
        <w:b/>
        <w:bCs/>
        <w:sz w:val="18"/>
        <w:szCs w:val="18"/>
        <w:lang w:val="en-GB"/>
      </w:rPr>
      <w:fldChar w:fldCharType="separate"/>
    </w:r>
    <w:r w:rsidRPr="00EA0054">
      <w:rPr>
        <w:rFonts w:cs="Calibri"/>
        <w:b/>
        <w:bCs/>
        <w:noProof/>
        <w:sz w:val="18"/>
        <w:szCs w:val="18"/>
        <w:lang w:val="en-GB"/>
      </w:rPr>
      <w:t>2</w:t>
    </w:r>
    <w:r w:rsidRPr="00EA0054">
      <w:rPr>
        <w:rFonts w:cs="Calibri"/>
        <w:b/>
        <w:bCs/>
        <w:sz w:val="18"/>
        <w:szCs w:val="18"/>
        <w:lang w:val="en-GB"/>
      </w:rPr>
      <w:fldChar w:fldCharType="end"/>
    </w:r>
    <w:r w:rsidRPr="00EA0054">
      <w:rPr>
        <w:rFonts w:cs="Calibri"/>
        <w:b/>
        <w:bCs/>
        <w:sz w:val="18"/>
        <w:szCs w:val="18"/>
        <w:lang w:val="en-GB"/>
      </w:rPr>
      <w:t xml:space="preserve"> of </w:t>
    </w:r>
    <w:r w:rsidRPr="00EA0054">
      <w:rPr>
        <w:rFonts w:cs="Calibri"/>
        <w:b/>
        <w:bCs/>
        <w:sz w:val="18"/>
        <w:szCs w:val="18"/>
        <w:lang w:val="en-GB"/>
      </w:rPr>
      <w:fldChar w:fldCharType="begin"/>
    </w:r>
    <w:r w:rsidRPr="00EA0054">
      <w:rPr>
        <w:rFonts w:cs="Calibri"/>
        <w:b/>
        <w:bCs/>
        <w:sz w:val="18"/>
        <w:szCs w:val="18"/>
        <w:lang w:val="en-GB"/>
      </w:rPr>
      <w:instrText xml:space="preserve"> NUMPAGES </w:instrText>
    </w:r>
    <w:r w:rsidRPr="00EA0054">
      <w:rPr>
        <w:rFonts w:cs="Calibri"/>
        <w:b/>
        <w:bCs/>
        <w:sz w:val="18"/>
        <w:szCs w:val="18"/>
        <w:lang w:val="en-GB"/>
      </w:rPr>
      <w:fldChar w:fldCharType="separate"/>
    </w:r>
    <w:r w:rsidRPr="00EA0054">
      <w:rPr>
        <w:rFonts w:cs="Calibri"/>
        <w:b/>
        <w:bCs/>
        <w:noProof/>
        <w:sz w:val="18"/>
        <w:szCs w:val="18"/>
        <w:lang w:val="en-GB"/>
      </w:rPr>
      <w:t>11</w:t>
    </w:r>
    <w:r w:rsidRPr="00EA0054">
      <w:rPr>
        <w:rFonts w:cs="Calibri"/>
        <w:b/>
        <w:bCs/>
        <w:sz w:val="18"/>
        <w:szCs w:val="18"/>
        <w:lang w:val="en-G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137531" w14:textId="340E7542" w:rsidR="0011056E" w:rsidRDefault="00EA0054" w:rsidP="00EA0054">
    <w:pPr>
      <w:pStyle w:val="Footer"/>
      <w:jc w:val="right"/>
    </w:pPr>
    <w:r w:rsidRPr="00EA0054">
      <w:rPr>
        <w:rFonts w:cs="Calibri"/>
        <w:b/>
        <w:bCs/>
        <w:noProof/>
        <w:sz w:val="18"/>
        <w:szCs w:val="18"/>
        <w:lang w:val="en-GB"/>
      </w:rPr>
      <mc:AlternateContent>
        <mc:Choice Requires="wps">
          <w:drawing>
            <wp:anchor distT="0" distB="0" distL="114300" distR="114300" simplePos="0" relativeHeight="251662336" behindDoc="0" locked="0" layoutInCell="1" allowOverlap="1" wp14:anchorId="29B5293D" wp14:editId="6918AE93">
              <wp:simplePos x="0" y="0"/>
              <wp:positionH relativeFrom="column">
                <wp:posOffset>1175657</wp:posOffset>
              </wp:positionH>
              <wp:positionV relativeFrom="paragraph">
                <wp:posOffset>-148538</wp:posOffset>
              </wp:positionV>
              <wp:extent cx="2799184" cy="429208"/>
              <wp:effectExtent l="0" t="0" r="0" b="3175"/>
              <wp:wrapNone/>
              <wp:docPr id="1651602942" name="Text Box 2"/>
              <wp:cNvGraphicFramePr/>
              <a:graphic xmlns:a="http://schemas.openxmlformats.org/drawingml/2006/main">
                <a:graphicData uri="http://schemas.microsoft.com/office/word/2010/wordprocessingShape">
                  <wps:wsp>
                    <wps:cNvSpPr txBox="1"/>
                    <wps:spPr>
                      <a:xfrm>
                        <a:off x="0" y="0"/>
                        <a:ext cx="2799184" cy="429208"/>
                      </a:xfrm>
                      <a:prstGeom prst="rect">
                        <a:avLst/>
                      </a:prstGeom>
                      <a:solidFill>
                        <a:schemeClr val="lt1"/>
                      </a:solidFill>
                      <a:ln w="6350">
                        <a:noFill/>
                      </a:ln>
                    </wps:spPr>
                    <wps:txbx>
                      <w:txbxContent>
                        <w:p w14:paraId="532E1817" w14:textId="2A30A946" w:rsidR="00EA0054" w:rsidRDefault="00EA0054" w:rsidP="00EA0054">
                          <w:pPr>
                            <w:spacing w:after="0"/>
                            <w:jc w:val="center"/>
                            <w:rPr>
                              <w:rFonts w:cs="Calibri"/>
                              <w:sz w:val="18"/>
                              <w:szCs w:val="18"/>
                              <w:lang w:val="en-US"/>
                            </w:rPr>
                          </w:pPr>
                          <w:r>
                            <w:rPr>
                              <w:rFonts w:cs="Calibri"/>
                              <w:sz w:val="18"/>
                              <w:szCs w:val="18"/>
                              <w:lang w:val="en-US"/>
                            </w:rPr>
                            <w:t>Level 2, 161 Collins St Melbourne VIC 3000</w:t>
                          </w:r>
                        </w:p>
                        <w:p w14:paraId="0BAF492D" w14:textId="71CCF80E" w:rsidR="00EA0054" w:rsidRPr="0018428E" w:rsidRDefault="00EA0054" w:rsidP="00EA0054">
                          <w:pPr>
                            <w:spacing w:after="0"/>
                            <w:jc w:val="center"/>
                            <w:rPr>
                              <w:rFonts w:cs="Calibri"/>
                              <w:sz w:val="18"/>
                              <w:szCs w:val="18"/>
                              <w:lang w:val="en-US"/>
                            </w:rPr>
                          </w:pPr>
                          <w:r>
                            <w:rPr>
                              <w:rFonts w:cs="Calibri"/>
                              <w:sz w:val="18"/>
                              <w:szCs w:val="18"/>
                              <w:lang w:val="en-US"/>
                            </w:rPr>
                            <w:t>PO Box 3024 DENDY VIC 3186</w:t>
                          </w:r>
                        </w:p>
                        <w:p w14:paraId="483B0B76" w14:textId="77777777" w:rsidR="00EA0054" w:rsidRDefault="00EA00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B5293D" id="_x0000_t202" coordsize="21600,21600" o:spt="202" path="m,l,21600r21600,l21600,xe">
              <v:stroke joinstyle="miter"/>
              <v:path gradientshapeok="t" o:connecttype="rect"/>
            </v:shapetype>
            <v:shape id="Text Box 2" o:spid="_x0000_s1026" type="#_x0000_t202" style="position:absolute;left:0;text-align:left;margin-left:92.55pt;margin-top:-11.7pt;width:220.4pt;height:3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" fillcolor="white [3201]" stroked="f" strokeweight=".5pt">
              <v:textbox>
                <w:txbxContent>
                  <w:p w14:paraId="532E1817" w14:textId="2A30A946" w:rsidR="00EA0054" w:rsidRDefault="00EA0054" w:rsidP="00EA0054">
                    <w:pPr>
                      <w:spacing w:after="0"/>
                      <w:jc w:val="center"/>
                      <w:rPr>
                        <w:rFonts w:cs="Calibri"/>
                        <w:sz w:val="18"/>
                        <w:szCs w:val="18"/>
                        <w:lang w:val="en-US"/>
                      </w:rPr>
                    </w:pPr>
                    <w:r>
                      <w:rPr>
                        <w:rFonts w:cs="Calibri"/>
                        <w:sz w:val="18"/>
                        <w:szCs w:val="18"/>
                        <w:lang w:val="en-US"/>
                      </w:rPr>
                      <w:t>Level 2, 161 Collins St Melbourne VIC 3000</w:t>
                    </w:r>
                  </w:p>
                  <w:p w14:paraId="0BAF492D" w14:textId="71CCF80E" w:rsidR="00EA0054" w:rsidRPr="0018428E" w:rsidRDefault="00EA0054" w:rsidP="00EA0054">
                    <w:pPr>
                      <w:spacing w:after="0"/>
                      <w:jc w:val="center"/>
                      <w:rPr>
                        <w:rFonts w:cs="Calibri"/>
                        <w:sz w:val="18"/>
                        <w:szCs w:val="18"/>
                        <w:lang w:val="en-US"/>
                      </w:rPr>
                    </w:pPr>
                    <w:r>
                      <w:rPr>
                        <w:rFonts w:cs="Calibri"/>
                        <w:sz w:val="18"/>
                        <w:szCs w:val="18"/>
                        <w:lang w:val="en-US"/>
                      </w:rPr>
                      <w:t>PO Box 3024 DENDY VIC 3186</w:t>
                    </w:r>
                  </w:p>
                  <w:p w14:paraId="483B0B76" w14:textId="77777777" w:rsidR="00EA0054" w:rsidRDefault="00EA0054"/>
                </w:txbxContent>
              </v:textbox>
            </v:shape>
          </w:pict>
        </mc:Fallback>
      </mc:AlternateContent>
    </w:r>
    <w:r w:rsidRPr="00EA0054">
      <w:rPr>
        <w:rFonts w:cs="Calibri"/>
        <w:b/>
        <w:bCs/>
        <w:sz w:val="18"/>
        <w:szCs w:val="18"/>
        <w:lang w:val="en-GB"/>
      </w:rPr>
      <w:t xml:space="preserve">Page </w:t>
    </w:r>
    <w:r w:rsidRPr="00EA0054">
      <w:rPr>
        <w:rFonts w:cs="Calibri"/>
        <w:b/>
        <w:bCs/>
        <w:sz w:val="18"/>
        <w:szCs w:val="18"/>
        <w:lang w:val="en-GB"/>
      </w:rPr>
      <w:fldChar w:fldCharType="begin"/>
    </w:r>
    <w:r w:rsidRPr="00EA0054">
      <w:rPr>
        <w:rFonts w:cs="Calibri"/>
        <w:b/>
        <w:bCs/>
        <w:sz w:val="18"/>
        <w:szCs w:val="18"/>
        <w:lang w:val="en-GB"/>
      </w:rPr>
      <w:instrText xml:space="preserve"> PAGE </w:instrText>
    </w:r>
    <w:r w:rsidRPr="00EA0054">
      <w:rPr>
        <w:rFonts w:cs="Calibri"/>
        <w:b/>
        <w:bCs/>
        <w:sz w:val="18"/>
        <w:szCs w:val="18"/>
        <w:lang w:val="en-GB"/>
      </w:rPr>
      <w:fldChar w:fldCharType="separate"/>
    </w:r>
    <w:r w:rsidRPr="00EA0054">
      <w:rPr>
        <w:rFonts w:cs="Calibri"/>
        <w:b/>
        <w:bCs/>
        <w:noProof/>
        <w:sz w:val="18"/>
        <w:szCs w:val="18"/>
        <w:lang w:val="en-GB"/>
      </w:rPr>
      <w:t>11</w:t>
    </w:r>
    <w:r w:rsidRPr="00EA0054">
      <w:rPr>
        <w:rFonts w:cs="Calibri"/>
        <w:b/>
        <w:bCs/>
        <w:sz w:val="18"/>
        <w:szCs w:val="18"/>
        <w:lang w:val="en-GB"/>
      </w:rPr>
      <w:fldChar w:fldCharType="end"/>
    </w:r>
    <w:r w:rsidRPr="00EA0054">
      <w:rPr>
        <w:rFonts w:cs="Calibri"/>
        <w:b/>
        <w:bCs/>
        <w:sz w:val="18"/>
        <w:szCs w:val="18"/>
        <w:lang w:val="en-GB"/>
      </w:rPr>
      <w:t xml:space="preserve"> of </w:t>
    </w:r>
    <w:r w:rsidRPr="00EA0054">
      <w:rPr>
        <w:rFonts w:cs="Calibri"/>
        <w:b/>
        <w:bCs/>
        <w:sz w:val="18"/>
        <w:szCs w:val="18"/>
        <w:lang w:val="en-GB"/>
      </w:rPr>
      <w:fldChar w:fldCharType="begin"/>
    </w:r>
    <w:r w:rsidRPr="00EA0054">
      <w:rPr>
        <w:rFonts w:cs="Calibri"/>
        <w:b/>
        <w:bCs/>
        <w:sz w:val="18"/>
        <w:szCs w:val="18"/>
        <w:lang w:val="en-GB"/>
      </w:rPr>
      <w:instrText xml:space="preserve"> NUMPAGES </w:instrText>
    </w:r>
    <w:r w:rsidRPr="00EA0054">
      <w:rPr>
        <w:rFonts w:cs="Calibri"/>
        <w:b/>
        <w:bCs/>
        <w:sz w:val="18"/>
        <w:szCs w:val="18"/>
        <w:lang w:val="en-GB"/>
      </w:rPr>
      <w:fldChar w:fldCharType="separate"/>
    </w:r>
    <w:r w:rsidRPr="00EA0054">
      <w:rPr>
        <w:rFonts w:cs="Calibri"/>
        <w:b/>
        <w:bCs/>
        <w:noProof/>
        <w:sz w:val="18"/>
        <w:szCs w:val="18"/>
        <w:lang w:val="en-GB"/>
      </w:rPr>
      <w:t>11</w:t>
    </w:r>
    <w:r w:rsidRPr="00EA0054">
      <w:rPr>
        <w:rFonts w:cs="Calibri"/>
        <w:b/>
        <w:bCs/>
        <w:sz w:val="18"/>
        <w:szCs w:val="18"/>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A0A9B3" w14:textId="77777777" w:rsidR="00247F9A" w:rsidRDefault="00247F9A" w:rsidP="00657DF0">
      <w:pPr>
        <w:spacing w:after="0" w:line="240" w:lineRule="auto"/>
      </w:pPr>
      <w:r>
        <w:separator/>
      </w:r>
    </w:p>
  </w:footnote>
  <w:footnote w:type="continuationSeparator" w:id="0">
    <w:p w14:paraId="5CA36073" w14:textId="77777777" w:rsidR="00247F9A" w:rsidRDefault="00247F9A" w:rsidP="00657DF0">
      <w:pPr>
        <w:spacing w:after="0" w:line="240" w:lineRule="auto"/>
      </w:pPr>
      <w:r>
        <w:continuationSeparator/>
      </w:r>
    </w:p>
  </w:footnote>
  <w:footnote w:id="1">
    <w:p w14:paraId="33A6CE1D" w14:textId="77777777" w:rsidR="00657DF0" w:rsidRPr="003E73B5" w:rsidRDefault="00657DF0" w:rsidP="00657DF0">
      <w:pPr>
        <w:pStyle w:val="FootnoteText"/>
        <w:rPr>
          <w:sz w:val="16"/>
          <w:szCs w:val="16"/>
          <w:lang w:val="en-AU"/>
        </w:rPr>
      </w:pPr>
      <w:r>
        <w:rPr>
          <w:rStyle w:val="FootnoteReference"/>
        </w:rPr>
        <w:footnoteRef/>
      </w:r>
      <w:r>
        <w:t xml:space="preserve"> </w:t>
      </w:r>
      <w:r w:rsidRPr="003E73B5">
        <w:rPr>
          <w:sz w:val="16"/>
          <w:szCs w:val="16"/>
        </w:rPr>
        <w:t>Fan, Ying.</w:t>
      </w:r>
      <w:r>
        <w:rPr>
          <w:sz w:val="16"/>
          <w:szCs w:val="16"/>
        </w:rPr>
        <w:t xml:space="preserve"> </w:t>
      </w:r>
      <w:r w:rsidRPr="003E73B5">
        <w:rPr>
          <w:sz w:val="16"/>
          <w:szCs w:val="16"/>
        </w:rPr>
        <w:t>2013.</w:t>
      </w:r>
      <w:r>
        <w:rPr>
          <w:sz w:val="16"/>
          <w:szCs w:val="16"/>
        </w:rPr>
        <w:t xml:space="preserve"> </w:t>
      </w:r>
      <w:r w:rsidRPr="003E73B5">
        <w:rPr>
          <w:sz w:val="16"/>
          <w:szCs w:val="16"/>
        </w:rPr>
        <w:t>"Ownership Consolidation and Product Characteristics: A Study of the US Daily Newspaper Market."</w:t>
      </w:r>
      <w:r>
        <w:rPr>
          <w:sz w:val="16"/>
          <w:szCs w:val="16"/>
        </w:rPr>
        <w:t xml:space="preserve"> </w:t>
      </w:r>
      <w:r w:rsidRPr="003E73B5">
        <w:rPr>
          <w:i/>
          <w:iCs/>
          <w:sz w:val="16"/>
          <w:szCs w:val="16"/>
        </w:rPr>
        <w:t>American Economic Review</w:t>
      </w:r>
      <w:r w:rsidRPr="003E73B5">
        <w:rPr>
          <w:sz w:val="16"/>
          <w:szCs w:val="16"/>
        </w:rPr>
        <w:t>,</w:t>
      </w:r>
      <w:r>
        <w:rPr>
          <w:sz w:val="16"/>
          <w:szCs w:val="16"/>
        </w:rPr>
        <w:t xml:space="preserve"> </w:t>
      </w:r>
      <w:r w:rsidRPr="003E73B5">
        <w:rPr>
          <w:sz w:val="16"/>
          <w:szCs w:val="16"/>
        </w:rPr>
        <w:t>103 (5): 1598–1628</w:t>
      </w:r>
      <w:r>
        <w:rPr>
          <w:sz w:val="16"/>
          <w:szCs w:val="16"/>
        </w:rPr>
        <w:t xml:space="preserve">. </w:t>
      </w:r>
      <w:r w:rsidRPr="003E73B5">
        <w:rPr>
          <w:rFonts w:cs="Calibri"/>
          <w:bCs/>
          <w:sz w:val="18"/>
          <w:szCs w:val="18"/>
        </w:rPr>
        <w:t>This paper on consolidation impacts in newspaper markets is insightful in this regard demonstrating that both readers and advertisers faced higher costs</w:t>
      </w:r>
      <w:r>
        <w:rPr>
          <w:rFonts w:cs="Calibri"/>
          <w:bCs/>
          <w:sz w:val="18"/>
          <w:szCs w:val="18"/>
        </w:rPr>
        <w:t xml:space="preserve"> and can be translated into the Payment Multisided market when the acquirers and issuers are the same actors.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1333F3" w14:textId="13237DDF" w:rsidR="0011056E" w:rsidRDefault="00EA0054" w:rsidP="00EA0054">
    <w:pPr>
      <w:pStyle w:val="Header"/>
      <w:contextualSpacing/>
      <w:jc w:val="right"/>
      <w:rPr>
        <w:b/>
        <w:bCs/>
        <w:sz w:val="28"/>
        <w:szCs w:val="28"/>
      </w:rPr>
    </w:pPr>
    <w:r w:rsidRPr="005F383E">
      <w:rPr>
        <w:b/>
        <w:bCs/>
        <w:sz w:val="28"/>
        <w:szCs w:val="28"/>
      </w:rPr>
      <w:t>NATION</w:t>
    </w:r>
    <w:r w:rsidRPr="00EA0054">
      <w:rPr>
        <w:b/>
        <w:bCs/>
        <w:sz w:val="28"/>
        <w:szCs w:val="28"/>
      </w:rPr>
      <w:t>AL BILLING GROUP PTY LTD</w:t>
    </w:r>
  </w:p>
  <w:p w14:paraId="58070FE2" w14:textId="7C31E2E0" w:rsidR="00EA0054" w:rsidRPr="0018428E" w:rsidRDefault="00EA0054" w:rsidP="005F383E">
    <w:pPr>
      <w:spacing w:after="0" w:line="240" w:lineRule="auto"/>
      <w:contextualSpacing/>
      <w:jc w:val="right"/>
      <w:rPr>
        <w:rFonts w:cs="Calibri"/>
        <w:sz w:val="18"/>
        <w:szCs w:val="18"/>
        <w:lang w:val="en-US"/>
      </w:rPr>
    </w:pPr>
    <w:r>
      <w:rPr>
        <w:rFonts w:cs="Calibri"/>
        <w:sz w:val="18"/>
        <w:szCs w:val="18"/>
        <w:lang w:val="en-US"/>
      </w:rPr>
      <w:t>ABN: 76107408579</w:t>
    </w:r>
  </w:p>
  <w:p w14:paraId="6EB2E24D" w14:textId="77777777" w:rsidR="00EA0054" w:rsidRPr="00EA0054" w:rsidRDefault="00EA0054" w:rsidP="00EA0054">
    <w:pPr>
      <w:pStyle w:val="Header"/>
      <w:contextualSpacing/>
      <w:jc w:val="right"/>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EC1F45"/>
    <w:multiLevelType w:val="hybridMultilevel"/>
    <w:tmpl w:val="B5D8A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F64F82"/>
    <w:multiLevelType w:val="hybridMultilevel"/>
    <w:tmpl w:val="DE7489EC"/>
    <w:lvl w:ilvl="0" w:tplc="1794DC0E">
      <w:start w:val="1"/>
      <w:numFmt w:val="lowerRoman"/>
      <w:lvlText w:val="%1"/>
      <w:lvlJc w:val="left"/>
      <w:pPr>
        <w:ind w:left="720" w:hanging="3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9776FA4"/>
    <w:multiLevelType w:val="hybridMultilevel"/>
    <w:tmpl w:val="50A09512"/>
    <w:lvl w:ilvl="0" w:tplc="1794DC0E">
      <w:start w:val="1"/>
      <w:numFmt w:val="lowerRoman"/>
      <w:lvlText w:val="%1"/>
      <w:lvlJc w:val="left"/>
      <w:pPr>
        <w:ind w:left="720" w:hanging="3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90C30F1"/>
    <w:multiLevelType w:val="hybridMultilevel"/>
    <w:tmpl w:val="AE42C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9320514"/>
    <w:multiLevelType w:val="hybridMultilevel"/>
    <w:tmpl w:val="0A7A4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56F59AA"/>
    <w:multiLevelType w:val="hybridMultilevel"/>
    <w:tmpl w:val="2B30223C"/>
    <w:lvl w:ilvl="0" w:tplc="1794DC0E">
      <w:start w:val="1"/>
      <w:numFmt w:val="lowerRoman"/>
      <w:lvlText w:val="%1"/>
      <w:lvlJc w:val="left"/>
      <w:pPr>
        <w:ind w:left="1126" w:hanging="3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08090019" w:tentative="1">
      <w:start w:val="1"/>
      <w:numFmt w:val="lowerLetter"/>
      <w:lvlText w:val="%2."/>
      <w:lvlJc w:val="left"/>
      <w:pPr>
        <w:ind w:left="1846" w:hanging="360"/>
      </w:pPr>
    </w:lvl>
    <w:lvl w:ilvl="2" w:tplc="0809001B" w:tentative="1">
      <w:start w:val="1"/>
      <w:numFmt w:val="lowerRoman"/>
      <w:lvlText w:val="%3."/>
      <w:lvlJc w:val="right"/>
      <w:pPr>
        <w:ind w:left="2566" w:hanging="180"/>
      </w:pPr>
    </w:lvl>
    <w:lvl w:ilvl="3" w:tplc="0809000F" w:tentative="1">
      <w:start w:val="1"/>
      <w:numFmt w:val="decimal"/>
      <w:lvlText w:val="%4."/>
      <w:lvlJc w:val="left"/>
      <w:pPr>
        <w:ind w:left="3286" w:hanging="360"/>
      </w:pPr>
    </w:lvl>
    <w:lvl w:ilvl="4" w:tplc="08090019" w:tentative="1">
      <w:start w:val="1"/>
      <w:numFmt w:val="lowerLetter"/>
      <w:lvlText w:val="%5."/>
      <w:lvlJc w:val="left"/>
      <w:pPr>
        <w:ind w:left="4006" w:hanging="360"/>
      </w:pPr>
    </w:lvl>
    <w:lvl w:ilvl="5" w:tplc="0809001B" w:tentative="1">
      <w:start w:val="1"/>
      <w:numFmt w:val="lowerRoman"/>
      <w:lvlText w:val="%6."/>
      <w:lvlJc w:val="right"/>
      <w:pPr>
        <w:ind w:left="4726" w:hanging="180"/>
      </w:pPr>
    </w:lvl>
    <w:lvl w:ilvl="6" w:tplc="0809000F" w:tentative="1">
      <w:start w:val="1"/>
      <w:numFmt w:val="decimal"/>
      <w:lvlText w:val="%7."/>
      <w:lvlJc w:val="left"/>
      <w:pPr>
        <w:ind w:left="5446" w:hanging="360"/>
      </w:pPr>
    </w:lvl>
    <w:lvl w:ilvl="7" w:tplc="08090019" w:tentative="1">
      <w:start w:val="1"/>
      <w:numFmt w:val="lowerLetter"/>
      <w:lvlText w:val="%8."/>
      <w:lvlJc w:val="left"/>
      <w:pPr>
        <w:ind w:left="6166" w:hanging="360"/>
      </w:pPr>
    </w:lvl>
    <w:lvl w:ilvl="8" w:tplc="0809001B" w:tentative="1">
      <w:start w:val="1"/>
      <w:numFmt w:val="lowerRoman"/>
      <w:lvlText w:val="%9."/>
      <w:lvlJc w:val="right"/>
      <w:pPr>
        <w:ind w:left="6886" w:hanging="180"/>
      </w:pPr>
    </w:lvl>
  </w:abstractNum>
  <w:abstractNum w:abstractNumId="6" w15:restartNumberingAfterBreak="0">
    <w:nsid w:val="61540BEC"/>
    <w:multiLevelType w:val="hybridMultilevel"/>
    <w:tmpl w:val="FA86680C"/>
    <w:lvl w:ilvl="0" w:tplc="1794DC0E">
      <w:start w:val="1"/>
      <w:numFmt w:val="lowerRoman"/>
      <w:lvlText w:val="%1"/>
      <w:lvlJc w:val="left"/>
      <w:pPr>
        <w:ind w:left="720" w:hanging="360"/>
      </w:pPr>
      <w:rPr>
        <w:rFonts w:ascii="Calibri" w:eastAsia="Calibri" w:hAnsi="Calibri" w:cs="Calibri" w:hint="default"/>
        <w:b w:val="0"/>
        <w:i w:val="0"/>
        <w:strike w:val="0"/>
        <w:dstrike w:val="0"/>
        <w:color w:val="000000"/>
        <w:sz w:val="21"/>
        <w:szCs w:val="21"/>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63EF24D6"/>
    <w:multiLevelType w:val="hybridMultilevel"/>
    <w:tmpl w:val="693A6028"/>
    <w:lvl w:ilvl="0" w:tplc="5792E490">
      <w:start w:val="1"/>
      <w:numFmt w:val="lowerRoman"/>
      <w:lvlText w:val="%1"/>
      <w:lvlJc w:val="left"/>
      <w:pPr>
        <w:ind w:left="720" w:hanging="360"/>
      </w:pPr>
      <w:rPr>
        <w:rFonts w:ascii="Calibri" w:eastAsia="Calibri" w:hAnsi="Calibri" w:cs="Calibri"/>
        <w:b w:val="0"/>
        <w:i w:val="0"/>
        <w:strike w:val="0"/>
        <w:dstrike w:val="0"/>
        <w:color w:val="auto"/>
        <w:sz w:val="23"/>
        <w:szCs w:val="23"/>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DE3722C"/>
    <w:multiLevelType w:val="hybridMultilevel"/>
    <w:tmpl w:val="A490C9EA"/>
    <w:lvl w:ilvl="0" w:tplc="A4889910">
      <w:start w:val="1"/>
      <w:numFmt w:val="decimal"/>
      <w:lvlText w:val="%1."/>
      <w:lvlJc w:val="left"/>
      <w:pPr>
        <w:ind w:left="406"/>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A0CAD23E">
      <w:start w:val="1"/>
      <w:numFmt w:val="lowerLetter"/>
      <w:lvlText w:val="%2"/>
      <w:lvlJc w:val="left"/>
      <w:pPr>
        <w:ind w:left="729"/>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1794DC0E">
      <w:start w:val="1"/>
      <w:numFmt w:val="lowerRoman"/>
      <w:lvlText w:val="%3"/>
      <w:lvlJc w:val="left"/>
      <w:pPr>
        <w:ind w:left="1449"/>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B05A0EDC">
      <w:start w:val="1"/>
      <w:numFmt w:val="decimal"/>
      <w:lvlText w:val="%4"/>
      <w:lvlJc w:val="left"/>
      <w:pPr>
        <w:ind w:left="2169"/>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81CA927E">
      <w:start w:val="1"/>
      <w:numFmt w:val="lowerLetter"/>
      <w:lvlText w:val="%5"/>
      <w:lvlJc w:val="left"/>
      <w:pPr>
        <w:ind w:left="2889"/>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58A41744">
      <w:start w:val="1"/>
      <w:numFmt w:val="lowerRoman"/>
      <w:lvlText w:val="%6"/>
      <w:lvlJc w:val="left"/>
      <w:pPr>
        <w:ind w:left="3609"/>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DB866074">
      <w:start w:val="1"/>
      <w:numFmt w:val="decimal"/>
      <w:lvlText w:val="%7"/>
      <w:lvlJc w:val="left"/>
      <w:pPr>
        <w:ind w:left="4329"/>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D6BA4912">
      <w:start w:val="1"/>
      <w:numFmt w:val="lowerLetter"/>
      <w:lvlText w:val="%8"/>
      <w:lvlJc w:val="left"/>
      <w:pPr>
        <w:ind w:left="5049"/>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BD0038EE">
      <w:start w:val="1"/>
      <w:numFmt w:val="lowerRoman"/>
      <w:lvlText w:val="%9"/>
      <w:lvlJc w:val="left"/>
      <w:pPr>
        <w:ind w:left="5769"/>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num w:numId="1" w16cid:durableId="621884780">
    <w:abstractNumId w:val="8"/>
  </w:num>
  <w:num w:numId="2" w16cid:durableId="524633417">
    <w:abstractNumId w:val="4"/>
  </w:num>
  <w:num w:numId="3" w16cid:durableId="2048984375">
    <w:abstractNumId w:val="3"/>
  </w:num>
  <w:num w:numId="4" w16cid:durableId="451948893">
    <w:abstractNumId w:val="6"/>
  </w:num>
  <w:num w:numId="5" w16cid:durableId="1148478191">
    <w:abstractNumId w:val="2"/>
  </w:num>
  <w:num w:numId="6" w16cid:durableId="165950372">
    <w:abstractNumId w:val="5"/>
  </w:num>
  <w:num w:numId="7" w16cid:durableId="412822567">
    <w:abstractNumId w:val="1"/>
  </w:num>
  <w:num w:numId="8" w16cid:durableId="493567993">
    <w:abstractNumId w:val="7"/>
  </w:num>
  <w:num w:numId="9" w16cid:durableId="1005549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DF0"/>
    <w:rsid w:val="00074ED5"/>
    <w:rsid w:val="0011056E"/>
    <w:rsid w:val="001A6D46"/>
    <w:rsid w:val="00247F9A"/>
    <w:rsid w:val="00325836"/>
    <w:rsid w:val="005527D8"/>
    <w:rsid w:val="005E3B5A"/>
    <w:rsid w:val="005F383E"/>
    <w:rsid w:val="00657DF0"/>
    <w:rsid w:val="00B97CE7"/>
    <w:rsid w:val="00D728FA"/>
    <w:rsid w:val="00DC5122"/>
    <w:rsid w:val="00E60AD1"/>
    <w:rsid w:val="00E73F70"/>
    <w:rsid w:val="00EA0054"/>
    <w:rsid w:val="00F63EA4"/>
    <w:rsid w:val="00FA10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024410"/>
  <w14:defaultImageDpi w14:val="32767"/>
  <w15:chartTrackingRefBased/>
  <w15:docId w15:val="{95CCE3EB-8C38-1742-9D1F-82BB44B2A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Calibri"/>
        <w:kern w:val="2"/>
        <w:sz w:val="21"/>
        <w:szCs w:val="21"/>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657DF0"/>
    <w:pPr>
      <w:spacing w:after="160" w:line="259" w:lineRule="auto"/>
    </w:pPr>
    <w:rPr>
      <w:rFonts w:eastAsia="Calibri" w:cs="Times New Roman"/>
      <w:color w:val="000000"/>
      <w:sz w:val="22"/>
      <w:szCs w:val="24"/>
      <w:lang w:val="en" w:eastAsia="en"/>
    </w:rPr>
  </w:style>
  <w:style w:type="paragraph" w:styleId="Heading1">
    <w:name w:val="heading 1"/>
    <w:basedOn w:val="Normal"/>
    <w:next w:val="Normal"/>
    <w:link w:val="Heading1Char"/>
    <w:uiPriority w:val="9"/>
    <w:qFormat/>
    <w:rsid w:val="00657D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7D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7DF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7DF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57DF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57DF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57DF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57DF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57DF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7D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7D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7DF0"/>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7DF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57DF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57DF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57DF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57DF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57DF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57DF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7D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7DF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7DF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57DF0"/>
    <w:pPr>
      <w:spacing w:before="160"/>
      <w:jc w:val="center"/>
    </w:pPr>
    <w:rPr>
      <w:i/>
      <w:iCs/>
      <w:color w:val="404040" w:themeColor="text1" w:themeTint="BF"/>
    </w:rPr>
  </w:style>
  <w:style w:type="character" w:customStyle="1" w:styleId="QuoteChar">
    <w:name w:val="Quote Char"/>
    <w:basedOn w:val="DefaultParagraphFont"/>
    <w:link w:val="Quote"/>
    <w:uiPriority w:val="29"/>
    <w:rsid w:val="00657DF0"/>
    <w:rPr>
      <w:i/>
      <w:iCs/>
      <w:color w:val="404040" w:themeColor="text1" w:themeTint="BF"/>
    </w:rPr>
  </w:style>
  <w:style w:type="paragraph" w:styleId="ListParagraph">
    <w:name w:val="List Paragraph"/>
    <w:basedOn w:val="Normal"/>
    <w:uiPriority w:val="34"/>
    <w:qFormat/>
    <w:rsid w:val="00657DF0"/>
    <w:pPr>
      <w:ind w:left="720"/>
      <w:contextualSpacing/>
    </w:pPr>
  </w:style>
  <w:style w:type="character" w:styleId="IntenseEmphasis">
    <w:name w:val="Intense Emphasis"/>
    <w:basedOn w:val="DefaultParagraphFont"/>
    <w:uiPriority w:val="21"/>
    <w:qFormat/>
    <w:rsid w:val="00657DF0"/>
    <w:rPr>
      <w:i/>
      <w:iCs/>
      <w:color w:val="0F4761" w:themeColor="accent1" w:themeShade="BF"/>
    </w:rPr>
  </w:style>
  <w:style w:type="paragraph" w:styleId="IntenseQuote">
    <w:name w:val="Intense Quote"/>
    <w:basedOn w:val="Normal"/>
    <w:next w:val="Normal"/>
    <w:link w:val="IntenseQuoteChar"/>
    <w:uiPriority w:val="30"/>
    <w:qFormat/>
    <w:rsid w:val="00657D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7DF0"/>
    <w:rPr>
      <w:i/>
      <w:iCs/>
      <w:color w:val="0F4761" w:themeColor="accent1" w:themeShade="BF"/>
    </w:rPr>
  </w:style>
  <w:style w:type="character" w:styleId="IntenseReference">
    <w:name w:val="Intense Reference"/>
    <w:basedOn w:val="DefaultParagraphFont"/>
    <w:uiPriority w:val="32"/>
    <w:qFormat/>
    <w:rsid w:val="00657DF0"/>
    <w:rPr>
      <w:b/>
      <w:bCs/>
      <w:smallCaps/>
      <w:color w:val="0F4761" w:themeColor="accent1" w:themeShade="BF"/>
      <w:spacing w:val="5"/>
    </w:rPr>
  </w:style>
  <w:style w:type="table" w:styleId="TableGrid">
    <w:name w:val="Table Grid"/>
    <w:basedOn w:val="TableNormal"/>
    <w:uiPriority w:val="39"/>
    <w:rsid w:val="00657D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57DF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7DF0"/>
    <w:rPr>
      <w:rFonts w:eastAsia="Calibri" w:cs="Times New Roman"/>
      <w:color w:val="000000"/>
      <w:sz w:val="20"/>
      <w:szCs w:val="20"/>
      <w:lang w:val="en" w:eastAsia="en"/>
    </w:rPr>
  </w:style>
  <w:style w:type="character" w:styleId="FootnoteReference">
    <w:name w:val="footnote reference"/>
    <w:basedOn w:val="DefaultParagraphFont"/>
    <w:uiPriority w:val="99"/>
    <w:semiHidden/>
    <w:unhideWhenUsed/>
    <w:rsid w:val="00657DF0"/>
    <w:rPr>
      <w:vertAlign w:val="superscript"/>
    </w:rPr>
  </w:style>
  <w:style w:type="character" w:styleId="Hyperlink">
    <w:name w:val="Hyperlink"/>
    <w:basedOn w:val="DefaultParagraphFont"/>
    <w:uiPriority w:val="99"/>
    <w:unhideWhenUsed/>
    <w:rsid w:val="00657DF0"/>
    <w:rPr>
      <w:color w:val="467886" w:themeColor="hyperlink"/>
      <w:u w:val="single"/>
    </w:rPr>
  </w:style>
  <w:style w:type="paragraph" w:styleId="Header">
    <w:name w:val="header"/>
    <w:basedOn w:val="Normal"/>
    <w:link w:val="HeaderChar"/>
    <w:uiPriority w:val="99"/>
    <w:unhideWhenUsed/>
    <w:rsid w:val="001105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056E"/>
    <w:rPr>
      <w:rFonts w:eastAsia="Calibri" w:cs="Times New Roman"/>
      <w:color w:val="000000"/>
      <w:sz w:val="22"/>
      <w:szCs w:val="24"/>
      <w:lang w:val="en" w:eastAsia="en"/>
    </w:rPr>
  </w:style>
  <w:style w:type="paragraph" w:styleId="Footer">
    <w:name w:val="footer"/>
    <w:basedOn w:val="Normal"/>
    <w:link w:val="FooterChar"/>
    <w:uiPriority w:val="99"/>
    <w:unhideWhenUsed/>
    <w:rsid w:val="001105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056E"/>
    <w:rPr>
      <w:rFonts w:eastAsia="Calibri" w:cs="Times New Roman"/>
      <w:color w:val="000000"/>
      <w:sz w:val="22"/>
      <w:szCs w:val="24"/>
      <w:lang w:val="en" w:eastAsia="en"/>
    </w:rPr>
  </w:style>
  <w:style w:type="character" w:styleId="UnresolvedMention">
    <w:name w:val="Unresolved Mention"/>
    <w:basedOn w:val="DefaultParagraphFont"/>
    <w:uiPriority w:val="99"/>
    <w:rsid w:val="005F38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ysubmissions@rba.gov.au" TargetMode="External"/><Relationship Id="rId12"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tripe.com/au/resources/more/interchange-fees-101-what-they-are-how-they-work-and-how-to-cut-costs" TargetMode="Externa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5016</Words>
  <Characters>28595</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Hamilton</dc:creator>
  <cp:keywords/>
  <dc:description/>
  <cp:lastModifiedBy>David Hamilton</cp:lastModifiedBy>
  <cp:revision>3</cp:revision>
  <cp:lastPrinted>2024-12-02T04:48:00Z</cp:lastPrinted>
  <dcterms:created xsi:type="dcterms:W3CDTF">2024-12-02T04:48:00Z</dcterms:created>
  <dcterms:modified xsi:type="dcterms:W3CDTF">2024-12-02T04:54:00Z</dcterms:modified>
</cp:coreProperties>
</file>