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CA8849" w14:textId="77777777" w:rsidR="00000000" w:rsidRDefault="00000000">
      <w:pPr>
        <w:pStyle w:val="Heading1"/>
        <w:jc w:val="right"/>
      </w:pPr>
      <w:r>
        <w:rPr>
          <w:sz w:val="18"/>
          <w:szCs w:val="18"/>
        </w:rPr>
        <w:t>PETER MAIR /SUBMISSION TO RBA REVIEW/ NOVEMBER 2024</w:t>
      </w:r>
    </w:p>
    <w:p w14:paraId="50DB06AD" w14:textId="77777777" w:rsidR="00000000" w:rsidRDefault="00000000">
      <w:pPr>
        <w:pStyle w:val="Textbody"/>
        <w:jc w:val="right"/>
      </w:pPr>
    </w:p>
    <w:p w14:paraId="7D9BF07D" w14:textId="77777777" w:rsidR="00000000" w:rsidRDefault="00000000">
      <w:pPr>
        <w:pStyle w:val="Textbody"/>
        <w:jc w:val="right"/>
      </w:pPr>
    </w:p>
    <w:p w14:paraId="6265DCDA" w14:textId="77777777" w:rsidR="00000000" w:rsidRDefault="00000000">
      <w:pPr>
        <w:pStyle w:val="Heading1"/>
        <w:jc w:val="center"/>
        <w:rPr>
          <w:bCs w:val="0"/>
          <w:szCs w:val="24"/>
        </w:rPr>
      </w:pPr>
      <w:r>
        <w:rPr>
          <w:bCs w:val="0"/>
          <w:szCs w:val="24"/>
        </w:rPr>
        <w:t xml:space="preserve">Review of Retail Payments Regulation </w:t>
      </w:r>
    </w:p>
    <w:p w14:paraId="78D67155" w14:textId="77777777" w:rsidR="00000000" w:rsidRDefault="00000000">
      <w:pPr>
        <w:pStyle w:val="Heading1"/>
        <w:jc w:val="center"/>
        <w:rPr>
          <w:bCs w:val="0"/>
          <w:szCs w:val="24"/>
        </w:rPr>
      </w:pPr>
      <w:r>
        <w:rPr>
          <w:bCs w:val="0"/>
          <w:sz w:val="24"/>
          <w:szCs w:val="24"/>
        </w:rPr>
        <w:t>“</w:t>
      </w:r>
      <w:r>
        <w:rPr>
          <w:bCs w:val="0"/>
          <w:sz w:val="24"/>
          <w:szCs w:val="24"/>
        </w:rPr>
        <w:t>Merchant Card Payment Costs and Surcharging</w:t>
      </w:r>
      <w:r>
        <w:rPr>
          <w:bCs w:val="0"/>
          <w:sz w:val="24"/>
          <w:szCs w:val="24"/>
        </w:rPr>
        <w:t>”</w:t>
      </w:r>
    </w:p>
    <w:p w14:paraId="55C6B76C" w14:textId="77777777" w:rsidR="00000000" w:rsidRDefault="00000000">
      <w:pPr>
        <w:pStyle w:val="Textbody"/>
        <w:jc w:val="center"/>
      </w:pPr>
    </w:p>
    <w:p w14:paraId="437799A7" w14:textId="77777777" w:rsidR="00000000" w:rsidRDefault="00000000">
      <w:pPr>
        <w:pStyle w:val="Default"/>
      </w:pPr>
    </w:p>
    <w:p w14:paraId="5E4E7954" w14:textId="77777777" w:rsidR="00000000" w:rsidRDefault="00000000">
      <w:pPr>
        <w:pStyle w:val="Default"/>
        <w:jc w:val="both"/>
      </w:pPr>
      <w:r>
        <w:t>This submission has three parts.</w:t>
      </w:r>
    </w:p>
    <w:p w14:paraId="0391674F" w14:textId="77777777" w:rsidR="00000000" w:rsidRDefault="00000000">
      <w:pPr>
        <w:pStyle w:val="Default"/>
        <w:jc w:val="both"/>
      </w:pPr>
    </w:p>
    <w:p w14:paraId="7C34E25D" w14:textId="77777777" w:rsidR="00000000" w:rsidRDefault="00000000">
      <w:pPr>
        <w:pStyle w:val="Default"/>
        <w:jc w:val="both"/>
      </w:pPr>
      <w:r>
        <w:rPr>
          <w:b/>
        </w:rPr>
        <w:t>First,</w:t>
      </w:r>
      <w:r>
        <w:t xml:space="preserve"> the policy context </w:t>
      </w:r>
      <w:r>
        <w:t>–</w:t>
      </w:r>
      <w:r>
        <w:t xml:space="preserve"> the won'ts v. can'ts: it may be that even if the RBA had wanted to put in place sound policy for the retail banking and payments system, it simply could not so so. So, some, but not so much that the RBA won't do what it is asked to do </w:t>
      </w:r>
      <w:r>
        <w:t>–</w:t>
      </w:r>
      <w:r>
        <w:t xml:space="preserve"> rather, if it just can't do it, why did it not say so.</w:t>
      </w:r>
    </w:p>
    <w:p w14:paraId="13DD117C" w14:textId="77777777" w:rsidR="00000000" w:rsidRDefault="00000000">
      <w:pPr>
        <w:pStyle w:val="Default"/>
        <w:jc w:val="both"/>
      </w:pPr>
    </w:p>
    <w:p w14:paraId="22F473BA" w14:textId="77777777" w:rsidR="00000000" w:rsidRDefault="00000000">
      <w:pPr>
        <w:pStyle w:val="Default"/>
        <w:jc w:val="both"/>
      </w:pPr>
      <w:r>
        <w:rPr>
          <w:b/>
        </w:rPr>
        <w:t>Second,</w:t>
      </w:r>
      <w:r>
        <w:t xml:space="preserve">  some proposals are offered to reshape policy governing card payment costs and surcharging. The form guide ,so far, says the RBA just cannot do it, even though it has wanted to for decades. Has anything changed?</w:t>
      </w:r>
    </w:p>
    <w:p w14:paraId="17086A75" w14:textId="77777777" w:rsidR="00000000" w:rsidRDefault="00000000">
      <w:pPr>
        <w:pStyle w:val="Default"/>
        <w:jc w:val="both"/>
      </w:pPr>
    </w:p>
    <w:p w14:paraId="38E8D3B6" w14:textId="77777777" w:rsidR="00000000" w:rsidRDefault="00000000">
      <w:pPr>
        <w:pStyle w:val="Default"/>
        <w:jc w:val="both"/>
      </w:pPr>
      <w:r>
        <w:rPr>
          <w:b/>
        </w:rPr>
        <w:t>Third,</w:t>
      </w:r>
      <w:r>
        <w:t xml:space="preserve"> a truncated litany of flaws in policy for the retail banking and payments system. Entrenched market failure points up the lingering dissonance when 'we want to' becomes 'we just can't do it'. The  'economics' of some payments policies in place in Australia are corrupt, and so are they globally. No one explains why the dissonance persists </w:t>
      </w:r>
      <w:r>
        <w:t>–</w:t>
      </w:r>
      <w:r>
        <w:t xml:space="preserve"> and why no one plans to reconcile  wanting-to with nothing done.</w:t>
      </w:r>
    </w:p>
    <w:p w14:paraId="570EB25A" w14:textId="77777777" w:rsidR="00000000" w:rsidRDefault="00000000">
      <w:pPr>
        <w:pStyle w:val="Default"/>
        <w:jc w:val="both"/>
      </w:pPr>
    </w:p>
    <w:p w14:paraId="69DCFA3D" w14:textId="77777777" w:rsidR="00000000" w:rsidRDefault="00000000">
      <w:pPr>
        <w:pStyle w:val="Default"/>
        <w:jc w:val="both"/>
      </w:pPr>
      <w:r>
        <w:t>Taken together, the telling story is about how first-class economists, and clever mandarins dedicated to public-service, are locked into endorsing plainly bad policy while saying it is a success. Their discretion to do the right thing is always overwhelmed by the 'real politics' of a global political and regulatory regime unable to allow and denying needed reforms.</w:t>
      </w:r>
    </w:p>
    <w:p w14:paraId="5D78E44E" w14:textId="77777777" w:rsidR="00000000" w:rsidRDefault="00000000">
      <w:pPr>
        <w:pStyle w:val="Default"/>
      </w:pPr>
    </w:p>
    <w:p w14:paraId="01DB5EA1" w14:textId="77777777" w:rsidR="00000000" w:rsidRDefault="00000000">
      <w:pPr>
        <w:pStyle w:val="Default"/>
      </w:pPr>
      <w:r>
        <w:t>Seat belts on!</w:t>
      </w:r>
    </w:p>
    <w:p w14:paraId="57C9F53E" w14:textId="77777777" w:rsidR="00000000" w:rsidRDefault="00000000">
      <w:pPr>
        <w:pStyle w:val="Default"/>
      </w:pPr>
    </w:p>
    <w:p w14:paraId="79D2328D" w14:textId="77777777" w:rsidR="00000000" w:rsidRDefault="00000000">
      <w:pPr>
        <w:pStyle w:val="Default"/>
      </w:pPr>
    </w:p>
    <w:p w14:paraId="0FEA32B4" w14:textId="77777777" w:rsidR="00000000" w:rsidRDefault="00000000">
      <w:pPr>
        <w:pStyle w:val="Default"/>
        <w:jc w:val="center"/>
      </w:pPr>
      <w:r>
        <w:rPr>
          <w:b/>
        </w:rPr>
        <w:t>THE POLICY CONTEXT</w:t>
      </w:r>
    </w:p>
    <w:p w14:paraId="26A7D106" w14:textId="77777777" w:rsidR="00000000" w:rsidRDefault="00000000">
      <w:pPr>
        <w:pStyle w:val="Default"/>
        <w:jc w:val="center"/>
      </w:pPr>
    </w:p>
    <w:p w14:paraId="0F0A9E69" w14:textId="77777777" w:rsidR="00000000" w:rsidRDefault="00000000">
      <w:pPr>
        <w:pStyle w:val="Default"/>
        <w:jc w:val="center"/>
      </w:pPr>
    </w:p>
    <w:p w14:paraId="256BE3B5" w14:textId="77777777" w:rsidR="00000000" w:rsidRDefault="00000000">
      <w:pPr>
        <w:pStyle w:val="Default"/>
        <w:jc w:val="both"/>
      </w:pPr>
      <w:r>
        <w:t xml:space="preserve">Forty years ago, 1984, the RBA was charged by Treasurer Keating to better manage the retail payments system.  The initial arrangement </w:t>
      </w:r>
      <w:r>
        <w:t>–</w:t>
      </w:r>
      <w:r>
        <w:t xml:space="preserve"> The Australian Payments System Council </w:t>
      </w:r>
      <w:r>
        <w:t>–</w:t>
      </w:r>
      <w:r>
        <w:t xml:space="preserve"> failed dismally. In 1998 the RBA was then given  more formal legislative authority to do the job, coupled with a separate Payments System Board. Sadly this PSB arrangement has been a lingering embarrassment. The PSB would not be missed </w:t>
      </w:r>
      <w:r>
        <w:t>–</w:t>
      </w:r>
      <w:r>
        <w:t xml:space="preserve">  nor would the RBA-chaired Council of Financial Regulators which could have done much, much more. Shared and confused regulatory responsibility has compromised authority and accountability. It is as if the banking royal commission was considered the end of a sad story now better known as never ending.</w:t>
      </w:r>
    </w:p>
    <w:p w14:paraId="370B6E1F" w14:textId="77777777" w:rsidR="00000000" w:rsidRDefault="00000000">
      <w:pPr>
        <w:pStyle w:val="Default"/>
        <w:jc w:val="both"/>
      </w:pPr>
    </w:p>
    <w:p w14:paraId="4C8C6D28" w14:textId="77777777" w:rsidR="00000000" w:rsidRDefault="00000000">
      <w:pPr>
        <w:pStyle w:val="Default"/>
        <w:jc w:val="both"/>
      </w:pPr>
      <w:r>
        <w:t xml:space="preserve">Good people probably meant to do the right thing </w:t>
      </w:r>
      <w:r>
        <w:t>–</w:t>
      </w:r>
      <w:r>
        <w:t xml:space="preserve"> they simply could not (they still can't).</w:t>
      </w:r>
    </w:p>
    <w:p w14:paraId="424485D3" w14:textId="77777777" w:rsidR="00000000" w:rsidRDefault="00000000">
      <w:pPr>
        <w:pStyle w:val="Default"/>
        <w:jc w:val="both"/>
      </w:pPr>
    </w:p>
    <w:p w14:paraId="59CED7E0" w14:textId="77777777" w:rsidR="00000000" w:rsidRDefault="00000000">
      <w:pPr>
        <w:pStyle w:val="Default"/>
        <w:jc w:val="both"/>
      </w:pPr>
      <w:r>
        <w:t>How do we know?</w:t>
      </w:r>
    </w:p>
    <w:p w14:paraId="6F3C9F9D" w14:textId="77777777" w:rsidR="00000000" w:rsidRDefault="00000000">
      <w:pPr>
        <w:pStyle w:val="Default"/>
        <w:jc w:val="both"/>
      </w:pPr>
    </w:p>
    <w:p w14:paraId="03C431D1" w14:textId="77777777" w:rsidR="00000000" w:rsidRDefault="00000000">
      <w:pPr>
        <w:pStyle w:val="Default"/>
        <w:jc w:val="right"/>
      </w:pPr>
      <w:r>
        <w:t>2</w:t>
      </w:r>
    </w:p>
    <w:p w14:paraId="18B7C212" w14:textId="77777777" w:rsidR="00000000" w:rsidRDefault="00000000">
      <w:pPr>
        <w:pStyle w:val="Default"/>
        <w:jc w:val="both"/>
      </w:pPr>
    </w:p>
    <w:p w14:paraId="5C9CE748" w14:textId="77777777" w:rsidR="00000000" w:rsidRDefault="00000000">
      <w:pPr>
        <w:pStyle w:val="Default"/>
        <w:numPr>
          <w:ilvl w:val="0"/>
          <w:numId w:val="3"/>
        </w:numPr>
        <w:jc w:val="both"/>
      </w:pPr>
      <w:r>
        <w:rPr>
          <w:b/>
        </w:rPr>
        <w:t>good intentions are not enough</w:t>
      </w:r>
    </w:p>
    <w:p w14:paraId="0A619E95" w14:textId="77777777" w:rsidR="00000000" w:rsidRDefault="00000000">
      <w:pPr>
        <w:pStyle w:val="Default"/>
        <w:jc w:val="both"/>
      </w:pPr>
    </w:p>
    <w:p w14:paraId="5E0D8368" w14:textId="77777777" w:rsidR="00000000" w:rsidRDefault="00000000">
      <w:pPr>
        <w:pStyle w:val="Default"/>
        <w:jc w:val="both"/>
      </w:pPr>
      <w:r>
        <w:t xml:space="preserve">Submissions over some 25 years have responded to the 'so many' proposed reviews of the retail payments system conducted by the RBA, the Parliament, the ACCC, the Productivity Commission among others.  </w:t>
      </w:r>
    </w:p>
    <w:p w14:paraId="47771F59" w14:textId="77777777" w:rsidR="00000000" w:rsidRDefault="00000000">
      <w:pPr>
        <w:pStyle w:val="Default"/>
        <w:jc w:val="both"/>
      </w:pPr>
    </w:p>
    <w:p w14:paraId="3FFA68C2" w14:textId="77777777" w:rsidR="00000000" w:rsidRDefault="00000000">
      <w:pPr>
        <w:pStyle w:val="Default"/>
        <w:jc w:val="both"/>
      </w:pPr>
      <w:r>
        <w:t xml:space="preserve">Three recent submissions remain relevant </w:t>
      </w:r>
      <w:r>
        <w:t>–</w:t>
      </w:r>
      <w:r>
        <w:t xml:space="preserve"> one to the Treasury, one to the ACCC and one to the NZ Commerce Commission (with an Australian appendix).</w:t>
      </w:r>
    </w:p>
    <w:p w14:paraId="0491A2A3" w14:textId="77777777" w:rsidR="00000000" w:rsidRDefault="00000000">
      <w:pPr>
        <w:pStyle w:val="Default"/>
        <w:jc w:val="both"/>
      </w:pPr>
    </w:p>
    <w:p w14:paraId="6218F79E" w14:textId="77777777" w:rsidR="00000000" w:rsidRDefault="00000000">
      <w:pPr>
        <w:pStyle w:val="Default"/>
        <w:jc w:val="both"/>
      </w:pPr>
    </w:p>
    <w:p w14:paraId="72E04F46" w14:textId="77777777" w:rsidR="00000000" w:rsidRDefault="00000000">
      <w:pPr>
        <w:pStyle w:val="Default"/>
        <w:jc w:val="both"/>
      </w:pPr>
      <w:hyperlink r:id="rId7" w:history="1">
        <w:r>
          <w:rPr>
            <w:color w:val="000080"/>
            <w:u w:val="single"/>
            <w:lang/>
          </w:rPr>
          <w:t>https://treasury.gov.au/consultation/c2022-343663</w:t>
        </w:r>
      </w:hyperlink>
      <w:r>
        <w:t xml:space="preserve">  </w:t>
      </w:r>
    </w:p>
    <w:p w14:paraId="224E1955" w14:textId="77777777" w:rsidR="00000000" w:rsidRDefault="00000000">
      <w:pPr>
        <w:pStyle w:val="Default"/>
        <w:jc w:val="both"/>
      </w:pPr>
      <w:r>
        <w:t>[</w:t>
      </w:r>
      <w:r>
        <w:rPr>
          <w:sz w:val="18"/>
        </w:rPr>
        <w:t>c.f.</w:t>
      </w:r>
      <w:r>
        <w:rPr>
          <w:sz w:val="16"/>
        </w:rPr>
        <w:t xml:space="preserve">NON-CONFIDENTIAL SUBMISSIONS (M-R) </w:t>
      </w:r>
      <w:r>
        <w:rPr>
          <w:sz w:val="22"/>
        </w:rPr>
        <w:t>// mair_peter]</w:t>
      </w:r>
    </w:p>
    <w:p w14:paraId="292E90BF" w14:textId="77777777" w:rsidR="00000000" w:rsidRDefault="00000000">
      <w:pPr>
        <w:pStyle w:val="Default"/>
        <w:jc w:val="both"/>
      </w:pPr>
    </w:p>
    <w:p w14:paraId="7A73B212" w14:textId="77777777" w:rsidR="00000000" w:rsidRDefault="00000000">
      <w:pPr>
        <w:pStyle w:val="Default"/>
        <w:jc w:val="both"/>
      </w:pPr>
      <w:hyperlink r:id="rId8" w:history="1">
        <w:r>
          <w:rPr>
            <w:color w:val="000080"/>
            <w:u w:val="single"/>
            <w:lang/>
          </w:rPr>
          <w:t>https://www.accc.gov.au/system/files/Peter%20Mair.pdf?ref=0&amp;download=y</w:t>
        </w:r>
      </w:hyperlink>
    </w:p>
    <w:p w14:paraId="43834FB4" w14:textId="77777777" w:rsidR="00000000" w:rsidRDefault="00000000">
      <w:pPr>
        <w:pStyle w:val="Default"/>
        <w:jc w:val="both"/>
      </w:pPr>
    </w:p>
    <w:p w14:paraId="1F958D46" w14:textId="77777777" w:rsidR="00000000" w:rsidRDefault="00000000">
      <w:pPr>
        <w:pStyle w:val="Default"/>
        <w:jc w:val="both"/>
      </w:pPr>
      <w:hyperlink r:id="rId9" w:history="1">
        <w:r>
          <w:rPr>
            <w:color w:val="000080"/>
            <w:u w:val="single"/>
            <w:lang/>
          </w:rPr>
          <w:t>https://comcom.govt.nz/__data/assets/pdf_file/0026/350927/Peter-Mair-Submission-on-Market-study-into-personal-banking-services-Draft-report-4-April-2024.pdf</w:t>
        </w:r>
      </w:hyperlink>
    </w:p>
    <w:p w14:paraId="47598AF3" w14:textId="77777777" w:rsidR="00000000" w:rsidRDefault="00000000">
      <w:pPr>
        <w:pStyle w:val="Default"/>
        <w:jc w:val="both"/>
      </w:pPr>
    </w:p>
    <w:p w14:paraId="513461EB" w14:textId="77777777" w:rsidR="00000000" w:rsidRDefault="00000000">
      <w:pPr>
        <w:pStyle w:val="Default"/>
        <w:jc w:val="both"/>
      </w:pPr>
    </w:p>
    <w:p w14:paraId="619D65D0" w14:textId="77777777" w:rsidR="00000000" w:rsidRDefault="00000000">
      <w:pPr>
        <w:pStyle w:val="Default"/>
        <w:jc w:val="both"/>
      </w:pPr>
      <w:r>
        <w:t>That these submissions made no impression on the review findings is cause for concern.</w:t>
      </w:r>
    </w:p>
    <w:p w14:paraId="6E57B68D" w14:textId="77777777" w:rsidR="00000000" w:rsidRDefault="00000000">
      <w:pPr>
        <w:pStyle w:val="Default"/>
        <w:jc w:val="both"/>
      </w:pPr>
    </w:p>
    <w:p w14:paraId="36031ED5" w14:textId="77777777" w:rsidR="00000000" w:rsidRDefault="00000000">
      <w:pPr>
        <w:pStyle w:val="Default"/>
        <w:jc w:val="both"/>
      </w:pPr>
      <w:r>
        <w:t xml:space="preserve">The concern poses a contentious question </w:t>
      </w:r>
      <w:r>
        <w:t>–</w:t>
      </w:r>
      <w:r>
        <w:t xml:space="preserve"> how to distinguish the 'would's' ,'won'ts' and 'can'ts' in explaining why so-obvious problems have not been properly addressed.</w:t>
      </w:r>
    </w:p>
    <w:p w14:paraId="30C2A287" w14:textId="77777777" w:rsidR="00000000" w:rsidRDefault="00000000">
      <w:pPr>
        <w:pStyle w:val="Default"/>
        <w:jc w:val="both"/>
      </w:pPr>
    </w:p>
    <w:p w14:paraId="35E1E405" w14:textId="77777777" w:rsidR="00000000" w:rsidRDefault="00000000">
      <w:pPr>
        <w:pStyle w:val="Default"/>
        <w:jc w:val="both"/>
      </w:pPr>
      <w:r>
        <w:t xml:space="preserve">In short, it cannot be ruled out that our regulators wanted to do the right thing </w:t>
      </w:r>
      <w:r>
        <w:t>–</w:t>
      </w:r>
      <w:r>
        <w:t xml:space="preserve"> there were glimmers of them wanting to </w:t>
      </w:r>
      <w:r>
        <w:t>–</w:t>
      </w:r>
      <w:r>
        <w:t xml:space="preserve"> but when push came to shove they were checkmated by the realisation that 'we just can't'.</w:t>
      </w:r>
    </w:p>
    <w:p w14:paraId="35F55887" w14:textId="77777777" w:rsidR="00000000" w:rsidRDefault="00000000">
      <w:pPr>
        <w:pStyle w:val="Default"/>
        <w:jc w:val="both"/>
      </w:pPr>
    </w:p>
    <w:p w14:paraId="2051FC2D" w14:textId="77777777" w:rsidR="00000000" w:rsidRDefault="00000000">
      <w:pPr>
        <w:pStyle w:val="Default"/>
        <w:jc w:val="both"/>
      </w:pPr>
      <w:r>
        <w:t xml:space="preserve">Given the 'unimportance' of Australia (and New Zealand) in the broad sweep of global banking and financial markets, it may not be possible for Australia to go-it-alone locally when our reference group countries are locked into the very same policy settings that are destructive of competition, efficiency and fairness. </w:t>
      </w:r>
    </w:p>
    <w:p w14:paraId="0444089E" w14:textId="77777777" w:rsidR="00000000" w:rsidRDefault="00000000">
      <w:pPr>
        <w:pStyle w:val="Default"/>
        <w:jc w:val="both"/>
      </w:pPr>
    </w:p>
    <w:p w14:paraId="410B46B4" w14:textId="77777777" w:rsidR="00000000" w:rsidRDefault="00000000">
      <w:pPr>
        <w:pStyle w:val="Default"/>
        <w:jc w:val="both"/>
      </w:pPr>
      <w:r>
        <w:t xml:space="preserve">The central banker's bank </w:t>
      </w:r>
      <w:r>
        <w:t>–</w:t>
      </w:r>
      <w:r>
        <w:t xml:space="preserve"> the Bank for International Settlements </w:t>
      </w:r>
      <w:r>
        <w:t>–</w:t>
      </w:r>
      <w:r>
        <w:t xml:space="preserve"> is indicative of their collective reluctance to even recognise the policy failures in retail payments systems, let alone coordinate a consensus to fix them.</w:t>
      </w:r>
    </w:p>
    <w:p w14:paraId="68A42ECC" w14:textId="77777777" w:rsidR="00000000" w:rsidRDefault="00000000">
      <w:pPr>
        <w:pStyle w:val="Default"/>
        <w:jc w:val="both"/>
      </w:pPr>
    </w:p>
    <w:p w14:paraId="7DA425EB" w14:textId="77777777" w:rsidR="00000000" w:rsidRDefault="00000000">
      <w:pPr>
        <w:pStyle w:val="Default"/>
        <w:jc w:val="both"/>
      </w:pPr>
      <w:r>
        <w:t>All that said, it is nonetheless disturbing that the RBA (and it's PSB) has continued to portray itself as effective when it has not been. One undertone</w:t>
      </w:r>
      <w:r>
        <w:rPr>
          <w:b/>
        </w:rPr>
        <w:t xml:space="preserve"> 'stability'</w:t>
      </w:r>
      <w:r>
        <w:t xml:space="preserve"> is recurrently tendered to qualify the RBA's reluctant pursuit of competition, efficiency and fairness. Read in the flawed global context for payments policy </w:t>
      </w:r>
      <w:r>
        <w:t>–</w:t>
      </w:r>
      <w:r>
        <w:t xml:space="preserve"> 'stability' is a get-out card for 'just cant do it'. Without candid explanation, 'stability' as a-joker in the pack should not trump any other hand any longer.</w:t>
      </w:r>
    </w:p>
    <w:p w14:paraId="1D4F9219" w14:textId="77777777" w:rsidR="00000000" w:rsidRDefault="00000000">
      <w:pPr>
        <w:pStyle w:val="Default"/>
        <w:jc w:val="both"/>
      </w:pPr>
    </w:p>
    <w:p w14:paraId="10A487F3" w14:textId="77777777" w:rsidR="00000000" w:rsidRDefault="00000000">
      <w:pPr>
        <w:pStyle w:val="Default"/>
        <w:jc w:val="both"/>
      </w:pPr>
      <w:r>
        <w:t>Consider this self-pleasing  reflection of the RBA as recently as 8 November:</w:t>
      </w:r>
    </w:p>
    <w:p w14:paraId="130037F7" w14:textId="77777777" w:rsidR="00000000" w:rsidRDefault="00000000">
      <w:pPr>
        <w:pStyle w:val="Default"/>
        <w:jc w:val="both"/>
      </w:pPr>
    </w:p>
    <w:p w14:paraId="0A6FCB89" w14:textId="77777777" w:rsidR="00000000" w:rsidRDefault="00000000">
      <w:pPr>
        <w:pStyle w:val="Default"/>
        <w:jc w:val="both"/>
      </w:pPr>
      <w:r>
        <w:rPr>
          <w:i/>
        </w:rPr>
        <w:t xml:space="preserve">Australia has a payments system that we can be proud of. By global standards, it is fast, efficient and reliable. .......... The Payments System Board is focused on fostering </w:t>
      </w:r>
      <w:r>
        <w:rPr>
          <w:i/>
        </w:rPr>
        <w:lastRenderedPageBreak/>
        <w:t xml:space="preserve">competition and innovation in a regulatory environment that promotes the </w:t>
      </w:r>
      <w:r>
        <w:rPr>
          <w:b/>
          <w:i/>
        </w:rPr>
        <w:t xml:space="preserve">ongoing safety and security </w:t>
      </w:r>
      <w:r>
        <w:rPr>
          <w:i/>
        </w:rPr>
        <w:t xml:space="preserve">of the Australian payments system. </w:t>
      </w:r>
      <w:r>
        <w:rPr>
          <w:i/>
        </w:rPr>
        <w:t>…</w:t>
      </w:r>
      <w:r>
        <w:rPr>
          <w:i/>
        </w:rPr>
        <w:t xml:space="preserve">... with our colleagues at ASIC, RBA </w:t>
      </w:r>
    </w:p>
    <w:p w14:paraId="7DE00136" w14:textId="77777777" w:rsidR="00000000" w:rsidRDefault="00000000">
      <w:pPr>
        <w:pStyle w:val="Default"/>
        <w:jc w:val="right"/>
      </w:pPr>
    </w:p>
    <w:p w14:paraId="159B6889" w14:textId="77777777" w:rsidR="00000000" w:rsidRDefault="00000000">
      <w:pPr>
        <w:pStyle w:val="Default"/>
        <w:jc w:val="right"/>
      </w:pPr>
      <w:r>
        <w:t>3</w:t>
      </w:r>
    </w:p>
    <w:p w14:paraId="06060340" w14:textId="77777777" w:rsidR="00000000" w:rsidRDefault="00000000">
      <w:pPr>
        <w:pStyle w:val="Default"/>
        <w:jc w:val="both"/>
      </w:pPr>
      <w:r>
        <w:rPr>
          <w:i/>
        </w:rPr>
        <w:t xml:space="preserve">staff and the Payments System Board (PSB) are equally focused on ensuring that these critical operations are run in a way that supports the </w:t>
      </w:r>
      <w:r>
        <w:rPr>
          <w:b/>
          <w:i/>
        </w:rPr>
        <w:t>stability</w:t>
      </w:r>
      <w:r>
        <w:rPr>
          <w:i/>
        </w:rPr>
        <w:t xml:space="preserve"> of the Australian financial system. </w:t>
      </w:r>
      <w:r>
        <w:t>[</w:t>
      </w:r>
      <w:hyperlink r:id="rId10" w:history="1">
        <w:r>
          <w:rPr>
            <w:color w:val="000080"/>
            <w:u w:val="single"/>
            <w:lang/>
          </w:rPr>
          <w:t>https://www.rba.gov.au/speeches/2024/sp-ag-2024-11-08.html</w:t>
        </w:r>
      </w:hyperlink>
      <w:r>
        <w:t>]</w:t>
      </w:r>
    </w:p>
    <w:p w14:paraId="2FB7598F" w14:textId="77777777" w:rsidR="00000000" w:rsidRDefault="00000000">
      <w:pPr>
        <w:pStyle w:val="Default"/>
        <w:jc w:val="both"/>
      </w:pPr>
    </w:p>
    <w:p w14:paraId="27F39C57" w14:textId="77777777" w:rsidR="00000000" w:rsidRDefault="00000000">
      <w:pPr>
        <w:pStyle w:val="Default"/>
        <w:jc w:val="both"/>
      </w:pPr>
      <w:r>
        <w:t xml:space="preserve">Again, all that said, if the RBA is unable to properly pursue 'competition, efficiency, and fairness' while protecting 'stability', it should say so clearly and forthrightly up-front. </w:t>
      </w:r>
    </w:p>
    <w:p w14:paraId="47C183D5" w14:textId="77777777" w:rsidR="00000000" w:rsidRDefault="00000000">
      <w:pPr>
        <w:pStyle w:val="Default"/>
        <w:jc w:val="both"/>
      </w:pPr>
    </w:p>
    <w:p w14:paraId="65EB4E21" w14:textId="77777777" w:rsidR="00000000" w:rsidRDefault="00000000">
      <w:pPr>
        <w:pStyle w:val="Default"/>
        <w:jc w:val="both"/>
      </w:pPr>
      <w:r>
        <w:t xml:space="preserve">The interaction of 'stability' and 'can't' should be openly and frankly explained. Always-present risks to 'stability' should not continue to deny essential reforms to the regulation of a retail payments system so fundamentally flawed. The RBA has not been candid or courageous. It has left 'regulatory rents'  </w:t>
      </w:r>
      <w:r>
        <w:t>–</w:t>
      </w:r>
      <w:r>
        <w:t xml:space="preserve"> valuable concessions to major banks and card-cartels </w:t>
      </w:r>
      <w:r>
        <w:t>–</w:t>
      </w:r>
      <w:r>
        <w:t xml:space="preserve"> in place to underwrite soft profits flowing to banks, presumably in the hope of avoiding instability and bank failures. Serious flaws in this arrangement were exposed when 'zero' interest rates eroded the major banks' rents concessions on 'free deposits'.</w:t>
      </w:r>
    </w:p>
    <w:p w14:paraId="0F213A55" w14:textId="77777777" w:rsidR="00000000" w:rsidRDefault="00000000">
      <w:pPr>
        <w:pStyle w:val="Default"/>
        <w:jc w:val="both"/>
      </w:pPr>
    </w:p>
    <w:p w14:paraId="08C78967" w14:textId="77777777" w:rsidR="00000000" w:rsidRDefault="00000000">
      <w:pPr>
        <w:pStyle w:val="Default"/>
        <w:jc w:val="both"/>
      </w:pPr>
      <w:r>
        <w:t xml:space="preserve">Along the way much of the rents, gifted by regulators, have been knocked-off in executive-suite salary packages in the major banks fairy described by one RBA governor as 'obscene'. Shareholders have also done well, and may still do until the reckoning. No wonder the regulators worry about 'stability' </w:t>
      </w:r>
      <w:r>
        <w:t>–</w:t>
      </w:r>
      <w:r>
        <w:t xml:space="preserve"> they are locked into payments policies that may  themselves not be consistent.</w:t>
      </w:r>
    </w:p>
    <w:p w14:paraId="69EEE292" w14:textId="77777777" w:rsidR="00000000" w:rsidRDefault="00000000">
      <w:pPr>
        <w:pStyle w:val="Default"/>
        <w:jc w:val="both"/>
      </w:pPr>
    </w:p>
    <w:p w14:paraId="0C76F70D" w14:textId="77777777" w:rsidR="00000000" w:rsidRDefault="00000000">
      <w:pPr>
        <w:pStyle w:val="Default"/>
        <w:jc w:val="both"/>
      </w:pPr>
      <w:r>
        <w:rPr>
          <w:b/>
        </w:rPr>
        <w:t>–</w:t>
      </w:r>
      <w:r>
        <w:rPr>
          <w:b/>
        </w:rPr>
        <w:t xml:space="preserve"> policy failures unremarked</w:t>
      </w:r>
    </w:p>
    <w:p w14:paraId="4AF05270" w14:textId="77777777" w:rsidR="00000000" w:rsidRDefault="00000000">
      <w:pPr>
        <w:pStyle w:val="Default"/>
        <w:jc w:val="both"/>
      </w:pPr>
    </w:p>
    <w:p w14:paraId="00976CAE" w14:textId="77777777" w:rsidR="00000000" w:rsidRDefault="00000000">
      <w:pPr>
        <w:pStyle w:val="Default"/>
        <w:jc w:val="both"/>
      </w:pPr>
      <w:r>
        <w:t>That the RBA has not properly regulated the retail payments system has largely passed unremarked. New technology revolutionising retail payments, making it appear as if there was a directing hand, apparently gave the RBA, and other central banks,  a pass in the eyes of the community.</w:t>
      </w:r>
    </w:p>
    <w:p w14:paraId="4C310875" w14:textId="77777777" w:rsidR="00000000" w:rsidRDefault="00000000">
      <w:pPr>
        <w:pStyle w:val="Default"/>
        <w:jc w:val="both"/>
      </w:pPr>
    </w:p>
    <w:p w14:paraId="101E41A8" w14:textId="77777777" w:rsidR="00000000" w:rsidRDefault="00000000">
      <w:pPr>
        <w:pStyle w:val="Default"/>
        <w:jc w:val="both"/>
      </w:pPr>
      <w:r>
        <w:t xml:space="preserve">Striking an ironic note, the RBA is a crusader for rescuing the study of economics from its defacto-demise on the curriculum of schools and universities. Laudable as that crusade may be, the RBA's commitment to promoting the study of economics is not always matched, in its practical policy formulations, by faithful observance of sound economic principles. No wonder students, among others, question the relevance of 'economics' when respect for economics is so easily and clearly displaced by populist politics and no one calls it out. </w:t>
      </w:r>
    </w:p>
    <w:p w14:paraId="73C97E1B" w14:textId="77777777" w:rsidR="00000000" w:rsidRDefault="00000000">
      <w:pPr>
        <w:pStyle w:val="Default"/>
        <w:jc w:val="both"/>
      </w:pPr>
    </w:p>
    <w:p w14:paraId="13F7B4DE" w14:textId="77777777" w:rsidR="00000000" w:rsidRDefault="00000000">
      <w:pPr>
        <w:pStyle w:val="Default"/>
        <w:jc w:val="both"/>
      </w:pPr>
      <w:r>
        <w:t xml:space="preserve">So, once more unto the breach. </w:t>
      </w:r>
    </w:p>
    <w:p w14:paraId="20E26139" w14:textId="77777777" w:rsidR="00000000" w:rsidRDefault="00000000">
      <w:pPr>
        <w:pStyle w:val="Default"/>
        <w:jc w:val="both"/>
      </w:pPr>
    </w:p>
    <w:p w14:paraId="27B88081" w14:textId="77777777" w:rsidR="00000000" w:rsidRDefault="00000000">
      <w:pPr>
        <w:pStyle w:val="Default"/>
        <w:jc w:val="both"/>
      </w:pPr>
    </w:p>
    <w:p w14:paraId="6C26A290" w14:textId="77777777" w:rsidR="00000000" w:rsidRDefault="00000000">
      <w:pPr>
        <w:pStyle w:val="Default"/>
        <w:jc w:val="center"/>
      </w:pPr>
      <w:r>
        <w:rPr>
          <w:b/>
        </w:rPr>
        <w:t xml:space="preserve">CARD PAYMENT COSTS AND SURCHARGING </w:t>
      </w:r>
    </w:p>
    <w:p w14:paraId="21375604" w14:textId="77777777" w:rsidR="00000000" w:rsidRDefault="00000000">
      <w:pPr>
        <w:pStyle w:val="Default"/>
        <w:jc w:val="both"/>
      </w:pPr>
    </w:p>
    <w:p w14:paraId="62EB99EA" w14:textId="77777777" w:rsidR="00000000" w:rsidRDefault="00000000">
      <w:pPr>
        <w:pStyle w:val="Default"/>
        <w:jc w:val="both"/>
      </w:pPr>
      <w:r>
        <w:t>RBA proposals, promises and even threats to correct systemic flaws in card payment schemes have mainly come to naught. The unrestrained market power of the major banks and card-schemes does not respect either the community or an RBA (PSB) unable to stand its ground. The ACCC seems to be a perplexed observer.</w:t>
      </w:r>
    </w:p>
    <w:p w14:paraId="037C8446" w14:textId="77777777" w:rsidR="00000000" w:rsidRDefault="00000000">
      <w:pPr>
        <w:pStyle w:val="Default"/>
        <w:jc w:val="both"/>
      </w:pPr>
    </w:p>
    <w:p w14:paraId="5AEB11DF" w14:textId="77777777" w:rsidR="00000000" w:rsidRDefault="00000000">
      <w:pPr>
        <w:pStyle w:val="Default"/>
        <w:jc w:val="both"/>
      </w:pPr>
      <w:r>
        <w:t xml:space="preserve">Considering </w:t>
      </w:r>
      <w:r>
        <w:t>“</w:t>
      </w:r>
      <w:r>
        <w:t>Merchant Card Payment Costs and Surcharging</w:t>
      </w:r>
      <w:r>
        <w:t>”</w:t>
      </w:r>
      <w:r>
        <w:t xml:space="preserve">,  the likely outcome </w:t>
      </w:r>
      <w:r>
        <w:t>–</w:t>
      </w:r>
      <w:r>
        <w:t xml:space="preserve"> surcharging outlawed </w:t>
      </w:r>
      <w:r>
        <w:t>–</w:t>
      </w:r>
      <w:r>
        <w:t xml:space="preserve"> is clear enough in general terms. However, necessary regulatory </w:t>
      </w:r>
      <w:r>
        <w:lastRenderedPageBreak/>
        <w:t xml:space="preserve">reforms to allow this will test the resolve of the RBA to address the concentration of market power now embedded and abused. </w:t>
      </w:r>
    </w:p>
    <w:p w14:paraId="07198ACE" w14:textId="77777777" w:rsidR="00000000" w:rsidRDefault="00000000">
      <w:pPr>
        <w:pStyle w:val="Default"/>
        <w:jc w:val="both"/>
      </w:pPr>
    </w:p>
    <w:p w14:paraId="79EEBECC" w14:textId="77777777" w:rsidR="00000000" w:rsidRDefault="00000000">
      <w:pPr>
        <w:pStyle w:val="Default"/>
        <w:jc w:val="both"/>
      </w:pPr>
      <w:r>
        <w:t>Cartel-like monopoly power is being misused to undermine the fairness and efficiency of retail payment arrangements.</w:t>
      </w:r>
    </w:p>
    <w:p w14:paraId="571AA0A1" w14:textId="77777777" w:rsidR="00000000" w:rsidRDefault="00000000">
      <w:pPr>
        <w:pStyle w:val="Default"/>
        <w:jc w:val="both"/>
      </w:pPr>
    </w:p>
    <w:p w14:paraId="33911888" w14:textId="77777777" w:rsidR="00000000" w:rsidRDefault="00000000">
      <w:pPr>
        <w:pStyle w:val="Textbody"/>
        <w:jc w:val="right"/>
      </w:pPr>
      <w:r>
        <w:t>4</w:t>
      </w:r>
    </w:p>
    <w:p w14:paraId="6066DD4A" w14:textId="77777777" w:rsidR="00000000" w:rsidRDefault="00000000">
      <w:pPr>
        <w:pStyle w:val="Textbody"/>
        <w:jc w:val="both"/>
      </w:pPr>
      <w:r>
        <w:rPr>
          <w:b/>
        </w:rPr>
        <w:t>- so, what can be done.</w:t>
      </w:r>
    </w:p>
    <w:p w14:paraId="65444F73" w14:textId="77777777" w:rsidR="00000000" w:rsidRDefault="00000000">
      <w:pPr>
        <w:pStyle w:val="Textbody"/>
        <w:jc w:val="both"/>
      </w:pPr>
      <w:r>
        <w:t xml:space="preserve">The single most important regulatory step would outlaw ad valorem transaction fees that clip a % of the value of all card transactions. Once confined to interchange fees for credit card payments, this (mal)practice has become ubiquitous. </w:t>
      </w:r>
    </w:p>
    <w:p w14:paraId="08A8DA61" w14:textId="77777777" w:rsidR="00000000" w:rsidRDefault="00000000">
      <w:pPr>
        <w:pStyle w:val="Textbody"/>
        <w:jc w:val="both"/>
      </w:pPr>
      <w:r>
        <w:t xml:space="preserve">And it is a malpractice – one long passed-off and disguised in deceptive offers of 'interest free days' for credit card purchases. </w:t>
      </w:r>
    </w:p>
    <w:p w14:paraId="50CE686B" w14:textId="77777777" w:rsidR="00000000" w:rsidRDefault="00000000">
      <w:pPr>
        <w:pStyle w:val="Textbody"/>
        <w:jc w:val="both"/>
      </w:pPr>
      <w:r>
        <w:t>Mischieveous minds can contrive fanciful scenarios where funds earning interest could be used to pay credit card debt by the due date, but the simple reality is that those paying by the due date almost exclusively draw on deposits in transaction accounts on which no interest of any consequence is paid. There is no net-credit provided – no wonder it is  paraded as 'free of charge' -- it is 'free of cost'. Those that do not pay in full by the due date are then charged interest at a very high rate on any credit they actually do need.</w:t>
      </w:r>
    </w:p>
    <w:p w14:paraId="1988BF05" w14:textId="77777777" w:rsidR="00000000" w:rsidRDefault="00000000">
      <w:pPr>
        <w:pStyle w:val="Textbody"/>
        <w:jc w:val="both"/>
      </w:pPr>
      <w:r>
        <w:t xml:space="preserve">Put differently,  credit card schemes combine purchase transactions with compulsory credit – a debit card with a line of credit. This combination, exploitative, deceptive and unnecessary, became another regulatory-rent featherbedding the profitability of major banks. The RBA knows this, has done for decades. </w:t>
      </w:r>
    </w:p>
    <w:p w14:paraId="2E14D6BE" w14:textId="77777777" w:rsidR="00000000" w:rsidRDefault="00000000">
      <w:pPr>
        <w:pStyle w:val="Textbody"/>
        <w:jc w:val="both"/>
      </w:pPr>
    </w:p>
    <w:p w14:paraId="707F0C24" w14:textId="77777777" w:rsidR="00000000" w:rsidRDefault="00000000">
      <w:pPr>
        <w:pStyle w:val="Textbody"/>
        <w:numPr>
          <w:ilvl w:val="0"/>
          <w:numId w:val="4"/>
        </w:numPr>
        <w:jc w:val="both"/>
      </w:pPr>
      <w:r>
        <w:rPr>
          <w:b/>
        </w:rPr>
        <w:t>there is some history</w:t>
      </w:r>
    </w:p>
    <w:p w14:paraId="5501A81B" w14:textId="77777777" w:rsidR="00000000" w:rsidRDefault="00000000">
      <w:pPr>
        <w:pStyle w:val="Textbody"/>
        <w:jc w:val="both"/>
      </w:pPr>
    </w:p>
    <w:p w14:paraId="3B9AE45B" w14:textId="77777777" w:rsidR="00000000" w:rsidRDefault="00000000">
      <w:pPr>
        <w:pStyle w:val="Textbody"/>
        <w:jc w:val="both"/>
      </w:pPr>
      <w:r>
        <w:t>Outlawing ad-valorem % fees for payments was proposed by the Productivity Commission in 2018 and, for those with a long memory, by the RBA itself in late 2001. The RBA reneged on this prospect in August 2002 with out an explanation been given. The 'can't' cartel was persuasive.</w:t>
      </w:r>
    </w:p>
    <w:p w14:paraId="40375B03" w14:textId="77777777" w:rsidR="00000000" w:rsidRDefault="00000000">
      <w:pPr>
        <w:pStyle w:val="Textbody"/>
        <w:jc w:val="both"/>
      </w:pPr>
      <w:r>
        <w:t>That said, Australia was once praised as the first to cap -- at 0.5%, reduced by about half – % interchange fees on credit card transactions. This step flowed from a 1997 banking inquiry and a later review of credit card schemes, jointly by the RBA and ACCC. On reflection, sadly, it is unlikely that the RBA (or its PSB) would have done this on its own initiative – on the contrary, Alan Fels heading the ACCC made the difference. Whatever, the RBA has some explaining to do if it, again, 'can't do it'.</w:t>
      </w:r>
    </w:p>
    <w:p w14:paraId="26AB67C5" w14:textId="77777777" w:rsidR="00000000" w:rsidRDefault="00000000">
      <w:pPr>
        <w:pStyle w:val="Textbody"/>
        <w:jc w:val="both"/>
      </w:pPr>
      <w:r>
        <w:rPr>
          <w:b/>
        </w:rPr>
        <w:t>– back on track?</w:t>
      </w:r>
    </w:p>
    <w:p w14:paraId="18B8B6B4" w14:textId="77777777" w:rsidR="00000000" w:rsidRDefault="00000000">
      <w:pPr>
        <w:pStyle w:val="Textbody"/>
        <w:jc w:val="both"/>
      </w:pPr>
      <w:r>
        <w:t>Apart from that the RBA seems to be on the right track in seeking to demand transparent disclosure and simplification of ever more complex fee arrangements. Regulators have been played off a break in a regulatory mess akin to a game of 'whack-a-mole'.</w:t>
      </w:r>
    </w:p>
    <w:p w14:paraId="0145CB78" w14:textId="77777777" w:rsidR="00000000" w:rsidRDefault="00000000">
      <w:pPr>
        <w:pStyle w:val="Textbody"/>
        <w:jc w:val="both"/>
      </w:pPr>
      <w:r>
        <w:t xml:space="preserve">With ad valorem % fees proscribed, it would be a short step to similarly proscribing 'surcharging' of then low-cost transactions. [merchants will deal with the nonsense of  very expensive BNPL schemes borne of a now-dead 'zero rate regime'.]  </w:t>
      </w:r>
    </w:p>
    <w:p w14:paraId="6D9B7749" w14:textId="77777777" w:rsidR="00000000" w:rsidRDefault="00000000">
      <w:pPr>
        <w:pStyle w:val="Textbody"/>
        <w:jc w:val="both"/>
      </w:pPr>
      <w:r>
        <w:t>When surcharging was first permitted it applied mainly to credit card purchases in a push to encourage the use of cheaper debit cards. Now, the profusion of complex fees and charges has seen merchants becoming the patsies left to charge customers explicitly for transactions on bank accounts. Talk about letting the banks and card schemes off the hook.</w:t>
      </w:r>
    </w:p>
    <w:p w14:paraId="003C0A4F" w14:textId="77777777" w:rsidR="00000000" w:rsidRDefault="00000000">
      <w:pPr>
        <w:pStyle w:val="Textbody"/>
        <w:jc w:val="both"/>
      </w:pPr>
      <w:r>
        <w:lastRenderedPageBreak/>
        <w:t>So, for my money, the RBA should outlaw both ad-valorem % transaction fees and merchant surcharging</w:t>
      </w:r>
      <w:r>
        <w:rPr>
          <w:position w:val="6"/>
        </w:rPr>
        <w:t>*</w:t>
      </w:r>
      <w:r w:rsidRPr="00DF25B3">
        <w:rPr>
          <w:rStyle w:val="FootnoteReference"/>
        </w:rPr>
        <w:footnoteReference w:id="1"/>
      </w:r>
      <w:r>
        <w:t>.</w:t>
      </w:r>
    </w:p>
    <w:p w14:paraId="1A642F2D" w14:textId="77777777" w:rsidR="00000000" w:rsidRDefault="00000000">
      <w:pPr>
        <w:pStyle w:val="Textbody"/>
        <w:jc w:val="right"/>
      </w:pPr>
      <w:r>
        <w:t>5</w:t>
      </w:r>
    </w:p>
    <w:p w14:paraId="107286DA" w14:textId="77777777" w:rsidR="00000000" w:rsidRDefault="00000000">
      <w:pPr>
        <w:pStyle w:val="Textbody"/>
        <w:jc w:val="center"/>
      </w:pPr>
      <w:r>
        <w:t xml:space="preserve"> </w:t>
      </w:r>
      <w:r>
        <w:rPr>
          <w:b/>
        </w:rPr>
        <w:t>FUNDAMENTALLY FLAWED: AN ILLUSTRATIVE LITANY</w:t>
      </w:r>
    </w:p>
    <w:p w14:paraId="14AC0F34" w14:textId="77777777" w:rsidR="00000000" w:rsidRDefault="00000000">
      <w:pPr>
        <w:pStyle w:val="Textbody"/>
        <w:jc w:val="both"/>
      </w:pPr>
      <w:r>
        <w:t xml:space="preserve">The following litany of systemic shortcomings in the retail payments system sounds a note of caution about 'fixing' one element of the system, deemed 'flawed', while other flaws remain uncorrected and largely unspoken. </w:t>
      </w:r>
    </w:p>
    <w:p w14:paraId="27CFF7CB" w14:textId="77777777" w:rsidR="00000000" w:rsidRDefault="00000000">
      <w:pPr>
        <w:pStyle w:val="Textbody"/>
        <w:jc w:val="both"/>
      </w:pPr>
      <w:r>
        <w:t xml:space="preserve">Regulators about to start 'fixing' particular things should first have a sound overall perception of, and plan for, the system as a whole. </w:t>
      </w:r>
    </w:p>
    <w:p w14:paraId="7061F1BA" w14:textId="77777777" w:rsidR="00000000" w:rsidRDefault="00000000">
      <w:pPr>
        <w:pStyle w:val="Textbody"/>
        <w:jc w:val="both"/>
      </w:pPr>
      <w:r>
        <w:t>As is, neither the RBA or Treasury have  produced a plan for the retail payments system consistent with sound economics. Worse, if they did produce a sound overall plan it would likely be be quickly dismissed as 'can't do it'.  Needed reforms will not be politically acceptable until that ground has been carefully tilled to allow the seeds of reform to be planted and nurtured in the mind of the community.</w:t>
      </w:r>
    </w:p>
    <w:p w14:paraId="78836DD2" w14:textId="77777777" w:rsidR="00000000" w:rsidRDefault="00000000">
      <w:pPr>
        <w:pStyle w:val="Textbody"/>
        <w:jc w:val="both"/>
      </w:pPr>
      <w:r>
        <w:t>When talking about monetary policy, the Treasurer routinely refers to the 'independent Reserve Bank' –  the RBA is showing its independence on this front. On the payments policy front, however, any concept of RBA independence is elusive at best.</w:t>
      </w:r>
    </w:p>
    <w:p w14:paraId="6518F7DD" w14:textId="77777777" w:rsidR="00000000" w:rsidRDefault="00000000">
      <w:pPr>
        <w:pStyle w:val="Textbody"/>
        <w:jc w:val="both"/>
      </w:pPr>
      <w:r>
        <w:t xml:space="preserve">There is a dichotomy when it comes to the independence of the RBA, consider this said on 11 November: </w:t>
      </w:r>
      <w:r>
        <w:rPr>
          <w:i/>
        </w:rPr>
        <w:t xml:space="preserve">Reserve Bank of Australia deputy governor…......... emphasised the importance of maintaining central bank independence from politics. </w:t>
      </w:r>
    </w:p>
    <w:p w14:paraId="09E9CCC1" w14:textId="77777777" w:rsidR="00000000" w:rsidRDefault="00000000">
      <w:pPr>
        <w:pStyle w:val="Textbody"/>
        <w:jc w:val="both"/>
      </w:pPr>
      <w:r>
        <w:t xml:space="preserve">Would that it were so, and could be so, in respect of a retail payments system operating without any semblance of a proper pricing regime so essential to promoting competition, efficiency and fairness. A sound regime would see proper prices being paid, explicitly, to banks and directly by customers accessing transaction accounts. Proper prices would reflect the full-cost of providing different account keeping and payments services having very different costs. As is, the words 'shambles' and 'dog's breakfast' come easily to mind – worse, only tongue-in-cheek lip-service is being paid to ensuring competition, efficiency and fairness. </w:t>
      </w:r>
    </w:p>
    <w:p w14:paraId="6960B811" w14:textId="77777777" w:rsidR="00000000" w:rsidRDefault="00000000">
      <w:pPr>
        <w:pStyle w:val="Textbody"/>
        <w:jc w:val="both"/>
      </w:pPr>
      <w:r>
        <w:t xml:space="preserve">The economics of the retail payments system are simply unsound. That is important when, overall, it costs some 1% of national GDP to operate the retail payment system. Hiding the costs of this system in fees loaded into merchant sales prices is not sound no matter what political controversy it avoids. This deception is not akin to shoes being tied-sold with shoelaces free of a separate price. Payments service 'shoelaces', so very expensive to provide, are being given away to depositor customers, usually free-of-charge, in a raft of rackets being disguised as 'tied-sales-bundles'. </w:t>
      </w:r>
    </w:p>
    <w:p w14:paraId="3E82479B" w14:textId="77777777" w:rsidR="00000000" w:rsidRDefault="00000000">
      <w:pPr>
        <w:pStyle w:val="Textbody"/>
        <w:jc w:val="both"/>
      </w:pPr>
      <w:r>
        <w:t>Australia is paying a high but hidden price for a concept of 'stability' that seems to  preclude other objectives in the minds of regulators and politicians. The hidden cost is the dead-loss consequences of unreasonable, anti-competitive and unfair regulatory rent concessions gifted by regulators to the major banks and their card-scheme associates.</w:t>
      </w:r>
    </w:p>
    <w:p w14:paraId="2701E093" w14:textId="77777777" w:rsidR="00000000" w:rsidRDefault="00000000">
      <w:pPr>
        <w:pStyle w:val="Textbody"/>
        <w:jc w:val="both"/>
      </w:pPr>
      <w:r>
        <w:t xml:space="preserve">A raft of </w:t>
      </w:r>
      <w:r>
        <w:rPr>
          <w:b/>
        </w:rPr>
        <w:t>officially unmentionable affronts</w:t>
      </w:r>
      <w:r>
        <w:t xml:space="preserve"> to  sound policy for the payments system has been canvassed ad nauseum – including in the submissions, linked on page-2, put to the Treasury, to the ACCC  and to the NZ Commerce Commisssion.</w:t>
      </w:r>
    </w:p>
    <w:p w14:paraId="0E112406" w14:textId="77777777" w:rsidR="00000000" w:rsidRDefault="00000000">
      <w:pPr>
        <w:pStyle w:val="Textbody"/>
        <w:jc w:val="both"/>
      </w:pPr>
      <w:r>
        <w:t>Perused again for relevance, these assessments were if anything more more forthright than I have been here. Representative headings and sub-headings include:</w:t>
      </w:r>
    </w:p>
    <w:p w14:paraId="429FABA2" w14:textId="77777777" w:rsidR="00000000" w:rsidRDefault="00000000">
      <w:pPr>
        <w:pStyle w:val="Textbody"/>
        <w:jc w:val="both"/>
      </w:pPr>
    </w:p>
    <w:p w14:paraId="02883B33" w14:textId="77777777" w:rsidR="00000000" w:rsidRDefault="00000000">
      <w:pPr>
        <w:pStyle w:val="Textbody"/>
        <w:numPr>
          <w:ilvl w:val="0"/>
          <w:numId w:val="2"/>
        </w:numPr>
        <w:tabs>
          <w:tab w:val="left" w:pos="720"/>
        </w:tabs>
        <w:jc w:val="both"/>
      </w:pPr>
      <w:r>
        <w:rPr>
          <w:rFonts w:hAnsi="TimesNewRomanPS-BoldMT"/>
        </w:rPr>
        <w:t xml:space="preserve">PAYMENTS POLICY : FROM HERE TO WHERE // a good intention paved a road to hell // free-banking is actually very expensive // regulatory failure on a grand scale // regulatory capture the convicts are playing the warders off a break // planning to fix the payments system or not </w:t>
      </w:r>
    </w:p>
    <w:p w14:paraId="3F53C2BC" w14:textId="77777777" w:rsidR="00000000" w:rsidRDefault="00000000">
      <w:pPr>
        <w:pStyle w:val="Textbody"/>
        <w:jc w:val="both"/>
      </w:pPr>
    </w:p>
    <w:p w14:paraId="0B626A6A" w14:textId="77777777" w:rsidR="00000000" w:rsidRDefault="00000000">
      <w:pPr>
        <w:pStyle w:val="Textbody"/>
        <w:ind w:left="720"/>
        <w:jc w:val="right"/>
      </w:pPr>
      <w:r>
        <w:rPr>
          <w:rFonts w:hAnsi="TimesNewRomanPS-BoldMT"/>
        </w:rPr>
        <w:t>6</w:t>
      </w:r>
    </w:p>
    <w:p w14:paraId="59990CE5" w14:textId="77777777" w:rsidR="00000000" w:rsidRDefault="00000000">
      <w:pPr>
        <w:pStyle w:val="Textbody"/>
        <w:numPr>
          <w:ilvl w:val="0"/>
          <w:numId w:val="2"/>
        </w:numPr>
        <w:tabs>
          <w:tab w:val="left" w:pos="720"/>
        </w:tabs>
        <w:jc w:val="both"/>
      </w:pPr>
      <w:r>
        <w:rPr>
          <w:rFonts w:hAnsi="TimesNewRomanPS-BoldMT"/>
        </w:rPr>
        <w:t xml:space="preserve">RETAIL BANKING : RESTORING COMPETITION // a major mistake // major consequences still unfolding //IS THE ACCC FREE TO INQUIRE OR DIRECTED NOT TO? // THE ECONOMICS OF RETAIL BANKING IS CORRUPTED //LORD MAKE ME PURE BUT NOT YET // NEW TECHNOLOGY, NEW REALITIES, NEW PRACTICALITIES </w:t>
      </w:r>
    </w:p>
    <w:p w14:paraId="5F90835B" w14:textId="77777777" w:rsidR="00000000" w:rsidRDefault="00000000">
      <w:pPr>
        <w:pStyle w:val="Textbody"/>
        <w:jc w:val="both"/>
      </w:pPr>
    </w:p>
    <w:p w14:paraId="460C35EA" w14:textId="77777777" w:rsidR="00000000" w:rsidRDefault="00000000">
      <w:pPr>
        <w:pStyle w:val="Textbody"/>
        <w:numPr>
          <w:ilvl w:val="0"/>
          <w:numId w:val="2"/>
        </w:numPr>
        <w:tabs>
          <w:tab w:val="left" w:pos="720"/>
        </w:tabs>
        <w:jc w:val="both"/>
      </w:pPr>
      <w:r>
        <w:t xml:space="preserve">THE IMPORTANCE OF UNIMPORTANCE //New Zealanders, the nicest people on earth, need to toughen up on the rest // An inclination to do nothing // New Zealand v. Australia – let the competition begin! // Retail banking systems are effectively nationalised, globally // APPENDIX // BANKING ON SILENCE //  the indictment // calling out the official silence about this unfairness // THE REGULATORY CONTEXT // 'independence' to do nothing // ACCC – RETAIL DEPOSITS INQUIRY // no one was surprised // big bucks are on the table //  STABILITY: rents destabilise the financial system //  imprudent prudential supervision // COMPETITION: monopolised industries are not competitive //  EFFICIENCY: regulators protect systemic inefficiency // FAIRNESS: it is unfair to not pay a market rate of interest on deposits // DISMISSING THE PUBLIC INTEREST // LESS-CASH NOT NO-CASH </w:t>
      </w:r>
    </w:p>
    <w:p w14:paraId="5D7D3583" w14:textId="77777777" w:rsidR="00000000" w:rsidRDefault="00000000">
      <w:pPr>
        <w:pStyle w:val="Textbody"/>
        <w:jc w:val="both"/>
      </w:pPr>
    </w:p>
    <w:p w14:paraId="277AC4D3" w14:textId="77777777" w:rsidR="00000000" w:rsidRDefault="00000000">
      <w:pPr>
        <w:pStyle w:val="Textbody"/>
        <w:jc w:val="both"/>
      </w:pPr>
      <w:r>
        <w:t>Not to labour the detail again here, key focal points concern.</w:t>
      </w:r>
    </w:p>
    <w:p w14:paraId="2BDD8B26" w14:textId="77777777" w:rsidR="00000000" w:rsidRDefault="00000000">
      <w:pPr>
        <w:pStyle w:val="Textbody"/>
        <w:numPr>
          <w:ilvl w:val="0"/>
          <w:numId w:val="5"/>
        </w:numPr>
        <w:jc w:val="both"/>
      </w:pPr>
      <w:r>
        <w:t>Major banks not paying interest on  deposits, some $one-trillion, in customers' transaction accounts. This malpractice underpins many systemic and fundamental flaws. It is deliberately a policy blind spot – 'Nelsonian-eyes' of appointed regulators  neither recognise it, mention it or collect the statistics needed to allow proper disclosure and economic analysis of the consequences.</w:t>
      </w:r>
    </w:p>
    <w:p w14:paraId="6D3008FE" w14:textId="77777777" w:rsidR="00000000" w:rsidRDefault="00000000">
      <w:pPr>
        <w:pStyle w:val="Textbody"/>
        <w:numPr>
          <w:ilvl w:val="0"/>
          <w:numId w:val="5"/>
        </w:numPr>
        <w:jc w:val="both"/>
      </w:pPr>
      <w:r>
        <w:t>There is another dimension to this sadly condoned bankers' agreement to not pay interest on deposits in transaction accounts. Tangible cash is more relic than relevant. Deposits in transaction accounts are now the currency of the realm – this digital currency, transferred electronically, has, by value, largely displaced tangible notes and coin passed hand to hand. The profit on the note issue – known as seigniorage – still flows to the RBA (and onto budget revenues). The rub, however, is that the profits flowing to the major banks, from interest free deposits, remain with the major banks. The penny should drop in your mind once it is realised that banknotes, on which interest cannot be paid, are essentially deposits with the RBA. In principle the seigniorage  now flowing to commercial banks either belongs in the public purse or, more sensibly, in the customers pockets as proceeds of interest paid at the cash-rate on their digital deposits.</w:t>
      </w:r>
    </w:p>
    <w:p w14:paraId="66D5F075" w14:textId="77777777" w:rsidR="00000000" w:rsidRDefault="00000000">
      <w:pPr>
        <w:pStyle w:val="Textbody"/>
        <w:numPr>
          <w:ilvl w:val="0"/>
          <w:numId w:val="5"/>
        </w:numPr>
        <w:jc w:val="both"/>
      </w:pPr>
      <w:r>
        <w:t xml:space="preserve">The racket, akin to a profiteering cartel,  being run under the guise of credit-card schemes similarly hides systemic, flawed deceptions undermining both efficiency and fairness. A judicial review of the trade practices legislation, in 2002 proposed limiting concessions allowing ongoing collusion in pricing services for mature card-payments networks – as distinct from collusion that can be beneficial, in the </w:t>
      </w:r>
      <w:r>
        <w:lastRenderedPageBreak/>
        <w:t xml:space="preserve">public interest, when initially establishing a network. At the very least collusive pricing practices based on an illusion of 'interest free days' on credit card purchases, should be exposed and ad valoerm % transaction fees proscribed. </w:t>
      </w:r>
    </w:p>
    <w:p w14:paraId="38769FD5" w14:textId="77777777" w:rsidR="00000000" w:rsidRDefault="00000000">
      <w:pPr>
        <w:pStyle w:val="Textbody"/>
        <w:numPr>
          <w:ilvl w:val="0"/>
          <w:numId w:val="5"/>
        </w:numPr>
        <w:jc w:val="right"/>
      </w:pPr>
      <w:r>
        <w:t>The COVID pandemic was the final catalyst in driving the now almost complete substitution of electronic payments for cash payments of any substantial value. The RBA is now faced with the plain embarrassment of some 80% or more, some $ 80 7</w:t>
      </w:r>
    </w:p>
    <w:p w14:paraId="39DE745D" w14:textId="77777777" w:rsidR="00000000" w:rsidRDefault="00000000">
      <w:pPr>
        <w:pStyle w:val="Textbody"/>
        <w:jc w:val="both"/>
      </w:pPr>
      <w:r>
        <w:t>billion, of the banknotes on issue being hoarded to facilitate income tax evasion but mainly to hide means-tested assets to boost entitlements to age-pensions. Truth told there is no real need for banknotes in denominations beyond $20 – the mainly hoarded $50 and $100 notes should be politely and slowly withdrawn from circulation and no longer issued. Properly explained, the outcry would be shortlived especially if the proceeds of reduced rorting was used to boost pension payments to those genuinely deserving.</w:t>
      </w:r>
    </w:p>
    <w:p w14:paraId="2622E04A" w14:textId="77777777" w:rsidR="00000000" w:rsidRDefault="00000000">
      <w:pPr>
        <w:pStyle w:val="Textbody"/>
        <w:numPr>
          <w:ilvl w:val="0"/>
          <w:numId w:val="5"/>
        </w:numPr>
        <w:jc w:val="both"/>
      </w:pPr>
      <w:r>
        <w:t>One irony in all this is the consternation about ensuring, with subsidies, the viability of national armoured car services to transport cash back and forth among banks. The irony is that, for the most part, the people most likely to be demanding to spend and hoard most of the notes on issue are hoarding tax-evaders and part-pensioners, otherwise stuck with 50s and $100s they could not easily spend or get more of. If the biggest note were $20 a problem with cash distribution, looming large, would be much smaller and easy to deal with.</w:t>
      </w:r>
    </w:p>
    <w:p w14:paraId="23033BD2" w14:textId="77777777" w:rsidR="00000000" w:rsidRDefault="00000000">
      <w:pPr>
        <w:pStyle w:val="Textbody"/>
        <w:jc w:val="both"/>
      </w:pPr>
    </w:p>
    <w:p w14:paraId="4E1A9EF6" w14:textId="77777777" w:rsidR="00000000" w:rsidRDefault="00000000">
      <w:pPr>
        <w:pStyle w:val="Textbody"/>
        <w:jc w:val="both"/>
      </w:pPr>
    </w:p>
    <w:p w14:paraId="6E511BA1" w14:textId="77777777" w:rsidR="00000000" w:rsidRDefault="00000000">
      <w:pPr>
        <w:pStyle w:val="Textbody"/>
        <w:jc w:val="both"/>
      </w:pPr>
      <w:r>
        <w:rPr>
          <w:b/>
        </w:rPr>
        <w:t>END PIECE</w:t>
      </w:r>
    </w:p>
    <w:p w14:paraId="389DEEA4" w14:textId="77777777" w:rsidR="00000000" w:rsidRDefault="00000000">
      <w:pPr>
        <w:pStyle w:val="Textbody"/>
        <w:jc w:val="both"/>
      </w:pPr>
    </w:p>
    <w:p w14:paraId="1DD8ECDC" w14:textId="77777777" w:rsidR="00000000" w:rsidRDefault="00000000">
      <w:pPr>
        <w:pStyle w:val="Textbody"/>
        <w:jc w:val="both"/>
      </w:pPr>
      <w:r>
        <w:t xml:space="preserve">What more can one say – recall a motherly </w:t>
      </w:r>
      <w:bookmarkStart w:id="0" w:name="__DdeLink__2_901294289"/>
      <w:r>
        <w:t>admonition</w:t>
      </w:r>
      <w:bookmarkEnd w:id="0"/>
      <w:r>
        <w:t xml:space="preserve">: </w:t>
      </w:r>
      <w:r>
        <w:rPr>
          <w:b/>
        </w:rPr>
        <w:t>CAN'T MEANS WON'T!</w:t>
      </w:r>
    </w:p>
    <w:p w14:paraId="26038140" w14:textId="77777777" w:rsidR="00000000" w:rsidRDefault="00000000">
      <w:pPr>
        <w:pStyle w:val="Textbody"/>
        <w:jc w:val="both"/>
      </w:pPr>
      <w:r>
        <w:t xml:space="preserve"> </w:t>
      </w:r>
    </w:p>
    <w:p w14:paraId="6F82391B" w14:textId="77777777" w:rsidR="00000000" w:rsidRDefault="00000000">
      <w:pPr>
        <w:pStyle w:val="Textbody"/>
        <w:jc w:val="both"/>
      </w:pPr>
      <w:r>
        <w:t>Peter Mair</w:t>
      </w:r>
    </w:p>
    <w:p w14:paraId="71D5BE3C" w14:textId="77777777" w:rsidR="00000000" w:rsidRDefault="00000000">
      <w:pPr>
        <w:pStyle w:val="Textbody"/>
        <w:jc w:val="both"/>
      </w:pPr>
      <w:r>
        <w:t>November 2024</w:t>
      </w:r>
    </w:p>
    <w:p w14:paraId="2FF006B3" w14:textId="77777777" w:rsidR="00000000" w:rsidRDefault="00000000">
      <w:pPr>
        <w:pStyle w:val="Textbody"/>
        <w:jc w:val="both"/>
      </w:pPr>
    </w:p>
    <w:p w14:paraId="263DC118" w14:textId="77777777" w:rsidR="00401693" w:rsidRDefault="00401693">
      <w:pPr>
        <w:pStyle w:val="Default"/>
        <w:jc w:val="both"/>
      </w:pPr>
    </w:p>
    <w:sectPr w:rsidR="00401693">
      <w:type w:val="continuous"/>
      <w:pgSz w:w="11906" w:h="16838"/>
      <w:pgMar w:top="1417" w:right="1559" w:bottom="454" w:left="1559" w:header="720" w:footer="720" w:gutter="0"/>
      <w:cols w:space="720"/>
      <w:formProt w:val="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C4C178" w14:textId="77777777" w:rsidR="00401693" w:rsidRDefault="00401693">
      <w:pPr>
        <w:spacing w:after="0" w:line="240" w:lineRule="auto"/>
      </w:pPr>
      <w:r>
        <w:separator/>
      </w:r>
    </w:p>
  </w:endnote>
  <w:endnote w:type="continuationSeparator" w:id="0">
    <w:p w14:paraId="140C90CF" w14:textId="77777777" w:rsidR="00401693" w:rsidRDefault="004016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OpenSymbol">
    <w:altName w:val="Arial Unicode MS"/>
    <w:panose1 w:val="00000000000000000000"/>
    <w:charset w:val="80"/>
    <w:family w:val="auto"/>
    <w:notTrueType/>
    <w:pitch w:val="default"/>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TimesNewRomanPS-BoldMT">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36A8B8" w14:textId="77777777" w:rsidR="00401693" w:rsidRDefault="00401693">
      <w:pPr>
        <w:spacing w:after="0" w:line="240" w:lineRule="auto"/>
      </w:pPr>
      <w:r>
        <w:separator/>
      </w:r>
    </w:p>
  </w:footnote>
  <w:footnote w:type="continuationSeparator" w:id="0">
    <w:p w14:paraId="0565FF8C" w14:textId="77777777" w:rsidR="00401693" w:rsidRDefault="00401693">
      <w:pPr>
        <w:spacing w:after="0" w:line="240" w:lineRule="auto"/>
      </w:pPr>
      <w:r>
        <w:continuationSeparator/>
      </w:r>
    </w:p>
  </w:footnote>
  <w:footnote w:id="1">
    <w:p w14:paraId="48D4DE84" w14:textId="77777777" w:rsidR="00000000" w:rsidRDefault="00000000">
      <w:pPr>
        <w:pStyle w:val="Textbody"/>
      </w:pPr>
      <w:r>
        <w:rPr>
          <w:rStyle w:val="FootnoteReference"/>
        </w:rPr>
        <w:footnoteRef/>
      </w:r>
      <w:r>
        <w:rPr>
          <w:position w:val="6"/>
        </w:rPr>
        <w:tab/>
        <w:t>*</w:t>
      </w:r>
      <w:r>
        <w:rPr>
          <w:sz w:val="20"/>
        </w:rPr>
        <w:tab/>
        <w:t>[There may be minor complexities needing exemptions, for example, for credit cards issued overseas.]</w:t>
      </w:r>
    </w:p>
    <w:p w14:paraId="2969501C" w14:textId="77777777" w:rsidR="00000000" w:rsidRDefault="00000000">
      <w:pPr>
        <w:pStyle w:val="Textbody"/>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FFFFFFFF"/>
    <w:lvl w:ilvl="0">
      <w:start w:val="1"/>
      <w:numFmt w:val="none"/>
      <w:lvlText w:val=""/>
      <w:lvlJc w:val="left"/>
      <w:pPr>
        <w:ind w:left="432" w:hanging="432"/>
      </w:pPr>
    </w:lvl>
    <w:lvl w:ilvl="1">
      <w:start w:val="1"/>
      <w:numFmt w:val="none"/>
      <w:lvlText w:val=""/>
      <w:lvlJc w:val="left"/>
      <w:pPr>
        <w:ind w:left="576" w:hanging="576"/>
      </w:pPr>
    </w:lvl>
    <w:lvl w:ilvl="2">
      <w:start w:val="1"/>
      <w:numFmt w:val="none"/>
      <w:lvlText w:val=""/>
      <w:lvlJc w:val="left"/>
      <w:pPr>
        <w:ind w:left="720" w:hanging="720"/>
      </w:pPr>
    </w:lvl>
    <w:lvl w:ilvl="3">
      <w:start w:val="1"/>
      <w:numFmt w:val="none"/>
      <w:lvlText w:val=""/>
      <w:lvlJc w:val="left"/>
      <w:pPr>
        <w:ind w:left="864" w:hanging="864"/>
      </w:pPr>
    </w:lvl>
    <w:lvl w:ilvl="4">
      <w:start w:val="1"/>
      <w:numFmt w:val="none"/>
      <w:lvlText w:val=""/>
      <w:lvlJc w:val="left"/>
      <w:pPr>
        <w:ind w:left="1008" w:hanging="1008"/>
      </w:pPr>
    </w:lvl>
    <w:lvl w:ilvl="5">
      <w:start w:val="1"/>
      <w:numFmt w:val="none"/>
      <w:lvlText w:val=""/>
      <w:lvlJc w:val="left"/>
      <w:pPr>
        <w:ind w:left="1152" w:hanging="1152"/>
      </w:pPr>
    </w:lvl>
    <w:lvl w:ilvl="6">
      <w:start w:val="1"/>
      <w:numFmt w:val="none"/>
      <w:lvlText w:val=""/>
      <w:lvlJc w:val="left"/>
      <w:pPr>
        <w:ind w:left="1296" w:hanging="1296"/>
      </w:pPr>
    </w:lvl>
    <w:lvl w:ilvl="7">
      <w:start w:val="1"/>
      <w:numFmt w:val="none"/>
      <w:lvlText w:val=""/>
      <w:lvlJc w:val="left"/>
      <w:pPr>
        <w:ind w:left="1440" w:hanging="1440"/>
      </w:pPr>
    </w:lvl>
    <w:lvl w:ilvl="8">
      <w:start w:val="1"/>
      <w:numFmt w:val="none"/>
      <w:lvlText w:val=""/>
      <w:lvlJc w:val="left"/>
      <w:pPr>
        <w:ind w:left="1584" w:hanging="1584"/>
      </w:pPr>
    </w:lvl>
  </w:abstractNum>
  <w:abstractNum w:abstractNumId="1" w15:restartNumberingAfterBreak="0">
    <w:nsid w:val="00000002"/>
    <w:multiLevelType w:val="multilevel"/>
    <w:tmpl w:val="FFFFFFFF"/>
    <w:lvl w:ilvl="0">
      <w:start w:val="1"/>
      <w:numFmt w:val="bullet"/>
      <w:lvlText w:val="•"/>
      <w:lvlJc w:val="left"/>
      <w:pPr>
        <w:ind w:left="720" w:hanging="360"/>
      </w:pPr>
      <w:rPr>
        <w:rFonts w:ascii="OpenSymbol" w:eastAsia="OpenSymbol" w:hAnsi="Times New Roman" w:cs="OpenSymbol"/>
      </w:rPr>
    </w:lvl>
    <w:lvl w:ilvl="1">
      <w:start w:val="1"/>
      <w:numFmt w:val="bullet"/>
      <w:lvlText w:val="◦"/>
      <w:lvlJc w:val="left"/>
      <w:pPr>
        <w:ind w:left="1080" w:hanging="360"/>
      </w:pPr>
      <w:rPr>
        <w:rFonts w:ascii="OpenSymbol" w:eastAsia="OpenSymbol" w:hAnsi="Times New Roman" w:cs="OpenSymbol"/>
      </w:rPr>
    </w:lvl>
    <w:lvl w:ilvl="2">
      <w:start w:val="1"/>
      <w:numFmt w:val="bullet"/>
      <w:lvlText w:val="▪"/>
      <w:lvlJc w:val="left"/>
      <w:pPr>
        <w:ind w:left="1440" w:hanging="360"/>
      </w:pPr>
      <w:rPr>
        <w:rFonts w:ascii="OpenSymbol" w:eastAsia="OpenSymbol" w:hAnsi="Times New Roman" w:cs="OpenSymbol"/>
      </w:rPr>
    </w:lvl>
    <w:lvl w:ilvl="3">
      <w:start w:val="1"/>
      <w:numFmt w:val="bullet"/>
      <w:lvlText w:val="•"/>
      <w:lvlJc w:val="left"/>
      <w:pPr>
        <w:ind w:left="1800" w:hanging="360"/>
      </w:pPr>
      <w:rPr>
        <w:rFonts w:ascii="OpenSymbol" w:eastAsia="OpenSymbol" w:hAnsi="Times New Roman" w:cs="OpenSymbol"/>
      </w:rPr>
    </w:lvl>
    <w:lvl w:ilvl="4">
      <w:start w:val="1"/>
      <w:numFmt w:val="bullet"/>
      <w:lvlText w:val="◦"/>
      <w:lvlJc w:val="left"/>
      <w:pPr>
        <w:ind w:left="2160" w:hanging="360"/>
      </w:pPr>
      <w:rPr>
        <w:rFonts w:ascii="OpenSymbol" w:eastAsia="OpenSymbol" w:hAnsi="Times New Roman" w:cs="OpenSymbol"/>
      </w:rPr>
    </w:lvl>
    <w:lvl w:ilvl="5">
      <w:start w:val="1"/>
      <w:numFmt w:val="bullet"/>
      <w:lvlText w:val="▪"/>
      <w:lvlJc w:val="left"/>
      <w:pPr>
        <w:ind w:left="2520" w:hanging="360"/>
      </w:pPr>
      <w:rPr>
        <w:rFonts w:ascii="OpenSymbol" w:eastAsia="OpenSymbol" w:hAnsi="Times New Roman" w:cs="OpenSymbol"/>
      </w:rPr>
    </w:lvl>
    <w:lvl w:ilvl="6">
      <w:start w:val="1"/>
      <w:numFmt w:val="bullet"/>
      <w:lvlText w:val="•"/>
      <w:lvlJc w:val="left"/>
      <w:pPr>
        <w:ind w:left="2880" w:hanging="360"/>
      </w:pPr>
      <w:rPr>
        <w:rFonts w:ascii="OpenSymbol" w:eastAsia="OpenSymbol" w:hAnsi="Times New Roman" w:cs="OpenSymbol"/>
      </w:rPr>
    </w:lvl>
    <w:lvl w:ilvl="7">
      <w:start w:val="1"/>
      <w:numFmt w:val="bullet"/>
      <w:lvlText w:val="◦"/>
      <w:lvlJc w:val="left"/>
      <w:pPr>
        <w:ind w:left="3240" w:hanging="360"/>
      </w:pPr>
      <w:rPr>
        <w:rFonts w:ascii="OpenSymbol" w:eastAsia="OpenSymbol" w:hAnsi="Times New Roman" w:cs="OpenSymbol"/>
      </w:rPr>
    </w:lvl>
    <w:lvl w:ilvl="8">
      <w:start w:val="1"/>
      <w:numFmt w:val="bullet"/>
      <w:lvlText w:val="▪"/>
      <w:lvlJc w:val="left"/>
      <w:pPr>
        <w:ind w:left="3600" w:hanging="360"/>
      </w:pPr>
      <w:rPr>
        <w:rFonts w:ascii="OpenSymbol" w:eastAsia="OpenSymbol" w:hAnsi="Times New Roman" w:cs="OpenSymbol"/>
      </w:rPr>
    </w:lvl>
  </w:abstractNum>
  <w:abstractNum w:abstractNumId="2" w15:restartNumberingAfterBreak="0">
    <w:nsid w:val="00000003"/>
    <w:multiLevelType w:val="multilevel"/>
    <w:tmpl w:val="FFFFFFFF"/>
    <w:lvl w:ilvl="0">
      <w:start w:val="1"/>
      <w:numFmt w:val="bullet"/>
      <w:lvlText w:val="–"/>
      <w:lvlJc w:val="left"/>
      <w:pPr>
        <w:ind w:left="720" w:hanging="360"/>
      </w:pPr>
      <w:rPr>
        <w:rFonts w:ascii="OpenSymbol" w:eastAsia="OpenSymbol" w:hAnsi="Times New Roman" w:cs="OpenSymbol"/>
      </w:rPr>
    </w:lvl>
    <w:lvl w:ilvl="1">
      <w:start w:val="1"/>
      <w:numFmt w:val="bullet"/>
      <w:lvlText w:val="–"/>
      <w:lvlJc w:val="left"/>
      <w:pPr>
        <w:ind w:left="1080" w:hanging="360"/>
      </w:pPr>
      <w:rPr>
        <w:rFonts w:ascii="OpenSymbol" w:eastAsia="OpenSymbol" w:hAnsi="Times New Roman" w:cs="OpenSymbol"/>
      </w:rPr>
    </w:lvl>
    <w:lvl w:ilvl="2">
      <w:start w:val="1"/>
      <w:numFmt w:val="bullet"/>
      <w:lvlText w:val="–"/>
      <w:lvlJc w:val="left"/>
      <w:pPr>
        <w:ind w:left="1440" w:hanging="360"/>
      </w:pPr>
      <w:rPr>
        <w:rFonts w:ascii="OpenSymbol" w:eastAsia="OpenSymbol" w:hAnsi="Times New Roman" w:cs="OpenSymbol"/>
      </w:rPr>
    </w:lvl>
    <w:lvl w:ilvl="3">
      <w:start w:val="1"/>
      <w:numFmt w:val="bullet"/>
      <w:lvlText w:val="–"/>
      <w:lvlJc w:val="left"/>
      <w:pPr>
        <w:ind w:left="1800" w:hanging="360"/>
      </w:pPr>
      <w:rPr>
        <w:rFonts w:ascii="OpenSymbol" w:eastAsia="OpenSymbol" w:hAnsi="Times New Roman" w:cs="OpenSymbol"/>
      </w:rPr>
    </w:lvl>
    <w:lvl w:ilvl="4">
      <w:start w:val="1"/>
      <w:numFmt w:val="bullet"/>
      <w:lvlText w:val="–"/>
      <w:lvlJc w:val="left"/>
      <w:pPr>
        <w:ind w:left="2160" w:hanging="360"/>
      </w:pPr>
      <w:rPr>
        <w:rFonts w:ascii="OpenSymbol" w:eastAsia="OpenSymbol" w:hAnsi="Times New Roman" w:cs="OpenSymbol"/>
      </w:rPr>
    </w:lvl>
    <w:lvl w:ilvl="5">
      <w:start w:val="1"/>
      <w:numFmt w:val="bullet"/>
      <w:lvlText w:val="–"/>
      <w:lvlJc w:val="left"/>
      <w:pPr>
        <w:ind w:left="2520" w:hanging="360"/>
      </w:pPr>
      <w:rPr>
        <w:rFonts w:ascii="OpenSymbol" w:eastAsia="OpenSymbol" w:hAnsi="Times New Roman" w:cs="OpenSymbol"/>
      </w:rPr>
    </w:lvl>
    <w:lvl w:ilvl="6">
      <w:start w:val="1"/>
      <w:numFmt w:val="bullet"/>
      <w:lvlText w:val="–"/>
      <w:lvlJc w:val="left"/>
      <w:pPr>
        <w:ind w:left="2880" w:hanging="360"/>
      </w:pPr>
      <w:rPr>
        <w:rFonts w:ascii="OpenSymbol" w:eastAsia="OpenSymbol" w:hAnsi="Times New Roman" w:cs="OpenSymbol"/>
      </w:rPr>
    </w:lvl>
    <w:lvl w:ilvl="7">
      <w:start w:val="1"/>
      <w:numFmt w:val="bullet"/>
      <w:lvlText w:val="–"/>
      <w:lvlJc w:val="left"/>
      <w:pPr>
        <w:ind w:left="3240" w:hanging="360"/>
      </w:pPr>
      <w:rPr>
        <w:rFonts w:ascii="OpenSymbol" w:eastAsia="OpenSymbol" w:hAnsi="Times New Roman" w:cs="OpenSymbol"/>
      </w:rPr>
    </w:lvl>
    <w:lvl w:ilvl="8">
      <w:start w:val="1"/>
      <w:numFmt w:val="bullet"/>
      <w:lvlText w:val="–"/>
      <w:lvlJc w:val="left"/>
      <w:pPr>
        <w:ind w:left="3600" w:hanging="360"/>
      </w:pPr>
      <w:rPr>
        <w:rFonts w:ascii="OpenSymbol" w:eastAsia="OpenSymbol" w:hAnsi="Times New Roman" w:cs="OpenSymbol"/>
      </w:rPr>
    </w:lvl>
  </w:abstractNum>
  <w:abstractNum w:abstractNumId="3" w15:restartNumberingAfterBreak="0">
    <w:nsid w:val="00000004"/>
    <w:multiLevelType w:val="multilevel"/>
    <w:tmpl w:val="FFFFFFFF"/>
    <w:lvl w:ilvl="0">
      <w:start w:val="1"/>
      <w:numFmt w:val="bullet"/>
      <w:lvlText w:val="–"/>
      <w:lvlJc w:val="left"/>
      <w:pPr>
        <w:ind w:left="720" w:hanging="360"/>
      </w:pPr>
      <w:rPr>
        <w:rFonts w:ascii="OpenSymbol" w:eastAsia="OpenSymbol" w:hAnsi="Times New Roman" w:cs="OpenSymbol"/>
      </w:rPr>
    </w:lvl>
    <w:lvl w:ilvl="1">
      <w:start w:val="1"/>
      <w:numFmt w:val="bullet"/>
      <w:lvlText w:val="–"/>
      <w:lvlJc w:val="left"/>
      <w:pPr>
        <w:ind w:left="1080" w:hanging="360"/>
      </w:pPr>
      <w:rPr>
        <w:rFonts w:ascii="OpenSymbol" w:eastAsia="OpenSymbol" w:hAnsi="Times New Roman" w:cs="OpenSymbol"/>
      </w:rPr>
    </w:lvl>
    <w:lvl w:ilvl="2">
      <w:start w:val="1"/>
      <w:numFmt w:val="bullet"/>
      <w:lvlText w:val="–"/>
      <w:lvlJc w:val="left"/>
      <w:pPr>
        <w:ind w:left="1440" w:hanging="360"/>
      </w:pPr>
      <w:rPr>
        <w:rFonts w:ascii="OpenSymbol" w:eastAsia="OpenSymbol" w:hAnsi="Times New Roman" w:cs="OpenSymbol"/>
      </w:rPr>
    </w:lvl>
    <w:lvl w:ilvl="3">
      <w:start w:val="1"/>
      <w:numFmt w:val="bullet"/>
      <w:lvlText w:val="–"/>
      <w:lvlJc w:val="left"/>
      <w:pPr>
        <w:ind w:left="1800" w:hanging="360"/>
      </w:pPr>
      <w:rPr>
        <w:rFonts w:ascii="OpenSymbol" w:eastAsia="OpenSymbol" w:hAnsi="Times New Roman" w:cs="OpenSymbol"/>
      </w:rPr>
    </w:lvl>
    <w:lvl w:ilvl="4">
      <w:start w:val="1"/>
      <w:numFmt w:val="bullet"/>
      <w:lvlText w:val="–"/>
      <w:lvlJc w:val="left"/>
      <w:pPr>
        <w:ind w:left="2160" w:hanging="360"/>
      </w:pPr>
      <w:rPr>
        <w:rFonts w:ascii="OpenSymbol" w:eastAsia="OpenSymbol" w:hAnsi="Times New Roman" w:cs="OpenSymbol"/>
      </w:rPr>
    </w:lvl>
    <w:lvl w:ilvl="5">
      <w:start w:val="1"/>
      <w:numFmt w:val="bullet"/>
      <w:lvlText w:val="–"/>
      <w:lvlJc w:val="left"/>
      <w:pPr>
        <w:ind w:left="2520" w:hanging="360"/>
      </w:pPr>
      <w:rPr>
        <w:rFonts w:ascii="OpenSymbol" w:eastAsia="OpenSymbol" w:hAnsi="Times New Roman" w:cs="OpenSymbol"/>
      </w:rPr>
    </w:lvl>
    <w:lvl w:ilvl="6">
      <w:start w:val="1"/>
      <w:numFmt w:val="bullet"/>
      <w:lvlText w:val="–"/>
      <w:lvlJc w:val="left"/>
      <w:pPr>
        <w:ind w:left="2880" w:hanging="360"/>
      </w:pPr>
      <w:rPr>
        <w:rFonts w:ascii="OpenSymbol" w:eastAsia="OpenSymbol" w:hAnsi="Times New Roman" w:cs="OpenSymbol"/>
      </w:rPr>
    </w:lvl>
    <w:lvl w:ilvl="7">
      <w:start w:val="1"/>
      <w:numFmt w:val="bullet"/>
      <w:lvlText w:val="–"/>
      <w:lvlJc w:val="left"/>
      <w:pPr>
        <w:ind w:left="3240" w:hanging="360"/>
      </w:pPr>
      <w:rPr>
        <w:rFonts w:ascii="OpenSymbol" w:eastAsia="OpenSymbol" w:hAnsi="Times New Roman" w:cs="OpenSymbol"/>
      </w:rPr>
    </w:lvl>
    <w:lvl w:ilvl="8">
      <w:start w:val="1"/>
      <w:numFmt w:val="bullet"/>
      <w:lvlText w:val="–"/>
      <w:lvlJc w:val="left"/>
      <w:pPr>
        <w:ind w:left="3600" w:hanging="360"/>
      </w:pPr>
      <w:rPr>
        <w:rFonts w:ascii="OpenSymbol" w:eastAsia="OpenSymbol" w:hAnsi="Times New Roman" w:cs="OpenSymbol"/>
      </w:rPr>
    </w:lvl>
  </w:abstractNum>
  <w:abstractNum w:abstractNumId="4" w15:restartNumberingAfterBreak="0">
    <w:nsid w:val="00000005"/>
    <w:multiLevelType w:val="multilevel"/>
    <w:tmpl w:val="FFFFFFFF"/>
    <w:lvl w:ilvl="0">
      <w:start w:val="1"/>
      <w:numFmt w:val="bullet"/>
      <w:lvlText w:val="•"/>
      <w:lvlJc w:val="left"/>
      <w:pPr>
        <w:ind w:left="720" w:hanging="360"/>
      </w:pPr>
      <w:rPr>
        <w:rFonts w:ascii="OpenSymbol" w:eastAsia="OpenSymbol" w:hAnsi="Times New Roman" w:cs="OpenSymbol"/>
      </w:rPr>
    </w:lvl>
    <w:lvl w:ilvl="1">
      <w:start w:val="1"/>
      <w:numFmt w:val="bullet"/>
      <w:lvlText w:val="◦"/>
      <w:lvlJc w:val="left"/>
      <w:pPr>
        <w:ind w:left="1080" w:hanging="360"/>
      </w:pPr>
      <w:rPr>
        <w:rFonts w:ascii="OpenSymbol" w:eastAsia="OpenSymbol" w:hAnsi="Times New Roman" w:cs="OpenSymbol"/>
      </w:rPr>
    </w:lvl>
    <w:lvl w:ilvl="2">
      <w:start w:val="1"/>
      <w:numFmt w:val="bullet"/>
      <w:lvlText w:val="▪"/>
      <w:lvlJc w:val="left"/>
      <w:pPr>
        <w:ind w:left="1440" w:hanging="360"/>
      </w:pPr>
      <w:rPr>
        <w:rFonts w:ascii="OpenSymbol" w:eastAsia="OpenSymbol" w:hAnsi="Times New Roman" w:cs="OpenSymbol"/>
      </w:rPr>
    </w:lvl>
    <w:lvl w:ilvl="3">
      <w:start w:val="1"/>
      <w:numFmt w:val="bullet"/>
      <w:lvlText w:val="•"/>
      <w:lvlJc w:val="left"/>
      <w:pPr>
        <w:ind w:left="1800" w:hanging="360"/>
      </w:pPr>
      <w:rPr>
        <w:rFonts w:ascii="OpenSymbol" w:eastAsia="OpenSymbol" w:hAnsi="Times New Roman" w:cs="OpenSymbol"/>
      </w:rPr>
    </w:lvl>
    <w:lvl w:ilvl="4">
      <w:start w:val="1"/>
      <w:numFmt w:val="bullet"/>
      <w:lvlText w:val="◦"/>
      <w:lvlJc w:val="left"/>
      <w:pPr>
        <w:ind w:left="2160" w:hanging="360"/>
      </w:pPr>
      <w:rPr>
        <w:rFonts w:ascii="OpenSymbol" w:eastAsia="OpenSymbol" w:hAnsi="Times New Roman" w:cs="OpenSymbol"/>
      </w:rPr>
    </w:lvl>
    <w:lvl w:ilvl="5">
      <w:start w:val="1"/>
      <w:numFmt w:val="bullet"/>
      <w:lvlText w:val="▪"/>
      <w:lvlJc w:val="left"/>
      <w:pPr>
        <w:ind w:left="2520" w:hanging="360"/>
      </w:pPr>
      <w:rPr>
        <w:rFonts w:ascii="OpenSymbol" w:eastAsia="OpenSymbol" w:hAnsi="Times New Roman" w:cs="OpenSymbol"/>
      </w:rPr>
    </w:lvl>
    <w:lvl w:ilvl="6">
      <w:start w:val="1"/>
      <w:numFmt w:val="bullet"/>
      <w:lvlText w:val="•"/>
      <w:lvlJc w:val="left"/>
      <w:pPr>
        <w:ind w:left="2880" w:hanging="360"/>
      </w:pPr>
      <w:rPr>
        <w:rFonts w:ascii="OpenSymbol" w:eastAsia="OpenSymbol" w:hAnsi="Times New Roman" w:cs="OpenSymbol"/>
      </w:rPr>
    </w:lvl>
    <w:lvl w:ilvl="7">
      <w:start w:val="1"/>
      <w:numFmt w:val="bullet"/>
      <w:lvlText w:val="◦"/>
      <w:lvlJc w:val="left"/>
      <w:pPr>
        <w:ind w:left="3240" w:hanging="360"/>
      </w:pPr>
      <w:rPr>
        <w:rFonts w:ascii="OpenSymbol" w:eastAsia="OpenSymbol" w:hAnsi="Times New Roman" w:cs="OpenSymbol"/>
      </w:rPr>
    </w:lvl>
    <w:lvl w:ilvl="8">
      <w:start w:val="1"/>
      <w:numFmt w:val="bullet"/>
      <w:lvlText w:val="▪"/>
      <w:lvlJc w:val="left"/>
      <w:pPr>
        <w:ind w:left="3600" w:hanging="360"/>
      </w:pPr>
      <w:rPr>
        <w:rFonts w:ascii="OpenSymbol" w:eastAsia="OpenSymbol" w:hAnsi="Times New Roman" w:cs="OpenSymbol"/>
      </w:rPr>
    </w:lvl>
  </w:abstractNum>
  <w:num w:numId="1" w16cid:durableId="668750827">
    <w:abstractNumId w:val="0"/>
  </w:num>
  <w:num w:numId="2" w16cid:durableId="783620606">
    <w:abstractNumId w:val="1"/>
  </w:num>
  <w:num w:numId="3" w16cid:durableId="1454130294">
    <w:abstractNumId w:val="2"/>
  </w:num>
  <w:num w:numId="4" w16cid:durableId="870655756">
    <w:abstractNumId w:val="3"/>
  </w:num>
  <w:num w:numId="5" w16cid:durableId="101916482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oNotTrackMoves/>
  <w:defaultTabStop w:val="0"/>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F25B3"/>
    <w:rsid w:val="00401693"/>
    <w:rsid w:val="00DF25B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3BA0113"/>
  <w14:defaultImageDpi w14:val="0"/>
  <w15:docId w15:val="{8FD3E9D1-1593-42CC-A5B8-15AA23BA99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rPr>
  </w:style>
  <w:style w:type="paragraph" w:styleId="Heading1">
    <w:name w:val="heading 1"/>
    <w:basedOn w:val="Heading"/>
    <w:next w:val="Textbody"/>
    <w:link w:val="Heading1Char"/>
    <w:uiPriority w:val="99"/>
    <w:qFormat/>
    <w:pPr>
      <w:outlineLvl w:val="0"/>
    </w:pPr>
    <w:rPr>
      <w:rFonts w:ascii="Times New Roman" w:hAnsi="SimSun" w:cs="Times New Roman"/>
      <w:b/>
      <w:bCs/>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N w:val="0"/>
      <w:adjustRightInd w:val="0"/>
    </w:pPr>
    <w:rPr>
      <w:rFonts w:ascii="Times New Roman" w:hAnsi="SimSun"/>
      <w:kern w:val="1"/>
      <w:sz w:val="24"/>
      <w:szCs w:val="24"/>
      <w:lang w:eastAsia="zh-CN" w:bidi="hi-IN"/>
    </w:rPr>
  </w:style>
  <w:style w:type="character" w:customStyle="1" w:styleId="Heading1Char">
    <w:name w:val="Heading 1 Char"/>
    <w:link w:val="Heading1"/>
    <w:uiPriority w:val="9"/>
    <w:rPr>
      <w:rFonts w:ascii="Calibri Light" w:eastAsia="Times New Roman" w:hAnsi="Calibri Light" w:cs="Times New Roman"/>
      <w:b/>
      <w:bCs/>
      <w:kern w:val="32"/>
      <w:sz w:val="32"/>
      <w:szCs w:val="32"/>
    </w:rPr>
  </w:style>
  <w:style w:type="character" w:customStyle="1" w:styleId="RTFNum21">
    <w:name w:val="RTF_Num 2 1"/>
    <w:uiPriority w:val="99"/>
  </w:style>
  <w:style w:type="character" w:customStyle="1" w:styleId="RTFNum22">
    <w:name w:val="RTF_Num 2 2"/>
    <w:uiPriority w:val="99"/>
  </w:style>
  <w:style w:type="character" w:customStyle="1" w:styleId="RTFNum23">
    <w:name w:val="RTF_Num 2 3"/>
    <w:uiPriority w:val="99"/>
  </w:style>
  <w:style w:type="character" w:customStyle="1" w:styleId="RTFNum24">
    <w:name w:val="RTF_Num 2 4"/>
    <w:uiPriority w:val="99"/>
  </w:style>
  <w:style w:type="character" w:customStyle="1" w:styleId="RTFNum25">
    <w:name w:val="RTF_Num 2 5"/>
    <w:uiPriority w:val="99"/>
  </w:style>
  <w:style w:type="character" w:customStyle="1" w:styleId="RTFNum26">
    <w:name w:val="RTF_Num 2 6"/>
    <w:uiPriority w:val="99"/>
  </w:style>
  <w:style w:type="character" w:customStyle="1" w:styleId="RTFNum27">
    <w:name w:val="RTF_Num 2 7"/>
    <w:uiPriority w:val="99"/>
  </w:style>
  <w:style w:type="character" w:customStyle="1" w:styleId="RTFNum28">
    <w:name w:val="RTF_Num 2 8"/>
    <w:uiPriority w:val="99"/>
  </w:style>
  <w:style w:type="character" w:customStyle="1" w:styleId="RTFNum29">
    <w:name w:val="RTF_Num 2 9"/>
    <w:uiPriority w:val="99"/>
  </w:style>
  <w:style w:type="character" w:customStyle="1" w:styleId="RTFNum31">
    <w:name w:val="RTF_Num 3 1"/>
    <w:uiPriority w:val="99"/>
    <w:rPr>
      <w:rFonts w:ascii="OpenSymbol" w:eastAsia="OpenSymbol" w:hAnsi="OpenSymbol" w:cs="OpenSymbol"/>
    </w:rPr>
  </w:style>
  <w:style w:type="character" w:customStyle="1" w:styleId="RTFNum32">
    <w:name w:val="RTF_Num 3 2"/>
    <w:uiPriority w:val="99"/>
    <w:rPr>
      <w:rFonts w:ascii="OpenSymbol" w:eastAsia="OpenSymbol" w:hAnsi="OpenSymbol" w:cs="OpenSymbol"/>
    </w:rPr>
  </w:style>
  <w:style w:type="character" w:customStyle="1" w:styleId="RTFNum33">
    <w:name w:val="RTF_Num 3 3"/>
    <w:uiPriority w:val="99"/>
    <w:rPr>
      <w:rFonts w:ascii="OpenSymbol" w:eastAsia="OpenSymbol" w:hAnsi="OpenSymbol" w:cs="OpenSymbol"/>
    </w:rPr>
  </w:style>
  <w:style w:type="character" w:customStyle="1" w:styleId="RTFNum34">
    <w:name w:val="RTF_Num 3 4"/>
    <w:uiPriority w:val="99"/>
    <w:rPr>
      <w:rFonts w:ascii="OpenSymbol" w:eastAsia="OpenSymbol" w:hAnsi="OpenSymbol" w:cs="OpenSymbol"/>
    </w:rPr>
  </w:style>
  <w:style w:type="character" w:customStyle="1" w:styleId="RTFNum35">
    <w:name w:val="RTF_Num 3 5"/>
    <w:uiPriority w:val="99"/>
    <w:rPr>
      <w:rFonts w:ascii="OpenSymbol" w:eastAsia="OpenSymbol" w:hAnsi="OpenSymbol" w:cs="OpenSymbol"/>
    </w:rPr>
  </w:style>
  <w:style w:type="character" w:customStyle="1" w:styleId="RTFNum36">
    <w:name w:val="RTF_Num 3 6"/>
    <w:uiPriority w:val="99"/>
    <w:rPr>
      <w:rFonts w:ascii="OpenSymbol" w:eastAsia="OpenSymbol" w:hAnsi="OpenSymbol" w:cs="OpenSymbol"/>
    </w:rPr>
  </w:style>
  <w:style w:type="character" w:customStyle="1" w:styleId="RTFNum37">
    <w:name w:val="RTF_Num 3 7"/>
    <w:uiPriority w:val="99"/>
    <w:rPr>
      <w:rFonts w:ascii="OpenSymbol" w:eastAsia="OpenSymbol" w:hAnsi="OpenSymbol" w:cs="OpenSymbol"/>
    </w:rPr>
  </w:style>
  <w:style w:type="character" w:customStyle="1" w:styleId="RTFNum38">
    <w:name w:val="RTF_Num 3 8"/>
    <w:uiPriority w:val="99"/>
    <w:rPr>
      <w:rFonts w:ascii="OpenSymbol" w:eastAsia="OpenSymbol" w:hAnsi="OpenSymbol" w:cs="OpenSymbol"/>
    </w:rPr>
  </w:style>
  <w:style w:type="character" w:customStyle="1" w:styleId="RTFNum39">
    <w:name w:val="RTF_Num 3 9"/>
    <w:uiPriority w:val="99"/>
    <w:rPr>
      <w:rFonts w:ascii="OpenSymbol" w:eastAsia="OpenSymbol" w:hAnsi="OpenSymbol" w:cs="OpenSymbol"/>
    </w:rPr>
  </w:style>
  <w:style w:type="character" w:customStyle="1" w:styleId="InternetLink">
    <w:name w:val="Internet Link"/>
    <w:uiPriority w:val="99"/>
    <w:rPr>
      <w:color w:val="000080"/>
      <w:u w:val="single"/>
      <w:lang/>
    </w:rPr>
  </w:style>
  <w:style w:type="character" w:customStyle="1" w:styleId="FootnoteCharacters">
    <w:name w:val="Footnote Characters"/>
    <w:uiPriority w:val="99"/>
  </w:style>
  <w:style w:type="character" w:customStyle="1" w:styleId="Footnoteanchor">
    <w:name w:val="Footnote anchor"/>
    <w:uiPriority w:val="99"/>
  </w:style>
  <w:style w:type="character" w:customStyle="1" w:styleId="Endnoteanchor">
    <w:name w:val="Endnote anchor"/>
    <w:uiPriority w:val="99"/>
  </w:style>
  <w:style w:type="character" w:customStyle="1" w:styleId="EndnoteCharacters">
    <w:name w:val="Endnote Characters"/>
    <w:uiPriority w:val="99"/>
  </w:style>
  <w:style w:type="character" w:customStyle="1" w:styleId="Bullets">
    <w:name w:val="Bullets"/>
    <w:uiPriority w:val="99"/>
    <w:rPr>
      <w:rFonts w:ascii="OpenSymbol" w:eastAsia="OpenSymbol" w:hAnsi="OpenSymbol" w:cs="OpenSymbol"/>
    </w:rPr>
  </w:style>
  <w:style w:type="paragraph" w:customStyle="1" w:styleId="Heading">
    <w:name w:val="Heading"/>
    <w:basedOn w:val="Default"/>
    <w:next w:val="Textbody"/>
    <w:uiPriority w:val="99"/>
    <w:pPr>
      <w:keepNext/>
      <w:autoSpaceDE w:val="0"/>
      <w:spacing w:before="240" w:after="120"/>
    </w:pPr>
    <w:rPr>
      <w:rFonts w:ascii="Arial" w:hAnsi="Microsoft YaHei" w:cs="Arial"/>
      <w:kern w:val="0"/>
      <w:sz w:val="28"/>
      <w:szCs w:val="28"/>
      <w:lang w:bidi="ar-SA"/>
    </w:rPr>
  </w:style>
  <w:style w:type="paragraph" w:customStyle="1" w:styleId="Textbody">
    <w:name w:val="Text body"/>
    <w:basedOn w:val="Default"/>
    <w:uiPriority w:val="99"/>
    <w:pPr>
      <w:autoSpaceDE w:val="0"/>
      <w:spacing w:after="120"/>
    </w:pPr>
    <w:rPr>
      <w:rFonts w:hAnsi="Times New Roman"/>
      <w:kern w:val="0"/>
      <w:lang w:bidi="ar-SA"/>
    </w:rPr>
  </w:style>
  <w:style w:type="paragraph" w:styleId="List">
    <w:name w:val="List"/>
    <w:basedOn w:val="Textbody"/>
    <w:uiPriority w:val="99"/>
  </w:style>
  <w:style w:type="paragraph" w:styleId="Caption">
    <w:name w:val="caption"/>
    <w:basedOn w:val="Default"/>
    <w:uiPriority w:val="99"/>
    <w:qFormat/>
    <w:pPr>
      <w:autoSpaceDE w:val="0"/>
      <w:spacing w:before="120" w:after="120"/>
    </w:pPr>
    <w:rPr>
      <w:rFonts w:hAnsi="Times New Roman"/>
      <w:i/>
      <w:iCs/>
      <w:kern w:val="0"/>
      <w:lang w:bidi="ar-SA"/>
    </w:rPr>
  </w:style>
  <w:style w:type="paragraph" w:customStyle="1" w:styleId="Index">
    <w:name w:val="Index"/>
    <w:basedOn w:val="Default"/>
    <w:uiPriority w:val="99"/>
    <w:pPr>
      <w:autoSpaceDE w:val="0"/>
    </w:pPr>
    <w:rPr>
      <w:rFonts w:hAnsi="Times New Roman"/>
      <w:kern w:val="0"/>
      <w:lang w:bidi="ar-SA"/>
    </w:rPr>
  </w:style>
  <w:style w:type="paragraph" w:customStyle="1" w:styleId="Footnote">
    <w:name w:val="Footnote"/>
    <w:basedOn w:val="Default"/>
    <w:uiPriority w:val="99"/>
    <w:pPr>
      <w:ind w:left="283" w:hanging="283"/>
    </w:pPr>
    <w:rPr>
      <w:sz w:val="20"/>
      <w:szCs w:val="20"/>
      <w:lang w:bidi="ar-SA"/>
    </w:rPr>
  </w:style>
  <w:style w:type="character" w:styleId="EndnoteReference">
    <w:name w:val="endnote reference"/>
    <w:uiPriority w:val="99"/>
    <w:semiHidden/>
    <w:unhideWhenUsed/>
    <w:rsid w:val="00DF25B3"/>
    <w:rPr>
      <w:vertAlign w:val="superscript"/>
    </w:rPr>
  </w:style>
  <w:style w:type="character" w:styleId="FootnoteReference">
    <w:name w:val="footnote reference"/>
    <w:uiPriority w:val="99"/>
    <w:semiHidden/>
    <w:unhideWhenUsed/>
    <w:rsid w:val="00DF25B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ccc.gov.au/system/files/Peter%20Mair.pdf?ref=0&amp;download=y" TargetMode="External"/><Relationship Id="rId3" Type="http://schemas.openxmlformats.org/officeDocument/2006/relationships/settings" Target="settings.xml"/><Relationship Id="rId7" Type="http://schemas.openxmlformats.org/officeDocument/2006/relationships/hyperlink" Target="https://treasury.gov.au/consultation/c2022-343663"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www.rba.gov.au/speeches/2024/sp-ag-2024-11-08.html" TargetMode="External"/><Relationship Id="rId4" Type="http://schemas.openxmlformats.org/officeDocument/2006/relationships/webSettings" Target="webSettings.xml"/><Relationship Id="rId9" Type="http://schemas.openxmlformats.org/officeDocument/2006/relationships/hyperlink" Target="https://comcom.govt.nz/__data/assets/pdf_file/0026/350927/Peter-Mair-Submission-on-Market-study-into-personal-banking-services-Draft-report-4-April-2024.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3009</Words>
  <Characters>16706</Characters>
  <Application>Microsoft Office Word</Application>
  <DocSecurity>0</DocSecurity>
  <Lines>340</Lines>
  <Paragraphs>98</Paragraphs>
  <ScaleCrop>false</ScaleCrop>
  <Company/>
  <LinksUpToDate>false</LinksUpToDate>
  <CharactersWithSpaces>19617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MS MARGINS</dc:title>
  <dc:subject/>
  <dc:creator>WONG, Sally</dc:creator>
  <cp:keywords/>
  <dc:description/>
  <cp:lastModifiedBy>WONG, Sally</cp:lastModifiedBy>
  <cp:revision>2</cp:revision>
  <cp:lastPrinted>2024-11-14T01:03:00Z</cp:lastPrinted>
  <dcterms:created xsi:type="dcterms:W3CDTF">2025-01-09T03:36:00Z</dcterms:created>
  <dcterms:modified xsi:type="dcterms:W3CDTF">2025-01-09T03:36:00Z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05e7ac9-f95c-49db-a725-ff35ba3d5bac_Enabled">
    <vt:lpwstr>true</vt:lpwstr>
  </property>
  <property fmtid="{D5CDD505-2E9C-101B-9397-08002B2CF9AE}" pid="3" name="MSIP_Label_505e7ac9-f95c-49db-a725-ff35ba3d5bac_SetDate">
    <vt:lpwstr>2025-01-09T03:36:18Z</vt:lpwstr>
  </property>
  <property fmtid="{D5CDD505-2E9C-101B-9397-08002B2CF9AE}" pid="4" name="MSIP_Label_505e7ac9-f95c-49db-a725-ff35ba3d5bac_Method">
    <vt:lpwstr>Privileged</vt:lpwstr>
  </property>
  <property fmtid="{D5CDD505-2E9C-101B-9397-08002B2CF9AE}" pid="5" name="MSIP_Label_505e7ac9-f95c-49db-a725-ff35ba3d5bac_Name">
    <vt:lpwstr>(Prototype) General</vt:lpwstr>
  </property>
  <property fmtid="{D5CDD505-2E9C-101B-9397-08002B2CF9AE}" pid="6" name="MSIP_Label_505e7ac9-f95c-49db-a725-ff35ba3d5bac_SiteId">
    <vt:lpwstr>af0d88c1-6605-44c2-999e-e6b2f8790d86</vt:lpwstr>
  </property>
  <property fmtid="{D5CDD505-2E9C-101B-9397-08002B2CF9AE}" pid="7" name="MSIP_Label_505e7ac9-f95c-49db-a725-ff35ba3d5bac_ActionId">
    <vt:lpwstr>a8e4bfb7-1a7a-4e92-be4f-93bf7643919e</vt:lpwstr>
  </property>
  <property fmtid="{D5CDD505-2E9C-101B-9397-08002B2CF9AE}" pid="8" name="MSIP_Label_505e7ac9-f95c-49db-a725-ff35ba3d5bac_ContentBits">
    <vt:lpwstr>0</vt:lpwstr>
  </property>
</Properties>
</file>