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id w:val="1666046883"/>
        <w:docPartObj>
          <w:docPartGallery w:val="Cover Pages"/>
          <w:docPartUnique/>
        </w:docPartObj>
      </w:sdtPr>
      <w:sdtContent>
        <w:p w14:paraId="1EC75F92" w14:textId="5D27688A" w:rsidR="00441675" w:rsidRDefault="00441675"/>
        <w:p w14:paraId="2E4C488B" w14:textId="056E04AC" w:rsidR="00003F36" w:rsidRDefault="00003F36"/>
        <w:p w14:paraId="592253D1" w14:textId="522477F3" w:rsidR="00003F36" w:rsidRDefault="00003F36"/>
        <w:p w14:paraId="4D1369DC" w14:textId="7D22E74C" w:rsidR="00003F36" w:rsidRDefault="00003F36"/>
        <w:p w14:paraId="792CB646" w14:textId="1DD1C794" w:rsidR="00003F36" w:rsidRDefault="00003F36" w:rsidP="00003F36">
          <w:pPr>
            <w:jc w:val="center"/>
          </w:pPr>
          <w:r w:rsidRPr="00B51358">
            <w:rPr>
              <w:rFonts w:ascii="Calibri" w:eastAsia="Times New Roman" w:hAnsi="Calibri" w:cs="Times New Roman"/>
              <w:b/>
              <w:bCs/>
              <w:noProof/>
              <w:color w:val="000000"/>
              <w:sz w:val="36"/>
              <w:szCs w:val="36"/>
              <w:lang w:val="en-GB" w:eastAsia="en-GB"/>
            </w:rPr>
            <w:drawing>
              <wp:inline distT="0" distB="0" distL="0" distR="0" wp14:anchorId="6970777F" wp14:editId="6701959B">
                <wp:extent cx="5200650" cy="1040130"/>
                <wp:effectExtent l="0" t="0" r="0" b="0"/>
                <wp:docPr id="5" name="Picture 3" descr="C:\Users\JCABEDO\AppData\Local\Microsoft\Windows\Temporary Internet Files\Content.Outlook\WNVTCANO\Profit-Insight-logo_20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CABEDO\AppData\Local\Microsoft\Windows\Temporary Internet Files\Content.Outlook\WNVTCANO\Profit-Insight-logo_2013.png"/>
                        <pic:cNvPicPr>
                          <a:picLocks noChangeAspect="1" noChangeArrowheads="1"/>
                        </pic:cNvPicPr>
                      </pic:nvPicPr>
                      <pic:blipFill>
                        <a:blip r:embed="rId9" cstate="print"/>
                        <a:srcRect/>
                        <a:stretch>
                          <a:fillRect/>
                        </a:stretch>
                      </pic:blipFill>
                      <pic:spPr bwMode="auto">
                        <a:xfrm>
                          <a:off x="0" y="0"/>
                          <a:ext cx="5200650" cy="1040130"/>
                        </a:xfrm>
                        <a:prstGeom prst="rect">
                          <a:avLst/>
                        </a:prstGeom>
                        <a:noFill/>
                        <a:ln w="9525">
                          <a:noFill/>
                          <a:miter lim="800000"/>
                          <a:headEnd/>
                          <a:tailEnd/>
                        </a:ln>
                      </pic:spPr>
                    </pic:pic>
                  </a:graphicData>
                </a:graphic>
              </wp:inline>
            </w:drawing>
          </w:r>
        </w:p>
        <w:p w14:paraId="3250131E" w14:textId="68B5FFCA" w:rsidR="00003F36" w:rsidRPr="00003F36" w:rsidRDefault="005B0E45" w:rsidP="00003F36">
          <w:pPr>
            <w:jc w:val="center"/>
            <w:rPr>
              <w:rFonts w:ascii="Arial" w:hAnsi="Arial" w:cs="Arial"/>
              <w:sz w:val="28"/>
              <w:szCs w:val="28"/>
            </w:rPr>
          </w:pPr>
          <w:r>
            <w:rPr>
              <w:noProof/>
            </w:rPr>
            <mc:AlternateContent>
              <mc:Choice Requires="wps">
                <w:drawing>
                  <wp:anchor distT="45720" distB="45720" distL="114300" distR="114300" simplePos="0" relativeHeight="251661312" behindDoc="0" locked="0" layoutInCell="1" allowOverlap="1" wp14:anchorId="571F7559" wp14:editId="5DB3E470">
                    <wp:simplePos x="0" y="0"/>
                    <wp:positionH relativeFrom="column">
                      <wp:posOffset>95250</wp:posOffset>
                    </wp:positionH>
                    <wp:positionV relativeFrom="paragraph">
                      <wp:posOffset>3400425</wp:posOffset>
                    </wp:positionV>
                    <wp:extent cx="8912225" cy="673100"/>
                    <wp:effectExtent l="0" t="0" r="3175" b="0"/>
                    <wp:wrapSquare wrapText="bothSides"/>
                    <wp:docPr id="9962949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12225" cy="673100"/>
                            </a:xfrm>
                            <a:prstGeom prst="rect">
                              <a:avLst/>
                            </a:prstGeom>
                            <a:solidFill>
                              <a:srgbClr val="FFFFFF"/>
                            </a:solidFill>
                            <a:ln w="9525">
                              <a:noFill/>
                              <a:miter lim="800000"/>
                              <a:headEnd/>
                              <a:tailEnd/>
                            </a:ln>
                          </wps:spPr>
                          <wps:txbx>
                            <w:txbxContent>
                              <w:p w14:paraId="0D6FA600" w14:textId="77777777" w:rsidR="005B0E45" w:rsidRPr="005B0E45" w:rsidRDefault="005B0E45" w:rsidP="005B0E45">
                                <w:pPr>
                                  <w:spacing w:after="0"/>
                                  <w:rPr>
                                    <w:rFonts w:ascii="Arial" w:hAnsi="Arial" w:cs="Arial"/>
                                  </w:rPr>
                                </w:pPr>
                                <w:r w:rsidRPr="005B0E45">
                                  <w:rPr>
                                    <w:rFonts w:ascii="Arial" w:hAnsi="Arial" w:cs="Arial"/>
                                  </w:rPr>
                                  <w:t xml:space="preserve">John Tully and Simon Greig  </w:t>
                                </w:r>
                              </w:p>
                              <w:p w14:paraId="0F4005FA" w14:textId="77777777" w:rsidR="005B0E45" w:rsidRPr="005B0E45" w:rsidRDefault="005B0E45" w:rsidP="005B0E45">
                                <w:pPr>
                                  <w:spacing w:after="0"/>
                                  <w:rPr>
                                    <w:rFonts w:ascii="Arial" w:hAnsi="Arial" w:cs="Arial"/>
                                  </w:rPr>
                                </w:pPr>
                                <w:r w:rsidRPr="005B0E45">
                                  <w:rPr>
                                    <w:rFonts w:ascii="Arial" w:hAnsi="Arial" w:cs="Arial"/>
                                  </w:rPr>
                                  <w:t>3 December 2024</w:t>
                                </w:r>
                              </w:p>
                              <w:p w14:paraId="255A4A8E" w14:textId="628255BD" w:rsidR="005B0E45" w:rsidRDefault="005B0E45" w:rsidP="005B0E45">
                                <w:pPr>
                                  <w:spacing w:after="0"/>
                                </w:pPr>
                                <w:r w:rsidRPr="005B0E45">
                                  <w:rPr>
                                    <w:rFonts w:ascii="Arial" w:hAnsi="Arial" w:cs="Arial"/>
                                  </w:rPr>
                                  <w:t>Contact details: Email: jtully@profitinsight.com, Tel: 0407 015 085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71F7559" id="_x0000_t202" coordsize="21600,21600" o:spt="202" path="m,l,21600r21600,l21600,xe">
                    <v:stroke joinstyle="miter"/>
                    <v:path gradientshapeok="t" o:connecttype="rect"/>
                  </v:shapetype>
                  <v:shape id="Text Box 2" o:spid="_x0000_s1026" type="#_x0000_t202" style="position:absolute;left:0;text-align:left;margin-left:7.5pt;margin-top:267.75pt;width:701.75pt;height:53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iwmDAIAAPYDAAAOAAAAZHJzL2Uyb0RvYy54bWysU8tu2zAQvBfoPxC813rUTmLBcpA6dVEg&#10;fQBpP4CiKIsoyWVJ2pL79VlSjmOkt6I6EFztcjg7O1zdjlqRg3BegqlpMcspEYZDK82upj9/bN/d&#10;UOIDMy1TYERNj8LT2/XbN6vBVqKEHlQrHEEQ46vB1rQPwVZZ5nkvNPMzsMJgsgOnWcDQ7bLWsQHR&#10;tcrKPL/KBnCtdcCF9/j3fkrSdcLvOsHDt67zIhBVU+QW0urS2sQ1W69YtXPM9pKfaLB/YKGZNHjp&#10;GeqeBUb2Tv4FpSV34KELMw46g66TXKQesJsif9XNY8+sSL2gON6eZfL/D5Z/PTza746E8QOMOMDU&#10;hLcPwH95YmDTM7MTd87B0AvW4sVFlCwbrK9OR6PUvvIRpBm+QItDZvsACWjsnI6qYJ8E0XEAx7Po&#10;YgyE48+bZVGW5YISjrmr6/dFnqaSser5tHU+fBKgSdzU1OFQEzo7PPgQ2bDquSRe5kHJdiuVSoHb&#10;NRvlyIGhAbbpSw28KlOGDDVdLpBHPGUgnk/e0DKgQZXUyDSP32SZqMZH06aSwKSa9shEmZM8UZFJ&#10;mzA2IxZGmRpojyiUg8mI+HBw04P7Q8mAJqyp/71nTlCiPhsUe1nM59G1KZgvrksM3GWmucwwwxGq&#10;poGSabsJyelTR3c4lE4mvV6YnLiiuZKMp4cQ3XsZp6qX57p+AgAA//8DAFBLAwQUAAYACAAAACEA&#10;wKDRBt8AAAALAQAADwAAAGRycy9kb3ducmV2LnhtbEyPwU7DMBBE70j8g7VIXBB1AnFa0jgVIIG4&#10;tvQDNsk2iRqvo9ht0r/HPdHbjnY08ybfzKYXZxpdZ1lDvIhAEFe27rjRsP/9el6BcB65xt4yabiQ&#10;g01xf5djVtuJt3Te+UaEEHYZami9HzIpXdWSQbewA3H4Hexo0Ac5NrIecQrhppcvUZRKgx2HhhYH&#10;+mypOu5ORsPhZ3pSb1P57ffLbZJ+YLcs7UXrx4f5fQ3C0+z/zXDFD+hQBKbSnrh2og9ahSleg3pV&#10;CsTVkMSrcJUa0iRWIItc3m4o/gAAAP//AwBQSwECLQAUAAYACAAAACEAtoM4kv4AAADhAQAAEwAA&#10;AAAAAAAAAAAAAAAAAAAAW0NvbnRlbnRfVHlwZXNdLnhtbFBLAQItABQABgAIAAAAIQA4/SH/1gAA&#10;AJQBAAALAAAAAAAAAAAAAAAAAC8BAABfcmVscy8ucmVsc1BLAQItABQABgAIAAAAIQBe1iwmDAIA&#10;APYDAAAOAAAAAAAAAAAAAAAAAC4CAABkcnMvZTJvRG9jLnhtbFBLAQItABQABgAIAAAAIQDAoNEG&#10;3wAAAAsBAAAPAAAAAAAAAAAAAAAAAGYEAABkcnMvZG93bnJldi54bWxQSwUGAAAAAAQABADzAAAA&#10;cgUAAAAA&#10;" stroked="f">
                    <v:textbox>
                      <w:txbxContent>
                        <w:p w14:paraId="0D6FA600" w14:textId="77777777" w:rsidR="005B0E45" w:rsidRPr="005B0E45" w:rsidRDefault="005B0E45" w:rsidP="005B0E45">
                          <w:pPr>
                            <w:spacing w:after="0"/>
                            <w:rPr>
                              <w:rFonts w:ascii="Arial" w:hAnsi="Arial" w:cs="Arial"/>
                            </w:rPr>
                          </w:pPr>
                          <w:r w:rsidRPr="005B0E45">
                            <w:rPr>
                              <w:rFonts w:ascii="Arial" w:hAnsi="Arial" w:cs="Arial"/>
                            </w:rPr>
                            <w:t xml:space="preserve">John Tully and Simon Greig  </w:t>
                          </w:r>
                        </w:p>
                        <w:p w14:paraId="0F4005FA" w14:textId="77777777" w:rsidR="005B0E45" w:rsidRPr="005B0E45" w:rsidRDefault="005B0E45" w:rsidP="005B0E45">
                          <w:pPr>
                            <w:spacing w:after="0"/>
                            <w:rPr>
                              <w:rFonts w:ascii="Arial" w:hAnsi="Arial" w:cs="Arial"/>
                            </w:rPr>
                          </w:pPr>
                          <w:r w:rsidRPr="005B0E45">
                            <w:rPr>
                              <w:rFonts w:ascii="Arial" w:hAnsi="Arial" w:cs="Arial"/>
                            </w:rPr>
                            <w:t>3 December 2024</w:t>
                          </w:r>
                        </w:p>
                        <w:p w14:paraId="255A4A8E" w14:textId="628255BD" w:rsidR="005B0E45" w:rsidRDefault="005B0E45" w:rsidP="005B0E45">
                          <w:pPr>
                            <w:spacing w:after="0"/>
                          </w:pPr>
                          <w:r w:rsidRPr="005B0E45">
                            <w:rPr>
                              <w:rFonts w:ascii="Arial" w:hAnsi="Arial" w:cs="Arial"/>
                            </w:rPr>
                            <w:t>Contact details: Email: jtully@profitinsight.com, Tel: 0407 015 085</w:t>
                          </w:r>
                        </w:p>
                      </w:txbxContent>
                    </v:textbox>
                    <w10:wrap type="square"/>
                  </v:shape>
                </w:pict>
              </mc:Fallback>
            </mc:AlternateContent>
          </w:r>
          <w:r w:rsidR="00003F36" w:rsidRPr="00003F36">
            <w:rPr>
              <w:rFonts w:ascii="Arial" w:hAnsi="Arial" w:cs="Arial"/>
              <w:noProof/>
              <w:sz w:val="28"/>
              <w:szCs w:val="28"/>
            </w:rPr>
            <mc:AlternateContent>
              <mc:Choice Requires="wps">
                <w:drawing>
                  <wp:anchor distT="45720" distB="45720" distL="114300" distR="114300" simplePos="0" relativeHeight="251659264" behindDoc="0" locked="0" layoutInCell="1" allowOverlap="1" wp14:anchorId="3F0C448E" wp14:editId="5E1AB3B2">
                    <wp:simplePos x="0" y="0"/>
                    <wp:positionH relativeFrom="column">
                      <wp:posOffset>1987550</wp:posOffset>
                    </wp:positionH>
                    <wp:positionV relativeFrom="paragraph">
                      <wp:posOffset>312420</wp:posOffset>
                    </wp:positionV>
                    <wp:extent cx="573405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1404620"/>
                            </a:xfrm>
                            <a:prstGeom prst="rect">
                              <a:avLst/>
                            </a:prstGeom>
                            <a:solidFill>
                              <a:srgbClr val="FFFFFF"/>
                            </a:solidFill>
                            <a:ln w="9525">
                              <a:noFill/>
                              <a:miter lim="800000"/>
                              <a:headEnd/>
                              <a:tailEnd/>
                            </a:ln>
                          </wps:spPr>
                          <wps:txbx>
                            <w:txbxContent>
                              <w:p w14:paraId="37F38232" w14:textId="5762CDEA" w:rsidR="00003F36" w:rsidRDefault="00003F36" w:rsidP="00003F36">
                                <w:pPr>
                                  <w:jc w:val="center"/>
                                </w:pPr>
                                <w:r w:rsidRPr="00003F36">
                                  <w:rPr>
                                    <w:rFonts w:ascii="Arial" w:hAnsi="Arial" w:cs="Arial"/>
                                    <w:sz w:val="28"/>
                                    <w:szCs w:val="28"/>
                                  </w:rPr>
                                  <w:t>This document has been prepared by Profit Insight further to the request from the Reserve Bank of Australia for interested stakeholders to submit their views in response to the Merchant Card Payment Costs and Surcharging – Issues Paper – published in October 2024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F0C448E" id="_x0000_s1027" type="#_x0000_t202" style="position:absolute;left:0;text-align:left;margin-left:156.5pt;margin-top:24.6pt;width:451.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OHQEQIAAP4DAAAOAAAAZHJzL2Uyb0RvYy54bWysk9uO2yAQhu8r9R0Q942dNNmDFWe1zTZV&#10;pe1B2vYBMMYxKmboQGJvn34H7M1G27uqvkDggZ+Zb37WN0Nn2FGh12BLPp/lnCkrodZ2X/KfP3bv&#10;rjjzQdhaGLCq5I/K85vN2zfr3hVqAS2YWiEjEeuL3pW8DcEVWeZlqzrhZ+CUpWAD2IlAS9xnNYqe&#10;1DuTLfL8IusBa4cglff0924M8k3Sbxolw7em8SowU3LKLaQR01jFMdusRbFH4VotpzTEP2TRCW3p&#10;0pPUnQiCHVD/JdVpieChCTMJXQZNo6VKNVA18/xVNQ+tcCrVQnC8O2Hy/09Wfj0+uO/IwvABBmpg&#10;KsK7e5C/PLOwbYXdq1tE6Fslarp4HpFlvfPFdDSi9oWPIlX/BWpqsjgESEJDg12kQnUyUqcGPJ6g&#10;qyEwST9Xl++X+YpCkmLzZb68WKS2ZKJ4Pu7Qh08KOhYnJUfqapIXx3sfYjqieN4Sb/NgdL3TxqQF&#10;7qutQXYU5IBd+lIFr7YZy/qSX68Wq6RsIZ5P5uh0IIca3ZX8Ko/f6JmI46Ot05YgtBnnlImxE5+I&#10;ZIQThmpgup7gRVwV1I8EDGE0JD0gmrSAfzjryYwl978PAhVn5rMl6Nfz5TK6Ny2Wq0sixPA8Up1H&#10;hJUkVfLA2TjdhuT4hMPdUnN2OmF7yWRKmUyWaE4PIrr4fJ12vTzbzRMAAAD//wMAUEsDBBQABgAI&#10;AAAAIQCQfBVh4AAAAAsBAAAPAAAAZHJzL2Rvd25yZXYueG1sTI/BTsMwEETvSPyDtUjcqJO0FAjZ&#10;VBUVFw5IFCQ4urETR9hry3bT8Pe4JzjOzmj2TbOZrWGTCnF0hFAuCmCKOidHGhA+3p9v7oHFJEgK&#10;40gh/KgIm/byohG1dCd6U9M+DSyXUKwFgk7J15zHTisr4sJ5RdnrXbAiZRkGLoM45XJreFUUa27F&#10;SPmDFl49adV9748W4dPqUe7C61cvzbR76be3fg4e8fpq3j4CS2pOf2E442d0aDPTwR1JRmYQluUy&#10;b0kIq4cK2DlQlet8OSBUd8UKeNvw/xvaXwAAAP//AwBQSwECLQAUAAYACAAAACEAtoM4kv4AAADh&#10;AQAAEwAAAAAAAAAAAAAAAAAAAAAAW0NvbnRlbnRfVHlwZXNdLnhtbFBLAQItABQABgAIAAAAIQA4&#10;/SH/1gAAAJQBAAALAAAAAAAAAAAAAAAAAC8BAABfcmVscy8ucmVsc1BLAQItABQABgAIAAAAIQDT&#10;IOHQEQIAAP4DAAAOAAAAAAAAAAAAAAAAAC4CAABkcnMvZTJvRG9jLnhtbFBLAQItABQABgAIAAAA&#10;IQCQfBVh4AAAAAsBAAAPAAAAAAAAAAAAAAAAAGsEAABkcnMvZG93bnJldi54bWxQSwUGAAAAAAQA&#10;BADzAAAAeAUAAAAA&#10;" stroked="f">
                    <v:textbox style="mso-fit-shape-to-text:t">
                      <w:txbxContent>
                        <w:p w14:paraId="37F38232" w14:textId="5762CDEA" w:rsidR="00003F36" w:rsidRDefault="00003F36" w:rsidP="00003F36">
                          <w:pPr>
                            <w:jc w:val="center"/>
                          </w:pPr>
                          <w:r w:rsidRPr="00003F36">
                            <w:rPr>
                              <w:rFonts w:ascii="Arial" w:hAnsi="Arial" w:cs="Arial"/>
                              <w:sz w:val="28"/>
                              <w:szCs w:val="28"/>
                            </w:rPr>
                            <w:t>This document has been prepared by Profit Insight further to the request from the Reserve Bank of Australia for interested stakeholders to submit their views in response to the Merchant Card Payment Costs and Surcharging – Issues Paper – published in October 2024</w:t>
                          </w:r>
                        </w:p>
                      </w:txbxContent>
                    </v:textbox>
                    <w10:wrap type="square"/>
                  </v:shape>
                </w:pict>
              </mc:Fallback>
            </mc:AlternateContent>
          </w:r>
          <w:r w:rsidR="00441675" w:rsidRPr="00003F36">
            <w:rPr>
              <w:rFonts w:ascii="Arial" w:hAnsi="Arial" w:cs="Arial"/>
              <w:sz w:val="28"/>
              <w:szCs w:val="28"/>
            </w:rPr>
            <w:br w:type="page"/>
          </w:r>
        </w:p>
        <w:p w14:paraId="49A6A4AB" w14:textId="44FA2EE1" w:rsidR="00441675" w:rsidRDefault="00441675"/>
      </w:sdtContent>
    </w:sdt>
    <w:p w14:paraId="6425F459" w14:textId="005857CA" w:rsidR="00F635E3" w:rsidRPr="00003F36" w:rsidRDefault="007E5BD1" w:rsidP="00F635E3">
      <w:pPr>
        <w:spacing w:before="100" w:beforeAutospacing="1" w:after="100" w:afterAutospacing="1"/>
        <w:rPr>
          <w:rFonts w:ascii="Arial" w:hAnsi="Arial" w:cs="Arial"/>
          <w:lang w:val="en-US"/>
          <w14:ligatures w14:val="none"/>
        </w:rPr>
      </w:pPr>
      <w:r w:rsidRPr="00003F36">
        <w:rPr>
          <w:rFonts w:ascii="Arial" w:hAnsi="Arial" w:cs="Arial"/>
          <w:b/>
          <w:bCs/>
          <w:lang w:val="en-US"/>
          <w14:ligatures w14:val="none"/>
        </w:rPr>
        <w:t xml:space="preserve">About </w:t>
      </w:r>
      <w:r w:rsidR="00F635E3" w:rsidRPr="00003F36">
        <w:rPr>
          <w:rFonts w:ascii="Arial" w:hAnsi="Arial" w:cs="Arial"/>
          <w:b/>
          <w:bCs/>
          <w:lang w:val="en-US"/>
          <w14:ligatures w14:val="none"/>
        </w:rPr>
        <w:t>Profit Insight</w:t>
      </w:r>
    </w:p>
    <w:p w14:paraId="6D057855" w14:textId="7B727A82" w:rsidR="007E5BD1" w:rsidRPr="00003F36" w:rsidRDefault="007E5BD1" w:rsidP="007E5BD1">
      <w:pPr>
        <w:spacing w:before="100" w:beforeAutospacing="1" w:after="100" w:afterAutospacing="1"/>
        <w:rPr>
          <w:rFonts w:ascii="Arial" w:hAnsi="Arial" w:cs="Arial"/>
          <w:lang w:val="en-US"/>
          <w14:ligatures w14:val="none"/>
        </w:rPr>
      </w:pPr>
      <w:r w:rsidRPr="00003F36">
        <w:rPr>
          <w:rFonts w:ascii="Arial" w:hAnsi="Arial" w:cs="Arial"/>
          <w:lang w:val="en-US"/>
          <w14:ligatures w14:val="none"/>
        </w:rPr>
        <w:t>Since 1973, P</w:t>
      </w:r>
      <w:r w:rsidR="00E52DEF" w:rsidRPr="00003F36">
        <w:rPr>
          <w:rFonts w:ascii="Arial" w:hAnsi="Arial" w:cs="Arial"/>
          <w:lang w:val="en-US"/>
          <w14:ligatures w14:val="none"/>
        </w:rPr>
        <w:t>rofit Insight</w:t>
      </w:r>
      <w:r w:rsidRPr="00003F36">
        <w:rPr>
          <w:rFonts w:ascii="Arial" w:hAnsi="Arial" w:cs="Arial"/>
          <w:lang w:val="en-US"/>
          <w14:ligatures w14:val="none"/>
        </w:rPr>
        <w:t xml:space="preserve"> has provided custom earnings enhancement and performance consulting to partners worldwide. Our targeted solutions have generated incremental earnings for more than</w:t>
      </w:r>
      <w:r w:rsidRPr="00003F36">
        <w:rPr>
          <w:rFonts w:ascii="Arial" w:hAnsi="Arial" w:cs="Arial"/>
          <w:lang w:val="en-US"/>
          <w14:ligatures w14:val="none"/>
        </w:rPr>
        <w:t xml:space="preserve"> 1,000 engagements with</w:t>
      </w:r>
      <w:r w:rsidRPr="00003F36">
        <w:rPr>
          <w:rFonts w:ascii="Arial" w:hAnsi="Arial" w:cs="Arial"/>
          <w:lang w:val="en-US"/>
          <w14:ligatures w14:val="none"/>
        </w:rPr>
        <w:t xml:space="preserve"> 400 </w:t>
      </w:r>
      <w:r w:rsidRPr="00003F36">
        <w:rPr>
          <w:rFonts w:ascii="Arial" w:hAnsi="Arial" w:cs="Arial"/>
          <w:lang w:val="en-US"/>
          <w14:ligatures w14:val="none"/>
        </w:rPr>
        <w:t>financial institutions</w:t>
      </w:r>
      <w:r w:rsidRPr="00003F36">
        <w:rPr>
          <w:rFonts w:ascii="Arial" w:hAnsi="Arial" w:cs="Arial"/>
          <w:lang w:val="en-US"/>
          <w14:ligatures w14:val="none"/>
        </w:rPr>
        <w:t xml:space="preserve"> in 59 countries.</w:t>
      </w:r>
      <w:r w:rsidRPr="00003F36">
        <w:rPr>
          <w:rFonts w:ascii="Arial" w:hAnsi="Arial" w:cs="Arial"/>
          <w:lang w:val="en-US"/>
          <w14:ligatures w14:val="none"/>
        </w:rPr>
        <w:t xml:space="preserve"> </w:t>
      </w:r>
      <w:r w:rsidRPr="00003F36">
        <w:rPr>
          <w:rFonts w:ascii="Arial" w:hAnsi="Arial" w:cs="Arial"/>
          <w:lang w:val="en-US"/>
          <w14:ligatures w14:val="none"/>
        </w:rPr>
        <w:t>Headquartered in North Carolina, USA, we have expanded to numerous markets, servicing clients from offices throughout the United States,</w:t>
      </w:r>
      <w:r w:rsidR="00E52DEF" w:rsidRPr="00003F36">
        <w:rPr>
          <w:rFonts w:ascii="Arial" w:hAnsi="Arial" w:cs="Arial"/>
          <w:lang w:val="en-US"/>
          <w14:ligatures w14:val="none"/>
        </w:rPr>
        <w:t xml:space="preserve"> </w:t>
      </w:r>
      <w:r w:rsidRPr="00003F36">
        <w:rPr>
          <w:rFonts w:ascii="Arial" w:hAnsi="Arial" w:cs="Arial"/>
          <w:lang w:val="en-US"/>
          <w14:ligatures w14:val="none"/>
        </w:rPr>
        <w:t xml:space="preserve">South America, </w:t>
      </w:r>
      <w:r w:rsidRPr="00003F36">
        <w:rPr>
          <w:rFonts w:ascii="Arial" w:hAnsi="Arial" w:cs="Arial"/>
          <w:lang w:val="en-US"/>
          <w14:ligatures w14:val="none"/>
        </w:rPr>
        <w:t>Europe,</w:t>
      </w:r>
      <w:r w:rsidRPr="00003F36">
        <w:rPr>
          <w:rFonts w:ascii="Arial" w:hAnsi="Arial" w:cs="Arial"/>
          <w:lang w:val="en-US"/>
          <w14:ligatures w14:val="none"/>
        </w:rPr>
        <w:t xml:space="preserve"> </w:t>
      </w:r>
      <w:r w:rsidRPr="00003F36">
        <w:rPr>
          <w:rFonts w:ascii="Arial" w:hAnsi="Arial" w:cs="Arial"/>
          <w:lang w:val="en-US"/>
          <w14:ligatures w14:val="none"/>
        </w:rPr>
        <w:t xml:space="preserve">the Middle East, </w:t>
      </w:r>
      <w:r w:rsidRPr="00003F36">
        <w:rPr>
          <w:rFonts w:ascii="Arial" w:hAnsi="Arial" w:cs="Arial"/>
          <w:lang w:val="en-US"/>
          <w14:ligatures w14:val="none"/>
        </w:rPr>
        <w:t xml:space="preserve">Asia and </w:t>
      </w:r>
      <w:r w:rsidRPr="00003F36">
        <w:rPr>
          <w:rFonts w:ascii="Arial" w:hAnsi="Arial" w:cs="Arial"/>
          <w:lang w:val="en-US"/>
          <w14:ligatures w14:val="none"/>
        </w:rPr>
        <w:t xml:space="preserve">Australia. The hallmark of our services is a swift understanding of each client’s unique business needs. </w:t>
      </w:r>
      <w:r w:rsidR="006C7B36" w:rsidRPr="00003F36">
        <w:rPr>
          <w:rFonts w:ascii="Arial" w:hAnsi="Arial" w:cs="Arial"/>
          <w:lang w:val="en-US"/>
          <w14:ligatures w14:val="none"/>
        </w:rPr>
        <w:t>Capitalizing</w:t>
      </w:r>
      <w:r w:rsidRPr="00003F36">
        <w:rPr>
          <w:rFonts w:ascii="Arial" w:hAnsi="Arial" w:cs="Arial"/>
          <w:lang w:val="en-US"/>
          <w14:ligatures w14:val="none"/>
        </w:rPr>
        <w:t xml:space="preserve"> on decades of experience, we offer the strength of experts w</w:t>
      </w:r>
      <w:r w:rsidR="00E52DEF" w:rsidRPr="00003F36">
        <w:rPr>
          <w:rFonts w:ascii="Arial" w:hAnsi="Arial" w:cs="Arial"/>
          <w:lang w:val="en-US"/>
          <w14:ligatures w14:val="none"/>
        </w:rPr>
        <w:t xml:space="preserve">ith decades of experience who are committed </w:t>
      </w:r>
      <w:r w:rsidRPr="00003F36">
        <w:rPr>
          <w:rFonts w:ascii="Arial" w:hAnsi="Arial" w:cs="Arial"/>
          <w:lang w:val="en-US"/>
          <w14:ligatures w14:val="none"/>
        </w:rPr>
        <w:t xml:space="preserve">to </w:t>
      </w:r>
      <w:r w:rsidR="00E52DEF" w:rsidRPr="00003F36">
        <w:rPr>
          <w:rFonts w:ascii="Arial" w:hAnsi="Arial" w:cs="Arial"/>
          <w:lang w:val="en-US"/>
          <w14:ligatures w14:val="none"/>
        </w:rPr>
        <w:t xml:space="preserve">identifying innovative and </w:t>
      </w:r>
      <w:r w:rsidRPr="00003F36">
        <w:rPr>
          <w:rFonts w:ascii="Arial" w:hAnsi="Arial" w:cs="Arial"/>
          <w:lang w:val="en-US"/>
          <w14:ligatures w14:val="none"/>
        </w:rPr>
        <w:t xml:space="preserve">profitable initiatives for </w:t>
      </w:r>
      <w:r w:rsidRPr="00003F36">
        <w:rPr>
          <w:rFonts w:ascii="Arial" w:hAnsi="Arial" w:cs="Arial"/>
          <w:lang w:val="en-US"/>
          <w14:ligatures w14:val="none"/>
        </w:rPr>
        <w:t>our clients</w:t>
      </w:r>
      <w:r w:rsidR="00E52DEF" w:rsidRPr="00003F36">
        <w:rPr>
          <w:rFonts w:ascii="Arial" w:hAnsi="Arial" w:cs="Arial"/>
          <w:lang w:val="en-US"/>
          <w14:ligatures w14:val="none"/>
        </w:rPr>
        <w:t>.</w:t>
      </w:r>
    </w:p>
    <w:p w14:paraId="1F1BEE19" w14:textId="0FE1D18C" w:rsidR="00F635E3" w:rsidRPr="00003F36" w:rsidRDefault="00F635E3" w:rsidP="00F635E3">
      <w:pPr>
        <w:spacing w:before="100" w:beforeAutospacing="1" w:after="100" w:afterAutospacing="1"/>
        <w:rPr>
          <w:rFonts w:ascii="Arial" w:hAnsi="Arial" w:cs="Arial"/>
          <w:lang w:val="en-US"/>
          <w14:ligatures w14:val="none"/>
        </w:rPr>
      </w:pPr>
      <w:r w:rsidRPr="00003F36">
        <w:rPr>
          <w:rFonts w:ascii="Arial" w:hAnsi="Arial" w:cs="Arial"/>
          <w:lang w:val="en-US"/>
          <w14:ligatures w14:val="none"/>
        </w:rPr>
        <w:t>Profit Insight supports regulatory changes that promote a fair and competitive payments landscape. We offer the following expertise to help stakeholders navigate this transition effectively:</w:t>
      </w:r>
    </w:p>
    <w:p w14:paraId="0D8A00EA" w14:textId="77777777" w:rsidR="00F635E3" w:rsidRPr="00003F36" w:rsidRDefault="00F635E3" w:rsidP="00F635E3">
      <w:pPr>
        <w:numPr>
          <w:ilvl w:val="0"/>
          <w:numId w:val="4"/>
        </w:numPr>
        <w:spacing w:before="100" w:beforeAutospacing="1" w:after="100" w:afterAutospacing="1" w:line="252" w:lineRule="auto"/>
        <w:rPr>
          <w:rFonts w:ascii="Arial" w:eastAsia="Times New Roman" w:hAnsi="Arial" w:cs="Arial"/>
          <w:lang w:val="en-US"/>
          <w14:ligatures w14:val="none"/>
        </w:rPr>
      </w:pPr>
      <w:r w:rsidRPr="00003F36">
        <w:rPr>
          <w:rFonts w:ascii="Arial" w:eastAsia="Times New Roman" w:hAnsi="Arial" w:cs="Arial"/>
          <w:b/>
          <w:bCs/>
          <w:lang w:val="en-US"/>
          <w14:ligatures w14:val="none"/>
        </w:rPr>
        <w:t>Strategic Analysis:</w:t>
      </w:r>
      <w:r w:rsidRPr="00003F36">
        <w:rPr>
          <w:rFonts w:ascii="Arial" w:eastAsia="Times New Roman" w:hAnsi="Arial" w:cs="Arial"/>
          <w:lang w:val="en-US"/>
          <w14:ligatures w14:val="none"/>
        </w:rPr>
        <w:t xml:space="preserve"> We provide a comprehensive analysis of the financial impact of new regulations, helping banks, acquirers, and merchants understand potential revenue changes and develop strategies to maintain profitability.</w:t>
      </w:r>
    </w:p>
    <w:p w14:paraId="0251BD98" w14:textId="77777777" w:rsidR="00F635E3" w:rsidRPr="00003F36" w:rsidRDefault="00F635E3" w:rsidP="00F635E3">
      <w:pPr>
        <w:numPr>
          <w:ilvl w:val="0"/>
          <w:numId w:val="4"/>
        </w:numPr>
        <w:spacing w:before="100" w:beforeAutospacing="1" w:after="100" w:afterAutospacing="1" w:line="252" w:lineRule="auto"/>
        <w:rPr>
          <w:rFonts w:ascii="Arial" w:eastAsia="Times New Roman" w:hAnsi="Arial" w:cs="Arial"/>
          <w:lang w:val="en-US"/>
          <w14:ligatures w14:val="none"/>
        </w:rPr>
      </w:pPr>
      <w:r w:rsidRPr="00003F36">
        <w:rPr>
          <w:rFonts w:ascii="Arial" w:eastAsia="Times New Roman" w:hAnsi="Arial" w:cs="Arial"/>
          <w:b/>
          <w:bCs/>
          <w:lang w:val="en-US"/>
          <w14:ligatures w14:val="none"/>
        </w:rPr>
        <w:t>Operational Efficiency:</w:t>
      </w:r>
      <w:r w:rsidRPr="00003F36">
        <w:rPr>
          <w:rFonts w:ascii="Arial" w:eastAsia="Times New Roman" w:hAnsi="Arial" w:cs="Arial"/>
          <w:lang w:val="en-US"/>
          <w14:ligatures w14:val="none"/>
        </w:rPr>
        <w:t xml:space="preserve"> Profit Insight’s solutions help financial institutions and payment processors optimize operational costs, allowing them to adjust to lower interchange revenues without compromising service quality or customer experience.</w:t>
      </w:r>
    </w:p>
    <w:p w14:paraId="14E3269F" w14:textId="0D859E6D" w:rsidR="00F635E3" w:rsidRPr="00003F36" w:rsidRDefault="00F635E3" w:rsidP="00F635E3">
      <w:pPr>
        <w:numPr>
          <w:ilvl w:val="0"/>
          <w:numId w:val="4"/>
        </w:numPr>
        <w:spacing w:before="100" w:beforeAutospacing="1" w:after="100" w:afterAutospacing="1" w:line="252" w:lineRule="auto"/>
        <w:rPr>
          <w:rFonts w:ascii="Arial" w:eastAsia="Times New Roman" w:hAnsi="Arial" w:cs="Arial"/>
          <w:lang w:val="en-US"/>
          <w14:ligatures w14:val="none"/>
        </w:rPr>
      </w:pPr>
      <w:r w:rsidRPr="00003F36">
        <w:rPr>
          <w:rFonts w:ascii="Arial" w:eastAsia="Times New Roman" w:hAnsi="Arial" w:cs="Arial"/>
          <w:b/>
          <w:bCs/>
          <w:lang w:val="en-US"/>
          <w14:ligatures w14:val="none"/>
        </w:rPr>
        <w:t xml:space="preserve">Custom Solutions for </w:t>
      </w:r>
      <w:r w:rsidR="00E52DEF" w:rsidRPr="00003F36">
        <w:rPr>
          <w:rFonts w:ascii="Arial" w:eastAsia="Times New Roman" w:hAnsi="Arial" w:cs="Arial"/>
          <w:b/>
          <w:bCs/>
          <w:lang w:val="en-US"/>
          <w14:ligatures w14:val="none"/>
        </w:rPr>
        <w:t>Merchant Acquirers</w:t>
      </w:r>
      <w:r w:rsidRPr="00003F36">
        <w:rPr>
          <w:rFonts w:ascii="Arial" w:eastAsia="Times New Roman" w:hAnsi="Arial" w:cs="Arial"/>
          <w:b/>
          <w:bCs/>
          <w:lang w:val="en-US"/>
          <w14:ligatures w14:val="none"/>
        </w:rPr>
        <w:t>:</w:t>
      </w:r>
      <w:r w:rsidRPr="00003F36">
        <w:rPr>
          <w:rFonts w:ascii="Arial" w:eastAsia="Times New Roman" w:hAnsi="Arial" w:cs="Arial"/>
          <w:lang w:val="en-US"/>
          <w14:ligatures w14:val="none"/>
        </w:rPr>
        <w:t xml:space="preserve"> We design </w:t>
      </w:r>
      <w:r w:rsidR="00E52DEF" w:rsidRPr="00003F36">
        <w:rPr>
          <w:rFonts w:ascii="Arial" w:eastAsia="Times New Roman" w:hAnsi="Arial" w:cs="Arial"/>
          <w:lang w:val="en-US"/>
          <w14:ligatures w14:val="none"/>
        </w:rPr>
        <w:t xml:space="preserve">and implement </w:t>
      </w:r>
      <w:r w:rsidRPr="00003F36">
        <w:rPr>
          <w:rFonts w:ascii="Arial" w:eastAsia="Times New Roman" w:hAnsi="Arial" w:cs="Arial"/>
          <w:lang w:val="en-US"/>
          <w14:ligatures w14:val="none"/>
        </w:rPr>
        <w:t>tailored solutions for</w:t>
      </w:r>
      <w:r w:rsidR="00E52DEF" w:rsidRPr="00003F36">
        <w:rPr>
          <w:rFonts w:ascii="Arial" w:eastAsia="Times New Roman" w:hAnsi="Arial" w:cs="Arial"/>
          <w:lang w:val="en-US"/>
          <w14:ligatures w14:val="none"/>
        </w:rPr>
        <w:t xml:space="preserve"> acquirers</w:t>
      </w:r>
      <w:r w:rsidRPr="00003F36">
        <w:rPr>
          <w:rFonts w:ascii="Arial" w:eastAsia="Times New Roman" w:hAnsi="Arial" w:cs="Arial"/>
          <w:lang w:val="en-US"/>
          <w14:ligatures w14:val="none"/>
        </w:rPr>
        <w:t>, enabling them to maximize profitability while adapting to</w:t>
      </w:r>
      <w:r w:rsidR="00E52DEF" w:rsidRPr="00003F36">
        <w:rPr>
          <w:rFonts w:ascii="Arial" w:eastAsia="Times New Roman" w:hAnsi="Arial" w:cs="Arial"/>
          <w:lang w:val="en-US"/>
          <w14:ligatures w14:val="none"/>
        </w:rPr>
        <w:t xml:space="preserve"> changes in market conditions</w:t>
      </w:r>
      <w:r w:rsidRPr="00003F36">
        <w:rPr>
          <w:rFonts w:ascii="Arial" w:eastAsia="Times New Roman" w:hAnsi="Arial" w:cs="Arial"/>
          <w:lang w:val="en-US"/>
          <w14:ligatures w14:val="none"/>
        </w:rPr>
        <w:t>. This includes tools to enhance cost control, improve transaction efficiency, and manage customer engagement.</w:t>
      </w:r>
    </w:p>
    <w:p w14:paraId="694D504B" w14:textId="77777777" w:rsidR="00F635E3" w:rsidRPr="00003F36" w:rsidRDefault="00F635E3" w:rsidP="00F635E3">
      <w:pPr>
        <w:numPr>
          <w:ilvl w:val="0"/>
          <w:numId w:val="4"/>
        </w:numPr>
        <w:spacing w:before="100" w:beforeAutospacing="1" w:after="100" w:afterAutospacing="1" w:line="252" w:lineRule="auto"/>
        <w:rPr>
          <w:rFonts w:ascii="Arial" w:eastAsia="Times New Roman" w:hAnsi="Arial" w:cs="Arial"/>
          <w:lang w:val="en-US"/>
          <w14:ligatures w14:val="none"/>
        </w:rPr>
      </w:pPr>
      <w:r w:rsidRPr="00003F36">
        <w:rPr>
          <w:rFonts w:ascii="Arial" w:eastAsia="Times New Roman" w:hAnsi="Arial" w:cs="Arial"/>
          <w:b/>
          <w:bCs/>
          <w:lang w:val="en-US"/>
          <w14:ligatures w14:val="none"/>
        </w:rPr>
        <w:t>Advisory Services:</w:t>
      </w:r>
      <w:r w:rsidRPr="00003F36">
        <w:rPr>
          <w:rFonts w:ascii="Arial" w:eastAsia="Times New Roman" w:hAnsi="Arial" w:cs="Arial"/>
          <w:lang w:val="en-US"/>
          <w14:ligatures w14:val="none"/>
        </w:rPr>
        <w:t xml:space="preserve"> As a trusted advisor, Profit Insight assists in navigating regulatory changes, identifying new growth opportunities, and implementing best practices for sustainable profitability.</w:t>
      </w:r>
    </w:p>
    <w:p w14:paraId="7A48AE47" w14:textId="77777777" w:rsidR="00F635E3" w:rsidRPr="00003F36" w:rsidRDefault="00F635E3" w:rsidP="00F635E3">
      <w:pPr>
        <w:spacing w:before="100" w:beforeAutospacing="1" w:after="100" w:afterAutospacing="1"/>
        <w:rPr>
          <w:rFonts w:ascii="Arial" w:hAnsi="Arial" w:cs="Arial"/>
          <w:lang w:val="en-US"/>
          <w14:ligatures w14:val="none"/>
        </w:rPr>
      </w:pPr>
      <w:r w:rsidRPr="00003F36">
        <w:rPr>
          <w:rFonts w:ascii="Arial" w:hAnsi="Arial" w:cs="Arial"/>
          <w:b/>
          <w:bCs/>
          <w:lang w:val="en-US"/>
          <w14:ligatures w14:val="none"/>
        </w:rPr>
        <w:t>Conclusion</w:t>
      </w:r>
    </w:p>
    <w:p w14:paraId="5152DCD8" w14:textId="3E1472CF" w:rsidR="00F635E3" w:rsidRPr="00003F36" w:rsidRDefault="00F635E3" w:rsidP="00F635E3">
      <w:pPr>
        <w:spacing w:before="100" w:beforeAutospacing="1" w:after="100" w:afterAutospacing="1"/>
        <w:rPr>
          <w:rFonts w:ascii="Arial" w:hAnsi="Arial" w:cs="Arial"/>
          <w:lang w:val="en-US"/>
          <w14:ligatures w14:val="none"/>
        </w:rPr>
      </w:pPr>
      <w:r w:rsidRPr="00003F36">
        <w:rPr>
          <w:rFonts w:ascii="Arial" w:hAnsi="Arial" w:cs="Arial"/>
          <w:lang w:val="en-US"/>
          <w14:ligatures w14:val="none"/>
        </w:rPr>
        <w:t xml:space="preserve">We strongly support the Reserve Bank of Australia’s </w:t>
      </w:r>
      <w:r w:rsidR="00A2035E">
        <w:rPr>
          <w:rFonts w:ascii="Arial" w:hAnsi="Arial" w:cs="Arial"/>
          <w:lang w:val="en-US"/>
          <w14:ligatures w14:val="none"/>
        </w:rPr>
        <w:t xml:space="preserve">review of merchant payment costs and </w:t>
      </w:r>
      <w:r w:rsidR="006C7B36">
        <w:rPr>
          <w:rFonts w:ascii="Arial" w:hAnsi="Arial" w:cs="Arial"/>
          <w:lang w:val="en-US"/>
          <w14:ligatures w14:val="none"/>
        </w:rPr>
        <w:t>surcharging</w:t>
      </w:r>
      <w:r w:rsidRPr="00003F36">
        <w:rPr>
          <w:rFonts w:ascii="Arial" w:hAnsi="Arial" w:cs="Arial"/>
          <w:lang w:val="en-US"/>
          <w14:ligatures w14:val="none"/>
        </w:rPr>
        <w:t>. Profit Insight stands ready to support financial institutions, payment processors, and businesses in adapting to these changes while maintaining efficiency and profitability.</w:t>
      </w:r>
    </w:p>
    <w:p w14:paraId="1FC68ACB" w14:textId="613EC50B" w:rsidR="000C28EA" w:rsidRPr="000A60F4" w:rsidRDefault="00F635E3" w:rsidP="005B0E45">
      <w:pPr>
        <w:spacing w:before="100" w:beforeAutospacing="1" w:after="100" w:afterAutospacing="1"/>
        <w:rPr>
          <w:rFonts w:ascii="Arial" w:hAnsi="Arial" w:cs="Arial"/>
          <w:sz w:val="22"/>
          <w:szCs w:val="22"/>
        </w:rPr>
      </w:pPr>
      <w:r w:rsidRPr="00003F36">
        <w:rPr>
          <w:rFonts w:ascii="Arial" w:hAnsi="Arial" w:cs="Arial"/>
          <w:lang w:val="en-US"/>
          <w14:ligatures w14:val="none"/>
        </w:rPr>
        <w:t>Thank you for considering our input. We welcome further discussion on how Profit Insight can contribute to the successful implementation of these changes.</w:t>
      </w:r>
    </w:p>
    <w:p w14:paraId="1328AC41" w14:textId="77777777" w:rsidR="00715442" w:rsidRDefault="00715442" w:rsidP="00715442">
      <w:pPr>
        <w:rPr>
          <w:rFonts w:ascii="Calibri" w:hAnsi="Calibri" w:cs="Calibri"/>
        </w:rPr>
      </w:pPr>
    </w:p>
    <w:p w14:paraId="15D579BF" w14:textId="77777777" w:rsidR="00715442" w:rsidRDefault="00715442">
      <w:pPr>
        <w:rPr>
          <w:rFonts w:ascii="Arial" w:hAnsi="Arial" w:cs="Arial"/>
        </w:rPr>
      </w:pPr>
      <w:r>
        <w:rPr>
          <w:rFonts w:ascii="Arial" w:hAnsi="Arial" w:cs="Arial"/>
        </w:rPr>
        <w:br w:type="page"/>
      </w:r>
    </w:p>
    <w:p w14:paraId="1909CBAF" w14:textId="50C3D782" w:rsidR="000C28EA" w:rsidRPr="00A02621" w:rsidRDefault="000C28EA" w:rsidP="00A02621">
      <w:pPr>
        <w:ind w:left="851" w:right="775"/>
        <w:rPr>
          <w:rFonts w:ascii="Arial" w:hAnsi="Arial" w:cs="Arial"/>
        </w:rPr>
      </w:pPr>
    </w:p>
    <w:tbl>
      <w:tblPr>
        <w:tblStyle w:val="TableGrid"/>
        <w:tblpPr w:leftFromText="180" w:rightFromText="180" w:vertAnchor="text" w:horzAnchor="margin" w:tblpXSpec="center" w:tblpY="383"/>
        <w:tblW w:w="12332" w:type="dxa"/>
        <w:tblLook w:val="04A0" w:firstRow="1" w:lastRow="0" w:firstColumn="1" w:lastColumn="0" w:noHBand="0" w:noVBand="1"/>
      </w:tblPr>
      <w:tblGrid>
        <w:gridCol w:w="1134"/>
        <w:gridCol w:w="3406"/>
        <w:gridCol w:w="7792"/>
      </w:tblGrid>
      <w:tr w:rsidR="00E16D51" w:rsidRPr="00A02621" w14:paraId="05EACBF1" w14:textId="77777777" w:rsidTr="00E16D51">
        <w:trPr>
          <w:tblHeader/>
        </w:trPr>
        <w:tc>
          <w:tcPr>
            <w:tcW w:w="1134" w:type="dxa"/>
            <w:shd w:val="clear" w:color="auto" w:fill="000000" w:themeFill="text1"/>
          </w:tcPr>
          <w:p w14:paraId="47F49BE7" w14:textId="77777777" w:rsidR="00E16D51" w:rsidRPr="00A02621" w:rsidRDefault="00E16D51" w:rsidP="00E16D51">
            <w:pPr>
              <w:spacing w:before="120" w:after="120" w:line="360" w:lineRule="auto"/>
              <w:jc w:val="center"/>
              <w:rPr>
                <w:rFonts w:ascii="Arial" w:hAnsi="Arial" w:cs="Arial"/>
                <w:color w:val="FFFFFF" w:themeColor="background1"/>
                <w:sz w:val="22"/>
                <w:szCs w:val="22"/>
              </w:rPr>
            </w:pPr>
            <w:r w:rsidRPr="00A02621">
              <w:rPr>
                <w:rFonts w:ascii="Arial" w:hAnsi="Arial" w:cs="Arial"/>
                <w:color w:val="FFFFFF" w:themeColor="background1"/>
                <w:sz w:val="22"/>
                <w:szCs w:val="22"/>
              </w:rPr>
              <w:t>Item #</w:t>
            </w:r>
          </w:p>
        </w:tc>
        <w:tc>
          <w:tcPr>
            <w:tcW w:w="3406" w:type="dxa"/>
            <w:shd w:val="clear" w:color="auto" w:fill="000000" w:themeFill="text1"/>
          </w:tcPr>
          <w:p w14:paraId="0E0DB72D" w14:textId="77777777" w:rsidR="00E16D51" w:rsidRPr="00A02621" w:rsidRDefault="00E16D51" w:rsidP="00E16D51">
            <w:pPr>
              <w:spacing w:before="120" w:after="120" w:line="360" w:lineRule="auto"/>
              <w:jc w:val="center"/>
              <w:rPr>
                <w:rFonts w:ascii="Arial" w:hAnsi="Arial" w:cs="Arial"/>
                <w:color w:val="FFFFFF" w:themeColor="background1"/>
                <w:sz w:val="22"/>
                <w:szCs w:val="22"/>
              </w:rPr>
            </w:pPr>
            <w:r w:rsidRPr="00A02621">
              <w:rPr>
                <w:rFonts w:ascii="Arial" w:hAnsi="Arial" w:cs="Arial"/>
                <w:color w:val="FFFFFF" w:themeColor="background1"/>
                <w:sz w:val="22"/>
                <w:szCs w:val="22"/>
              </w:rPr>
              <w:t>RBA’s question</w:t>
            </w:r>
          </w:p>
        </w:tc>
        <w:tc>
          <w:tcPr>
            <w:tcW w:w="7792" w:type="dxa"/>
            <w:shd w:val="clear" w:color="auto" w:fill="000000" w:themeFill="text1"/>
          </w:tcPr>
          <w:p w14:paraId="3F38ED0C" w14:textId="77777777" w:rsidR="00E16D51" w:rsidRPr="008F39D6" w:rsidRDefault="00E16D51" w:rsidP="00E16D51">
            <w:pPr>
              <w:spacing w:before="120" w:after="120" w:line="360" w:lineRule="auto"/>
              <w:jc w:val="center"/>
              <w:rPr>
                <w:rFonts w:ascii="Arial" w:hAnsi="Arial" w:cs="Arial"/>
                <w:sz w:val="22"/>
                <w:szCs w:val="22"/>
              </w:rPr>
            </w:pPr>
            <w:r w:rsidRPr="008F39D6">
              <w:rPr>
                <w:rFonts w:ascii="Arial" w:hAnsi="Arial" w:cs="Arial"/>
                <w:sz w:val="22"/>
                <w:szCs w:val="22"/>
              </w:rPr>
              <w:t>Profit Insight’s response.</w:t>
            </w:r>
          </w:p>
        </w:tc>
      </w:tr>
      <w:tr w:rsidR="00E16D51" w:rsidRPr="00A02621" w14:paraId="1696F111" w14:textId="77777777" w:rsidTr="00E16D51">
        <w:tc>
          <w:tcPr>
            <w:tcW w:w="1134" w:type="dxa"/>
          </w:tcPr>
          <w:p w14:paraId="1B9E8337" w14:textId="77777777" w:rsidR="00E16D51" w:rsidRPr="00A02621" w:rsidRDefault="00E16D51" w:rsidP="00E16D51">
            <w:pPr>
              <w:spacing w:before="120" w:after="120" w:line="360" w:lineRule="auto"/>
              <w:jc w:val="center"/>
              <w:rPr>
                <w:rFonts w:ascii="Arial" w:hAnsi="Arial" w:cs="Arial"/>
                <w:sz w:val="22"/>
                <w:szCs w:val="22"/>
              </w:rPr>
            </w:pPr>
            <w:r w:rsidRPr="00A02621">
              <w:rPr>
                <w:rFonts w:ascii="Arial" w:hAnsi="Arial" w:cs="Arial"/>
                <w:sz w:val="22"/>
                <w:szCs w:val="22"/>
              </w:rPr>
              <w:t>1.1</w:t>
            </w:r>
          </w:p>
        </w:tc>
        <w:tc>
          <w:tcPr>
            <w:tcW w:w="3406" w:type="dxa"/>
          </w:tcPr>
          <w:p w14:paraId="2B1CA455" w14:textId="77777777" w:rsidR="00E16D51" w:rsidRPr="00A02621" w:rsidRDefault="00E16D51" w:rsidP="00E16D51">
            <w:pPr>
              <w:spacing w:before="120" w:after="120" w:line="360" w:lineRule="auto"/>
              <w:rPr>
                <w:rFonts w:ascii="Arial" w:hAnsi="Arial" w:cs="Arial"/>
                <w:sz w:val="22"/>
                <w:szCs w:val="22"/>
              </w:rPr>
            </w:pPr>
            <w:r w:rsidRPr="00A02621">
              <w:rPr>
                <w:rFonts w:ascii="Arial" w:hAnsi="Arial" w:cs="Arial"/>
                <w:sz w:val="22"/>
                <w:szCs w:val="22"/>
              </w:rPr>
              <w:t>Is there a case for lowering the level of interchange benchmarks or caps?</w:t>
            </w:r>
          </w:p>
        </w:tc>
        <w:tc>
          <w:tcPr>
            <w:tcW w:w="7792" w:type="dxa"/>
          </w:tcPr>
          <w:p w14:paraId="04D91212" w14:textId="77777777" w:rsidR="00E16D51" w:rsidRPr="008F39D6" w:rsidRDefault="00E16D51" w:rsidP="00E16D51">
            <w:pPr>
              <w:spacing w:before="120" w:after="120" w:line="360" w:lineRule="auto"/>
              <w:rPr>
                <w:rFonts w:ascii="Arial" w:hAnsi="Arial" w:cs="Arial"/>
                <w:sz w:val="22"/>
                <w:szCs w:val="22"/>
              </w:rPr>
            </w:pPr>
            <w:r w:rsidRPr="008F39D6">
              <w:rPr>
                <w:rFonts w:ascii="Arial" w:hAnsi="Arial" w:cs="Arial"/>
                <w:sz w:val="22"/>
                <w:szCs w:val="22"/>
              </w:rPr>
              <w:t>From an international perspective, interchange rates for both debit and credit cards in Australia are already amongst the lowest in the world and there is little to be gained from imposing further reductions. Earlier reductions in interchange rates have been passed on to merchants in the form of lower merchant service fees and have also resulted in adjustments to cardholder pricing and benefits as issuers sought to make up the shortfall in interchange income. Further reductions in interchange rates at this point would only result in issuers seeking to recover the lost income from cardholders by further adjustments to benefits or fees.</w:t>
            </w:r>
          </w:p>
        </w:tc>
      </w:tr>
      <w:tr w:rsidR="00E16D51" w:rsidRPr="00A02621" w14:paraId="3BAAC166" w14:textId="77777777" w:rsidTr="00E16D51">
        <w:tc>
          <w:tcPr>
            <w:tcW w:w="1134" w:type="dxa"/>
          </w:tcPr>
          <w:p w14:paraId="37AAD951" w14:textId="77777777" w:rsidR="00E16D51" w:rsidRPr="00A02621" w:rsidRDefault="00E16D51" w:rsidP="00E16D51">
            <w:pPr>
              <w:spacing w:before="120" w:after="120" w:line="360" w:lineRule="auto"/>
              <w:jc w:val="center"/>
              <w:rPr>
                <w:rFonts w:ascii="Arial" w:hAnsi="Arial" w:cs="Arial"/>
                <w:sz w:val="22"/>
                <w:szCs w:val="22"/>
              </w:rPr>
            </w:pPr>
            <w:r w:rsidRPr="00A02621">
              <w:rPr>
                <w:rFonts w:ascii="Arial" w:hAnsi="Arial" w:cs="Arial"/>
                <w:sz w:val="22"/>
                <w:szCs w:val="22"/>
              </w:rPr>
              <w:t>1.2</w:t>
            </w:r>
          </w:p>
        </w:tc>
        <w:tc>
          <w:tcPr>
            <w:tcW w:w="3406" w:type="dxa"/>
          </w:tcPr>
          <w:p w14:paraId="305FBE7C" w14:textId="77777777" w:rsidR="00E16D51" w:rsidRPr="00A02621" w:rsidRDefault="00E16D51" w:rsidP="00E16D51">
            <w:pPr>
              <w:spacing w:before="120" w:after="120" w:line="360" w:lineRule="auto"/>
              <w:rPr>
                <w:rFonts w:ascii="Arial" w:hAnsi="Arial" w:cs="Arial"/>
                <w:sz w:val="22"/>
                <w:szCs w:val="22"/>
              </w:rPr>
            </w:pPr>
            <w:r w:rsidRPr="00A02621">
              <w:rPr>
                <w:rFonts w:ascii="Arial" w:hAnsi="Arial" w:cs="Arial"/>
                <w:sz w:val="22"/>
                <w:szCs w:val="22"/>
              </w:rPr>
              <w:t>Should the difference between the interchange fees paid by big and small businesses be limited in some way?</w:t>
            </w:r>
          </w:p>
        </w:tc>
        <w:tc>
          <w:tcPr>
            <w:tcW w:w="7792" w:type="dxa"/>
          </w:tcPr>
          <w:p w14:paraId="0B6BA522" w14:textId="18850C2B" w:rsidR="00E16D51" w:rsidRPr="008F39D6" w:rsidRDefault="00E16D51" w:rsidP="00154104">
            <w:pPr>
              <w:spacing w:before="120" w:after="120" w:line="360" w:lineRule="auto"/>
              <w:rPr>
                <w:rFonts w:ascii="Arial" w:hAnsi="Arial" w:cs="Arial"/>
                <w:sz w:val="22"/>
                <w:szCs w:val="22"/>
              </w:rPr>
            </w:pPr>
            <w:r w:rsidRPr="008F39D6">
              <w:rPr>
                <w:rFonts w:ascii="Arial" w:hAnsi="Arial" w:cs="Arial"/>
                <w:sz w:val="22"/>
                <w:szCs w:val="22"/>
              </w:rPr>
              <w:t xml:space="preserve">Interchange rates </w:t>
            </w:r>
            <w:r w:rsidR="00154104" w:rsidRPr="008F39D6">
              <w:rPr>
                <w:rFonts w:ascii="Arial" w:hAnsi="Arial" w:cs="Arial"/>
                <w:sz w:val="22"/>
                <w:szCs w:val="22"/>
              </w:rPr>
              <w:t>should be</w:t>
            </w:r>
            <w:r w:rsidRPr="008F39D6">
              <w:rPr>
                <w:rFonts w:ascii="Arial" w:hAnsi="Arial" w:cs="Arial"/>
                <w:sz w:val="22"/>
                <w:szCs w:val="22"/>
              </w:rPr>
              <w:t xml:space="preserve"> the same for all merchants, with Mastercard and Visa consulting with both issuers and acquirers to agree lower interchange rates for “strategic” segments where increased card payment penetration is desirable. This is achieved by designating specific merchant category codes (MCC’s) for interchange reductions. Strategic MCC’s typically include supermarkets, petrol, convenience stores, government payments, insurance etc.  Acquirers can assign MCC’s at device level to ensure that their merchants benefit from the lowest possible interchange rates.</w:t>
            </w:r>
            <w:r w:rsidR="00154104" w:rsidRPr="008F39D6">
              <w:rPr>
                <w:rFonts w:ascii="Arial" w:hAnsi="Arial" w:cs="Arial"/>
                <w:sz w:val="22"/>
                <w:szCs w:val="22"/>
              </w:rPr>
              <w:t xml:space="preserve"> In the opinion of Profit Insight, merchants in any “strategic” segment should benefit collectively from the reduced interchange rates regardless of the volume of business transacted. Both Mastercard and Visa should therefore be precluded from offering further discounts based on volume of business</w:t>
            </w:r>
            <w:r w:rsidR="00973DFB" w:rsidRPr="008F39D6">
              <w:rPr>
                <w:rFonts w:ascii="Arial" w:hAnsi="Arial" w:cs="Arial"/>
                <w:sz w:val="22"/>
                <w:szCs w:val="22"/>
              </w:rPr>
              <w:t xml:space="preserve"> since </w:t>
            </w:r>
            <w:r w:rsidRPr="008F39D6">
              <w:rPr>
                <w:rFonts w:ascii="Arial" w:hAnsi="Arial" w:cs="Arial"/>
                <w:sz w:val="22"/>
                <w:szCs w:val="22"/>
              </w:rPr>
              <w:lastRenderedPageBreak/>
              <w:t>there is no technical or financial justification for a difference in the interchange fees charge</w:t>
            </w:r>
            <w:r w:rsidR="00444E39" w:rsidRPr="008F39D6">
              <w:rPr>
                <w:rFonts w:ascii="Arial" w:hAnsi="Arial" w:cs="Arial"/>
                <w:sz w:val="22"/>
                <w:szCs w:val="22"/>
              </w:rPr>
              <w:t>d</w:t>
            </w:r>
            <w:r w:rsidRPr="008F39D6">
              <w:rPr>
                <w:rFonts w:ascii="Arial" w:hAnsi="Arial" w:cs="Arial"/>
                <w:sz w:val="22"/>
                <w:szCs w:val="22"/>
              </w:rPr>
              <w:t xml:space="preserve"> to big or small retailers.  </w:t>
            </w:r>
          </w:p>
        </w:tc>
      </w:tr>
      <w:tr w:rsidR="00E16D51" w:rsidRPr="00A02621" w14:paraId="698E6690" w14:textId="77777777" w:rsidTr="00E16D51">
        <w:tc>
          <w:tcPr>
            <w:tcW w:w="1134" w:type="dxa"/>
          </w:tcPr>
          <w:p w14:paraId="20CA3ACD" w14:textId="77777777" w:rsidR="00E16D51" w:rsidRPr="00A02621" w:rsidRDefault="00E16D51" w:rsidP="00E16D51">
            <w:pPr>
              <w:spacing w:before="120" w:after="120" w:line="360" w:lineRule="auto"/>
              <w:jc w:val="center"/>
              <w:rPr>
                <w:rFonts w:ascii="Arial" w:hAnsi="Arial" w:cs="Arial"/>
                <w:sz w:val="22"/>
                <w:szCs w:val="22"/>
              </w:rPr>
            </w:pPr>
            <w:r w:rsidRPr="00A02621">
              <w:rPr>
                <w:rFonts w:ascii="Arial" w:hAnsi="Arial" w:cs="Arial"/>
                <w:sz w:val="22"/>
                <w:szCs w:val="22"/>
              </w:rPr>
              <w:t>2.1</w:t>
            </w:r>
          </w:p>
        </w:tc>
        <w:tc>
          <w:tcPr>
            <w:tcW w:w="3406" w:type="dxa"/>
          </w:tcPr>
          <w:p w14:paraId="093E8EA9" w14:textId="77777777" w:rsidR="00E16D51" w:rsidRPr="00A02621" w:rsidRDefault="00E16D51" w:rsidP="00E16D51">
            <w:pPr>
              <w:spacing w:before="120" w:after="120" w:line="360" w:lineRule="auto"/>
              <w:rPr>
                <w:rFonts w:ascii="Arial" w:hAnsi="Arial" w:cs="Arial"/>
                <w:sz w:val="22"/>
                <w:szCs w:val="22"/>
              </w:rPr>
            </w:pPr>
            <w:r w:rsidRPr="00A02621">
              <w:rPr>
                <w:rFonts w:ascii="Arial" w:hAnsi="Arial" w:cs="Arial"/>
                <w:sz w:val="22"/>
                <w:szCs w:val="22"/>
              </w:rPr>
              <w:t>Should interchange regulation be extended to foreign card transactions in Australia?</w:t>
            </w:r>
          </w:p>
        </w:tc>
        <w:tc>
          <w:tcPr>
            <w:tcW w:w="7792" w:type="dxa"/>
          </w:tcPr>
          <w:p w14:paraId="0185154A" w14:textId="6C481815" w:rsidR="00E16D51" w:rsidRPr="00A02621" w:rsidRDefault="002F2714" w:rsidP="00E16D51">
            <w:pPr>
              <w:spacing w:before="120" w:after="120" w:line="360" w:lineRule="auto"/>
              <w:rPr>
                <w:rFonts w:ascii="Arial" w:hAnsi="Arial" w:cs="Arial"/>
                <w:sz w:val="22"/>
                <w:szCs w:val="22"/>
              </w:rPr>
            </w:pPr>
            <w:r w:rsidRPr="008F39D6">
              <w:rPr>
                <w:rFonts w:ascii="Arial" w:hAnsi="Arial" w:cs="Arial"/>
                <w:sz w:val="22"/>
                <w:szCs w:val="22"/>
              </w:rPr>
              <w:t>RBA statistics</w:t>
            </w:r>
            <w:r w:rsidR="008F39D6" w:rsidRPr="008F39D6">
              <w:rPr>
                <w:rFonts w:ascii="Arial" w:hAnsi="Arial" w:cs="Arial"/>
                <w:sz w:val="22"/>
                <w:szCs w:val="22"/>
              </w:rPr>
              <w:t xml:space="preserve"> </w:t>
            </w:r>
            <w:r w:rsidR="006C7B36" w:rsidRPr="008F39D6">
              <w:rPr>
                <w:rFonts w:ascii="Arial" w:hAnsi="Arial" w:cs="Arial"/>
                <w:sz w:val="22"/>
                <w:szCs w:val="22"/>
              </w:rPr>
              <w:t>(</w:t>
            </w:r>
            <w:r w:rsidR="006C7B36" w:rsidRPr="002E100D">
              <w:rPr>
                <w:rFonts w:ascii="Arial" w:hAnsi="Arial" w:cs="Arial"/>
                <w:sz w:val="22"/>
                <w:szCs w:val="22"/>
              </w:rPr>
              <w:t>https://www.rba.gov.au/payments-and-infrastructure/resources/payments-data.html</w:t>
            </w:r>
            <w:r w:rsidR="006C7B36" w:rsidRPr="008F39D6">
              <w:rPr>
                <w:rFonts w:ascii="Arial" w:hAnsi="Arial" w:cs="Arial"/>
                <w:sz w:val="22"/>
                <w:szCs w:val="22"/>
              </w:rPr>
              <w:t>)</w:t>
            </w:r>
            <w:r w:rsidR="008F39D6" w:rsidRPr="008F39D6">
              <w:rPr>
                <w:rFonts w:ascii="Arial" w:hAnsi="Arial" w:cs="Arial"/>
                <w:sz w:val="22"/>
                <w:szCs w:val="22"/>
              </w:rPr>
              <w:t xml:space="preserve"> </w:t>
            </w:r>
            <w:r w:rsidRPr="008F39D6">
              <w:rPr>
                <w:rFonts w:ascii="Arial" w:hAnsi="Arial" w:cs="Arial"/>
                <w:sz w:val="22"/>
                <w:szCs w:val="22"/>
              </w:rPr>
              <w:t>show that transactions on foreign credit cards in Australia account for only 5.6% of the total credit sales volume, with 62% of this activity taking place in the “card not present” environment. Similarly, transactions on overseas debit cards account for only 0.8% of total debit sales volume with 58% “card not present”. In terms of impact on the overall interchange cost to merchants in Australia</w:t>
            </w:r>
            <w:r w:rsidR="00AB4FBE" w:rsidRPr="008F39D6">
              <w:rPr>
                <w:rFonts w:ascii="Arial" w:hAnsi="Arial" w:cs="Arial"/>
                <w:sz w:val="22"/>
                <w:szCs w:val="22"/>
              </w:rPr>
              <w:t>, therefore, extending interchange regulation to include foreign cards would be minimal. RBA should also recognise that Australian issuers currently benefit from higher interchange rates for overseas usage</w:t>
            </w:r>
            <w:r w:rsidR="00FC7853">
              <w:rPr>
                <w:rFonts w:ascii="Arial" w:hAnsi="Arial" w:cs="Arial"/>
                <w:sz w:val="22"/>
                <w:szCs w:val="22"/>
              </w:rPr>
              <w:t>.</w:t>
            </w:r>
          </w:p>
        </w:tc>
      </w:tr>
      <w:tr w:rsidR="00E16D51" w:rsidRPr="00A02621" w14:paraId="532CED58" w14:textId="77777777" w:rsidTr="00E16D51">
        <w:tc>
          <w:tcPr>
            <w:tcW w:w="1134" w:type="dxa"/>
          </w:tcPr>
          <w:p w14:paraId="17018260" w14:textId="77777777" w:rsidR="00E16D51" w:rsidRPr="00A02621" w:rsidRDefault="00E16D51" w:rsidP="00E16D51">
            <w:pPr>
              <w:spacing w:before="120" w:after="120" w:line="360" w:lineRule="auto"/>
              <w:jc w:val="center"/>
              <w:rPr>
                <w:rFonts w:ascii="Arial" w:hAnsi="Arial" w:cs="Arial"/>
                <w:sz w:val="22"/>
                <w:szCs w:val="22"/>
              </w:rPr>
            </w:pPr>
            <w:r w:rsidRPr="00A02621">
              <w:rPr>
                <w:rFonts w:ascii="Arial" w:hAnsi="Arial" w:cs="Arial"/>
                <w:sz w:val="22"/>
                <w:szCs w:val="22"/>
              </w:rPr>
              <w:t>3.1</w:t>
            </w:r>
          </w:p>
        </w:tc>
        <w:tc>
          <w:tcPr>
            <w:tcW w:w="3406" w:type="dxa"/>
          </w:tcPr>
          <w:p w14:paraId="2FF35692" w14:textId="77777777" w:rsidR="00E16D51" w:rsidRPr="00A02621" w:rsidRDefault="00E16D51" w:rsidP="00E16D51">
            <w:pPr>
              <w:spacing w:before="120" w:after="120" w:line="360" w:lineRule="auto"/>
              <w:rPr>
                <w:rFonts w:ascii="Arial" w:hAnsi="Arial" w:cs="Arial"/>
                <w:sz w:val="22"/>
                <w:szCs w:val="22"/>
              </w:rPr>
            </w:pPr>
            <w:r w:rsidRPr="00A02621">
              <w:rPr>
                <w:rFonts w:ascii="Arial" w:hAnsi="Arial" w:cs="Arial"/>
                <w:sz w:val="22"/>
                <w:szCs w:val="22"/>
              </w:rPr>
              <w:t>Is there a case for reducing the complexity, and/or enhancing the transparency, of interchange fees?</w:t>
            </w:r>
          </w:p>
        </w:tc>
        <w:tc>
          <w:tcPr>
            <w:tcW w:w="7792" w:type="dxa"/>
          </w:tcPr>
          <w:p w14:paraId="3611C8E6" w14:textId="31416E5A" w:rsidR="0092144F" w:rsidRPr="008F39D6" w:rsidRDefault="0092144F" w:rsidP="0092144F">
            <w:pPr>
              <w:spacing w:before="120" w:after="120" w:line="360" w:lineRule="auto"/>
              <w:rPr>
                <w:rFonts w:ascii="Arial" w:hAnsi="Arial" w:cs="Arial"/>
                <w:sz w:val="22"/>
                <w:szCs w:val="22"/>
              </w:rPr>
            </w:pPr>
            <w:r w:rsidRPr="008F39D6">
              <w:rPr>
                <w:rFonts w:ascii="Arial" w:hAnsi="Arial" w:cs="Arial"/>
                <w:sz w:val="22"/>
                <w:szCs w:val="22"/>
              </w:rPr>
              <w:t xml:space="preserve">The effect of introducing “commercial” and “premium” interchange rates for Mastercard and Visa has been to increase the overall cost of interchange for individual card types while remaining within the overall caps. </w:t>
            </w:r>
          </w:p>
          <w:p w14:paraId="1DB9D8DB" w14:textId="77777777" w:rsidR="00C324A3" w:rsidRPr="008F39D6" w:rsidRDefault="0092144F" w:rsidP="0092144F">
            <w:pPr>
              <w:spacing w:before="120" w:after="120" w:line="360" w:lineRule="auto"/>
              <w:rPr>
                <w:rFonts w:ascii="Arial" w:hAnsi="Arial" w:cs="Arial"/>
                <w:sz w:val="22"/>
                <w:szCs w:val="22"/>
              </w:rPr>
            </w:pPr>
            <w:r w:rsidRPr="008F39D6">
              <w:rPr>
                <w:rFonts w:ascii="Arial" w:hAnsi="Arial" w:cs="Arial"/>
                <w:sz w:val="22"/>
                <w:szCs w:val="22"/>
              </w:rPr>
              <w:t xml:space="preserve">From a transparency perspective, the plethora of different interchange rates makes it difficult for acquirers to pass on information to their merchants as required. </w:t>
            </w:r>
          </w:p>
          <w:p w14:paraId="711524AD" w14:textId="24D0C7CE" w:rsidR="00C324A3" w:rsidRPr="00A02621" w:rsidRDefault="00C324A3" w:rsidP="00FC7853">
            <w:pPr>
              <w:spacing w:before="120" w:after="120" w:line="360" w:lineRule="auto"/>
              <w:rPr>
                <w:rFonts w:ascii="Arial" w:hAnsi="Arial" w:cs="Arial"/>
                <w:sz w:val="22"/>
                <w:szCs w:val="22"/>
              </w:rPr>
            </w:pPr>
            <w:r w:rsidRPr="008F39D6">
              <w:rPr>
                <w:rFonts w:ascii="Arial" w:hAnsi="Arial" w:cs="Arial"/>
                <w:sz w:val="22"/>
                <w:szCs w:val="22"/>
              </w:rPr>
              <w:t xml:space="preserve">On the issuing side of the business, product managers are also keen to issue commercial and premium cards in order to increase their revenue. As a result, it is entirely possible that the </w:t>
            </w:r>
            <w:r w:rsidR="00F750BA" w:rsidRPr="008F39D6">
              <w:rPr>
                <w:rFonts w:ascii="Arial" w:hAnsi="Arial" w:cs="Arial"/>
                <w:sz w:val="22"/>
                <w:szCs w:val="22"/>
              </w:rPr>
              <w:t xml:space="preserve">business mix of individual merchants under the current system can result in interchange costs significantly above the 0.5% cap, thus increasing the likelihood of surcharging in the current environment. </w:t>
            </w:r>
          </w:p>
        </w:tc>
      </w:tr>
      <w:tr w:rsidR="00E16D51" w:rsidRPr="00A02621" w14:paraId="4481A93D" w14:textId="77777777" w:rsidTr="00E16D51">
        <w:tc>
          <w:tcPr>
            <w:tcW w:w="1134" w:type="dxa"/>
          </w:tcPr>
          <w:p w14:paraId="7D9A2367" w14:textId="77777777" w:rsidR="00E16D51" w:rsidRPr="00A02621" w:rsidRDefault="00E16D51" w:rsidP="00E16D51">
            <w:pPr>
              <w:spacing w:before="120" w:after="120" w:line="360" w:lineRule="auto"/>
              <w:jc w:val="center"/>
              <w:rPr>
                <w:rFonts w:ascii="Arial" w:hAnsi="Arial" w:cs="Arial"/>
                <w:sz w:val="22"/>
                <w:szCs w:val="22"/>
              </w:rPr>
            </w:pPr>
            <w:r w:rsidRPr="00A02621">
              <w:rPr>
                <w:rFonts w:ascii="Arial" w:hAnsi="Arial" w:cs="Arial"/>
                <w:sz w:val="22"/>
                <w:szCs w:val="22"/>
              </w:rPr>
              <w:lastRenderedPageBreak/>
              <w:t>3.2</w:t>
            </w:r>
          </w:p>
        </w:tc>
        <w:tc>
          <w:tcPr>
            <w:tcW w:w="3406" w:type="dxa"/>
          </w:tcPr>
          <w:p w14:paraId="1D4D2FD7" w14:textId="77777777" w:rsidR="00E16D51" w:rsidRPr="00A02621" w:rsidRDefault="00E16D51" w:rsidP="00E16D51">
            <w:pPr>
              <w:spacing w:before="120" w:after="120" w:line="360" w:lineRule="auto"/>
              <w:rPr>
                <w:rFonts w:ascii="Arial" w:hAnsi="Arial" w:cs="Arial"/>
                <w:sz w:val="22"/>
                <w:szCs w:val="22"/>
              </w:rPr>
            </w:pPr>
            <w:r w:rsidRPr="00A02621">
              <w:rPr>
                <w:rFonts w:ascii="Arial" w:hAnsi="Arial" w:cs="Arial"/>
                <w:sz w:val="22"/>
                <w:szCs w:val="22"/>
              </w:rPr>
              <w:t xml:space="preserve">If so, how? </w:t>
            </w:r>
          </w:p>
        </w:tc>
        <w:tc>
          <w:tcPr>
            <w:tcW w:w="7792" w:type="dxa"/>
          </w:tcPr>
          <w:p w14:paraId="0CA30BC0" w14:textId="77777777" w:rsidR="00C324A3" w:rsidRPr="008F39D6" w:rsidRDefault="0092144F" w:rsidP="0092144F">
            <w:pPr>
              <w:spacing w:before="120" w:after="120" w:line="360" w:lineRule="auto"/>
              <w:rPr>
                <w:rFonts w:ascii="Arial" w:hAnsi="Arial" w:cs="Arial"/>
                <w:sz w:val="22"/>
                <w:szCs w:val="22"/>
              </w:rPr>
            </w:pPr>
            <w:r w:rsidRPr="008F39D6">
              <w:rPr>
                <w:rFonts w:ascii="Arial" w:hAnsi="Arial" w:cs="Arial"/>
                <w:sz w:val="22"/>
                <w:szCs w:val="22"/>
              </w:rPr>
              <w:t>In the interests of transparency therefore, it would appear to be in the interests of the wider community in Australia to require schemes to simplify their interchange structures</w:t>
            </w:r>
            <w:r w:rsidR="00C324A3" w:rsidRPr="008F39D6">
              <w:rPr>
                <w:rFonts w:ascii="Arial" w:hAnsi="Arial" w:cs="Arial"/>
                <w:sz w:val="22"/>
                <w:szCs w:val="22"/>
              </w:rPr>
              <w:t>.</w:t>
            </w:r>
          </w:p>
          <w:p w14:paraId="774F07DF" w14:textId="77777777" w:rsidR="00C324A3" w:rsidRPr="008F39D6" w:rsidRDefault="00C324A3" w:rsidP="0092144F">
            <w:pPr>
              <w:spacing w:before="120" w:after="120" w:line="360" w:lineRule="auto"/>
              <w:rPr>
                <w:rFonts w:ascii="Arial" w:hAnsi="Arial" w:cs="Arial"/>
                <w:sz w:val="22"/>
                <w:szCs w:val="22"/>
              </w:rPr>
            </w:pPr>
            <w:r w:rsidRPr="008F39D6">
              <w:rPr>
                <w:rFonts w:ascii="Arial" w:hAnsi="Arial" w:cs="Arial"/>
                <w:sz w:val="22"/>
                <w:szCs w:val="22"/>
              </w:rPr>
              <w:t xml:space="preserve">Furthermore, </w:t>
            </w:r>
            <w:r w:rsidR="0092144F" w:rsidRPr="008F39D6">
              <w:rPr>
                <w:rFonts w:ascii="Arial" w:hAnsi="Arial" w:cs="Arial"/>
                <w:sz w:val="22"/>
                <w:szCs w:val="22"/>
              </w:rPr>
              <w:t xml:space="preserve">acquirers </w:t>
            </w:r>
            <w:r w:rsidRPr="008F39D6">
              <w:rPr>
                <w:rFonts w:ascii="Arial" w:hAnsi="Arial" w:cs="Arial"/>
                <w:sz w:val="22"/>
                <w:szCs w:val="22"/>
              </w:rPr>
              <w:t xml:space="preserve">should be required </w:t>
            </w:r>
            <w:r w:rsidR="0092144F" w:rsidRPr="008F39D6">
              <w:rPr>
                <w:rFonts w:ascii="Arial" w:hAnsi="Arial" w:cs="Arial"/>
                <w:sz w:val="22"/>
                <w:szCs w:val="22"/>
              </w:rPr>
              <w:t xml:space="preserve">to provide every merchant with a monthly breakdown of the merchant service fees, interchange and scheme fees per card scheme and card type (debit/credit/business). </w:t>
            </w:r>
          </w:p>
          <w:p w14:paraId="4FC78E5F" w14:textId="79D4E480" w:rsidR="0092144F" w:rsidRPr="008F39D6" w:rsidRDefault="0092144F" w:rsidP="0092144F">
            <w:pPr>
              <w:spacing w:before="120" w:after="120" w:line="360" w:lineRule="auto"/>
              <w:rPr>
                <w:rFonts w:ascii="Arial" w:hAnsi="Arial" w:cs="Arial"/>
                <w:sz w:val="22"/>
                <w:szCs w:val="22"/>
              </w:rPr>
            </w:pPr>
            <w:r w:rsidRPr="008F39D6">
              <w:rPr>
                <w:rFonts w:ascii="Arial" w:hAnsi="Arial" w:cs="Arial"/>
                <w:sz w:val="22"/>
                <w:szCs w:val="22"/>
              </w:rPr>
              <w:t>Merchants should also be provided with a breakdown of the costs associated with domestic and international cards.  There is already precedence for such reporting in the European Union and, most recently in the UK.</w:t>
            </w:r>
          </w:p>
          <w:p w14:paraId="51BC6BD5" w14:textId="563E3977" w:rsidR="00E16D51" w:rsidRPr="008F39D6" w:rsidRDefault="00C324A3" w:rsidP="00DC2AE1">
            <w:pPr>
              <w:spacing w:before="120" w:after="120" w:line="360" w:lineRule="auto"/>
              <w:rPr>
                <w:rFonts w:ascii="Arial" w:hAnsi="Arial" w:cs="Arial"/>
                <w:sz w:val="22"/>
                <w:szCs w:val="22"/>
              </w:rPr>
            </w:pPr>
            <w:r w:rsidRPr="008F39D6">
              <w:rPr>
                <w:rStyle w:val="Hyperlink"/>
                <w:rFonts w:ascii="Arial" w:hAnsi="Arial" w:cs="Arial"/>
                <w:color w:val="auto"/>
                <w:sz w:val="22"/>
                <w:szCs w:val="22"/>
                <w:u w:val="none"/>
              </w:rPr>
              <w:t>T</w:t>
            </w:r>
            <w:r w:rsidR="00384CF9" w:rsidRPr="008F39D6">
              <w:rPr>
                <w:rStyle w:val="Hyperlink"/>
                <w:rFonts w:ascii="Arial" w:hAnsi="Arial" w:cs="Arial"/>
                <w:color w:val="auto"/>
                <w:sz w:val="22"/>
                <w:szCs w:val="22"/>
                <w:u w:val="none"/>
              </w:rPr>
              <w:t>here is merit in reducing interchange rates according to the technology used. Issuers benefit from reduced fraud as a result of tokenisation, it is only right that this should be reflected in lower rates of interchange for eligible transactions. There is scope for simpl</w:t>
            </w:r>
            <w:r w:rsidR="00C571F1" w:rsidRPr="008F39D6">
              <w:rPr>
                <w:rStyle w:val="Hyperlink"/>
                <w:rFonts w:ascii="Arial" w:hAnsi="Arial" w:cs="Arial"/>
                <w:color w:val="auto"/>
                <w:sz w:val="22"/>
                <w:szCs w:val="22"/>
                <w:u w:val="none"/>
              </w:rPr>
              <w:t>i</w:t>
            </w:r>
            <w:r w:rsidR="00C571F1" w:rsidRPr="008F39D6">
              <w:rPr>
                <w:rStyle w:val="Hyperlink"/>
                <w:color w:val="auto"/>
              </w:rPr>
              <w:t>f</w:t>
            </w:r>
            <w:r w:rsidR="00384CF9" w:rsidRPr="008F39D6">
              <w:rPr>
                <w:rStyle w:val="Hyperlink"/>
                <w:rFonts w:ascii="Arial" w:hAnsi="Arial" w:cs="Arial"/>
                <w:color w:val="auto"/>
                <w:sz w:val="22"/>
                <w:szCs w:val="22"/>
                <w:u w:val="none"/>
              </w:rPr>
              <w:t>ication</w:t>
            </w:r>
            <w:r w:rsidRPr="008F39D6">
              <w:rPr>
                <w:rStyle w:val="Hyperlink"/>
                <w:rFonts w:ascii="Arial" w:hAnsi="Arial" w:cs="Arial"/>
                <w:color w:val="auto"/>
                <w:sz w:val="22"/>
                <w:szCs w:val="22"/>
                <w:u w:val="none"/>
              </w:rPr>
              <w:t xml:space="preserve"> and hence greater transparency here, with merchants being encouraged to prompt cardholders to undertake payments with digital wallets rather than with </w:t>
            </w:r>
            <w:r w:rsidR="00DC2AE1" w:rsidRPr="008F39D6">
              <w:rPr>
                <w:rStyle w:val="Hyperlink"/>
                <w:rFonts w:ascii="Arial" w:hAnsi="Arial" w:cs="Arial"/>
                <w:color w:val="auto"/>
                <w:sz w:val="22"/>
                <w:szCs w:val="22"/>
                <w:u w:val="none"/>
              </w:rPr>
              <w:t>chip and pin.</w:t>
            </w:r>
          </w:p>
        </w:tc>
      </w:tr>
      <w:tr w:rsidR="00E16D51" w:rsidRPr="00A02621" w14:paraId="25EA7019" w14:textId="77777777" w:rsidTr="00E16D51">
        <w:tc>
          <w:tcPr>
            <w:tcW w:w="1134" w:type="dxa"/>
          </w:tcPr>
          <w:p w14:paraId="3D46615A" w14:textId="77777777" w:rsidR="00E16D51" w:rsidRPr="00A02621" w:rsidRDefault="00E16D51" w:rsidP="00E16D51">
            <w:pPr>
              <w:spacing w:before="120" w:after="120" w:line="360" w:lineRule="auto"/>
              <w:jc w:val="center"/>
              <w:rPr>
                <w:rFonts w:ascii="Arial" w:hAnsi="Arial" w:cs="Arial"/>
                <w:sz w:val="22"/>
                <w:szCs w:val="22"/>
              </w:rPr>
            </w:pPr>
            <w:r w:rsidRPr="00A02621">
              <w:rPr>
                <w:rFonts w:ascii="Arial" w:hAnsi="Arial" w:cs="Arial"/>
                <w:sz w:val="22"/>
                <w:szCs w:val="22"/>
              </w:rPr>
              <w:t>4.1</w:t>
            </w:r>
          </w:p>
        </w:tc>
        <w:tc>
          <w:tcPr>
            <w:tcW w:w="3406" w:type="dxa"/>
          </w:tcPr>
          <w:p w14:paraId="50118B84" w14:textId="77777777" w:rsidR="00E16D51" w:rsidRPr="00A02621" w:rsidRDefault="00E16D51" w:rsidP="00E16D51">
            <w:pPr>
              <w:spacing w:before="120" w:after="120" w:line="360" w:lineRule="auto"/>
              <w:rPr>
                <w:rFonts w:ascii="Arial" w:hAnsi="Arial" w:cs="Arial"/>
                <w:sz w:val="22"/>
                <w:szCs w:val="22"/>
              </w:rPr>
            </w:pPr>
            <w:r w:rsidRPr="00A02621">
              <w:rPr>
                <w:rFonts w:ascii="Arial" w:hAnsi="Arial" w:cs="Arial"/>
                <w:sz w:val="22"/>
                <w:szCs w:val="22"/>
              </w:rPr>
              <w:t>Is there a case for further transparency of scheme fees to promote efficiency and competition?</w:t>
            </w:r>
          </w:p>
        </w:tc>
        <w:tc>
          <w:tcPr>
            <w:tcW w:w="7792" w:type="dxa"/>
          </w:tcPr>
          <w:p w14:paraId="4DFF3DCC" w14:textId="77777777" w:rsidR="005E2A76" w:rsidRPr="008F39D6" w:rsidRDefault="00A64C97" w:rsidP="00E73A00">
            <w:pPr>
              <w:spacing w:before="120" w:after="120" w:line="360" w:lineRule="auto"/>
              <w:rPr>
                <w:rFonts w:ascii="Arial" w:hAnsi="Arial" w:cs="Arial"/>
                <w:sz w:val="22"/>
                <w:szCs w:val="22"/>
              </w:rPr>
            </w:pPr>
            <w:r w:rsidRPr="008F39D6">
              <w:rPr>
                <w:rFonts w:ascii="Arial" w:hAnsi="Arial" w:cs="Arial"/>
                <w:sz w:val="22"/>
                <w:szCs w:val="22"/>
              </w:rPr>
              <w:t xml:space="preserve">Prior to 2005 (Mastercard) and 2008 (Visa), both organizations operated on a “not for profit” basis and were responsible to their members. Since demutualization, however, they have been responsible to their shareholders to deliver year on year growth in dividends. Pricing of </w:t>
            </w:r>
            <w:r w:rsidR="00DD7E86" w:rsidRPr="008F39D6">
              <w:rPr>
                <w:rFonts w:ascii="Arial" w:hAnsi="Arial" w:cs="Arial"/>
                <w:sz w:val="22"/>
                <w:szCs w:val="22"/>
              </w:rPr>
              <w:t xml:space="preserve">essentially the same </w:t>
            </w:r>
            <w:r w:rsidRPr="008F39D6">
              <w:rPr>
                <w:rFonts w:ascii="Arial" w:hAnsi="Arial" w:cs="Arial"/>
                <w:sz w:val="22"/>
                <w:szCs w:val="22"/>
              </w:rPr>
              <w:t xml:space="preserve">services from market to market around the world varies markedly, with the biggest users able to negotiate discounted pricing and/or rebates. </w:t>
            </w:r>
          </w:p>
          <w:p w14:paraId="2A69559B" w14:textId="77777777" w:rsidR="00F13750" w:rsidRPr="008F39D6" w:rsidRDefault="00A03A0B" w:rsidP="00E73A00">
            <w:pPr>
              <w:spacing w:before="120" w:after="120" w:line="360" w:lineRule="auto"/>
              <w:rPr>
                <w:rFonts w:ascii="Arial" w:hAnsi="Arial" w:cs="Arial"/>
                <w:sz w:val="22"/>
                <w:szCs w:val="22"/>
              </w:rPr>
            </w:pPr>
            <w:r w:rsidRPr="008F39D6">
              <w:rPr>
                <w:rFonts w:ascii="Arial" w:hAnsi="Arial" w:cs="Arial"/>
                <w:sz w:val="22"/>
                <w:szCs w:val="22"/>
              </w:rPr>
              <w:t xml:space="preserve">RBA data </w:t>
            </w:r>
            <w:r w:rsidR="005E2A76" w:rsidRPr="008F39D6">
              <w:rPr>
                <w:rFonts w:ascii="Arial" w:hAnsi="Arial" w:cs="Arial"/>
                <w:sz w:val="22"/>
                <w:szCs w:val="22"/>
              </w:rPr>
              <w:t xml:space="preserve">also </w:t>
            </w:r>
            <w:r w:rsidRPr="008F39D6">
              <w:rPr>
                <w:rFonts w:ascii="Arial" w:hAnsi="Arial" w:cs="Arial"/>
                <w:sz w:val="22"/>
                <w:szCs w:val="22"/>
              </w:rPr>
              <w:t>suggests that Australian banks who are both issuers and acquirers benefit significantly from the ability to process “o</w:t>
            </w:r>
            <w:r w:rsidR="005E2A76" w:rsidRPr="008F39D6">
              <w:rPr>
                <w:rFonts w:ascii="Arial" w:hAnsi="Arial" w:cs="Arial"/>
                <w:sz w:val="22"/>
                <w:szCs w:val="22"/>
              </w:rPr>
              <w:t>wn card</w:t>
            </w:r>
            <w:r w:rsidRPr="008F39D6">
              <w:rPr>
                <w:rFonts w:ascii="Arial" w:hAnsi="Arial" w:cs="Arial"/>
                <w:sz w:val="22"/>
                <w:szCs w:val="22"/>
              </w:rPr>
              <w:t xml:space="preserve">” </w:t>
            </w:r>
            <w:r w:rsidRPr="008F39D6">
              <w:rPr>
                <w:rFonts w:ascii="Arial" w:hAnsi="Arial" w:cs="Arial"/>
                <w:sz w:val="22"/>
                <w:szCs w:val="22"/>
              </w:rPr>
              <w:lastRenderedPageBreak/>
              <w:t>transactions without the involvement of either Mastercard or Visa, thus presenting them with a considerable cost saving relative to other acquirers. In the last 12 months</w:t>
            </w:r>
            <w:r w:rsidR="005E2A76" w:rsidRPr="008F39D6">
              <w:rPr>
                <w:rFonts w:ascii="Arial" w:hAnsi="Arial" w:cs="Arial"/>
                <w:sz w:val="22"/>
                <w:szCs w:val="22"/>
              </w:rPr>
              <w:t xml:space="preserve"> 17% of credit card transactions and 31% of credit card sales acquired in Australia were classified as “own card” providing these banks with a significant advantage in terms of transaction fees and ad valorem charges. </w:t>
            </w:r>
          </w:p>
          <w:p w14:paraId="335A2FD9" w14:textId="4DA322ED" w:rsidR="00E16D51" w:rsidRPr="008F39D6" w:rsidRDefault="00F13750" w:rsidP="002C04D0">
            <w:pPr>
              <w:spacing w:before="120" w:after="120" w:line="360" w:lineRule="auto"/>
              <w:rPr>
                <w:rFonts w:ascii="Arial" w:hAnsi="Arial" w:cs="Arial"/>
                <w:sz w:val="22"/>
                <w:szCs w:val="22"/>
              </w:rPr>
            </w:pPr>
            <w:r w:rsidRPr="008F39D6">
              <w:rPr>
                <w:rFonts w:ascii="Arial" w:hAnsi="Arial" w:cs="Arial"/>
                <w:sz w:val="22"/>
                <w:szCs w:val="22"/>
              </w:rPr>
              <w:t>Similarly, the largest acquirers in Australia benefit from tiered pricing and rebates which are not available to smaller acquirers. The combination of these two factors means that scheme costs are a point of differentiation between individual participants but there is no requirement to pass on this information to merchants to allow them to make a more informed choice.</w:t>
            </w:r>
            <w:r w:rsidR="002C04D0" w:rsidRPr="008F39D6">
              <w:rPr>
                <w:rFonts w:ascii="Arial" w:hAnsi="Arial" w:cs="Arial"/>
                <w:sz w:val="22"/>
                <w:szCs w:val="22"/>
              </w:rPr>
              <w:t xml:space="preserve"> In recent years this has pushed smaller acquirers and newer market entrants to offer “blended” pricing which can then be passed on to cardholders in the form of surcharging. And once surcharging has been taken on board by the merchants, there is no </w:t>
            </w:r>
            <w:r w:rsidR="00FC7853">
              <w:rPr>
                <w:rFonts w:ascii="Arial" w:hAnsi="Arial" w:cs="Arial"/>
                <w:sz w:val="22"/>
                <w:szCs w:val="22"/>
              </w:rPr>
              <w:t>effective</w:t>
            </w:r>
            <w:r w:rsidR="002C04D0" w:rsidRPr="008F39D6">
              <w:rPr>
                <w:rFonts w:ascii="Arial" w:hAnsi="Arial" w:cs="Arial"/>
                <w:sz w:val="22"/>
                <w:szCs w:val="22"/>
              </w:rPr>
              <w:t xml:space="preserve"> mechanism to check whether merchants are actually following the RBA rules</w:t>
            </w:r>
            <w:r w:rsidR="00FC7853">
              <w:rPr>
                <w:rFonts w:ascii="Arial" w:hAnsi="Arial" w:cs="Arial"/>
                <w:sz w:val="22"/>
                <w:szCs w:val="22"/>
              </w:rPr>
              <w:t>.</w:t>
            </w:r>
          </w:p>
        </w:tc>
      </w:tr>
      <w:tr w:rsidR="00E16D51" w:rsidRPr="00A02621" w14:paraId="08F66522" w14:textId="77777777" w:rsidTr="00E16D51">
        <w:tc>
          <w:tcPr>
            <w:tcW w:w="1134" w:type="dxa"/>
          </w:tcPr>
          <w:p w14:paraId="2DDB47E0" w14:textId="77777777" w:rsidR="00E16D51" w:rsidRPr="00A02621" w:rsidRDefault="00E16D51" w:rsidP="00E16D51">
            <w:pPr>
              <w:spacing w:before="120" w:after="120" w:line="360" w:lineRule="auto"/>
              <w:jc w:val="center"/>
              <w:rPr>
                <w:rFonts w:ascii="Arial" w:hAnsi="Arial" w:cs="Arial"/>
                <w:sz w:val="22"/>
                <w:szCs w:val="22"/>
              </w:rPr>
            </w:pPr>
            <w:r w:rsidRPr="00A02621">
              <w:rPr>
                <w:rFonts w:ascii="Arial" w:hAnsi="Arial" w:cs="Arial"/>
                <w:sz w:val="22"/>
                <w:szCs w:val="22"/>
              </w:rPr>
              <w:t>4.2</w:t>
            </w:r>
          </w:p>
        </w:tc>
        <w:tc>
          <w:tcPr>
            <w:tcW w:w="3406" w:type="dxa"/>
          </w:tcPr>
          <w:p w14:paraId="50611937" w14:textId="77777777" w:rsidR="00E16D51" w:rsidRPr="00A02621" w:rsidRDefault="00E16D51" w:rsidP="00E16D51">
            <w:pPr>
              <w:spacing w:before="120" w:after="120" w:line="360" w:lineRule="auto"/>
              <w:rPr>
                <w:rFonts w:ascii="Arial" w:hAnsi="Arial" w:cs="Arial"/>
                <w:sz w:val="22"/>
                <w:szCs w:val="22"/>
              </w:rPr>
            </w:pPr>
            <w:r w:rsidRPr="00A02621">
              <w:rPr>
                <w:rFonts w:ascii="Arial" w:hAnsi="Arial" w:cs="Arial"/>
                <w:sz w:val="22"/>
                <w:szCs w:val="22"/>
              </w:rPr>
              <w:t>If so, what additional information would be beneficial?</w:t>
            </w:r>
          </w:p>
        </w:tc>
        <w:tc>
          <w:tcPr>
            <w:tcW w:w="7792" w:type="dxa"/>
          </w:tcPr>
          <w:p w14:paraId="61BC1ECC" w14:textId="42CEE0FC" w:rsidR="00E16D51" w:rsidRPr="008F39D6" w:rsidRDefault="002C04D0" w:rsidP="00E16D51">
            <w:pPr>
              <w:spacing w:before="120" w:after="120" w:line="360" w:lineRule="auto"/>
              <w:rPr>
                <w:rFonts w:ascii="Arial" w:hAnsi="Arial" w:cs="Arial"/>
                <w:sz w:val="22"/>
                <w:szCs w:val="22"/>
              </w:rPr>
            </w:pPr>
            <w:r w:rsidRPr="008F39D6">
              <w:rPr>
                <w:rFonts w:ascii="Arial" w:hAnsi="Arial" w:cs="Arial"/>
                <w:sz w:val="22"/>
                <w:szCs w:val="22"/>
              </w:rPr>
              <w:t>We believe that it is in the interests of the market as a whole to require acquirers to accurately divulge the transaction fees and assessments charged by each scheme rather than as an overall blended rate. At a different level, it would be interesting for the RBA to compare the cost of scheme fees in Australia with the levels of fees charged in other markets</w:t>
            </w:r>
            <w:r w:rsidR="00C009EA" w:rsidRPr="008F39D6">
              <w:rPr>
                <w:rFonts w:ascii="Arial" w:hAnsi="Arial" w:cs="Arial"/>
                <w:sz w:val="22"/>
                <w:szCs w:val="22"/>
              </w:rPr>
              <w:t>. There should also be a requirement for all scheme fees charged in Australia to be charged in Australian Dollars to avoid currency fluctuations being passed on to merchants.</w:t>
            </w:r>
          </w:p>
        </w:tc>
      </w:tr>
      <w:tr w:rsidR="00E16D51" w:rsidRPr="00A02621" w14:paraId="2D20396B" w14:textId="77777777" w:rsidTr="00E16D51">
        <w:tc>
          <w:tcPr>
            <w:tcW w:w="1134" w:type="dxa"/>
          </w:tcPr>
          <w:p w14:paraId="6F9287D7" w14:textId="77777777" w:rsidR="00E16D51" w:rsidRPr="00A02621" w:rsidRDefault="00E16D51" w:rsidP="00E16D51">
            <w:pPr>
              <w:spacing w:before="120" w:after="120" w:line="360" w:lineRule="auto"/>
              <w:jc w:val="center"/>
              <w:rPr>
                <w:rFonts w:ascii="Arial" w:hAnsi="Arial" w:cs="Arial"/>
                <w:sz w:val="22"/>
                <w:szCs w:val="22"/>
              </w:rPr>
            </w:pPr>
            <w:r w:rsidRPr="00A02621">
              <w:rPr>
                <w:rFonts w:ascii="Arial" w:hAnsi="Arial" w:cs="Arial"/>
                <w:sz w:val="22"/>
                <w:szCs w:val="22"/>
              </w:rPr>
              <w:lastRenderedPageBreak/>
              <w:t>5.1</w:t>
            </w:r>
          </w:p>
        </w:tc>
        <w:tc>
          <w:tcPr>
            <w:tcW w:w="3406" w:type="dxa"/>
          </w:tcPr>
          <w:p w14:paraId="63722FAD" w14:textId="77777777" w:rsidR="00E16D51" w:rsidRPr="00A02621" w:rsidRDefault="00E16D51" w:rsidP="00E16D51">
            <w:pPr>
              <w:spacing w:before="120" w:after="120" w:line="360" w:lineRule="auto"/>
              <w:rPr>
                <w:rFonts w:ascii="Arial" w:hAnsi="Arial" w:cs="Arial"/>
                <w:sz w:val="22"/>
                <w:szCs w:val="22"/>
              </w:rPr>
            </w:pPr>
            <w:r w:rsidRPr="00A02621">
              <w:rPr>
                <w:rFonts w:ascii="Arial" w:hAnsi="Arial" w:cs="Arial"/>
                <w:sz w:val="22"/>
                <w:szCs w:val="22"/>
              </w:rPr>
              <w:t>Is there a case for regulatory action to reduce the complexity or growth of scheme fees?</w:t>
            </w:r>
          </w:p>
        </w:tc>
        <w:tc>
          <w:tcPr>
            <w:tcW w:w="7792" w:type="dxa"/>
          </w:tcPr>
          <w:p w14:paraId="2E9BE155" w14:textId="51035B4C" w:rsidR="00141C59" w:rsidRPr="008F39D6" w:rsidRDefault="005E2A76" w:rsidP="00E16D51">
            <w:pPr>
              <w:spacing w:before="120" w:after="120" w:line="360" w:lineRule="auto"/>
              <w:rPr>
                <w:rFonts w:ascii="Arial" w:hAnsi="Arial" w:cs="Arial"/>
                <w:sz w:val="22"/>
                <w:szCs w:val="22"/>
              </w:rPr>
            </w:pPr>
            <w:r w:rsidRPr="008F39D6">
              <w:rPr>
                <w:rFonts w:ascii="Arial" w:hAnsi="Arial" w:cs="Arial"/>
                <w:sz w:val="22"/>
                <w:szCs w:val="22"/>
              </w:rPr>
              <w:t xml:space="preserve">As a result of the Mastercard/Visa duopoly, regulators around the world have taken action to place controls on domestic scheme fees. </w:t>
            </w:r>
            <w:r w:rsidR="00066B75" w:rsidRPr="008F39D6">
              <w:rPr>
                <w:rFonts w:ascii="Arial" w:hAnsi="Arial" w:cs="Arial"/>
                <w:sz w:val="22"/>
                <w:szCs w:val="22"/>
              </w:rPr>
              <w:t xml:space="preserve">In Asia, China Union Pay and MEPS were early examples of regulators taking control over domestic card processing. </w:t>
            </w:r>
            <w:r w:rsidRPr="008F39D6">
              <w:rPr>
                <w:rFonts w:ascii="Arial" w:hAnsi="Arial" w:cs="Arial"/>
                <w:sz w:val="22"/>
                <w:szCs w:val="22"/>
              </w:rPr>
              <w:t>Taking the case of the Reserve Bank of India (RBI) as an</w:t>
            </w:r>
            <w:r w:rsidR="00066B75" w:rsidRPr="008F39D6">
              <w:rPr>
                <w:rFonts w:ascii="Arial" w:hAnsi="Arial" w:cs="Arial"/>
                <w:sz w:val="22"/>
                <w:szCs w:val="22"/>
              </w:rPr>
              <w:t xml:space="preserve">other </w:t>
            </w:r>
            <w:r w:rsidRPr="008F39D6">
              <w:rPr>
                <w:rFonts w:ascii="Arial" w:hAnsi="Arial" w:cs="Arial"/>
                <w:sz w:val="22"/>
                <w:szCs w:val="22"/>
              </w:rPr>
              <w:t>example, RBI was convinced of the need for a domestic card scheme which arose out of two major considerations, namely the high cost borne by the Indian banks for affiliation with international card associations in the absence of a domestic scheme and secondly the connection with international card associations resulting in the need for routing even domestic transactions, which accounted for more than 90% of the total, through networks located outside the country</w:t>
            </w:r>
            <w:r w:rsidR="00141C59" w:rsidRPr="008F39D6">
              <w:rPr>
                <w:rFonts w:ascii="Arial" w:hAnsi="Arial" w:cs="Arial"/>
                <w:sz w:val="22"/>
                <w:szCs w:val="22"/>
              </w:rPr>
              <w:t xml:space="preserve">. Today the payments landscape in India looks very different to 10 years ago when </w:t>
            </w:r>
            <w:r w:rsidR="00066B75" w:rsidRPr="008F39D6">
              <w:rPr>
                <w:rFonts w:ascii="Arial" w:hAnsi="Arial" w:cs="Arial"/>
                <w:sz w:val="22"/>
                <w:szCs w:val="22"/>
              </w:rPr>
              <w:t>RuPay was first launched.</w:t>
            </w:r>
          </w:p>
        </w:tc>
      </w:tr>
      <w:tr w:rsidR="00E16D51" w:rsidRPr="00A02621" w14:paraId="743B0BB1" w14:textId="77777777" w:rsidTr="00E16D51">
        <w:tc>
          <w:tcPr>
            <w:tcW w:w="1134" w:type="dxa"/>
          </w:tcPr>
          <w:p w14:paraId="484798E9" w14:textId="77777777" w:rsidR="00E16D51" w:rsidRPr="00A02621" w:rsidRDefault="00E16D51" w:rsidP="00E16D51">
            <w:pPr>
              <w:spacing w:before="120" w:after="120" w:line="360" w:lineRule="auto"/>
              <w:jc w:val="center"/>
              <w:rPr>
                <w:rFonts w:ascii="Arial" w:hAnsi="Arial" w:cs="Arial"/>
                <w:sz w:val="22"/>
                <w:szCs w:val="22"/>
              </w:rPr>
            </w:pPr>
            <w:r w:rsidRPr="00A02621">
              <w:rPr>
                <w:rFonts w:ascii="Arial" w:hAnsi="Arial" w:cs="Arial"/>
                <w:sz w:val="22"/>
                <w:szCs w:val="22"/>
              </w:rPr>
              <w:t>5.2</w:t>
            </w:r>
          </w:p>
        </w:tc>
        <w:tc>
          <w:tcPr>
            <w:tcW w:w="3406" w:type="dxa"/>
          </w:tcPr>
          <w:p w14:paraId="7DC1F0B7" w14:textId="77777777" w:rsidR="00E16D51" w:rsidRPr="00A02621" w:rsidRDefault="00E16D51" w:rsidP="00E16D51">
            <w:pPr>
              <w:spacing w:before="120" w:after="120" w:line="360" w:lineRule="auto"/>
              <w:rPr>
                <w:rFonts w:ascii="Arial" w:hAnsi="Arial" w:cs="Arial"/>
                <w:sz w:val="22"/>
                <w:szCs w:val="22"/>
              </w:rPr>
            </w:pPr>
            <w:r w:rsidRPr="00A02621">
              <w:rPr>
                <w:rFonts w:ascii="Arial" w:hAnsi="Arial" w:cs="Arial"/>
                <w:sz w:val="22"/>
                <w:szCs w:val="22"/>
              </w:rPr>
              <w:t>If so, what form should this take?</w:t>
            </w:r>
          </w:p>
        </w:tc>
        <w:tc>
          <w:tcPr>
            <w:tcW w:w="7792" w:type="dxa"/>
          </w:tcPr>
          <w:p w14:paraId="2531D12D" w14:textId="77DBAD56" w:rsidR="00E16D51" w:rsidRPr="008F39D6" w:rsidRDefault="00066B75" w:rsidP="00E16D51">
            <w:pPr>
              <w:spacing w:before="120" w:after="120" w:line="360" w:lineRule="auto"/>
              <w:rPr>
                <w:rFonts w:ascii="Arial" w:hAnsi="Arial" w:cs="Arial"/>
                <w:sz w:val="22"/>
                <w:szCs w:val="22"/>
              </w:rPr>
            </w:pPr>
            <w:r w:rsidRPr="008F39D6">
              <w:rPr>
                <w:rFonts w:ascii="Arial" w:hAnsi="Arial" w:cs="Arial"/>
                <w:sz w:val="22"/>
                <w:szCs w:val="22"/>
              </w:rPr>
              <w:t xml:space="preserve">Although the original “Bankcard” branding has long since disappeared, the “eftpos” brand still lives on as a </w:t>
            </w:r>
            <w:r w:rsidR="006C7B36" w:rsidRPr="008F39D6">
              <w:rPr>
                <w:rFonts w:ascii="Arial" w:hAnsi="Arial" w:cs="Arial"/>
                <w:sz w:val="22"/>
                <w:szCs w:val="22"/>
              </w:rPr>
              <w:t>wholly owned</w:t>
            </w:r>
            <w:r w:rsidRPr="008F39D6">
              <w:rPr>
                <w:rFonts w:ascii="Arial" w:hAnsi="Arial" w:cs="Arial"/>
                <w:sz w:val="22"/>
                <w:szCs w:val="22"/>
              </w:rPr>
              <w:t xml:space="preserve"> domestic switch for debit card transactions at ATM and Point of Sale.</w:t>
            </w:r>
            <w:r w:rsidR="00A56549" w:rsidRPr="008F39D6">
              <w:rPr>
                <w:rFonts w:ascii="Arial" w:hAnsi="Arial" w:cs="Arial"/>
                <w:sz w:val="22"/>
                <w:szCs w:val="22"/>
              </w:rPr>
              <w:t xml:space="preserve"> Profit Insight believes that Australia Payments+ is uniquely positioned to expand the concept of “Least Cost Routing” to cover all domestic credit and debit card payments in Australia with local domestic switching for both authorisation and settlement transactions. We believe that this is a unique opportunity to re-establish a level playing field for card payments in Australia</w:t>
            </w:r>
            <w:r w:rsidR="005C2EBC" w:rsidRPr="008F39D6">
              <w:rPr>
                <w:rFonts w:ascii="Arial" w:hAnsi="Arial" w:cs="Arial"/>
                <w:sz w:val="22"/>
                <w:szCs w:val="22"/>
              </w:rPr>
              <w:t xml:space="preserve"> at a significantly lower cost.</w:t>
            </w:r>
          </w:p>
          <w:p w14:paraId="56A0C667" w14:textId="5A39C76F" w:rsidR="00F71466" w:rsidRPr="008F39D6" w:rsidRDefault="00F71466" w:rsidP="00F71466">
            <w:pPr>
              <w:spacing w:before="120" w:after="120" w:line="360" w:lineRule="auto"/>
              <w:rPr>
                <w:rFonts w:ascii="Arial" w:hAnsi="Arial" w:cs="Arial"/>
                <w:sz w:val="22"/>
                <w:szCs w:val="22"/>
              </w:rPr>
            </w:pPr>
            <w:r w:rsidRPr="008F39D6">
              <w:rPr>
                <w:rFonts w:ascii="Arial" w:hAnsi="Arial" w:cs="Arial"/>
                <w:sz w:val="22"/>
                <w:szCs w:val="22"/>
              </w:rPr>
              <w:t>It is recommended that the RBA use its regulatory and other market adjustment mechanisms to require all acquirers that internationally branded Scheme PANs (insert/token/tap), both debit and credit should be processed via the eftpos (LCR) system.</w:t>
            </w:r>
          </w:p>
          <w:p w14:paraId="236BA8E5" w14:textId="70E8500E" w:rsidR="00F71466" w:rsidRPr="008F39D6" w:rsidRDefault="00F71466" w:rsidP="00F71466">
            <w:pPr>
              <w:spacing w:before="120" w:after="120" w:line="360" w:lineRule="auto"/>
              <w:rPr>
                <w:rFonts w:ascii="Arial" w:hAnsi="Arial" w:cs="Arial"/>
                <w:sz w:val="22"/>
                <w:szCs w:val="22"/>
              </w:rPr>
            </w:pPr>
            <w:r w:rsidRPr="008F39D6">
              <w:rPr>
                <w:rFonts w:ascii="Arial" w:hAnsi="Arial" w:cs="Arial"/>
                <w:sz w:val="22"/>
                <w:szCs w:val="22"/>
              </w:rPr>
              <w:lastRenderedPageBreak/>
              <w:t>The Australian owners of eftpos (AP+), being the domestic banks primarily, have an obligation to their shareholders, the strength and vitality of the Australian payments network and their client – cardholders and merchant – to use the most economic and robust tools available to them to complete the consumer’s decisions to purchase.</w:t>
            </w:r>
          </w:p>
        </w:tc>
      </w:tr>
      <w:tr w:rsidR="00E16D51" w:rsidRPr="00A02621" w14:paraId="1F4C4A4F" w14:textId="77777777" w:rsidTr="00E16D51">
        <w:tc>
          <w:tcPr>
            <w:tcW w:w="1134" w:type="dxa"/>
          </w:tcPr>
          <w:p w14:paraId="183C6F7A" w14:textId="77777777" w:rsidR="00E16D51" w:rsidRPr="00A02621" w:rsidRDefault="00E16D51" w:rsidP="00E16D51">
            <w:pPr>
              <w:spacing w:before="120" w:after="120" w:line="360" w:lineRule="auto"/>
              <w:jc w:val="center"/>
              <w:rPr>
                <w:rFonts w:ascii="Arial" w:hAnsi="Arial" w:cs="Arial"/>
                <w:sz w:val="22"/>
                <w:szCs w:val="22"/>
              </w:rPr>
            </w:pPr>
            <w:r w:rsidRPr="00A02621">
              <w:rPr>
                <w:rFonts w:ascii="Arial" w:hAnsi="Arial" w:cs="Arial"/>
                <w:sz w:val="22"/>
                <w:szCs w:val="22"/>
              </w:rPr>
              <w:t>6.1</w:t>
            </w:r>
          </w:p>
        </w:tc>
        <w:tc>
          <w:tcPr>
            <w:tcW w:w="3406" w:type="dxa"/>
          </w:tcPr>
          <w:p w14:paraId="618D5DA1" w14:textId="77777777" w:rsidR="00E16D51" w:rsidRPr="00A02621" w:rsidRDefault="00E16D51" w:rsidP="00E16D51">
            <w:pPr>
              <w:spacing w:before="120" w:after="120" w:line="360" w:lineRule="auto"/>
              <w:rPr>
                <w:rFonts w:ascii="Arial" w:hAnsi="Arial" w:cs="Arial"/>
                <w:sz w:val="22"/>
                <w:szCs w:val="22"/>
              </w:rPr>
            </w:pPr>
            <w:r w:rsidRPr="00A02621">
              <w:rPr>
                <w:rFonts w:ascii="Arial" w:hAnsi="Arial" w:cs="Arial"/>
                <w:sz w:val="22"/>
                <w:szCs w:val="22"/>
              </w:rPr>
              <w:t>What other regulatory action should the RBA consider to increase the competitive pressure on scheme fees?</w:t>
            </w:r>
          </w:p>
        </w:tc>
        <w:tc>
          <w:tcPr>
            <w:tcW w:w="7792" w:type="dxa"/>
          </w:tcPr>
          <w:p w14:paraId="32A92DBC" w14:textId="2A26E797" w:rsidR="00E16D51" w:rsidRPr="008F39D6" w:rsidRDefault="005C2EBC" w:rsidP="00E16D51">
            <w:pPr>
              <w:spacing w:before="120" w:after="120" w:line="360" w:lineRule="auto"/>
              <w:rPr>
                <w:rFonts w:ascii="Arial" w:hAnsi="Arial" w:cs="Arial"/>
                <w:sz w:val="22"/>
                <w:szCs w:val="22"/>
              </w:rPr>
            </w:pPr>
            <w:r w:rsidRPr="008F39D6">
              <w:rPr>
                <w:rFonts w:ascii="Arial" w:hAnsi="Arial" w:cs="Arial"/>
                <w:sz w:val="22"/>
                <w:szCs w:val="22"/>
              </w:rPr>
              <w:t>We believe that RBA should mandate the use of Least Cost Routing</w:t>
            </w:r>
            <w:r w:rsidR="002E100D">
              <w:rPr>
                <w:rFonts w:ascii="Arial" w:hAnsi="Arial" w:cs="Arial"/>
                <w:sz w:val="22"/>
                <w:szCs w:val="22"/>
              </w:rPr>
              <w:t xml:space="preserve"> (LCR)</w:t>
            </w:r>
            <w:r w:rsidRPr="008F39D6">
              <w:rPr>
                <w:rFonts w:ascii="Arial" w:hAnsi="Arial" w:cs="Arial"/>
                <w:sz w:val="22"/>
                <w:szCs w:val="22"/>
              </w:rPr>
              <w:t xml:space="preserve"> for</w:t>
            </w:r>
            <w:r w:rsidR="00F71466" w:rsidRPr="008F39D6">
              <w:rPr>
                <w:rFonts w:ascii="Arial" w:hAnsi="Arial" w:cs="Arial"/>
                <w:sz w:val="22"/>
                <w:szCs w:val="22"/>
              </w:rPr>
              <w:t xml:space="preserve"> all</w:t>
            </w:r>
            <w:r w:rsidRPr="008F39D6">
              <w:rPr>
                <w:rFonts w:ascii="Arial" w:hAnsi="Arial" w:cs="Arial"/>
                <w:sz w:val="22"/>
                <w:szCs w:val="22"/>
              </w:rPr>
              <w:t xml:space="preserve"> credit and debit card transactions</w:t>
            </w:r>
            <w:r w:rsidR="00F71466" w:rsidRPr="008F39D6">
              <w:rPr>
                <w:rFonts w:ascii="Arial" w:hAnsi="Arial" w:cs="Arial"/>
                <w:sz w:val="22"/>
                <w:szCs w:val="22"/>
              </w:rPr>
              <w:t xml:space="preserve"> originating in Australia</w:t>
            </w:r>
            <w:r w:rsidRPr="008F39D6">
              <w:rPr>
                <w:rFonts w:ascii="Arial" w:hAnsi="Arial" w:cs="Arial"/>
                <w:sz w:val="22"/>
                <w:szCs w:val="22"/>
              </w:rPr>
              <w:t>. Connections to Mastercard and Visa will still be required to provide processing for international debit and credit card transactions and potentially also to provide back up in case of need.</w:t>
            </w:r>
          </w:p>
        </w:tc>
      </w:tr>
      <w:tr w:rsidR="00E16D51" w:rsidRPr="00A02621" w14:paraId="7DD6B543" w14:textId="77777777" w:rsidTr="00E16D51">
        <w:tc>
          <w:tcPr>
            <w:tcW w:w="1134" w:type="dxa"/>
          </w:tcPr>
          <w:p w14:paraId="4CCB7757" w14:textId="77777777" w:rsidR="00E16D51" w:rsidRPr="00A02621" w:rsidRDefault="00E16D51" w:rsidP="00E16D51">
            <w:pPr>
              <w:spacing w:before="120" w:after="120" w:line="360" w:lineRule="auto"/>
              <w:jc w:val="center"/>
              <w:rPr>
                <w:rFonts w:ascii="Arial" w:hAnsi="Arial" w:cs="Arial"/>
                <w:sz w:val="22"/>
                <w:szCs w:val="22"/>
              </w:rPr>
            </w:pPr>
            <w:r w:rsidRPr="00A02621">
              <w:rPr>
                <w:rFonts w:ascii="Arial" w:hAnsi="Arial" w:cs="Arial"/>
                <w:sz w:val="22"/>
                <w:szCs w:val="22"/>
              </w:rPr>
              <w:t>7.1</w:t>
            </w:r>
          </w:p>
        </w:tc>
        <w:tc>
          <w:tcPr>
            <w:tcW w:w="3406" w:type="dxa"/>
          </w:tcPr>
          <w:p w14:paraId="34AE18C0" w14:textId="77777777" w:rsidR="00E16D51" w:rsidRPr="00A02621" w:rsidRDefault="00E16D51" w:rsidP="00E16D51">
            <w:pPr>
              <w:spacing w:before="120" w:after="120" w:line="360" w:lineRule="auto"/>
              <w:rPr>
                <w:rFonts w:ascii="Arial" w:hAnsi="Arial" w:cs="Arial"/>
                <w:sz w:val="22"/>
                <w:szCs w:val="22"/>
              </w:rPr>
            </w:pPr>
            <w:r w:rsidRPr="00A02621">
              <w:rPr>
                <w:rFonts w:ascii="Arial" w:hAnsi="Arial" w:cs="Arial"/>
                <w:sz w:val="22"/>
                <w:szCs w:val="22"/>
              </w:rPr>
              <w:t>How do stakeholders assess the functioning and effectiveness to date of LCR for in-person transactions?</w:t>
            </w:r>
          </w:p>
        </w:tc>
        <w:tc>
          <w:tcPr>
            <w:tcW w:w="7792" w:type="dxa"/>
          </w:tcPr>
          <w:p w14:paraId="19FC4458" w14:textId="264A40AD" w:rsidR="00E16D51" w:rsidRPr="008F39D6" w:rsidRDefault="00062436" w:rsidP="00B03901">
            <w:pPr>
              <w:spacing w:before="120" w:after="120" w:line="360" w:lineRule="auto"/>
              <w:rPr>
                <w:rFonts w:ascii="Arial" w:hAnsi="Arial" w:cs="Arial"/>
                <w:sz w:val="22"/>
                <w:szCs w:val="22"/>
              </w:rPr>
            </w:pPr>
            <w:r w:rsidRPr="008F39D6">
              <w:rPr>
                <w:rFonts w:ascii="Arial" w:hAnsi="Arial" w:cs="Arial"/>
                <w:sz w:val="22"/>
                <w:szCs w:val="22"/>
              </w:rPr>
              <w:t>The RBA’s approach towards the implementation of LCR as well as related technical enhancements and deliverables has been to encourage participant</w:t>
            </w:r>
            <w:r w:rsidR="00B7048F" w:rsidRPr="008F39D6">
              <w:rPr>
                <w:rFonts w:ascii="Arial" w:hAnsi="Arial" w:cs="Arial"/>
                <w:sz w:val="22"/>
                <w:szCs w:val="22"/>
              </w:rPr>
              <w:t xml:space="preserve">s </w:t>
            </w:r>
            <w:r w:rsidRPr="008F39D6">
              <w:rPr>
                <w:rFonts w:ascii="Arial" w:hAnsi="Arial" w:cs="Arial"/>
                <w:sz w:val="22"/>
                <w:szCs w:val="22"/>
              </w:rPr>
              <w:t>to comply rather than to insist on compliance. As a result, take-up has been less than might otherwise have been the case</w:t>
            </w:r>
            <w:r w:rsidR="00B7048F" w:rsidRPr="008F39D6">
              <w:rPr>
                <w:rFonts w:ascii="Arial" w:hAnsi="Arial" w:cs="Arial"/>
                <w:sz w:val="22"/>
                <w:szCs w:val="22"/>
              </w:rPr>
              <w:t xml:space="preserve"> had a mandate been in place</w:t>
            </w:r>
            <w:r w:rsidRPr="008F39D6">
              <w:rPr>
                <w:rFonts w:ascii="Arial" w:hAnsi="Arial" w:cs="Arial"/>
                <w:sz w:val="22"/>
                <w:szCs w:val="22"/>
              </w:rPr>
              <w:t>. In addition, it is true to say that some issuers have actively promoted the routing of debit card transactions via the schemes in order to provide additional benefits such as rewards points, the promise of better dispute management etc.</w:t>
            </w:r>
            <w:r w:rsidR="00B03901" w:rsidRPr="008F39D6">
              <w:rPr>
                <w:rFonts w:ascii="Arial" w:hAnsi="Arial" w:cs="Arial"/>
                <w:sz w:val="22"/>
                <w:szCs w:val="22"/>
              </w:rPr>
              <w:t xml:space="preserve"> Merchants may also not be aware of the cost advantages to be gained from LCR.</w:t>
            </w:r>
          </w:p>
        </w:tc>
      </w:tr>
      <w:tr w:rsidR="00E16D51" w:rsidRPr="00A02621" w14:paraId="31512FDB" w14:textId="77777777" w:rsidTr="00E16D51">
        <w:tc>
          <w:tcPr>
            <w:tcW w:w="1134" w:type="dxa"/>
          </w:tcPr>
          <w:p w14:paraId="30F4CE9E" w14:textId="77777777" w:rsidR="00E16D51" w:rsidRPr="00A02621" w:rsidRDefault="00E16D51" w:rsidP="00E16D51">
            <w:pPr>
              <w:spacing w:before="120" w:after="120" w:line="360" w:lineRule="auto"/>
              <w:jc w:val="center"/>
              <w:rPr>
                <w:rFonts w:ascii="Arial" w:hAnsi="Arial" w:cs="Arial"/>
                <w:sz w:val="22"/>
                <w:szCs w:val="22"/>
              </w:rPr>
            </w:pPr>
            <w:r w:rsidRPr="00A02621">
              <w:rPr>
                <w:rFonts w:ascii="Arial" w:hAnsi="Arial" w:cs="Arial"/>
                <w:sz w:val="22"/>
                <w:szCs w:val="22"/>
              </w:rPr>
              <w:t>7.2</w:t>
            </w:r>
          </w:p>
        </w:tc>
        <w:tc>
          <w:tcPr>
            <w:tcW w:w="3406" w:type="dxa"/>
          </w:tcPr>
          <w:p w14:paraId="3AA73FDE" w14:textId="77777777" w:rsidR="00E16D51" w:rsidRPr="00A02621" w:rsidRDefault="00E16D51" w:rsidP="00E16D51">
            <w:pPr>
              <w:spacing w:before="120" w:after="120" w:line="360" w:lineRule="auto"/>
              <w:rPr>
                <w:rFonts w:ascii="Arial" w:hAnsi="Arial" w:cs="Arial"/>
                <w:sz w:val="22"/>
                <w:szCs w:val="22"/>
              </w:rPr>
            </w:pPr>
            <w:r w:rsidRPr="00A02621">
              <w:rPr>
                <w:rFonts w:ascii="Arial" w:hAnsi="Arial" w:cs="Arial"/>
                <w:sz w:val="22"/>
                <w:szCs w:val="22"/>
              </w:rPr>
              <w:t>Is further regulatory intervention needed?</w:t>
            </w:r>
          </w:p>
        </w:tc>
        <w:tc>
          <w:tcPr>
            <w:tcW w:w="7792" w:type="dxa"/>
          </w:tcPr>
          <w:p w14:paraId="64B5E64E" w14:textId="09434049" w:rsidR="00E16D51" w:rsidRPr="008F39D6" w:rsidRDefault="00B03901" w:rsidP="00B7048F">
            <w:pPr>
              <w:spacing w:before="120" w:after="120" w:line="360" w:lineRule="auto"/>
              <w:rPr>
                <w:rFonts w:ascii="Arial" w:hAnsi="Arial" w:cs="Arial"/>
                <w:sz w:val="22"/>
                <w:szCs w:val="22"/>
              </w:rPr>
            </w:pPr>
            <w:r w:rsidRPr="008F39D6">
              <w:rPr>
                <w:rFonts w:ascii="Arial" w:hAnsi="Arial" w:cs="Arial"/>
                <w:sz w:val="22"/>
                <w:szCs w:val="22"/>
              </w:rPr>
              <w:t xml:space="preserve">Regrettably, there seems to be little option other than regulatory intervention because there are too many parties with a vested interest in the outcome; issuers, acquirers, schemes, merchants can all provide justification for </w:t>
            </w:r>
            <w:r w:rsidR="00B7048F" w:rsidRPr="008F39D6">
              <w:rPr>
                <w:rFonts w:ascii="Arial" w:hAnsi="Arial" w:cs="Arial"/>
                <w:sz w:val="22"/>
                <w:szCs w:val="22"/>
              </w:rPr>
              <w:t>what they believe is the best approach to the growth of card payments in Australia.</w:t>
            </w:r>
          </w:p>
        </w:tc>
      </w:tr>
      <w:tr w:rsidR="00E16D51" w:rsidRPr="00A02621" w14:paraId="06ECFF0B" w14:textId="77777777" w:rsidTr="00E16D51">
        <w:tc>
          <w:tcPr>
            <w:tcW w:w="1134" w:type="dxa"/>
          </w:tcPr>
          <w:p w14:paraId="12A59F28" w14:textId="77777777" w:rsidR="00E16D51" w:rsidRPr="00A02621" w:rsidRDefault="00E16D51" w:rsidP="00E16D51">
            <w:pPr>
              <w:tabs>
                <w:tab w:val="left" w:pos="1064"/>
              </w:tabs>
              <w:spacing w:before="120" w:after="120" w:line="360" w:lineRule="auto"/>
              <w:jc w:val="center"/>
              <w:rPr>
                <w:rFonts w:ascii="Arial" w:hAnsi="Arial" w:cs="Arial"/>
                <w:sz w:val="22"/>
                <w:szCs w:val="22"/>
              </w:rPr>
            </w:pPr>
            <w:r w:rsidRPr="00A02621">
              <w:rPr>
                <w:rFonts w:ascii="Arial" w:hAnsi="Arial" w:cs="Arial"/>
                <w:sz w:val="22"/>
                <w:szCs w:val="22"/>
              </w:rPr>
              <w:lastRenderedPageBreak/>
              <w:t>7.3</w:t>
            </w:r>
          </w:p>
        </w:tc>
        <w:tc>
          <w:tcPr>
            <w:tcW w:w="3406" w:type="dxa"/>
          </w:tcPr>
          <w:p w14:paraId="76D776A7" w14:textId="77777777" w:rsidR="00E16D51" w:rsidRPr="00A02621" w:rsidRDefault="00E16D51" w:rsidP="00E16D51">
            <w:pPr>
              <w:tabs>
                <w:tab w:val="left" w:pos="1064"/>
              </w:tabs>
              <w:spacing w:before="120" w:after="120" w:line="360" w:lineRule="auto"/>
              <w:rPr>
                <w:rFonts w:ascii="Arial" w:hAnsi="Arial" w:cs="Arial"/>
                <w:sz w:val="22"/>
                <w:szCs w:val="22"/>
              </w:rPr>
            </w:pPr>
            <w:r w:rsidRPr="00A02621">
              <w:rPr>
                <w:rFonts w:ascii="Arial" w:hAnsi="Arial" w:cs="Arial"/>
                <w:sz w:val="22"/>
                <w:szCs w:val="22"/>
              </w:rPr>
              <w:t>What might that look like?</w:t>
            </w:r>
          </w:p>
        </w:tc>
        <w:tc>
          <w:tcPr>
            <w:tcW w:w="7792" w:type="dxa"/>
          </w:tcPr>
          <w:p w14:paraId="42EFDC8E" w14:textId="6349BF8B" w:rsidR="00E16D51" w:rsidRPr="008F39D6" w:rsidRDefault="00B7048F" w:rsidP="00E16D51">
            <w:pPr>
              <w:spacing w:before="120" w:after="120" w:line="360" w:lineRule="auto"/>
              <w:rPr>
                <w:rFonts w:ascii="Arial" w:hAnsi="Arial" w:cs="Arial"/>
                <w:sz w:val="22"/>
                <w:szCs w:val="22"/>
              </w:rPr>
            </w:pPr>
            <w:r w:rsidRPr="008F39D6">
              <w:rPr>
                <w:rFonts w:ascii="Arial" w:hAnsi="Arial" w:cs="Arial"/>
                <w:sz w:val="22"/>
                <w:szCs w:val="22"/>
              </w:rPr>
              <w:t xml:space="preserve">Participants in the card payments industry in Australia need </w:t>
            </w:r>
            <w:r w:rsidR="00EB41AD" w:rsidRPr="008F39D6">
              <w:rPr>
                <w:rFonts w:ascii="Arial" w:hAnsi="Arial" w:cs="Arial"/>
                <w:sz w:val="22"/>
                <w:szCs w:val="22"/>
              </w:rPr>
              <w:t>to</w:t>
            </w:r>
            <w:r w:rsidR="00BA697E" w:rsidRPr="008F39D6">
              <w:rPr>
                <w:rFonts w:ascii="Arial" w:hAnsi="Arial" w:cs="Arial"/>
                <w:sz w:val="22"/>
                <w:szCs w:val="22"/>
              </w:rPr>
              <w:t xml:space="preserve"> </w:t>
            </w:r>
            <w:r w:rsidRPr="008F39D6">
              <w:rPr>
                <w:rFonts w:ascii="Arial" w:hAnsi="Arial" w:cs="Arial"/>
                <w:sz w:val="22"/>
                <w:szCs w:val="22"/>
              </w:rPr>
              <w:t xml:space="preserve">understand that it is important that everyone needs to work together to make things happen. To this end, it is time for strategic decisions to be taken for the good </w:t>
            </w:r>
            <w:r w:rsidR="006C7B36" w:rsidRPr="008F39D6">
              <w:rPr>
                <w:rFonts w:ascii="Arial" w:hAnsi="Arial" w:cs="Arial"/>
                <w:sz w:val="22"/>
                <w:szCs w:val="22"/>
              </w:rPr>
              <w:t>of the</w:t>
            </w:r>
            <w:r w:rsidRPr="008F39D6">
              <w:rPr>
                <w:rFonts w:ascii="Arial" w:hAnsi="Arial" w:cs="Arial"/>
                <w:sz w:val="22"/>
                <w:szCs w:val="22"/>
              </w:rPr>
              <w:t xml:space="preserve"> country and if that means enforcement rather than encouragement, hefty financial penalties for non-compliance may be necessary. Additionally </w:t>
            </w:r>
            <w:r w:rsidR="00925ED5" w:rsidRPr="008F39D6">
              <w:rPr>
                <w:rFonts w:ascii="Arial" w:hAnsi="Arial" w:cs="Arial"/>
                <w:sz w:val="22"/>
                <w:szCs w:val="22"/>
              </w:rPr>
              <w:t>publishing information on the achievement of key milestones by market participants will provide further incentive not to be perceived as a laggard. Ultimately it is in the interests of the biggest domestic banks to make this happen as quickly as possible.</w:t>
            </w:r>
          </w:p>
        </w:tc>
      </w:tr>
      <w:tr w:rsidR="00E16D51" w:rsidRPr="00A02621" w14:paraId="5D1140E0" w14:textId="77777777" w:rsidTr="00E16D51">
        <w:tc>
          <w:tcPr>
            <w:tcW w:w="1134" w:type="dxa"/>
          </w:tcPr>
          <w:p w14:paraId="4D00F919" w14:textId="77777777" w:rsidR="00E16D51" w:rsidRPr="00A02621" w:rsidRDefault="00E16D51" w:rsidP="00E16D51">
            <w:pPr>
              <w:spacing w:before="120" w:after="120" w:line="360" w:lineRule="auto"/>
              <w:jc w:val="center"/>
              <w:rPr>
                <w:rFonts w:ascii="Arial" w:hAnsi="Arial" w:cs="Arial"/>
                <w:sz w:val="22"/>
                <w:szCs w:val="22"/>
              </w:rPr>
            </w:pPr>
            <w:r w:rsidRPr="00A02621">
              <w:rPr>
                <w:rFonts w:ascii="Arial" w:hAnsi="Arial" w:cs="Arial"/>
                <w:sz w:val="22"/>
                <w:szCs w:val="22"/>
              </w:rPr>
              <w:t>8.1</w:t>
            </w:r>
          </w:p>
        </w:tc>
        <w:tc>
          <w:tcPr>
            <w:tcW w:w="3406" w:type="dxa"/>
          </w:tcPr>
          <w:p w14:paraId="39612573" w14:textId="77777777" w:rsidR="00E16D51" w:rsidRPr="00A02621" w:rsidRDefault="00E16D51" w:rsidP="00E16D51">
            <w:pPr>
              <w:spacing w:before="120" w:after="120" w:line="360" w:lineRule="auto"/>
              <w:rPr>
                <w:rFonts w:ascii="Arial" w:hAnsi="Arial" w:cs="Arial"/>
                <w:sz w:val="22"/>
                <w:szCs w:val="22"/>
              </w:rPr>
            </w:pPr>
            <w:r w:rsidRPr="00A02621">
              <w:rPr>
                <w:rFonts w:ascii="Arial" w:hAnsi="Arial" w:cs="Arial"/>
                <w:sz w:val="22"/>
                <w:szCs w:val="22"/>
              </w:rPr>
              <w:t>Is there a case for greater transparency of fees, wholesale costs and market shares for some payment services?</w:t>
            </w:r>
          </w:p>
        </w:tc>
        <w:tc>
          <w:tcPr>
            <w:tcW w:w="7792" w:type="dxa"/>
          </w:tcPr>
          <w:p w14:paraId="4BC198D7" w14:textId="535C06CE" w:rsidR="00E16D51" w:rsidRPr="008F39D6" w:rsidRDefault="00E16D51" w:rsidP="00294692">
            <w:pPr>
              <w:spacing w:before="120" w:after="120" w:line="360" w:lineRule="auto"/>
              <w:rPr>
                <w:rFonts w:ascii="Arial" w:hAnsi="Arial" w:cs="Arial"/>
                <w:sz w:val="22"/>
                <w:szCs w:val="22"/>
              </w:rPr>
            </w:pPr>
            <w:r w:rsidRPr="008F39D6">
              <w:rPr>
                <w:rFonts w:ascii="Arial" w:hAnsi="Arial" w:cs="Arial"/>
                <w:sz w:val="22"/>
                <w:szCs w:val="22"/>
              </w:rPr>
              <w:t>All participants should be obliged to state their costs and subsequent fees for service.</w:t>
            </w:r>
            <w:r w:rsidR="00DE4802" w:rsidRPr="008F39D6">
              <w:rPr>
                <w:rFonts w:ascii="Arial" w:hAnsi="Arial" w:cs="Arial"/>
                <w:sz w:val="22"/>
                <w:szCs w:val="22"/>
              </w:rPr>
              <w:t xml:space="preserve"> </w:t>
            </w:r>
            <w:r w:rsidR="00294692" w:rsidRPr="008F39D6">
              <w:rPr>
                <w:rFonts w:ascii="Arial" w:hAnsi="Arial" w:cs="Arial"/>
                <w:sz w:val="22"/>
                <w:szCs w:val="22"/>
              </w:rPr>
              <w:t>The issue here is that the current situation is not a level playing field, with each acquirer potentially paying different interchange costs because bigger merchants are afforded lower pricing. Furthermore</w:t>
            </w:r>
            <w:r w:rsidR="00C274D7" w:rsidRPr="008F39D6">
              <w:rPr>
                <w:rFonts w:ascii="Arial" w:hAnsi="Arial" w:cs="Arial"/>
                <w:sz w:val="22"/>
                <w:szCs w:val="22"/>
              </w:rPr>
              <w:t>,</w:t>
            </w:r>
            <w:r w:rsidR="00294692" w:rsidRPr="008F39D6">
              <w:rPr>
                <w:rFonts w:ascii="Arial" w:hAnsi="Arial" w:cs="Arial"/>
                <w:sz w:val="22"/>
                <w:szCs w:val="22"/>
              </w:rPr>
              <w:t xml:space="preserve"> acquirers incur different scheme costs according to a variety of factors, such as the routing of each transaction, whether they benefit from reductions in scheme fees for “own card” transactions, whether they benefit from tiered pricing for higher numbers of transactions etc. As a </w:t>
            </w:r>
            <w:r w:rsidR="006C7B36" w:rsidRPr="008F39D6">
              <w:rPr>
                <w:rFonts w:ascii="Arial" w:hAnsi="Arial" w:cs="Arial"/>
                <w:sz w:val="22"/>
                <w:szCs w:val="22"/>
              </w:rPr>
              <w:t>result,</w:t>
            </w:r>
            <w:r w:rsidR="00294692" w:rsidRPr="008F39D6">
              <w:rPr>
                <w:rFonts w:ascii="Arial" w:hAnsi="Arial" w:cs="Arial"/>
                <w:sz w:val="22"/>
                <w:szCs w:val="22"/>
              </w:rPr>
              <w:t xml:space="preserve"> there can be major differences in interchange and scheme fee costs</w:t>
            </w:r>
            <w:r w:rsidR="00C274D7" w:rsidRPr="008F39D6">
              <w:rPr>
                <w:rFonts w:ascii="Arial" w:hAnsi="Arial" w:cs="Arial"/>
                <w:sz w:val="22"/>
                <w:szCs w:val="22"/>
              </w:rPr>
              <w:t xml:space="preserve"> between participants. </w:t>
            </w:r>
            <w:r w:rsidR="00925ED5" w:rsidRPr="008F39D6">
              <w:rPr>
                <w:rFonts w:ascii="Arial" w:hAnsi="Arial" w:cs="Arial"/>
                <w:sz w:val="22"/>
                <w:szCs w:val="22"/>
              </w:rPr>
              <w:t>S</w:t>
            </w:r>
            <w:r w:rsidR="00C274D7" w:rsidRPr="008F39D6">
              <w:rPr>
                <w:rFonts w:ascii="Arial" w:hAnsi="Arial" w:cs="Arial"/>
                <w:sz w:val="22"/>
                <w:szCs w:val="22"/>
              </w:rPr>
              <w:t>maller players and/or new entrants have used the RBA decision on surcharging to pass on their higher costs to the smaller merchants who in turn pass on those costs to the cardholders in the form of a surcharge. Furthermore, although the RBA has issued guidelines on surcharging, there is no effective means of policing whether the merchant is passing on the actual costs, or the blended price which is being charged by the acquirer.</w:t>
            </w:r>
          </w:p>
        </w:tc>
      </w:tr>
      <w:tr w:rsidR="00E16D51" w:rsidRPr="00A02621" w14:paraId="556C3FB2" w14:textId="77777777" w:rsidTr="00E16D51">
        <w:tc>
          <w:tcPr>
            <w:tcW w:w="1134" w:type="dxa"/>
          </w:tcPr>
          <w:p w14:paraId="79F2CA3B" w14:textId="77777777" w:rsidR="00E16D51" w:rsidRPr="00A02621" w:rsidRDefault="00E16D51" w:rsidP="00E16D51">
            <w:pPr>
              <w:spacing w:before="120" w:after="120" w:line="360" w:lineRule="auto"/>
              <w:jc w:val="center"/>
              <w:rPr>
                <w:rFonts w:ascii="Arial" w:hAnsi="Arial" w:cs="Arial"/>
                <w:sz w:val="22"/>
                <w:szCs w:val="22"/>
              </w:rPr>
            </w:pPr>
            <w:r w:rsidRPr="00A02621">
              <w:rPr>
                <w:rFonts w:ascii="Arial" w:hAnsi="Arial" w:cs="Arial"/>
                <w:sz w:val="22"/>
                <w:szCs w:val="22"/>
              </w:rPr>
              <w:lastRenderedPageBreak/>
              <w:t>8.2</w:t>
            </w:r>
          </w:p>
        </w:tc>
        <w:tc>
          <w:tcPr>
            <w:tcW w:w="3406" w:type="dxa"/>
          </w:tcPr>
          <w:p w14:paraId="7245391C" w14:textId="77777777" w:rsidR="00E16D51" w:rsidRPr="00A02621" w:rsidRDefault="00E16D51" w:rsidP="00E16D51">
            <w:pPr>
              <w:spacing w:before="120" w:after="120" w:line="360" w:lineRule="auto"/>
              <w:rPr>
                <w:rFonts w:ascii="Arial" w:hAnsi="Arial" w:cs="Arial"/>
                <w:sz w:val="22"/>
                <w:szCs w:val="22"/>
              </w:rPr>
            </w:pPr>
            <w:r w:rsidRPr="00A02621">
              <w:rPr>
                <w:rFonts w:ascii="Arial" w:hAnsi="Arial" w:cs="Arial"/>
                <w:sz w:val="22"/>
                <w:szCs w:val="22"/>
              </w:rPr>
              <w:t>If so, what form should this take?</w:t>
            </w:r>
          </w:p>
        </w:tc>
        <w:tc>
          <w:tcPr>
            <w:tcW w:w="7792" w:type="dxa"/>
          </w:tcPr>
          <w:p w14:paraId="64ACD4CA" w14:textId="3AA1ED16" w:rsidR="00E16D51" w:rsidRPr="008F39D6" w:rsidRDefault="00C274D7" w:rsidP="00E16D51">
            <w:pPr>
              <w:spacing w:before="120" w:after="120" w:line="360" w:lineRule="auto"/>
              <w:rPr>
                <w:rFonts w:ascii="Arial" w:hAnsi="Arial" w:cs="Arial"/>
                <w:sz w:val="22"/>
                <w:szCs w:val="22"/>
              </w:rPr>
            </w:pPr>
            <w:r w:rsidRPr="008F39D6">
              <w:rPr>
                <w:rFonts w:ascii="Arial" w:hAnsi="Arial" w:cs="Arial"/>
                <w:sz w:val="22"/>
                <w:szCs w:val="22"/>
              </w:rPr>
              <w:t xml:space="preserve">Pricing transparency would be enormously improved by an RBA mandate that </w:t>
            </w:r>
            <w:r w:rsidR="00621ECC" w:rsidRPr="008F39D6">
              <w:rPr>
                <w:rFonts w:ascii="Arial" w:hAnsi="Arial" w:cs="Arial"/>
                <w:sz w:val="22"/>
                <w:szCs w:val="22"/>
              </w:rPr>
              <w:t xml:space="preserve">required </w:t>
            </w:r>
            <w:r w:rsidRPr="008F39D6">
              <w:rPr>
                <w:rFonts w:ascii="Arial" w:hAnsi="Arial" w:cs="Arial"/>
                <w:sz w:val="22"/>
                <w:szCs w:val="22"/>
              </w:rPr>
              <w:t xml:space="preserve">all domestic card transactions </w:t>
            </w:r>
            <w:r w:rsidR="00621ECC" w:rsidRPr="008F39D6">
              <w:rPr>
                <w:rFonts w:ascii="Arial" w:hAnsi="Arial" w:cs="Arial"/>
                <w:sz w:val="22"/>
                <w:szCs w:val="22"/>
              </w:rPr>
              <w:t>to</w:t>
            </w:r>
            <w:r w:rsidRPr="008F39D6">
              <w:rPr>
                <w:rFonts w:ascii="Arial" w:hAnsi="Arial" w:cs="Arial"/>
                <w:sz w:val="22"/>
                <w:szCs w:val="22"/>
              </w:rPr>
              <w:t xml:space="preserve"> be processed in </w:t>
            </w:r>
            <w:r w:rsidR="00621ECC" w:rsidRPr="008F39D6">
              <w:rPr>
                <w:rFonts w:ascii="Arial" w:hAnsi="Arial" w:cs="Arial"/>
                <w:sz w:val="22"/>
                <w:szCs w:val="22"/>
              </w:rPr>
              <w:t>Australia</w:t>
            </w:r>
            <w:r w:rsidRPr="008F39D6">
              <w:rPr>
                <w:rFonts w:ascii="Arial" w:hAnsi="Arial" w:cs="Arial"/>
                <w:sz w:val="22"/>
                <w:szCs w:val="22"/>
              </w:rPr>
              <w:t xml:space="preserve"> by a common scheme </w:t>
            </w:r>
            <w:r w:rsidR="00621ECC" w:rsidRPr="008F39D6">
              <w:rPr>
                <w:rFonts w:ascii="Arial" w:hAnsi="Arial" w:cs="Arial"/>
                <w:sz w:val="22"/>
                <w:szCs w:val="22"/>
              </w:rPr>
              <w:t xml:space="preserve">which charged the interchange and processing costs determined by the RBA in conjunction with the processor. That processor already exists – Australia </w:t>
            </w:r>
            <w:r w:rsidR="0040555D" w:rsidRPr="008F39D6">
              <w:rPr>
                <w:rFonts w:ascii="Arial" w:hAnsi="Arial" w:cs="Arial"/>
                <w:sz w:val="22"/>
                <w:szCs w:val="22"/>
              </w:rPr>
              <w:t>Payments Plus (AP+). Every single participant in the domestic card payments system, whether issuer or acquirer, already has a connection to and a relationship with AP+</w:t>
            </w:r>
          </w:p>
        </w:tc>
      </w:tr>
      <w:tr w:rsidR="00E16D51" w:rsidRPr="00A02621" w14:paraId="1228AF74" w14:textId="77777777" w:rsidTr="00E16D51">
        <w:tc>
          <w:tcPr>
            <w:tcW w:w="1134" w:type="dxa"/>
          </w:tcPr>
          <w:p w14:paraId="34D4623C" w14:textId="77777777" w:rsidR="00E16D51" w:rsidRPr="00A02621" w:rsidRDefault="00E16D51" w:rsidP="00E16D51">
            <w:pPr>
              <w:spacing w:before="120" w:after="120" w:line="360" w:lineRule="auto"/>
              <w:jc w:val="center"/>
              <w:rPr>
                <w:rFonts w:ascii="Arial" w:hAnsi="Arial" w:cs="Arial"/>
                <w:sz w:val="22"/>
                <w:szCs w:val="22"/>
              </w:rPr>
            </w:pPr>
            <w:r w:rsidRPr="00A02621">
              <w:rPr>
                <w:rFonts w:ascii="Arial" w:hAnsi="Arial" w:cs="Arial"/>
                <w:sz w:val="22"/>
                <w:szCs w:val="22"/>
              </w:rPr>
              <w:t>8.3</w:t>
            </w:r>
          </w:p>
        </w:tc>
        <w:tc>
          <w:tcPr>
            <w:tcW w:w="3406" w:type="dxa"/>
          </w:tcPr>
          <w:p w14:paraId="52C97814" w14:textId="77777777" w:rsidR="00E16D51" w:rsidRPr="00A02621" w:rsidRDefault="00E16D51" w:rsidP="00E16D51">
            <w:pPr>
              <w:spacing w:before="120" w:after="120" w:line="360" w:lineRule="auto"/>
              <w:rPr>
                <w:rFonts w:ascii="Arial" w:hAnsi="Arial" w:cs="Arial"/>
                <w:sz w:val="22"/>
                <w:szCs w:val="22"/>
              </w:rPr>
            </w:pPr>
            <w:r w:rsidRPr="00A02621">
              <w:rPr>
                <w:rFonts w:ascii="Arial" w:hAnsi="Arial" w:cs="Arial"/>
                <w:sz w:val="22"/>
                <w:szCs w:val="22"/>
              </w:rPr>
              <w:t>What benefits or drawbacks might arise from implementing any of these measures?</w:t>
            </w:r>
          </w:p>
        </w:tc>
        <w:tc>
          <w:tcPr>
            <w:tcW w:w="7792" w:type="dxa"/>
          </w:tcPr>
          <w:p w14:paraId="0F25776F" w14:textId="0D420A97" w:rsidR="00294692" w:rsidRPr="008F39D6" w:rsidRDefault="00DE4802" w:rsidP="00294692">
            <w:pPr>
              <w:spacing w:before="120" w:after="120" w:line="360" w:lineRule="auto"/>
              <w:rPr>
                <w:rFonts w:ascii="Arial" w:hAnsi="Arial" w:cs="Arial"/>
                <w:sz w:val="22"/>
                <w:szCs w:val="22"/>
              </w:rPr>
            </w:pPr>
            <w:r w:rsidRPr="008F39D6">
              <w:rPr>
                <w:rFonts w:ascii="Arial" w:hAnsi="Arial" w:cs="Arial"/>
                <w:sz w:val="22"/>
                <w:szCs w:val="22"/>
              </w:rPr>
              <w:t xml:space="preserve">The </w:t>
            </w:r>
            <w:r w:rsidR="0040555D" w:rsidRPr="008F39D6">
              <w:rPr>
                <w:rFonts w:ascii="Arial" w:hAnsi="Arial" w:cs="Arial"/>
                <w:sz w:val="22"/>
                <w:szCs w:val="22"/>
              </w:rPr>
              <w:t>current situation in Australia</w:t>
            </w:r>
            <w:r w:rsidRPr="008F39D6">
              <w:rPr>
                <w:rFonts w:ascii="Arial" w:hAnsi="Arial" w:cs="Arial"/>
                <w:sz w:val="22"/>
                <w:szCs w:val="22"/>
              </w:rPr>
              <w:t xml:space="preserve"> is that very few acquirers have the ability to calculate actual interchange and scheme fees on an individual transaction basis. As a result, what is shown by acquirers in their merchant statements are the “average” costs of each type of transaction</w:t>
            </w:r>
            <w:r w:rsidR="00294692" w:rsidRPr="008F39D6">
              <w:rPr>
                <w:rFonts w:ascii="Arial" w:hAnsi="Arial" w:cs="Arial"/>
                <w:sz w:val="22"/>
                <w:szCs w:val="22"/>
              </w:rPr>
              <w:t xml:space="preserve">, e.g. </w:t>
            </w:r>
            <w:r w:rsidRPr="008F39D6">
              <w:rPr>
                <w:rFonts w:ascii="Arial" w:hAnsi="Arial" w:cs="Arial"/>
                <w:sz w:val="22"/>
                <w:szCs w:val="22"/>
              </w:rPr>
              <w:t>domestic, international</w:t>
            </w:r>
            <w:r w:rsidR="00294692" w:rsidRPr="008F39D6">
              <w:rPr>
                <w:rFonts w:ascii="Arial" w:hAnsi="Arial" w:cs="Arial"/>
                <w:sz w:val="22"/>
                <w:szCs w:val="22"/>
              </w:rPr>
              <w:t xml:space="preserve"> interchange per card type and domestic and international scheme fees per card type. Thus</w:t>
            </w:r>
            <w:r w:rsidR="00925ED5" w:rsidRPr="008F39D6">
              <w:rPr>
                <w:rFonts w:ascii="Arial" w:hAnsi="Arial" w:cs="Arial"/>
                <w:sz w:val="22"/>
                <w:szCs w:val="22"/>
              </w:rPr>
              <w:t>,</w:t>
            </w:r>
            <w:r w:rsidR="00294692" w:rsidRPr="008F39D6">
              <w:rPr>
                <w:rFonts w:ascii="Arial" w:hAnsi="Arial" w:cs="Arial"/>
                <w:sz w:val="22"/>
                <w:szCs w:val="22"/>
              </w:rPr>
              <w:t xml:space="preserve"> the merchant’s understanding of their transaction cost is only as good as the estimate provided by the acquirer.</w:t>
            </w:r>
          </w:p>
          <w:p w14:paraId="245B5EC1" w14:textId="4D52CE26" w:rsidR="00DA26CF" w:rsidRPr="008F39D6" w:rsidRDefault="00DA26CF" w:rsidP="00294692">
            <w:pPr>
              <w:spacing w:before="120" w:after="120" w:line="360" w:lineRule="auto"/>
              <w:rPr>
                <w:rFonts w:ascii="Arial" w:hAnsi="Arial" w:cs="Arial"/>
                <w:sz w:val="22"/>
                <w:szCs w:val="22"/>
              </w:rPr>
            </w:pPr>
            <w:r w:rsidRPr="008F39D6">
              <w:rPr>
                <w:rFonts w:ascii="Arial" w:hAnsi="Arial" w:cs="Arial"/>
                <w:sz w:val="22"/>
                <w:szCs w:val="22"/>
              </w:rPr>
              <w:t>One further issue that RBA should consider in implementing any of the measures outlined is as follows: historically pricing of card payments has been either on a “per transaction” or an “ad valorem” basis, but as cash continues to be displaced by cards both in the physical and online environments, transaction sizes are continuing to fall.  This has led acquirers to continue with blended pricing which may not reflect the actual cost of processing the underlying transaction</w:t>
            </w:r>
            <w:r w:rsidR="003C70B2" w:rsidRPr="008F39D6">
              <w:rPr>
                <w:rFonts w:ascii="Arial" w:hAnsi="Arial" w:cs="Arial"/>
                <w:sz w:val="22"/>
                <w:szCs w:val="22"/>
              </w:rPr>
              <w:t>. This practice</w:t>
            </w:r>
            <w:r w:rsidRPr="008F39D6">
              <w:rPr>
                <w:rFonts w:ascii="Arial" w:hAnsi="Arial" w:cs="Arial"/>
                <w:sz w:val="22"/>
                <w:szCs w:val="22"/>
              </w:rPr>
              <w:t xml:space="preserve"> is becoming more prevalent, thus causing merchants to </w:t>
            </w:r>
            <w:r w:rsidR="00F23807" w:rsidRPr="008F39D6">
              <w:rPr>
                <w:rFonts w:ascii="Arial" w:hAnsi="Arial" w:cs="Arial"/>
                <w:sz w:val="22"/>
                <w:szCs w:val="22"/>
              </w:rPr>
              <w:t>surcharge cardholders with the blended price rather than the cost of the actual transaction.</w:t>
            </w:r>
          </w:p>
          <w:p w14:paraId="161080C4" w14:textId="4E7E5DBE" w:rsidR="00E16D51" w:rsidRPr="008F39D6" w:rsidRDefault="003C70B2" w:rsidP="00925ED5">
            <w:pPr>
              <w:spacing w:before="120" w:after="120" w:line="360" w:lineRule="auto"/>
              <w:rPr>
                <w:rFonts w:ascii="Arial" w:hAnsi="Arial" w:cs="Arial"/>
                <w:sz w:val="22"/>
                <w:szCs w:val="22"/>
              </w:rPr>
            </w:pPr>
            <w:r w:rsidRPr="008F39D6">
              <w:rPr>
                <w:rFonts w:ascii="Arial" w:hAnsi="Arial" w:cs="Arial"/>
                <w:sz w:val="22"/>
                <w:szCs w:val="22"/>
              </w:rPr>
              <w:lastRenderedPageBreak/>
              <w:t>Taking this argument one step further, given the transaction fee/ad valorem pricing model, there will inevitably be situations with low value transactions where acquirers are charged more in scheme fees th</w:t>
            </w:r>
            <w:r w:rsidR="001A5FC2" w:rsidRPr="008F39D6">
              <w:rPr>
                <w:rFonts w:ascii="Arial" w:hAnsi="Arial" w:cs="Arial"/>
                <w:sz w:val="22"/>
                <w:szCs w:val="22"/>
              </w:rPr>
              <w:t>a</w:t>
            </w:r>
            <w:r w:rsidRPr="008F39D6">
              <w:rPr>
                <w:rFonts w:ascii="Arial" w:hAnsi="Arial" w:cs="Arial"/>
                <w:sz w:val="22"/>
                <w:szCs w:val="22"/>
              </w:rPr>
              <w:t>n they charge in merchant service fees</w:t>
            </w:r>
            <w:r w:rsidR="001A5FC2" w:rsidRPr="008F39D6">
              <w:rPr>
                <w:rFonts w:ascii="Arial" w:hAnsi="Arial" w:cs="Arial"/>
                <w:sz w:val="22"/>
                <w:szCs w:val="22"/>
              </w:rPr>
              <w:t xml:space="preserve"> which will result in these costs needing to be recovered from merchants</w:t>
            </w:r>
            <w:r w:rsidRPr="008F39D6">
              <w:rPr>
                <w:rFonts w:ascii="Arial" w:hAnsi="Arial" w:cs="Arial"/>
                <w:sz w:val="22"/>
                <w:szCs w:val="22"/>
              </w:rPr>
              <w:t xml:space="preserve">. Rather than paying ever increasing amounts to Mastercard and Visa therefore, </w:t>
            </w:r>
            <w:r w:rsidR="00925ED5" w:rsidRPr="008F39D6">
              <w:rPr>
                <w:rFonts w:ascii="Arial" w:hAnsi="Arial" w:cs="Arial"/>
                <w:sz w:val="22"/>
                <w:szCs w:val="22"/>
              </w:rPr>
              <w:t>we believe that the RBA needs to tr</w:t>
            </w:r>
            <w:r w:rsidRPr="008F39D6">
              <w:rPr>
                <w:rFonts w:ascii="Arial" w:hAnsi="Arial" w:cs="Arial"/>
                <w:sz w:val="22"/>
                <w:szCs w:val="22"/>
              </w:rPr>
              <w:t xml:space="preserve">eat the domestic card payments system operated by Australia Payments Plus as a </w:t>
            </w:r>
            <w:r w:rsidR="001A5FC2" w:rsidRPr="008F39D6">
              <w:rPr>
                <w:rFonts w:ascii="Arial" w:hAnsi="Arial" w:cs="Arial"/>
                <w:sz w:val="22"/>
                <w:szCs w:val="22"/>
              </w:rPr>
              <w:t xml:space="preserve">national </w:t>
            </w:r>
            <w:r w:rsidRPr="008F39D6">
              <w:rPr>
                <w:rFonts w:ascii="Arial" w:hAnsi="Arial" w:cs="Arial"/>
                <w:sz w:val="22"/>
                <w:szCs w:val="22"/>
              </w:rPr>
              <w:t>utility with costs distributed on a market share basis</w:t>
            </w:r>
            <w:r w:rsidR="001B48A9" w:rsidRPr="008F39D6">
              <w:rPr>
                <w:rFonts w:ascii="Arial" w:hAnsi="Arial" w:cs="Arial"/>
                <w:sz w:val="22"/>
                <w:szCs w:val="22"/>
              </w:rPr>
              <w:t xml:space="preserve">, </w:t>
            </w:r>
            <w:r w:rsidR="00486CF2" w:rsidRPr="008F39D6">
              <w:rPr>
                <w:rFonts w:ascii="Arial" w:hAnsi="Arial" w:cs="Arial"/>
                <w:sz w:val="22"/>
                <w:szCs w:val="22"/>
              </w:rPr>
              <w:t xml:space="preserve">perhaps </w:t>
            </w:r>
            <w:r w:rsidR="001B48A9" w:rsidRPr="008F39D6">
              <w:rPr>
                <w:rFonts w:ascii="Arial" w:hAnsi="Arial" w:cs="Arial"/>
                <w:sz w:val="22"/>
                <w:szCs w:val="22"/>
              </w:rPr>
              <w:t>subject to a minimum subscr</w:t>
            </w:r>
            <w:r w:rsidR="00486CF2" w:rsidRPr="008F39D6">
              <w:rPr>
                <w:rFonts w:ascii="Arial" w:hAnsi="Arial" w:cs="Arial"/>
                <w:sz w:val="22"/>
                <w:szCs w:val="22"/>
              </w:rPr>
              <w:t xml:space="preserve">iption. Profit Insight believes that such an approach would </w:t>
            </w:r>
            <w:r w:rsidR="001A5FC2" w:rsidRPr="008F39D6">
              <w:rPr>
                <w:rFonts w:ascii="Arial" w:hAnsi="Arial" w:cs="Arial"/>
                <w:sz w:val="22"/>
                <w:szCs w:val="22"/>
              </w:rPr>
              <w:t>allow the cost of processing domestic card payments to fall to a level far below current levels</w:t>
            </w:r>
            <w:r w:rsidR="00852ECD" w:rsidRPr="008F39D6">
              <w:rPr>
                <w:rFonts w:ascii="Arial" w:hAnsi="Arial" w:cs="Arial"/>
                <w:sz w:val="22"/>
                <w:szCs w:val="22"/>
              </w:rPr>
              <w:t>, th</w:t>
            </w:r>
            <w:r w:rsidR="00925ED5" w:rsidRPr="008F39D6">
              <w:rPr>
                <w:rFonts w:ascii="Arial" w:hAnsi="Arial" w:cs="Arial"/>
                <w:sz w:val="22"/>
                <w:szCs w:val="22"/>
              </w:rPr>
              <w:t>u</w:t>
            </w:r>
            <w:r w:rsidR="00852ECD" w:rsidRPr="008F39D6">
              <w:rPr>
                <w:rFonts w:ascii="Arial" w:hAnsi="Arial" w:cs="Arial"/>
                <w:sz w:val="22"/>
                <w:szCs w:val="22"/>
              </w:rPr>
              <w:t>s allowing acquirers to compete on service and profit margin rather than facilitating surcharging.</w:t>
            </w:r>
          </w:p>
        </w:tc>
      </w:tr>
      <w:tr w:rsidR="00E16D51" w:rsidRPr="00A02621" w14:paraId="724BE429" w14:textId="77777777" w:rsidTr="00E16D51">
        <w:tc>
          <w:tcPr>
            <w:tcW w:w="1134" w:type="dxa"/>
          </w:tcPr>
          <w:p w14:paraId="3DDFBD39" w14:textId="77777777" w:rsidR="00E16D51" w:rsidRPr="00A02621" w:rsidRDefault="00E16D51" w:rsidP="00E16D51">
            <w:pPr>
              <w:spacing w:before="120" w:after="120" w:line="360" w:lineRule="auto"/>
              <w:jc w:val="center"/>
              <w:rPr>
                <w:rFonts w:ascii="Arial" w:hAnsi="Arial" w:cs="Arial"/>
                <w:sz w:val="22"/>
                <w:szCs w:val="22"/>
              </w:rPr>
            </w:pPr>
            <w:r w:rsidRPr="00A02621">
              <w:rPr>
                <w:rFonts w:ascii="Arial" w:hAnsi="Arial" w:cs="Arial"/>
                <w:sz w:val="22"/>
                <w:szCs w:val="22"/>
              </w:rPr>
              <w:t>9.1</w:t>
            </w:r>
          </w:p>
        </w:tc>
        <w:tc>
          <w:tcPr>
            <w:tcW w:w="3406" w:type="dxa"/>
          </w:tcPr>
          <w:p w14:paraId="4B6B0381" w14:textId="77777777" w:rsidR="00E16D51" w:rsidRPr="00A02621" w:rsidRDefault="00E16D51" w:rsidP="00E16D51">
            <w:pPr>
              <w:spacing w:before="120" w:after="120" w:line="360" w:lineRule="auto"/>
              <w:rPr>
                <w:rFonts w:ascii="Arial" w:hAnsi="Arial" w:cs="Arial"/>
                <w:sz w:val="22"/>
                <w:szCs w:val="22"/>
              </w:rPr>
            </w:pPr>
            <w:r w:rsidRPr="00A02621">
              <w:rPr>
                <w:rFonts w:ascii="Arial" w:hAnsi="Arial" w:cs="Arial"/>
                <w:sz w:val="22"/>
                <w:szCs w:val="22"/>
              </w:rPr>
              <w:t>Should PSPs be required to provide individual merchants more detailed information on their regular statements (or through other channels)?</w:t>
            </w:r>
          </w:p>
        </w:tc>
        <w:tc>
          <w:tcPr>
            <w:tcW w:w="7792" w:type="dxa"/>
          </w:tcPr>
          <w:p w14:paraId="637256DC" w14:textId="55A56568" w:rsidR="00E16D51" w:rsidRPr="008F39D6" w:rsidRDefault="00A43EF6" w:rsidP="00E16D51">
            <w:pPr>
              <w:spacing w:before="120" w:after="120" w:line="360" w:lineRule="auto"/>
              <w:rPr>
                <w:rFonts w:ascii="Arial" w:hAnsi="Arial" w:cs="Arial"/>
                <w:sz w:val="22"/>
                <w:szCs w:val="22"/>
              </w:rPr>
            </w:pPr>
            <w:r w:rsidRPr="008F39D6">
              <w:rPr>
                <w:rFonts w:ascii="Arial" w:hAnsi="Arial" w:cs="Arial"/>
                <w:sz w:val="22"/>
                <w:szCs w:val="22"/>
              </w:rPr>
              <w:t>While in principle this would be an excellent initiative, the reality is that most acquirers are not able to calculate the actual costs incurred in processing each individual transaction. As a result, acquirers tend to fall back to the use of average cost components and, in Profit Insight’s experience advising acquirers on merchant profitability, the use of averages has a tendency to hide the true costs of processing, so much so that a merchant that is actually unprofitable might appear on the face of it to be profitable</w:t>
            </w:r>
            <w:r w:rsidR="00E16D51" w:rsidRPr="008F39D6">
              <w:rPr>
                <w:rFonts w:ascii="Arial" w:hAnsi="Arial" w:cs="Arial"/>
                <w:sz w:val="22"/>
                <w:szCs w:val="22"/>
              </w:rPr>
              <w:t>.</w:t>
            </w:r>
            <w:r w:rsidRPr="008F39D6">
              <w:rPr>
                <w:rFonts w:ascii="Arial" w:hAnsi="Arial" w:cs="Arial"/>
                <w:sz w:val="22"/>
                <w:szCs w:val="22"/>
              </w:rPr>
              <w:t xml:space="preserve"> Nowadays, accurate calculation of transaction level profitability for merchants is </w:t>
            </w:r>
            <w:r w:rsidR="006C7B36" w:rsidRPr="008F39D6">
              <w:rPr>
                <w:rFonts w:ascii="Arial" w:hAnsi="Arial" w:cs="Arial"/>
                <w:sz w:val="22"/>
                <w:szCs w:val="22"/>
              </w:rPr>
              <w:t>possible but</w:t>
            </w:r>
            <w:r w:rsidRPr="008F39D6">
              <w:rPr>
                <w:rFonts w:ascii="Arial" w:hAnsi="Arial" w:cs="Arial"/>
                <w:sz w:val="22"/>
                <w:szCs w:val="22"/>
              </w:rPr>
              <w:t xml:space="preserve"> requires detailed knowledge of interchange and scheme fee</w:t>
            </w:r>
            <w:r w:rsidR="006A7173" w:rsidRPr="008F39D6">
              <w:rPr>
                <w:rFonts w:ascii="Arial" w:hAnsi="Arial" w:cs="Arial"/>
                <w:sz w:val="22"/>
                <w:szCs w:val="22"/>
              </w:rPr>
              <w:t>s in order to do so.</w:t>
            </w:r>
          </w:p>
          <w:p w14:paraId="347B1E73" w14:textId="497B275C" w:rsidR="00E16D51" w:rsidRPr="008F39D6" w:rsidRDefault="006A7173" w:rsidP="00E16D51">
            <w:pPr>
              <w:spacing w:before="120" w:after="120" w:line="360" w:lineRule="auto"/>
              <w:rPr>
                <w:rFonts w:ascii="Arial" w:hAnsi="Arial" w:cs="Arial"/>
                <w:sz w:val="22"/>
                <w:szCs w:val="22"/>
              </w:rPr>
            </w:pPr>
            <w:r w:rsidRPr="008F39D6">
              <w:rPr>
                <w:rFonts w:ascii="Arial" w:hAnsi="Arial" w:cs="Arial"/>
                <w:sz w:val="22"/>
                <w:szCs w:val="22"/>
              </w:rPr>
              <w:t>We would welcome the opportunity to discuss this topic in more detail with RBA.</w:t>
            </w:r>
          </w:p>
        </w:tc>
      </w:tr>
      <w:tr w:rsidR="008F39D6" w:rsidRPr="008F39D6" w14:paraId="423AACF2" w14:textId="77777777" w:rsidTr="00E16D51">
        <w:tc>
          <w:tcPr>
            <w:tcW w:w="1134" w:type="dxa"/>
          </w:tcPr>
          <w:p w14:paraId="647CF68C" w14:textId="77777777" w:rsidR="00E16D51" w:rsidRPr="008F39D6" w:rsidRDefault="00E16D51" w:rsidP="00E16D51">
            <w:pPr>
              <w:spacing w:before="120" w:after="120" w:line="360" w:lineRule="auto"/>
              <w:jc w:val="center"/>
              <w:rPr>
                <w:rFonts w:ascii="Arial" w:hAnsi="Arial" w:cs="Arial"/>
                <w:sz w:val="22"/>
                <w:szCs w:val="22"/>
              </w:rPr>
            </w:pPr>
            <w:r w:rsidRPr="008F39D6">
              <w:rPr>
                <w:rFonts w:ascii="Arial" w:hAnsi="Arial" w:cs="Arial"/>
                <w:sz w:val="22"/>
                <w:szCs w:val="22"/>
              </w:rPr>
              <w:lastRenderedPageBreak/>
              <w:t>9.2</w:t>
            </w:r>
          </w:p>
        </w:tc>
        <w:tc>
          <w:tcPr>
            <w:tcW w:w="3406" w:type="dxa"/>
          </w:tcPr>
          <w:p w14:paraId="290B4A3A" w14:textId="77777777" w:rsidR="00E16D51" w:rsidRPr="008F39D6" w:rsidRDefault="00E16D51" w:rsidP="00E16D51">
            <w:pPr>
              <w:spacing w:before="120" w:after="120" w:line="360" w:lineRule="auto"/>
              <w:rPr>
                <w:rFonts w:ascii="Arial" w:hAnsi="Arial" w:cs="Arial"/>
                <w:sz w:val="22"/>
                <w:szCs w:val="22"/>
              </w:rPr>
            </w:pPr>
            <w:r w:rsidRPr="008F39D6">
              <w:rPr>
                <w:rFonts w:ascii="Arial" w:hAnsi="Arial" w:cs="Arial"/>
                <w:sz w:val="22"/>
                <w:szCs w:val="22"/>
              </w:rPr>
              <w:t>How could this information be presented without creating additional complexity for merchants?</w:t>
            </w:r>
          </w:p>
        </w:tc>
        <w:tc>
          <w:tcPr>
            <w:tcW w:w="7792" w:type="dxa"/>
          </w:tcPr>
          <w:p w14:paraId="398F1C3A" w14:textId="1C99AC1C" w:rsidR="00E16D51" w:rsidRPr="008F39D6" w:rsidRDefault="006A7173" w:rsidP="00E16D51">
            <w:pPr>
              <w:spacing w:before="120" w:after="120" w:line="360" w:lineRule="auto"/>
              <w:rPr>
                <w:rFonts w:ascii="Arial" w:hAnsi="Arial" w:cs="Arial"/>
                <w:sz w:val="22"/>
                <w:szCs w:val="22"/>
              </w:rPr>
            </w:pPr>
            <w:r w:rsidRPr="008F39D6">
              <w:rPr>
                <w:rFonts w:ascii="Arial" w:hAnsi="Arial" w:cs="Arial"/>
                <w:sz w:val="22"/>
                <w:szCs w:val="22"/>
              </w:rPr>
              <w:t>It is possible to generate portfolio level reporting for acquirers while simultaneously providing transaction level profitability reporting. It is, however, true to say that this process is made more complex by recent developments in interchange rules in Australia and ever more detailed billing of scheme fees.</w:t>
            </w:r>
          </w:p>
        </w:tc>
      </w:tr>
      <w:tr w:rsidR="008F39D6" w:rsidRPr="008F39D6" w14:paraId="2A47A44E" w14:textId="77777777" w:rsidTr="00E16D51">
        <w:tc>
          <w:tcPr>
            <w:tcW w:w="1134" w:type="dxa"/>
          </w:tcPr>
          <w:p w14:paraId="60098B84" w14:textId="77777777" w:rsidR="00E16D51" w:rsidRPr="008F39D6" w:rsidRDefault="00E16D51" w:rsidP="00E16D51">
            <w:pPr>
              <w:spacing w:before="120" w:after="120" w:line="360" w:lineRule="auto"/>
              <w:jc w:val="center"/>
              <w:rPr>
                <w:rFonts w:ascii="Arial" w:hAnsi="Arial" w:cs="Arial"/>
                <w:sz w:val="22"/>
                <w:szCs w:val="22"/>
              </w:rPr>
            </w:pPr>
            <w:r w:rsidRPr="008F39D6">
              <w:rPr>
                <w:rFonts w:ascii="Arial" w:hAnsi="Arial" w:cs="Arial"/>
                <w:sz w:val="22"/>
                <w:szCs w:val="22"/>
              </w:rPr>
              <w:t>10.1</w:t>
            </w:r>
          </w:p>
        </w:tc>
        <w:tc>
          <w:tcPr>
            <w:tcW w:w="3406" w:type="dxa"/>
          </w:tcPr>
          <w:p w14:paraId="693A2B5B" w14:textId="77777777" w:rsidR="00E16D51" w:rsidRPr="008F39D6" w:rsidRDefault="00E16D51" w:rsidP="00E16D51">
            <w:pPr>
              <w:spacing w:before="120" w:after="120" w:line="360" w:lineRule="auto"/>
              <w:rPr>
                <w:rFonts w:ascii="Arial" w:hAnsi="Arial" w:cs="Arial"/>
                <w:sz w:val="22"/>
                <w:szCs w:val="22"/>
              </w:rPr>
            </w:pPr>
            <w:r w:rsidRPr="008F39D6">
              <w:rPr>
                <w:rFonts w:ascii="Arial" w:hAnsi="Arial" w:cs="Arial"/>
                <w:sz w:val="22"/>
                <w:szCs w:val="22"/>
              </w:rPr>
              <w:t>Should PSPs be required to publish standardised information on their pricing and services for merchants (in line with reforms introduced in the United Kingdom)?</w:t>
            </w:r>
          </w:p>
        </w:tc>
        <w:tc>
          <w:tcPr>
            <w:tcW w:w="7792" w:type="dxa"/>
          </w:tcPr>
          <w:p w14:paraId="09EB7DD9" w14:textId="62D62021" w:rsidR="00E16D51" w:rsidRPr="008F39D6" w:rsidRDefault="006A7173" w:rsidP="006A7173">
            <w:pPr>
              <w:spacing w:before="120" w:after="120" w:line="360" w:lineRule="auto"/>
              <w:rPr>
                <w:rFonts w:ascii="Arial" w:hAnsi="Arial" w:cs="Arial"/>
                <w:sz w:val="22"/>
                <w:szCs w:val="22"/>
              </w:rPr>
            </w:pPr>
            <w:r w:rsidRPr="008F39D6">
              <w:rPr>
                <w:rFonts w:ascii="Arial" w:hAnsi="Arial" w:cs="Arial"/>
                <w:sz w:val="22"/>
                <w:szCs w:val="22"/>
              </w:rPr>
              <w:t>It is entirely possible for acquirers to not only produce standard tariffs, but also to calculate profitability at a transaction level in order to provide merchants with full transparency of the costs incurred. The problem with this approach (as recently implemented in the UK) is that acquirers and PSP’s are required only to provide an estimate of the costs incurred in providing the service to merchants</w:t>
            </w:r>
            <w:r w:rsidR="00C77414" w:rsidRPr="008F39D6">
              <w:rPr>
                <w:rFonts w:ascii="Arial" w:hAnsi="Arial" w:cs="Arial"/>
                <w:sz w:val="22"/>
                <w:szCs w:val="22"/>
              </w:rPr>
              <w:t xml:space="preserve">. </w:t>
            </w:r>
            <w:r w:rsidR="00D27463" w:rsidRPr="008F39D6">
              <w:rPr>
                <w:rFonts w:ascii="Arial" w:hAnsi="Arial" w:cs="Arial"/>
                <w:sz w:val="22"/>
                <w:szCs w:val="22"/>
              </w:rPr>
              <w:t>Profit Insight’s experience of the acquiring industry in the UK suggests that</w:t>
            </w:r>
            <w:r w:rsidRPr="008F39D6">
              <w:rPr>
                <w:rFonts w:ascii="Arial" w:hAnsi="Arial" w:cs="Arial"/>
                <w:sz w:val="22"/>
                <w:szCs w:val="22"/>
              </w:rPr>
              <w:t xml:space="preserve"> </w:t>
            </w:r>
            <w:r w:rsidR="00C77414" w:rsidRPr="008F39D6">
              <w:rPr>
                <w:rFonts w:ascii="Arial" w:hAnsi="Arial" w:cs="Arial"/>
                <w:sz w:val="22"/>
                <w:szCs w:val="22"/>
              </w:rPr>
              <w:t xml:space="preserve">the disclosure of pricing information required by the Payment Systems Regulator for merchants in the UK is rudimentary and is largely based on average costs. The implementation of such disclosure in Australia would be greatly assisted by mandating all domestic card payments to be processed by a single </w:t>
            </w:r>
            <w:r w:rsidR="006C7B36" w:rsidRPr="008F39D6">
              <w:rPr>
                <w:rFonts w:ascii="Arial" w:hAnsi="Arial" w:cs="Arial"/>
                <w:sz w:val="22"/>
                <w:szCs w:val="22"/>
              </w:rPr>
              <w:t>onshore</w:t>
            </w:r>
            <w:r w:rsidR="00C77414" w:rsidRPr="008F39D6">
              <w:rPr>
                <w:rFonts w:ascii="Arial" w:hAnsi="Arial" w:cs="Arial"/>
                <w:sz w:val="22"/>
                <w:szCs w:val="22"/>
              </w:rPr>
              <w:t xml:space="preserve"> processor such as Australia Payments Plus.</w:t>
            </w:r>
          </w:p>
        </w:tc>
      </w:tr>
      <w:tr w:rsidR="008F39D6" w:rsidRPr="008F39D6" w14:paraId="1213395C" w14:textId="77777777" w:rsidTr="00E16D51">
        <w:tc>
          <w:tcPr>
            <w:tcW w:w="1134" w:type="dxa"/>
          </w:tcPr>
          <w:p w14:paraId="19772033" w14:textId="77777777" w:rsidR="00E16D51" w:rsidRPr="008F39D6" w:rsidRDefault="00E16D51" w:rsidP="00E16D51">
            <w:pPr>
              <w:spacing w:before="120" w:after="120" w:line="360" w:lineRule="auto"/>
              <w:jc w:val="center"/>
              <w:rPr>
                <w:rFonts w:ascii="Arial" w:hAnsi="Arial" w:cs="Arial"/>
                <w:sz w:val="22"/>
                <w:szCs w:val="22"/>
              </w:rPr>
            </w:pPr>
            <w:r w:rsidRPr="008F39D6">
              <w:rPr>
                <w:rFonts w:ascii="Arial" w:hAnsi="Arial" w:cs="Arial"/>
                <w:sz w:val="22"/>
                <w:szCs w:val="22"/>
              </w:rPr>
              <w:t>11.1</w:t>
            </w:r>
          </w:p>
        </w:tc>
        <w:tc>
          <w:tcPr>
            <w:tcW w:w="3406" w:type="dxa"/>
          </w:tcPr>
          <w:p w14:paraId="0A1B1288" w14:textId="77777777" w:rsidR="00E16D51" w:rsidRPr="008F39D6" w:rsidRDefault="00E16D51" w:rsidP="00E16D51">
            <w:pPr>
              <w:spacing w:before="120" w:after="120" w:line="360" w:lineRule="auto"/>
              <w:rPr>
                <w:rFonts w:ascii="Arial" w:hAnsi="Arial" w:cs="Arial"/>
                <w:sz w:val="22"/>
                <w:szCs w:val="22"/>
              </w:rPr>
            </w:pPr>
            <w:r w:rsidRPr="008F39D6">
              <w:rPr>
                <w:rFonts w:ascii="Arial" w:hAnsi="Arial" w:cs="Arial"/>
                <w:sz w:val="22"/>
                <w:szCs w:val="22"/>
              </w:rPr>
              <w:t>What other regulatory measures should the RBA consider to improve competition between PSPs?</w:t>
            </w:r>
          </w:p>
        </w:tc>
        <w:tc>
          <w:tcPr>
            <w:tcW w:w="7792" w:type="dxa"/>
          </w:tcPr>
          <w:p w14:paraId="75DBF357" w14:textId="530584E4" w:rsidR="00E16D51" w:rsidRPr="008F39D6" w:rsidRDefault="00D27463" w:rsidP="00EB41AD">
            <w:pPr>
              <w:spacing w:before="120" w:after="120" w:line="360" w:lineRule="auto"/>
              <w:rPr>
                <w:rFonts w:ascii="Arial" w:hAnsi="Arial" w:cs="Arial"/>
                <w:sz w:val="22"/>
                <w:szCs w:val="22"/>
              </w:rPr>
            </w:pPr>
            <w:r w:rsidRPr="008F39D6">
              <w:rPr>
                <w:rFonts w:ascii="Arial" w:hAnsi="Arial" w:cs="Arial"/>
                <w:sz w:val="22"/>
                <w:szCs w:val="22"/>
              </w:rPr>
              <w:t xml:space="preserve">In addition to </w:t>
            </w:r>
            <w:r w:rsidR="00446426" w:rsidRPr="008F39D6">
              <w:rPr>
                <w:rFonts w:ascii="Arial" w:hAnsi="Arial" w:cs="Arial"/>
                <w:sz w:val="22"/>
                <w:szCs w:val="22"/>
              </w:rPr>
              <w:t xml:space="preserve">requiring acquirers to disclose a detailed breakdown of interchange and scheme costs for all card types; debit/credit, commercial/premium, domestic/overseas, the merchant statement should show the cost of any devices provided by the acquirer as well as the number of months remaining on their existing contract, thus providing merchants with a reminder of the point at which they will be able to seek either a lower price from their existing acquirer, or be free to switch their business. This level of </w:t>
            </w:r>
            <w:r w:rsidR="00446426" w:rsidRPr="008F39D6">
              <w:rPr>
                <w:rFonts w:ascii="Arial" w:hAnsi="Arial" w:cs="Arial"/>
                <w:sz w:val="22"/>
                <w:szCs w:val="22"/>
              </w:rPr>
              <w:lastRenderedPageBreak/>
              <w:t xml:space="preserve">transparency could also work in favour of acquirers who need to increase pricing to cover the increased cost of processing </w:t>
            </w:r>
            <w:r w:rsidR="00DD230A" w:rsidRPr="008F39D6">
              <w:rPr>
                <w:rFonts w:ascii="Arial" w:hAnsi="Arial" w:cs="Arial"/>
                <w:sz w:val="22"/>
                <w:szCs w:val="22"/>
              </w:rPr>
              <w:t>higher interchange products and/or international transactions.</w:t>
            </w:r>
          </w:p>
        </w:tc>
      </w:tr>
      <w:tr w:rsidR="008F39D6" w:rsidRPr="008F39D6" w14:paraId="7CEDDE9A" w14:textId="77777777" w:rsidTr="00E16D51">
        <w:tc>
          <w:tcPr>
            <w:tcW w:w="1134" w:type="dxa"/>
          </w:tcPr>
          <w:p w14:paraId="068C2F81" w14:textId="77777777" w:rsidR="00E16D51" w:rsidRPr="008F39D6" w:rsidRDefault="00E16D51" w:rsidP="00E16D51">
            <w:pPr>
              <w:spacing w:before="120" w:after="120" w:line="360" w:lineRule="auto"/>
              <w:jc w:val="center"/>
              <w:rPr>
                <w:rFonts w:ascii="Arial" w:hAnsi="Arial" w:cs="Arial"/>
                <w:sz w:val="22"/>
                <w:szCs w:val="22"/>
              </w:rPr>
            </w:pPr>
            <w:r w:rsidRPr="008F39D6">
              <w:rPr>
                <w:rFonts w:ascii="Arial" w:hAnsi="Arial" w:cs="Arial"/>
                <w:sz w:val="22"/>
                <w:szCs w:val="22"/>
              </w:rPr>
              <w:t>12.1</w:t>
            </w:r>
          </w:p>
        </w:tc>
        <w:tc>
          <w:tcPr>
            <w:tcW w:w="3406" w:type="dxa"/>
          </w:tcPr>
          <w:p w14:paraId="4B071A5D" w14:textId="77777777" w:rsidR="00E16D51" w:rsidRPr="008F39D6" w:rsidRDefault="00E16D51" w:rsidP="00E16D51">
            <w:pPr>
              <w:spacing w:before="120" w:after="120" w:line="360" w:lineRule="auto"/>
              <w:rPr>
                <w:rFonts w:ascii="Arial" w:hAnsi="Arial" w:cs="Arial"/>
                <w:sz w:val="22"/>
                <w:szCs w:val="22"/>
              </w:rPr>
            </w:pPr>
            <w:r w:rsidRPr="008F39D6">
              <w:rPr>
                <w:rFonts w:ascii="Arial" w:hAnsi="Arial" w:cs="Arial"/>
                <w:sz w:val="22"/>
                <w:szCs w:val="22"/>
              </w:rPr>
              <w:t>Is there a case for revising the RBA’s surcharging framework?</w:t>
            </w:r>
          </w:p>
        </w:tc>
        <w:tc>
          <w:tcPr>
            <w:tcW w:w="7792" w:type="dxa"/>
          </w:tcPr>
          <w:p w14:paraId="6A8B4BF5" w14:textId="2D16B762" w:rsidR="00E16D51" w:rsidRPr="008F39D6" w:rsidRDefault="00DD230A" w:rsidP="00E16D51">
            <w:pPr>
              <w:spacing w:before="120" w:after="120" w:line="360" w:lineRule="auto"/>
              <w:rPr>
                <w:rFonts w:ascii="Arial" w:hAnsi="Arial" w:cs="Arial"/>
                <w:sz w:val="22"/>
                <w:szCs w:val="22"/>
              </w:rPr>
            </w:pPr>
            <w:r w:rsidRPr="008F39D6">
              <w:rPr>
                <w:rFonts w:ascii="Arial" w:hAnsi="Arial" w:cs="Arial"/>
                <w:sz w:val="22"/>
                <w:szCs w:val="22"/>
              </w:rPr>
              <w:t>With the benefit of hindsight and the experience of other countries all over the world, the legislation which specifically allowed merchants in Australia to surcharge created a loophole which has resulted in</w:t>
            </w:r>
            <w:r w:rsidR="00D212E3" w:rsidRPr="008F39D6">
              <w:rPr>
                <w:rFonts w:ascii="Arial" w:hAnsi="Arial" w:cs="Arial"/>
                <w:sz w:val="22"/>
                <w:szCs w:val="22"/>
              </w:rPr>
              <w:t xml:space="preserve"> </w:t>
            </w:r>
            <w:r w:rsidRPr="008F39D6">
              <w:rPr>
                <w:rFonts w:ascii="Arial" w:hAnsi="Arial" w:cs="Arial"/>
                <w:sz w:val="22"/>
                <w:szCs w:val="22"/>
              </w:rPr>
              <w:t xml:space="preserve">an </w:t>
            </w:r>
            <w:r w:rsidR="00D212E3" w:rsidRPr="008F39D6">
              <w:rPr>
                <w:rFonts w:ascii="Arial" w:hAnsi="Arial" w:cs="Arial"/>
                <w:sz w:val="22"/>
                <w:szCs w:val="22"/>
              </w:rPr>
              <w:t>ever-increasing</w:t>
            </w:r>
            <w:r w:rsidRPr="008F39D6">
              <w:rPr>
                <w:rFonts w:ascii="Arial" w:hAnsi="Arial" w:cs="Arial"/>
                <w:sz w:val="22"/>
                <w:szCs w:val="22"/>
              </w:rPr>
              <w:t xml:space="preserve"> number of businesses </w:t>
            </w:r>
            <w:r w:rsidR="00D212E3" w:rsidRPr="008F39D6">
              <w:rPr>
                <w:rFonts w:ascii="Arial" w:hAnsi="Arial" w:cs="Arial"/>
                <w:sz w:val="22"/>
                <w:szCs w:val="22"/>
              </w:rPr>
              <w:t xml:space="preserve">across the country </w:t>
            </w:r>
            <w:r w:rsidRPr="008F39D6">
              <w:rPr>
                <w:rFonts w:ascii="Arial" w:hAnsi="Arial" w:cs="Arial"/>
                <w:sz w:val="22"/>
                <w:szCs w:val="22"/>
              </w:rPr>
              <w:t>recovering costs which were previously absorbed as “a cost of doing business” by means of a surcharge</w:t>
            </w:r>
            <w:r w:rsidR="00D212E3" w:rsidRPr="008F39D6">
              <w:rPr>
                <w:rFonts w:ascii="Arial" w:hAnsi="Arial" w:cs="Arial"/>
                <w:sz w:val="22"/>
                <w:szCs w:val="22"/>
              </w:rPr>
              <w:t>. Worse still, there is no regulatory body charged with the responsibility to ensure that merchants are only charging what they are entitled to recover.</w:t>
            </w:r>
            <w:r w:rsidR="00BA4F02" w:rsidRPr="008F39D6">
              <w:rPr>
                <w:rFonts w:ascii="Arial" w:hAnsi="Arial" w:cs="Arial"/>
                <w:sz w:val="22"/>
                <w:szCs w:val="22"/>
              </w:rPr>
              <w:t xml:space="preserve"> Acquirers have washed their hands of the problem by delegating responsibility to the merchant to implement their own surcharging rules.</w:t>
            </w:r>
          </w:p>
        </w:tc>
      </w:tr>
      <w:tr w:rsidR="008F39D6" w:rsidRPr="008F39D6" w14:paraId="7C270B9F" w14:textId="77777777" w:rsidTr="00E16D51">
        <w:tc>
          <w:tcPr>
            <w:tcW w:w="1134" w:type="dxa"/>
          </w:tcPr>
          <w:p w14:paraId="4C81A9AA" w14:textId="77777777" w:rsidR="00E16D51" w:rsidRPr="008F39D6" w:rsidRDefault="00E16D51" w:rsidP="00E16D51">
            <w:pPr>
              <w:spacing w:before="120" w:after="120" w:line="360" w:lineRule="auto"/>
              <w:jc w:val="center"/>
              <w:rPr>
                <w:rFonts w:ascii="Arial" w:hAnsi="Arial" w:cs="Arial"/>
                <w:sz w:val="22"/>
                <w:szCs w:val="22"/>
              </w:rPr>
            </w:pPr>
            <w:r w:rsidRPr="008F39D6">
              <w:rPr>
                <w:rFonts w:ascii="Arial" w:hAnsi="Arial" w:cs="Arial"/>
                <w:sz w:val="22"/>
                <w:szCs w:val="22"/>
              </w:rPr>
              <w:t>12.2</w:t>
            </w:r>
          </w:p>
        </w:tc>
        <w:tc>
          <w:tcPr>
            <w:tcW w:w="3406" w:type="dxa"/>
          </w:tcPr>
          <w:p w14:paraId="2556B201" w14:textId="77777777" w:rsidR="00E16D51" w:rsidRPr="008F39D6" w:rsidRDefault="00E16D51" w:rsidP="00E16D51">
            <w:pPr>
              <w:spacing w:before="120" w:after="120" w:line="360" w:lineRule="auto"/>
              <w:rPr>
                <w:rFonts w:ascii="Arial" w:hAnsi="Arial" w:cs="Arial"/>
                <w:sz w:val="22"/>
                <w:szCs w:val="22"/>
              </w:rPr>
            </w:pPr>
            <w:r w:rsidRPr="008F39D6">
              <w:rPr>
                <w:rFonts w:ascii="Arial" w:hAnsi="Arial" w:cs="Arial"/>
                <w:sz w:val="22"/>
                <w:szCs w:val="22"/>
              </w:rPr>
              <w:t>If so, which options or combination of options would best address the current concerns around surcharging?</w:t>
            </w:r>
          </w:p>
        </w:tc>
        <w:tc>
          <w:tcPr>
            <w:tcW w:w="7792" w:type="dxa"/>
          </w:tcPr>
          <w:p w14:paraId="09F7A2A3" w14:textId="677A5771" w:rsidR="00E16D51" w:rsidRPr="008F39D6" w:rsidRDefault="003365F7" w:rsidP="00E16D51">
            <w:pPr>
              <w:spacing w:before="120" w:after="120" w:line="360" w:lineRule="auto"/>
              <w:rPr>
                <w:rFonts w:ascii="Arial" w:hAnsi="Arial" w:cs="Arial"/>
                <w:sz w:val="22"/>
                <w:szCs w:val="22"/>
              </w:rPr>
            </w:pPr>
            <w:r w:rsidRPr="008F39D6">
              <w:rPr>
                <w:rFonts w:ascii="Arial" w:hAnsi="Arial" w:cs="Arial"/>
                <w:sz w:val="22"/>
                <w:szCs w:val="22"/>
              </w:rPr>
              <w:t xml:space="preserve">If surcharging is to be allowed to continue, acquirers should be charged with the responsibility of ensuring that merchants only recover </w:t>
            </w:r>
            <w:r w:rsidR="00BA4F02" w:rsidRPr="008F39D6">
              <w:rPr>
                <w:rFonts w:ascii="Arial" w:hAnsi="Arial" w:cs="Arial"/>
                <w:sz w:val="22"/>
                <w:szCs w:val="22"/>
              </w:rPr>
              <w:t xml:space="preserve">what they are entitled to recover. Furthermore, merchants surcharging should only be allowed to do so if they accept at least one method of payment which is not surcharged. </w:t>
            </w:r>
          </w:p>
        </w:tc>
      </w:tr>
      <w:tr w:rsidR="008F39D6" w:rsidRPr="008F39D6" w14:paraId="2EDBC3CF" w14:textId="77777777" w:rsidTr="00E16D51">
        <w:tc>
          <w:tcPr>
            <w:tcW w:w="1134" w:type="dxa"/>
          </w:tcPr>
          <w:p w14:paraId="00F5CCC0" w14:textId="77777777" w:rsidR="00E16D51" w:rsidRPr="008F39D6" w:rsidRDefault="00E16D51" w:rsidP="00E16D51">
            <w:pPr>
              <w:spacing w:before="120" w:after="120" w:line="360" w:lineRule="auto"/>
              <w:jc w:val="center"/>
              <w:rPr>
                <w:rFonts w:ascii="Arial" w:hAnsi="Arial" w:cs="Arial"/>
                <w:sz w:val="22"/>
                <w:szCs w:val="22"/>
              </w:rPr>
            </w:pPr>
            <w:r w:rsidRPr="008F39D6">
              <w:rPr>
                <w:rFonts w:ascii="Arial" w:hAnsi="Arial" w:cs="Arial"/>
                <w:sz w:val="22"/>
                <w:szCs w:val="22"/>
              </w:rPr>
              <w:t>12.3</w:t>
            </w:r>
          </w:p>
        </w:tc>
        <w:tc>
          <w:tcPr>
            <w:tcW w:w="3406" w:type="dxa"/>
          </w:tcPr>
          <w:p w14:paraId="70BC8A22" w14:textId="77777777" w:rsidR="00E16D51" w:rsidRPr="008F39D6" w:rsidRDefault="00E16D51" w:rsidP="00E16D51">
            <w:pPr>
              <w:spacing w:before="120" w:after="120" w:line="360" w:lineRule="auto"/>
              <w:rPr>
                <w:rFonts w:ascii="Arial" w:hAnsi="Arial" w:cs="Arial"/>
                <w:sz w:val="22"/>
                <w:szCs w:val="22"/>
              </w:rPr>
            </w:pPr>
            <w:r w:rsidRPr="008F39D6">
              <w:rPr>
                <w:rFonts w:ascii="Arial" w:hAnsi="Arial" w:cs="Arial"/>
                <w:sz w:val="22"/>
                <w:szCs w:val="22"/>
              </w:rPr>
              <w:t>What other options should the RBA consider?</w:t>
            </w:r>
          </w:p>
        </w:tc>
        <w:tc>
          <w:tcPr>
            <w:tcW w:w="7792" w:type="dxa"/>
          </w:tcPr>
          <w:p w14:paraId="55D305B4" w14:textId="6E11745B" w:rsidR="00291751" w:rsidRPr="008F39D6" w:rsidRDefault="00BA4F02" w:rsidP="00E16D51">
            <w:pPr>
              <w:spacing w:before="120" w:after="120" w:line="360" w:lineRule="auto"/>
              <w:rPr>
                <w:rFonts w:ascii="Arial" w:hAnsi="Arial" w:cs="Arial"/>
                <w:sz w:val="22"/>
                <w:szCs w:val="22"/>
              </w:rPr>
            </w:pPr>
            <w:r w:rsidRPr="008F39D6">
              <w:rPr>
                <w:rFonts w:ascii="Arial" w:hAnsi="Arial" w:cs="Arial"/>
                <w:sz w:val="22"/>
                <w:szCs w:val="22"/>
              </w:rPr>
              <w:t xml:space="preserve">With the emergence of open banking payment options in Australia, there </w:t>
            </w:r>
            <w:r w:rsidR="00BA02E8" w:rsidRPr="008F39D6">
              <w:rPr>
                <w:rFonts w:ascii="Arial" w:hAnsi="Arial" w:cs="Arial"/>
                <w:sz w:val="22"/>
                <w:szCs w:val="22"/>
              </w:rPr>
              <w:t xml:space="preserve">should no longer be an expectation from RBA that merchants will accept only cash or cards. There are many examples across Asia of different solutions – Nets in Singapore is not only a debit card brand but is also accepted for electronic road pricing, car parking and mass transit. Touch and Go in Malaysia also has its roots in mass transit and electronic </w:t>
            </w:r>
            <w:r w:rsidR="006C7B36" w:rsidRPr="008F39D6">
              <w:rPr>
                <w:rFonts w:ascii="Arial" w:hAnsi="Arial" w:cs="Arial"/>
                <w:sz w:val="22"/>
                <w:szCs w:val="22"/>
              </w:rPr>
              <w:t>tolls but</w:t>
            </w:r>
            <w:r w:rsidR="00BA02E8" w:rsidRPr="008F39D6">
              <w:rPr>
                <w:rFonts w:ascii="Arial" w:hAnsi="Arial" w:cs="Arial"/>
                <w:sz w:val="22"/>
                <w:szCs w:val="22"/>
              </w:rPr>
              <w:t xml:space="preserve"> has </w:t>
            </w:r>
            <w:r w:rsidR="00BA02E8" w:rsidRPr="008F39D6">
              <w:rPr>
                <w:rFonts w:ascii="Arial" w:hAnsi="Arial" w:cs="Arial"/>
                <w:sz w:val="22"/>
                <w:szCs w:val="22"/>
              </w:rPr>
              <w:lastRenderedPageBreak/>
              <w:t>morphed into a digital wallet accepted at point of sale capable of making and receiving person to person payments.</w:t>
            </w:r>
            <w:r w:rsidR="00291751" w:rsidRPr="008F39D6">
              <w:rPr>
                <w:rFonts w:ascii="Arial" w:hAnsi="Arial" w:cs="Arial"/>
                <w:sz w:val="22"/>
                <w:szCs w:val="22"/>
              </w:rPr>
              <w:t xml:space="preserve">  </w:t>
            </w:r>
            <w:r w:rsidR="00EB41AD" w:rsidRPr="008F39D6">
              <w:rPr>
                <w:rFonts w:ascii="Arial" w:hAnsi="Arial" w:cs="Arial"/>
                <w:sz w:val="22"/>
                <w:szCs w:val="22"/>
              </w:rPr>
              <w:t>In Australia</w:t>
            </w:r>
            <w:r w:rsidR="00AB77FE" w:rsidRPr="008F39D6">
              <w:rPr>
                <w:rFonts w:ascii="Arial" w:hAnsi="Arial" w:cs="Arial"/>
                <w:sz w:val="22"/>
                <w:szCs w:val="22"/>
              </w:rPr>
              <w:t>, f</w:t>
            </w:r>
            <w:r w:rsidR="00291751" w:rsidRPr="008F39D6">
              <w:rPr>
                <w:rFonts w:ascii="Arial" w:hAnsi="Arial" w:cs="Arial"/>
                <w:sz w:val="22"/>
                <w:szCs w:val="22"/>
              </w:rPr>
              <w:t xml:space="preserve">or example, </w:t>
            </w:r>
            <w:r w:rsidR="00AB77FE" w:rsidRPr="008F39D6">
              <w:rPr>
                <w:rFonts w:ascii="Arial" w:hAnsi="Arial" w:cs="Arial"/>
                <w:sz w:val="22"/>
                <w:szCs w:val="22"/>
              </w:rPr>
              <w:t xml:space="preserve">with appropriate regulatory support, </w:t>
            </w:r>
            <w:r w:rsidR="00291751" w:rsidRPr="008F39D6">
              <w:rPr>
                <w:rFonts w:ascii="Arial" w:hAnsi="Arial" w:cs="Arial"/>
                <w:sz w:val="22"/>
                <w:szCs w:val="22"/>
              </w:rPr>
              <w:t xml:space="preserve">cardholders could add their Opal or Myki and similar cards to their </w:t>
            </w:r>
            <w:r w:rsidR="00AB77FE" w:rsidRPr="008F39D6">
              <w:rPr>
                <w:rFonts w:ascii="Arial" w:hAnsi="Arial" w:cs="Arial"/>
                <w:sz w:val="22"/>
                <w:szCs w:val="22"/>
              </w:rPr>
              <w:t>digital</w:t>
            </w:r>
            <w:r w:rsidR="00291751" w:rsidRPr="008F39D6">
              <w:rPr>
                <w:rFonts w:ascii="Arial" w:hAnsi="Arial" w:cs="Arial"/>
                <w:sz w:val="22"/>
                <w:szCs w:val="22"/>
              </w:rPr>
              <w:t xml:space="preserve"> wallet and use these funds for small value transaction</w:t>
            </w:r>
            <w:r w:rsidR="00CD5725" w:rsidRPr="008F39D6">
              <w:rPr>
                <w:rFonts w:ascii="Arial" w:hAnsi="Arial" w:cs="Arial"/>
                <w:sz w:val="22"/>
                <w:szCs w:val="22"/>
              </w:rPr>
              <w:t>s</w:t>
            </w:r>
            <w:r w:rsidR="00291751" w:rsidRPr="008F39D6">
              <w:rPr>
                <w:rFonts w:ascii="Arial" w:hAnsi="Arial" w:cs="Arial"/>
                <w:sz w:val="22"/>
                <w:szCs w:val="22"/>
              </w:rPr>
              <w:t xml:space="preserve"> at</w:t>
            </w:r>
            <w:r w:rsidR="00AB77FE" w:rsidRPr="008F39D6">
              <w:rPr>
                <w:rFonts w:ascii="Arial" w:hAnsi="Arial" w:cs="Arial"/>
                <w:sz w:val="22"/>
                <w:szCs w:val="22"/>
              </w:rPr>
              <w:t xml:space="preserve"> convenience</w:t>
            </w:r>
            <w:r w:rsidR="00291751" w:rsidRPr="008F39D6">
              <w:rPr>
                <w:rFonts w:ascii="Arial" w:hAnsi="Arial" w:cs="Arial"/>
                <w:sz w:val="22"/>
                <w:szCs w:val="22"/>
              </w:rPr>
              <w:t xml:space="preserve"> store</w:t>
            </w:r>
            <w:r w:rsidR="00AB77FE" w:rsidRPr="008F39D6">
              <w:rPr>
                <w:rFonts w:ascii="Arial" w:hAnsi="Arial" w:cs="Arial"/>
                <w:sz w:val="22"/>
                <w:szCs w:val="22"/>
              </w:rPr>
              <w:t xml:space="preserve">s, farmer’s </w:t>
            </w:r>
            <w:r w:rsidR="00CD5725" w:rsidRPr="008F39D6">
              <w:rPr>
                <w:rFonts w:ascii="Arial" w:hAnsi="Arial" w:cs="Arial"/>
                <w:sz w:val="22"/>
                <w:szCs w:val="22"/>
              </w:rPr>
              <w:t>markets</w:t>
            </w:r>
            <w:r w:rsidR="001863A7">
              <w:rPr>
                <w:rFonts w:ascii="Arial" w:hAnsi="Arial" w:cs="Arial"/>
                <w:sz w:val="22"/>
                <w:szCs w:val="22"/>
              </w:rPr>
              <w:t xml:space="preserve"> etc</w:t>
            </w:r>
            <w:r w:rsidR="00CD5725" w:rsidRPr="008F39D6">
              <w:rPr>
                <w:rFonts w:ascii="Arial" w:hAnsi="Arial" w:cs="Arial"/>
                <w:sz w:val="22"/>
                <w:szCs w:val="22"/>
              </w:rPr>
              <w:t xml:space="preserve">, </w:t>
            </w:r>
            <w:r w:rsidR="00291751" w:rsidRPr="008F39D6">
              <w:rPr>
                <w:rFonts w:ascii="Arial" w:hAnsi="Arial" w:cs="Arial"/>
                <w:sz w:val="22"/>
                <w:szCs w:val="22"/>
              </w:rPr>
              <w:t xml:space="preserve">effectively by-passing the Visa and Mastercard </w:t>
            </w:r>
            <w:r w:rsidR="00AB77FE" w:rsidRPr="008F39D6">
              <w:rPr>
                <w:rFonts w:ascii="Arial" w:hAnsi="Arial" w:cs="Arial"/>
                <w:sz w:val="22"/>
                <w:szCs w:val="22"/>
              </w:rPr>
              <w:t xml:space="preserve">settlement </w:t>
            </w:r>
            <w:r w:rsidR="00291751" w:rsidRPr="008F39D6">
              <w:rPr>
                <w:rFonts w:ascii="Arial" w:hAnsi="Arial" w:cs="Arial"/>
                <w:sz w:val="22"/>
                <w:szCs w:val="22"/>
              </w:rPr>
              <w:t xml:space="preserve">systems </w:t>
            </w:r>
            <w:r w:rsidR="00AB77FE" w:rsidRPr="008F39D6">
              <w:rPr>
                <w:rFonts w:ascii="Arial" w:hAnsi="Arial" w:cs="Arial"/>
                <w:sz w:val="22"/>
                <w:szCs w:val="22"/>
              </w:rPr>
              <w:t xml:space="preserve">and transferring funds at </w:t>
            </w:r>
            <w:r w:rsidR="00291751" w:rsidRPr="008F39D6">
              <w:rPr>
                <w:rFonts w:ascii="Arial" w:hAnsi="Arial" w:cs="Arial"/>
                <w:sz w:val="22"/>
                <w:szCs w:val="22"/>
              </w:rPr>
              <w:t>zero cost to the merchant.</w:t>
            </w:r>
          </w:p>
          <w:p w14:paraId="4BA25D22" w14:textId="6651A35E" w:rsidR="00E16D51" w:rsidRPr="008F39D6" w:rsidRDefault="008909F9" w:rsidP="00E16D51">
            <w:pPr>
              <w:spacing w:before="120" w:after="120" w:line="360" w:lineRule="auto"/>
              <w:rPr>
                <w:rFonts w:ascii="Arial" w:hAnsi="Arial" w:cs="Arial"/>
                <w:sz w:val="22"/>
                <w:szCs w:val="22"/>
              </w:rPr>
            </w:pPr>
            <w:r w:rsidRPr="008F39D6">
              <w:rPr>
                <w:rFonts w:ascii="Arial" w:hAnsi="Arial" w:cs="Arial"/>
                <w:sz w:val="22"/>
                <w:szCs w:val="22"/>
              </w:rPr>
              <w:t xml:space="preserve">Merchants all over </w:t>
            </w:r>
            <w:r w:rsidR="006C7B36" w:rsidRPr="008F39D6">
              <w:rPr>
                <w:rFonts w:ascii="Arial" w:hAnsi="Arial" w:cs="Arial"/>
                <w:sz w:val="22"/>
                <w:szCs w:val="22"/>
              </w:rPr>
              <w:t>Southeast</w:t>
            </w:r>
            <w:r w:rsidRPr="008F39D6">
              <w:rPr>
                <w:rFonts w:ascii="Arial" w:hAnsi="Arial" w:cs="Arial"/>
                <w:sz w:val="22"/>
                <w:szCs w:val="22"/>
              </w:rPr>
              <w:t xml:space="preserve"> Asia are now capable of accepting international QR code transactions. </w:t>
            </w:r>
            <w:r w:rsidR="00BA02E8" w:rsidRPr="008F39D6">
              <w:rPr>
                <w:rFonts w:ascii="Arial" w:hAnsi="Arial" w:cs="Arial"/>
                <w:sz w:val="22"/>
                <w:szCs w:val="22"/>
              </w:rPr>
              <w:t xml:space="preserve">All of these </w:t>
            </w:r>
            <w:r w:rsidRPr="008F39D6">
              <w:rPr>
                <w:rFonts w:ascii="Arial" w:hAnsi="Arial" w:cs="Arial"/>
                <w:sz w:val="22"/>
                <w:szCs w:val="22"/>
              </w:rPr>
              <w:t>solutions are capable of handling low value transactions at minimal cost, something which is a problem for the traditional card schemes to handle.</w:t>
            </w:r>
            <w:r w:rsidR="004B4039" w:rsidRPr="008F39D6">
              <w:rPr>
                <w:rFonts w:ascii="Arial" w:hAnsi="Arial" w:cs="Arial"/>
                <w:sz w:val="22"/>
                <w:szCs w:val="22"/>
              </w:rPr>
              <w:t xml:space="preserve"> </w:t>
            </w:r>
            <w:r w:rsidR="001519F2" w:rsidRPr="008F39D6">
              <w:rPr>
                <w:rFonts w:ascii="Arial" w:hAnsi="Arial" w:cs="Arial"/>
                <w:sz w:val="22"/>
                <w:szCs w:val="22"/>
              </w:rPr>
              <w:t>Profit Insight believes that mandating t</w:t>
            </w:r>
            <w:r w:rsidR="004B4039" w:rsidRPr="008F39D6">
              <w:rPr>
                <w:rFonts w:ascii="Arial" w:hAnsi="Arial" w:cs="Arial"/>
                <w:sz w:val="22"/>
                <w:szCs w:val="22"/>
              </w:rPr>
              <w:t xml:space="preserve">he expansion of the AP+ network to process all domestic debit and credit card transactions </w:t>
            </w:r>
            <w:r w:rsidR="001519F2" w:rsidRPr="008F39D6">
              <w:rPr>
                <w:rFonts w:ascii="Arial" w:hAnsi="Arial" w:cs="Arial"/>
                <w:sz w:val="22"/>
                <w:szCs w:val="22"/>
              </w:rPr>
              <w:t>as well as other domestic payments would be a game changer in terms of reducing payment processing costs in Australia</w:t>
            </w:r>
          </w:p>
        </w:tc>
      </w:tr>
      <w:tr w:rsidR="008F39D6" w:rsidRPr="008F39D6" w14:paraId="5AE99823" w14:textId="77777777" w:rsidTr="00E16D51">
        <w:tc>
          <w:tcPr>
            <w:tcW w:w="1134" w:type="dxa"/>
          </w:tcPr>
          <w:p w14:paraId="3FF3A99A" w14:textId="77777777" w:rsidR="00E16D51" w:rsidRPr="008F39D6" w:rsidRDefault="00E16D51" w:rsidP="00E16D51">
            <w:pPr>
              <w:spacing w:before="120" w:after="120" w:line="360" w:lineRule="auto"/>
              <w:jc w:val="center"/>
              <w:rPr>
                <w:rFonts w:ascii="Arial" w:hAnsi="Arial" w:cs="Arial"/>
                <w:sz w:val="22"/>
                <w:szCs w:val="22"/>
              </w:rPr>
            </w:pPr>
            <w:r w:rsidRPr="008F39D6">
              <w:rPr>
                <w:rFonts w:ascii="Arial" w:hAnsi="Arial" w:cs="Arial"/>
                <w:sz w:val="22"/>
                <w:szCs w:val="22"/>
              </w:rPr>
              <w:t>13.1</w:t>
            </w:r>
          </w:p>
        </w:tc>
        <w:tc>
          <w:tcPr>
            <w:tcW w:w="3406" w:type="dxa"/>
          </w:tcPr>
          <w:p w14:paraId="01BE44C7" w14:textId="77777777" w:rsidR="00E16D51" w:rsidRPr="008F39D6" w:rsidRDefault="00E16D51" w:rsidP="00E16D51">
            <w:pPr>
              <w:spacing w:before="120" w:after="120" w:line="360" w:lineRule="auto"/>
              <w:rPr>
                <w:rFonts w:ascii="Arial" w:hAnsi="Arial" w:cs="Arial"/>
                <w:sz w:val="22"/>
                <w:szCs w:val="22"/>
              </w:rPr>
            </w:pPr>
            <w:r w:rsidRPr="008F39D6">
              <w:rPr>
                <w:rFonts w:ascii="Arial" w:hAnsi="Arial" w:cs="Arial"/>
                <w:sz w:val="22"/>
                <w:szCs w:val="22"/>
              </w:rPr>
              <w:t>What are the implications for merchant payment costs from changes to the surcharging framework?</w:t>
            </w:r>
          </w:p>
        </w:tc>
        <w:tc>
          <w:tcPr>
            <w:tcW w:w="7792" w:type="dxa"/>
          </w:tcPr>
          <w:p w14:paraId="7B6132DF" w14:textId="0995A717" w:rsidR="00E16D51" w:rsidRPr="008F39D6" w:rsidRDefault="00DC7816" w:rsidP="00E16D51">
            <w:pPr>
              <w:spacing w:before="120" w:after="120" w:line="360" w:lineRule="auto"/>
              <w:rPr>
                <w:rFonts w:ascii="Arial" w:hAnsi="Arial" w:cs="Arial"/>
                <w:sz w:val="22"/>
                <w:szCs w:val="22"/>
              </w:rPr>
            </w:pPr>
            <w:r w:rsidRPr="008F39D6">
              <w:rPr>
                <w:rFonts w:ascii="Arial" w:hAnsi="Arial" w:cs="Arial"/>
                <w:sz w:val="22"/>
                <w:szCs w:val="22"/>
              </w:rPr>
              <w:t xml:space="preserve">By mandating the routing of all </w:t>
            </w:r>
            <w:r w:rsidR="008F73BD" w:rsidRPr="008F39D6">
              <w:rPr>
                <w:rFonts w:ascii="Arial" w:hAnsi="Arial" w:cs="Arial"/>
                <w:sz w:val="22"/>
                <w:szCs w:val="22"/>
              </w:rPr>
              <w:t xml:space="preserve">domestic </w:t>
            </w:r>
            <w:r w:rsidRPr="008F39D6">
              <w:rPr>
                <w:rFonts w:ascii="Arial" w:hAnsi="Arial" w:cs="Arial"/>
                <w:sz w:val="22"/>
                <w:szCs w:val="22"/>
              </w:rPr>
              <w:t xml:space="preserve">credit and debit card transactions in Australia via the AP+ network, RBA would effectively be placing </w:t>
            </w:r>
            <w:r w:rsidR="008F73BD" w:rsidRPr="008F39D6">
              <w:rPr>
                <w:rFonts w:ascii="Arial" w:hAnsi="Arial" w:cs="Arial"/>
                <w:sz w:val="22"/>
                <w:szCs w:val="22"/>
              </w:rPr>
              <w:t xml:space="preserve">domestic card payments on a similar footing to person-to-person transactions carried out via OSKO or BEC which are processed at zero cost to either party. With scheme costs effectively removed from the equation, and interchange at current caps, the pressure on merchants to surcharge would be greatly reduced, if not eliminated altogether, and the RBA could move ahead to withdraw the </w:t>
            </w:r>
            <w:r w:rsidR="002117F1" w:rsidRPr="008F39D6">
              <w:rPr>
                <w:rFonts w:ascii="Arial" w:hAnsi="Arial" w:cs="Arial"/>
                <w:sz w:val="22"/>
                <w:szCs w:val="22"/>
              </w:rPr>
              <w:t>surcharging legislation with the justification that there is no need to treat debit and credit merchant fees any differently than any other cost incurred by a business.</w:t>
            </w:r>
          </w:p>
        </w:tc>
      </w:tr>
      <w:tr w:rsidR="008F39D6" w:rsidRPr="008F39D6" w14:paraId="38C18F72" w14:textId="77777777" w:rsidTr="00E16D51">
        <w:tc>
          <w:tcPr>
            <w:tcW w:w="1134" w:type="dxa"/>
          </w:tcPr>
          <w:p w14:paraId="4E7E62B0" w14:textId="77777777" w:rsidR="00E16D51" w:rsidRPr="008F39D6" w:rsidRDefault="00E16D51" w:rsidP="001519F2">
            <w:pPr>
              <w:spacing w:before="120" w:after="120" w:line="360" w:lineRule="auto"/>
              <w:jc w:val="center"/>
              <w:rPr>
                <w:rFonts w:ascii="Arial" w:hAnsi="Arial" w:cs="Arial"/>
                <w:sz w:val="22"/>
                <w:szCs w:val="22"/>
              </w:rPr>
            </w:pPr>
            <w:r w:rsidRPr="008F39D6">
              <w:rPr>
                <w:rFonts w:ascii="Arial" w:hAnsi="Arial" w:cs="Arial"/>
                <w:sz w:val="22"/>
                <w:szCs w:val="22"/>
              </w:rPr>
              <w:lastRenderedPageBreak/>
              <w:t>13.2</w:t>
            </w:r>
          </w:p>
        </w:tc>
        <w:tc>
          <w:tcPr>
            <w:tcW w:w="3406" w:type="dxa"/>
          </w:tcPr>
          <w:p w14:paraId="619CC9F6" w14:textId="77777777" w:rsidR="00E16D51" w:rsidRPr="008F39D6" w:rsidRDefault="00E16D51" w:rsidP="00E16D51">
            <w:pPr>
              <w:spacing w:before="120" w:after="120" w:line="360" w:lineRule="auto"/>
              <w:rPr>
                <w:rFonts w:ascii="Arial" w:hAnsi="Arial" w:cs="Arial"/>
                <w:sz w:val="22"/>
                <w:szCs w:val="22"/>
              </w:rPr>
            </w:pPr>
            <w:r w:rsidRPr="008F39D6">
              <w:rPr>
                <w:rFonts w:ascii="Arial" w:hAnsi="Arial" w:cs="Arial"/>
                <w:sz w:val="22"/>
                <w:szCs w:val="22"/>
              </w:rPr>
              <w:t>Could the RBA address these with other regulatory actions?</w:t>
            </w:r>
          </w:p>
        </w:tc>
        <w:tc>
          <w:tcPr>
            <w:tcW w:w="7792" w:type="dxa"/>
          </w:tcPr>
          <w:p w14:paraId="56FCBBE8" w14:textId="6F75362B" w:rsidR="00E16D51" w:rsidRPr="008F39D6" w:rsidRDefault="002117F1" w:rsidP="00E16D51">
            <w:pPr>
              <w:spacing w:before="120" w:after="120" w:line="360" w:lineRule="auto"/>
              <w:rPr>
                <w:rFonts w:ascii="Arial" w:hAnsi="Arial" w:cs="Arial"/>
                <w:sz w:val="22"/>
                <w:szCs w:val="22"/>
              </w:rPr>
            </w:pPr>
            <w:r w:rsidRPr="008F39D6">
              <w:rPr>
                <w:rFonts w:ascii="Arial" w:hAnsi="Arial" w:cs="Arial"/>
                <w:sz w:val="22"/>
                <w:szCs w:val="22"/>
              </w:rPr>
              <w:t xml:space="preserve">Profit Insight is of the opinion that the growth in surcharging is symptomatic of wider issues within the card payments industry. The solution to these issues will require a multi-faceted approach, including mandating the processing of all domestic credit and debit card payments via the A+ network, with the card schemes restricted to the processing of inbound and outbound card transactions. </w:t>
            </w:r>
            <w:r w:rsidR="003474E1" w:rsidRPr="008F39D6">
              <w:rPr>
                <w:rFonts w:ascii="Arial" w:hAnsi="Arial" w:cs="Arial"/>
                <w:sz w:val="22"/>
                <w:szCs w:val="22"/>
              </w:rPr>
              <w:t>Further adjustments to interchange could also be undertaken to provide greater transparency of the costs involved in processing card payments.</w:t>
            </w:r>
            <w:r w:rsidRPr="008F39D6">
              <w:rPr>
                <w:rFonts w:ascii="Arial" w:hAnsi="Arial" w:cs="Arial"/>
                <w:sz w:val="22"/>
                <w:szCs w:val="22"/>
              </w:rPr>
              <w:t xml:space="preserve">  </w:t>
            </w:r>
          </w:p>
        </w:tc>
      </w:tr>
      <w:tr w:rsidR="008F39D6" w:rsidRPr="008F39D6" w14:paraId="3EFA1272" w14:textId="77777777" w:rsidTr="00E16D51">
        <w:tc>
          <w:tcPr>
            <w:tcW w:w="1134" w:type="dxa"/>
          </w:tcPr>
          <w:p w14:paraId="74A8CBEC" w14:textId="77777777" w:rsidR="00E16D51" w:rsidRPr="008F39D6" w:rsidRDefault="00E16D51" w:rsidP="001519F2">
            <w:pPr>
              <w:spacing w:before="120" w:after="120" w:line="360" w:lineRule="auto"/>
              <w:jc w:val="center"/>
              <w:rPr>
                <w:rFonts w:ascii="Arial" w:hAnsi="Arial" w:cs="Arial"/>
                <w:sz w:val="22"/>
                <w:szCs w:val="22"/>
              </w:rPr>
            </w:pPr>
            <w:r w:rsidRPr="008F39D6">
              <w:rPr>
                <w:rFonts w:ascii="Arial" w:hAnsi="Arial" w:cs="Arial"/>
                <w:sz w:val="22"/>
                <w:szCs w:val="22"/>
              </w:rPr>
              <w:t>14.1</w:t>
            </w:r>
          </w:p>
        </w:tc>
        <w:tc>
          <w:tcPr>
            <w:tcW w:w="3406" w:type="dxa"/>
          </w:tcPr>
          <w:p w14:paraId="0AA40FD4" w14:textId="77777777" w:rsidR="00E16D51" w:rsidRPr="008F39D6" w:rsidRDefault="00E16D51" w:rsidP="00E16D51">
            <w:pPr>
              <w:spacing w:before="120" w:after="120" w:line="360" w:lineRule="auto"/>
              <w:rPr>
                <w:rFonts w:ascii="Arial" w:hAnsi="Arial" w:cs="Arial"/>
                <w:sz w:val="22"/>
                <w:szCs w:val="22"/>
              </w:rPr>
            </w:pPr>
            <w:r w:rsidRPr="008F39D6">
              <w:rPr>
                <w:rFonts w:ascii="Arial" w:hAnsi="Arial" w:cs="Arial"/>
                <w:sz w:val="22"/>
                <w:szCs w:val="22"/>
              </w:rPr>
              <w:t>Are there any other regulatory actions that the RBA should consider taking in response to the issues raised in this paper?</w:t>
            </w:r>
          </w:p>
        </w:tc>
        <w:tc>
          <w:tcPr>
            <w:tcW w:w="7792" w:type="dxa"/>
          </w:tcPr>
          <w:p w14:paraId="52FFEB7E" w14:textId="7BBDB921" w:rsidR="00E16D51" w:rsidRPr="008F39D6" w:rsidRDefault="00FD39D0" w:rsidP="00E16D51">
            <w:pPr>
              <w:spacing w:before="120" w:after="120" w:line="360" w:lineRule="auto"/>
              <w:rPr>
                <w:rFonts w:ascii="Arial" w:hAnsi="Arial" w:cs="Arial"/>
                <w:sz w:val="22"/>
                <w:szCs w:val="22"/>
              </w:rPr>
            </w:pPr>
            <w:r w:rsidRPr="008F39D6">
              <w:rPr>
                <w:rFonts w:ascii="Arial" w:hAnsi="Arial" w:cs="Arial"/>
                <w:sz w:val="22"/>
                <w:szCs w:val="22"/>
              </w:rPr>
              <w:t xml:space="preserve">While there are </w:t>
            </w:r>
            <w:r w:rsidR="000F75CC" w:rsidRPr="008F39D6">
              <w:rPr>
                <w:rFonts w:ascii="Arial" w:hAnsi="Arial" w:cs="Arial"/>
                <w:sz w:val="22"/>
                <w:szCs w:val="22"/>
              </w:rPr>
              <w:t xml:space="preserve">regulations in place to control maximum surcharge amounts, the actual implementation of the surcharges is in many cases the responsibility of merchants rather than acquirers, which has led to </w:t>
            </w:r>
            <w:r w:rsidR="00137118" w:rsidRPr="008F39D6">
              <w:rPr>
                <w:rFonts w:ascii="Arial" w:hAnsi="Arial" w:cs="Arial"/>
                <w:sz w:val="22"/>
                <w:szCs w:val="22"/>
              </w:rPr>
              <w:t>merchants implementing surcharges at levels beyond the maximum permitted</w:t>
            </w:r>
            <w:r w:rsidR="000F75CC" w:rsidRPr="008F39D6">
              <w:rPr>
                <w:rFonts w:ascii="Arial" w:hAnsi="Arial" w:cs="Arial"/>
                <w:sz w:val="22"/>
                <w:szCs w:val="22"/>
              </w:rPr>
              <w:t xml:space="preserve">. In the event that RBA is considering to allow surcharging to continue in Australia in the future, we suggest that responsibility </w:t>
            </w:r>
            <w:r w:rsidR="00137118" w:rsidRPr="008F39D6">
              <w:rPr>
                <w:rFonts w:ascii="Arial" w:hAnsi="Arial" w:cs="Arial"/>
                <w:sz w:val="22"/>
                <w:szCs w:val="22"/>
              </w:rPr>
              <w:t>complying with the</w:t>
            </w:r>
            <w:r w:rsidR="000F75CC" w:rsidRPr="008F39D6">
              <w:rPr>
                <w:rFonts w:ascii="Arial" w:hAnsi="Arial" w:cs="Arial"/>
                <w:sz w:val="22"/>
                <w:szCs w:val="22"/>
              </w:rPr>
              <w:t xml:space="preserve"> surcharging be passed in the first instance to the acquirer of the transactions, thus making it easier for the ACCC to</w:t>
            </w:r>
            <w:r w:rsidR="00137118" w:rsidRPr="008F39D6">
              <w:rPr>
                <w:rFonts w:ascii="Arial" w:hAnsi="Arial" w:cs="Arial"/>
                <w:sz w:val="22"/>
                <w:szCs w:val="22"/>
              </w:rPr>
              <w:t xml:space="preserve"> monitor.</w:t>
            </w:r>
          </w:p>
        </w:tc>
      </w:tr>
      <w:tr w:rsidR="008F39D6" w:rsidRPr="008F39D6" w14:paraId="110CD762" w14:textId="77777777" w:rsidTr="00E16D51">
        <w:tc>
          <w:tcPr>
            <w:tcW w:w="1134" w:type="dxa"/>
          </w:tcPr>
          <w:p w14:paraId="1AA278CE" w14:textId="77777777" w:rsidR="00E16D51" w:rsidRPr="008F39D6" w:rsidRDefault="00E16D51" w:rsidP="001519F2">
            <w:pPr>
              <w:spacing w:before="120" w:after="120" w:line="360" w:lineRule="auto"/>
              <w:jc w:val="center"/>
              <w:rPr>
                <w:rFonts w:ascii="Arial" w:hAnsi="Arial" w:cs="Arial"/>
                <w:sz w:val="22"/>
                <w:szCs w:val="22"/>
              </w:rPr>
            </w:pPr>
            <w:r w:rsidRPr="008F39D6">
              <w:rPr>
                <w:rFonts w:ascii="Arial" w:hAnsi="Arial" w:cs="Arial"/>
                <w:sz w:val="22"/>
                <w:szCs w:val="22"/>
              </w:rPr>
              <w:t>15.1</w:t>
            </w:r>
          </w:p>
        </w:tc>
        <w:tc>
          <w:tcPr>
            <w:tcW w:w="3406" w:type="dxa"/>
          </w:tcPr>
          <w:p w14:paraId="6601450F" w14:textId="77777777" w:rsidR="00E16D51" w:rsidRPr="008F39D6" w:rsidRDefault="00E16D51" w:rsidP="00E16D51">
            <w:pPr>
              <w:spacing w:before="120" w:after="120" w:line="360" w:lineRule="auto"/>
              <w:rPr>
                <w:rFonts w:ascii="Arial" w:hAnsi="Arial" w:cs="Arial"/>
                <w:sz w:val="22"/>
                <w:szCs w:val="22"/>
              </w:rPr>
            </w:pPr>
            <w:r w:rsidRPr="008F39D6">
              <w:rPr>
                <w:rFonts w:ascii="Arial" w:hAnsi="Arial" w:cs="Arial"/>
                <w:sz w:val="22"/>
                <w:szCs w:val="22"/>
              </w:rPr>
              <w:t>Are there any issues in, or implications for, the broader payments ecosystem that the RBA should be aware of when designing a regulatory response to any of the issues discussed in this paper?</w:t>
            </w:r>
          </w:p>
        </w:tc>
        <w:tc>
          <w:tcPr>
            <w:tcW w:w="7792" w:type="dxa"/>
          </w:tcPr>
          <w:p w14:paraId="73D12132" w14:textId="61C5693C" w:rsidR="00E16D51" w:rsidRPr="008F39D6" w:rsidRDefault="00E16D51" w:rsidP="00E16D51">
            <w:pPr>
              <w:spacing w:before="120" w:after="120" w:line="360" w:lineRule="auto"/>
              <w:rPr>
                <w:rFonts w:ascii="Arial" w:hAnsi="Arial" w:cs="Arial"/>
                <w:sz w:val="22"/>
                <w:szCs w:val="22"/>
              </w:rPr>
            </w:pPr>
            <w:r w:rsidRPr="008F39D6">
              <w:rPr>
                <w:rFonts w:ascii="Arial" w:hAnsi="Arial" w:cs="Arial"/>
                <w:sz w:val="22"/>
                <w:szCs w:val="22"/>
              </w:rPr>
              <w:t xml:space="preserve">As </w:t>
            </w:r>
            <w:r w:rsidR="001218EB" w:rsidRPr="008F39D6">
              <w:rPr>
                <w:rFonts w:ascii="Arial" w:hAnsi="Arial" w:cs="Arial"/>
                <w:sz w:val="22"/>
                <w:szCs w:val="22"/>
              </w:rPr>
              <w:t xml:space="preserve">debit and credit card payments continue to grow in Australia at the expense of cash, it is now not uncommon to see some merchants refusing to accept cash at all. While the Federal Government has stated its intention to mandate the continued acceptance of cash in certain merchant categories, the reality is that there is an ever-increasing dependence on the reliability of communications networks and merchant acquirer systems to process every single POS transaction. Elsewhere in the world, most notably in Europe where communication costs were historically very expensive, the </w:t>
            </w:r>
            <w:r w:rsidR="001218EB" w:rsidRPr="008F39D6">
              <w:rPr>
                <w:rFonts w:ascii="Arial" w:hAnsi="Arial" w:cs="Arial"/>
                <w:sz w:val="22"/>
                <w:szCs w:val="22"/>
              </w:rPr>
              <w:lastRenderedPageBreak/>
              <w:t xml:space="preserve">implementation of EMV by issuers and acquirers alike </w:t>
            </w:r>
            <w:r w:rsidR="00072C2A" w:rsidRPr="008F39D6">
              <w:rPr>
                <w:rFonts w:ascii="Arial" w:hAnsi="Arial" w:cs="Arial"/>
                <w:sz w:val="22"/>
                <w:szCs w:val="22"/>
              </w:rPr>
              <w:t xml:space="preserve">has seen deployment of the off-line </w:t>
            </w:r>
            <w:r w:rsidRPr="008F39D6">
              <w:rPr>
                <w:rFonts w:ascii="Arial" w:hAnsi="Arial" w:cs="Arial"/>
                <w:sz w:val="22"/>
                <w:szCs w:val="22"/>
              </w:rPr>
              <w:t>capabilit</w:t>
            </w:r>
            <w:r w:rsidR="00072C2A" w:rsidRPr="008F39D6">
              <w:rPr>
                <w:rFonts w:ascii="Arial" w:hAnsi="Arial" w:cs="Arial"/>
                <w:sz w:val="22"/>
                <w:szCs w:val="22"/>
              </w:rPr>
              <w:t>ies</w:t>
            </w:r>
            <w:r w:rsidRPr="008F39D6">
              <w:rPr>
                <w:rFonts w:ascii="Arial" w:hAnsi="Arial" w:cs="Arial"/>
                <w:sz w:val="22"/>
                <w:szCs w:val="22"/>
              </w:rPr>
              <w:t xml:space="preserve"> of EMV</w:t>
            </w:r>
            <w:r w:rsidR="00072C2A" w:rsidRPr="008F39D6">
              <w:rPr>
                <w:rFonts w:ascii="Arial" w:hAnsi="Arial" w:cs="Arial"/>
                <w:sz w:val="22"/>
                <w:szCs w:val="22"/>
              </w:rPr>
              <w:t xml:space="preserve"> to manage risk in an off-line environment</w:t>
            </w:r>
            <w:r w:rsidRPr="008F39D6">
              <w:rPr>
                <w:rFonts w:ascii="Arial" w:hAnsi="Arial" w:cs="Arial"/>
                <w:sz w:val="22"/>
                <w:szCs w:val="22"/>
              </w:rPr>
              <w:t xml:space="preserve">, </w:t>
            </w:r>
            <w:r w:rsidR="00072C2A" w:rsidRPr="008F39D6">
              <w:rPr>
                <w:rFonts w:ascii="Arial" w:hAnsi="Arial" w:cs="Arial"/>
                <w:sz w:val="22"/>
                <w:szCs w:val="22"/>
              </w:rPr>
              <w:t>unlike Australia where the</w:t>
            </w:r>
            <w:r w:rsidRPr="008F39D6">
              <w:rPr>
                <w:rFonts w:ascii="Arial" w:hAnsi="Arial" w:cs="Arial"/>
                <w:sz w:val="22"/>
                <w:szCs w:val="22"/>
              </w:rPr>
              <w:t xml:space="preserve"> default is that </w:t>
            </w:r>
            <w:r w:rsidR="00072C2A" w:rsidRPr="008F39D6">
              <w:rPr>
                <w:rFonts w:ascii="Arial" w:hAnsi="Arial" w:cs="Arial"/>
                <w:sz w:val="22"/>
                <w:szCs w:val="22"/>
              </w:rPr>
              <w:t xml:space="preserve">all </w:t>
            </w:r>
            <w:r w:rsidRPr="008F39D6">
              <w:rPr>
                <w:rFonts w:ascii="Arial" w:hAnsi="Arial" w:cs="Arial"/>
                <w:sz w:val="22"/>
                <w:szCs w:val="22"/>
              </w:rPr>
              <w:t>transactions are to go on-line</w:t>
            </w:r>
            <w:r w:rsidR="00072C2A" w:rsidRPr="008F39D6">
              <w:rPr>
                <w:rFonts w:ascii="Arial" w:hAnsi="Arial" w:cs="Arial"/>
                <w:sz w:val="22"/>
                <w:szCs w:val="22"/>
              </w:rPr>
              <w:t xml:space="preserve"> </w:t>
            </w:r>
            <w:r w:rsidRPr="008F39D6">
              <w:rPr>
                <w:rFonts w:ascii="Arial" w:hAnsi="Arial" w:cs="Arial"/>
                <w:sz w:val="22"/>
                <w:szCs w:val="22"/>
              </w:rPr>
              <w:t>for PIN and credit validation.</w:t>
            </w:r>
          </w:p>
          <w:p w14:paraId="1D93536E" w14:textId="77777777" w:rsidR="00E16D51" w:rsidRDefault="00441675" w:rsidP="00441675">
            <w:pPr>
              <w:spacing w:before="120" w:after="120" w:line="360" w:lineRule="auto"/>
              <w:rPr>
                <w:rFonts w:ascii="Arial" w:hAnsi="Arial" w:cs="Arial"/>
                <w:sz w:val="22"/>
                <w:szCs w:val="22"/>
              </w:rPr>
            </w:pPr>
            <w:r w:rsidRPr="008F39D6">
              <w:rPr>
                <w:rFonts w:ascii="Arial" w:hAnsi="Arial" w:cs="Arial"/>
                <w:sz w:val="22"/>
                <w:szCs w:val="22"/>
              </w:rPr>
              <w:t>We believe that t</w:t>
            </w:r>
            <w:r w:rsidR="00E16D51" w:rsidRPr="008F39D6">
              <w:rPr>
                <w:rFonts w:ascii="Arial" w:hAnsi="Arial" w:cs="Arial"/>
                <w:sz w:val="22"/>
                <w:szCs w:val="22"/>
              </w:rPr>
              <w:t xml:space="preserve">he RBA could reduce system risk by requiring card issuers and </w:t>
            </w:r>
            <w:r w:rsidR="00072C2A" w:rsidRPr="008F39D6">
              <w:rPr>
                <w:rFonts w:ascii="Arial" w:hAnsi="Arial" w:cs="Arial"/>
                <w:sz w:val="22"/>
                <w:szCs w:val="22"/>
              </w:rPr>
              <w:t xml:space="preserve">acquirers to take advantage of the off-line capabilities of EMV in situations where there has been a communications outage of some description, whether local or national. </w:t>
            </w:r>
            <w:r w:rsidR="004508F3" w:rsidRPr="008F39D6">
              <w:rPr>
                <w:rFonts w:ascii="Arial" w:hAnsi="Arial" w:cs="Arial"/>
                <w:sz w:val="22"/>
                <w:szCs w:val="22"/>
              </w:rPr>
              <w:t xml:space="preserve">By requiring issuers to implement off-line PIN validation at the point of sale in conjunction with store and forward terminal level limits for single transactions and cumulative usage, the RBA could ensure that cardholders and merchants alike could retain payment capability in the face of a </w:t>
            </w:r>
            <w:r w:rsidR="00E16D51" w:rsidRPr="008F39D6">
              <w:rPr>
                <w:rFonts w:ascii="Arial" w:hAnsi="Arial" w:cs="Arial"/>
                <w:sz w:val="22"/>
                <w:szCs w:val="22"/>
              </w:rPr>
              <w:t>technical failure</w:t>
            </w:r>
            <w:r w:rsidR="004508F3" w:rsidRPr="008F39D6">
              <w:rPr>
                <w:rFonts w:ascii="Arial" w:hAnsi="Arial" w:cs="Arial"/>
                <w:sz w:val="22"/>
                <w:szCs w:val="22"/>
              </w:rPr>
              <w:t>. Such an initiative would also demonstrate to</w:t>
            </w:r>
            <w:r w:rsidR="00E16D51" w:rsidRPr="008F39D6">
              <w:rPr>
                <w:rFonts w:ascii="Arial" w:hAnsi="Arial" w:cs="Arial"/>
                <w:sz w:val="22"/>
                <w:szCs w:val="22"/>
              </w:rPr>
              <w:t xml:space="preserve"> the public that the RBA is using all possible levers </w:t>
            </w:r>
            <w:r w:rsidR="004508F3" w:rsidRPr="008F39D6">
              <w:rPr>
                <w:rFonts w:ascii="Arial" w:hAnsi="Arial" w:cs="Arial"/>
                <w:sz w:val="22"/>
                <w:szCs w:val="22"/>
              </w:rPr>
              <w:t xml:space="preserve">to </w:t>
            </w:r>
            <w:r w:rsidRPr="008F39D6">
              <w:rPr>
                <w:rFonts w:ascii="Arial" w:hAnsi="Arial" w:cs="Arial"/>
                <w:sz w:val="22"/>
                <w:szCs w:val="22"/>
              </w:rPr>
              <w:t xml:space="preserve">keep the </w:t>
            </w:r>
            <w:r w:rsidR="00E16D51" w:rsidRPr="008F39D6">
              <w:rPr>
                <w:rFonts w:ascii="Arial" w:hAnsi="Arial" w:cs="Arial"/>
                <w:sz w:val="22"/>
                <w:szCs w:val="22"/>
              </w:rPr>
              <w:t>country’s payments architecture open</w:t>
            </w:r>
            <w:r w:rsidRPr="008F39D6">
              <w:rPr>
                <w:rFonts w:ascii="Arial" w:hAnsi="Arial" w:cs="Arial"/>
                <w:sz w:val="22"/>
                <w:szCs w:val="22"/>
              </w:rPr>
              <w:t xml:space="preserve"> </w:t>
            </w:r>
            <w:r w:rsidR="00E16D51" w:rsidRPr="008F39D6">
              <w:rPr>
                <w:rFonts w:ascii="Arial" w:hAnsi="Arial" w:cs="Arial"/>
                <w:sz w:val="22"/>
                <w:szCs w:val="22"/>
              </w:rPr>
              <w:t>for</w:t>
            </w:r>
            <w:r w:rsidRPr="008F39D6">
              <w:rPr>
                <w:rFonts w:ascii="Arial" w:hAnsi="Arial" w:cs="Arial"/>
                <w:sz w:val="22"/>
                <w:szCs w:val="22"/>
              </w:rPr>
              <w:t xml:space="preserve"> </w:t>
            </w:r>
            <w:r w:rsidR="00E16D51" w:rsidRPr="008F39D6">
              <w:rPr>
                <w:rFonts w:ascii="Arial" w:hAnsi="Arial" w:cs="Arial"/>
                <w:sz w:val="22"/>
                <w:szCs w:val="22"/>
              </w:rPr>
              <w:t>business.</w:t>
            </w:r>
          </w:p>
          <w:p w14:paraId="36A91EBC" w14:textId="01277116" w:rsidR="008F39D6" w:rsidRPr="008F39D6" w:rsidRDefault="008F39D6" w:rsidP="00441675">
            <w:pPr>
              <w:spacing w:before="120" w:after="120" w:line="360" w:lineRule="auto"/>
              <w:rPr>
                <w:rFonts w:ascii="Arial" w:hAnsi="Arial" w:cs="Arial"/>
                <w:sz w:val="22"/>
                <w:szCs w:val="22"/>
              </w:rPr>
            </w:pPr>
            <w:r>
              <w:rPr>
                <w:rFonts w:ascii="Arial" w:hAnsi="Arial" w:cs="Arial"/>
                <w:sz w:val="22"/>
                <w:szCs w:val="22"/>
              </w:rPr>
              <w:t>One f</w:t>
            </w:r>
            <w:r w:rsidR="00A93F23">
              <w:rPr>
                <w:rFonts w:ascii="Arial" w:hAnsi="Arial" w:cs="Arial"/>
                <w:sz w:val="22"/>
                <w:szCs w:val="22"/>
              </w:rPr>
              <w:t>urther</w:t>
            </w:r>
            <w:r>
              <w:rPr>
                <w:rFonts w:ascii="Arial" w:hAnsi="Arial" w:cs="Arial"/>
                <w:sz w:val="22"/>
                <w:szCs w:val="22"/>
              </w:rPr>
              <w:t xml:space="preserve"> </w:t>
            </w:r>
            <w:r w:rsidR="00A93F23">
              <w:rPr>
                <w:rFonts w:ascii="Arial" w:hAnsi="Arial" w:cs="Arial"/>
                <w:sz w:val="22"/>
                <w:szCs w:val="22"/>
              </w:rPr>
              <w:t xml:space="preserve">issue in the broader payments ecosystem which the RBA may wish to consider relates to the potential imposition of transaction fees by card issuers for domestic card payments. In addition to considering the public’s response to the impact of surcharging, we believe it is important that the RBA sends a clear signal to issuers in Australia that </w:t>
            </w:r>
            <w:r w:rsidR="0007577F">
              <w:rPr>
                <w:rFonts w:ascii="Arial" w:hAnsi="Arial" w:cs="Arial"/>
                <w:sz w:val="22"/>
                <w:szCs w:val="22"/>
              </w:rPr>
              <w:t>it is not acceptable to view domestic card payment transactions as an additional revenue opportunity.</w:t>
            </w:r>
          </w:p>
        </w:tc>
      </w:tr>
    </w:tbl>
    <w:p w14:paraId="29196437" w14:textId="77777777" w:rsidR="000C28EA" w:rsidRPr="008F39D6" w:rsidRDefault="000C28EA"/>
    <w:p w14:paraId="2FD2CDB1" w14:textId="629C15A0" w:rsidR="00AD51DC" w:rsidRPr="008F39D6" w:rsidRDefault="00AD51DC"/>
    <w:p w14:paraId="23B30577" w14:textId="77777777" w:rsidR="008F39D6" w:rsidRDefault="00AD51DC" w:rsidP="008F39D6">
      <w:pPr>
        <w:jc w:val="center"/>
      </w:pPr>
      <w:r w:rsidRPr="008F39D6">
        <w:br w:type="page"/>
      </w:r>
    </w:p>
    <w:p w14:paraId="6EF95505" w14:textId="77777777" w:rsidR="008F39D6" w:rsidRDefault="008F39D6" w:rsidP="008F39D6">
      <w:pPr>
        <w:jc w:val="center"/>
        <w:rPr>
          <w:rFonts w:ascii="Calibri" w:eastAsia="Times New Roman" w:hAnsi="Calibri" w:cs="Times New Roman"/>
          <w:b/>
          <w:bCs/>
          <w:noProof/>
          <w:color w:val="000000"/>
          <w:sz w:val="36"/>
          <w:szCs w:val="36"/>
          <w:lang w:val="en-GB" w:eastAsia="en-GB"/>
        </w:rPr>
      </w:pPr>
    </w:p>
    <w:p w14:paraId="19CC11AB" w14:textId="77777777" w:rsidR="008F39D6" w:rsidRDefault="008F39D6" w:rsidP="008F39D6">
      <w:pPr>
        <w:jc w:val="center"/>
        <w:rPr>
          <w:rFonts w:ascii="Calibri" w:eastAsia="Times New Roman" w:hAnsi="Calibri" w:cs="Times New Roman"/>
          <w:b/>
          <w:bCs/>
          <w:noProof/>
          <w:color w:val="000000"/>
          <w:sz w:val="36"/>
          <w:szCs w:val="36"/>
          <w:lang w:val="en-GB" w:eastAsia="en-GB"/>
        </w:rPr>
      </w:pPr>
    </w:p>
    <w:p w14:paraId="45780D98" w14:textId="77777777" w:rsidR="008F39D6" w:rsidRDefault="008F39D6" w:rsidP="008F39D6">
      <w:pPr>
        <w:jc w:val="center"/>
        <w:rPr>
          <w:rFonts w:ascii="Calibri" w:eastAsia="Times New Roman" w:hAnsi="Calibri" w:cs="Times New Roman"/>
          <w:b/>
          <w:bCs/>
          <w:noProof/>
          <w:color w:val="000000"/>
          <w:sz w:val="36"/>
          <w:szCs w:val="36"/>
          <w:lang w:val="en-GB" w:eastAsia="en-GB"/>
        </w:rPr>
      </w:pPr>
    </w:p>
    <w:p w14:paraId="1F409474" w14:textId="77777777" w:rsidR="008F39D6" w:rsidRDefault="008F39D6" w:rsidP="008F39D6">
      <w:pPr>
        <w:jc w:val="center"/>
        <w:rPr>
          <w:rFonts w:ascii="Calibri" w:eastAsia="Times New Roman" w:hAnsi="Calibri" w:cs="Times New Roman"/>
          <w:b/>
          <w:bCs/>
          <w:noProof/>
          <w:color w:val="000000"/>
          <w:sz w:val="36"/>
          <w:szCs w:val="36"/>
          <w:lang w:val="en-GB" w:eastAsia="en-GB"/>
        </w:rPr>
      </w:pPr>
    </w:p>
    <w:p w14:paraId="115BBABA" w14:textId="77777777" w:rsidR="008F39D6" w:rsidRDefault="008F39D6" w:rsidP="008F39D6">
      <w:pPr>
        <w:jc w:val="center"/>
        <w:rPr>
          <w:rFonts w:ascii="Calibri" w:eastAsia="Times New Roman" w:hAnsi="Calibri" w:cs="Times New Roman"/>
          <w:b/>
          <w:bCs/>
          <w:noProof/>
          <w:color w:val="000000"/>
          <w:sz w:val="36"/>
          <w:szCs w:val="36"/>
          <w:lang w:val="en-GB" w:eastAsia="en-GB"/>
        </w:rPr>
      </w:pPr>
    </w:p>
    <w:p w14:paraId="4C25D653" w14:textId="0B8BE84E" w:rsidR="000C28EA" w:rsidRPr="008F39D6" w:rsidRDefault="008F39D6" w:rsidP="008F39D6">
      <w:pPr>
        <w:jc w:val="center"/>
      </w:pPr>
      <w:r w:rsidRPr="00B51358">
        <w:rPr>
          <w:rFonts w:ascii="Calibri" w:eastAsia="Times New Roman" w:hAnsi="Calibri" w:cs="Times New Roman"/>
          <w:b/>
          <w:bCs/>
          <w:noProof/>
          <w:color w:val="000000"/>
          <w:sz w:val="36"/>
          <w:szCs w:val="36"/>
          <w:lang w:val="en-GB" w:eastAsia="en-GB"/>
        </w:rPr>
        <w:drawing>
          <wp:inline distT="0" distB="0" distL="0" distR="0" wp14:anchorId="42AF30C2" wp14:editId="55EE4B88">
            <wp:extent cx="5200650" cy="1040130"/>
            <wp:effectExtent l="0" t="0" r="0" b="0"/>
            <wp:docPr id="2037319889" name="Picture 3" descr="C:\Users\JCABEDO\AppData\Local\Microsoft\Windows\Temporary Internet Files\Content.Outlook\WNVTCANO\Profit-Insight-logo_20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CABEDO\AppData\Local\Microsoft\Windows\Temporary Internet Files\Content.Outlook\WNVTCANO\Profit-Insight-logo_2013.png"/>
                    <pic:cNvPicPr>
                      <a:picLocks noChangeAspect="1" noChangeArrowheads="1"/>
                    </pic:cNvPicPr>
                  </pic:nvPicPr>
                  <pic:blipFill>
                    <a:blip r:embed="rId9" cstate="print"/>
                    <a:srcRect/>
                    <a:stretch>
                      <a:fillRect/>
                    </a:stretch>
                  </pic:blipFill>
                  <pic:spPr bwMode="auto">
                    <a:xfrm>
                      <a:off x="0" y="0"/>
                      <a:ext cx="5200650" cy="1040130"/>
                    </a:xfrm>
                    <a:prstGeom prst="rect">
                      <a:avLst/>
                    </a:prstGeom>
                    <a:noFill/>
                    <a:ln w="9525">
                      <a:noFill/>
                      <a:miter lim="800000"/>
                      <a:headEnd/>
                      <a:tailEnd/>
                    </a:ln>
                  </pic:spPr>
                </pic:pic>
              </a:graphicData>
            </a:graphic>
          </wp:inline>
        </w:drawing>
      </w:r>
    </w:p>
    <w:sectPr w:rsidR="000C28EA" w:rsidRPr="008F39D6" w:rsidSect="00441675">
      <w:pgSz w:w="16838" w:h="11906" w:orient="landscape"/>
      <w:pgMar w:top="720" w:right="720" w:bottom="720" w:left="72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BCE203" w14:textId="77777777" w:rsidR="00346908" w:rsidRDefault="00346908" w:rsidP="00B017ED">
      <w:pPr>
        <w:spacing w:after="0" w:line="240" w:lineRule="auto"/>
      </w:pPr>
      <w:r>
        <w:separator/>
      </w:r>
    </w:p>
  </w:endnote>
  <w:endnote w:type="continuationSeparator" w:id="0">
    <w:p w14:paraId="5EC30030" w14:textId="77777777" w:rsidR="00346908" w:rsidRDefault="00346908" w:rsidP="00B017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9A7FDE" w14:textId="77777777" w:rsidR="00346908" w:rsidRDefault="00346908" w:rsidP="00B017ED">
      <w:pPr>
        <w:spacing w:after="0" w:line="240" w:lineRule="auto"/>
      </w:pPr>
      <w:r>
        <w:separator/>
      </w:r>
    </w:p>
  </w:footnote>
  <w:footnote w:type="continuationSeparator" w:id="0">
    <w:p w14:paraId="38942D13" w14:textId="77777777" w:rsidR="00346908" w:rsidRDefault="00346908" w:rsidP="00B017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847339"/>
    <w:multiLevelType w:val="hybridMultilevel"/>
    <w:tmpl w:val="4A5AF61A"/>
    <w:lvl w:ilvl="0" w:tplc="4409000F">
      <w:start w:val="1"/>
      <w:numFmt w:val="decimal"/>
      <w:lvlText w:val="%1."/>
      <w:lvlJc w:val="left"/>
      <w:pPr>
        <w:ind w:left="720" w:hanging="360"/>
      </w:pPr>
    </w:lvl>
    <w:lvl w:ilvl="1" w:tplc="44090019">
      <w:start w:val="1"/>
      <w:numFmt w:val="lowerLetter"/>
      <w:lvlText w:val="%2."/>
      <w:lvlJc w:val="left"/>
      <w:pPr>
        <w:ind w:left="1440" w:hanging="360"/>
      </w:pPr>
    </w:lvl>
    <w:lvl w:ilvl="2" w:tplc="4409001B">
      <w:start w:val="1"/>
      <w:numFmt w:val="lowerRoman"/>
      <w:lvlText w:val="%3."/>
      <w:lvlJc w:val="right"/>
      <w:pPr>
        <w:ind w:left="2160" w:hanging="180"/>
      </w:pPr>
    </w:lvl>
    <w:lvl w:ilvl="3" w:tplc="4409000F">
      <w:start w:val="1"/>
      <w:numFmt w:val="decimal"/>
      <w:lvlText w:val="%4."/>
      <w:lvlJc w:val="left"/>
      <w:pPr>
        <w:ind w:left="2880" w:hanging="360"/>
      </w:pPr>
    </w:lvl>
    <w:lvl w:ilvl="4" w:tplc="44090019">
      <w:start w:val="1"/>
      <w:numFmt w:val="lowerLetter"/>
      <w:lvlText w:val="%5."/>
      <w:lvlJc w:val="left"/>
      <w:pPr>
        <w:ind w:left="3600" w:hanging="360"/>
      </w:pPr>
    </w:lvl>
    <w:lvl w:ilvl="5" w:tplc="4409001B">
      <w:start w:val="1"/>
      <w:numFmt w:val="lowerRoman"/>
      <w:lvlText w:val="%6."/>
      <w:lvlJc w:val="right"/>
      <w:pPr>
        <w:ind w:left="4320" w:hanging="180"/>
      </w:pPr>
    </w:lvl>
    <w:lvl w:ilvl="6" w:tplc="4409000F">
      <w:start w:val="1"/>
      <w:numFmt w:val="decimal"/>
      <w:lvlText w:val="%7."/>
      <w:lvlJc w:val="left"/>
      <w:pPr>
        <w:ind w:left="5040" w:hanging="360"/>
      </w:pPr>
    </w:lvl>
    <w:lvl w:ilvl="7" w:tplc="44090019">
      <w:start w:val="1"/>
      <w:numFmt w:val="lowerLetter"/>
      <w:lvlText w:val="%8."/>
      <w:lvlJc w:val="left"/>
      <w:pPr>
        <w:ind w:left="5760" w:hanging="360"/>
      </w:pPr>
    </w:lvl>
    <w:lvl w:ilvl="8" w:tplc="4409001B">
      <w:start w:val="1"/>
      <w:numFmt w:val="lowerRoman"/>
      <w:lvlText w:val="%9."/>
      <w:lvlJc w:val="right"/>
      <w:pPr>
        <w:ind w:left="6480" w:hanging="180"/>
      </w:pPr>
    </w:lvl>
  </w:abstractNum>
  <w:abstractNum w:abstractNumId="1" w15:restartNumberingAfterBreak="0">
    <w:nsid w:val="31582EBF"/>
    <w:multiLevelType w:val="hybridMultilevel"/>
    <w:tmpl w:val="1BF4AE2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55322A00"/>
    <w:multiLevelType w:val="hybridMultilevel"/>
    <w:tmpl w:val="DB1EA56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714F35C5"/>
    <w:multiLevelType w:val="multilevel"/>
    <w:tmpl w:val="0608E12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130784205">
    <w:abstractNumId w:val="1"/>
  </w:num>
  <w:num w:numId="2" w16cid:durableId="677541591">
    <w:abstractNumId w:val="2"/>
  </w:num>
  <w:num w:numId="3" w16cid:durableId="70355466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36013024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8EA"/>
    <w:rsid w:val="00003F36"/>
    <w:rsid w:val="00014C9F"/>
    <w:rsid w:val="00015B26"/>
    <w:rsid w:val="00017179"/>
    <w:rsid w:val="00062436"/>
    <w:rsid w:val="00066B75"/>
    <w:rsid w:val="00072C2A"/>
    <w:rsid w:val="0007577F"/>
    <w:rsid w:val="00077FE2"/>
    <w:rsid w:val="000A60F4"/>
    <w:rsid w:val="000C28EA"/>
    <w:rsid w:val="000D65D9"/>
    <w:rsid w:val="000F17E1"/>
    <w:rsid w:val="000F23A3"/>
    <w:rsid w:val="000F591B"/>
    <w:rsid w:val="000F5F15"/>
    <w:rsid w:val="000F75CC"/>
    <w:rsid w:val="00117017"/>
    <w:rsid w:val="001218EB"/>
    <w:rsid w:val="00121B77"/>
    <w:rsid w:val="00121C65"/>
    <w:rsid w:val="00137118"/>
    <w:rsid w:val="00141C59"/>
    <w:rsid w:val="001519F2"/>
    <w:rsid w:val="00154104"/>
    <w:rsid w:val="001718B5"/>
    <w:rsid w:val="00180804"/>
    <w:rsid w:val="001863A7"/>
    <w:rsid w:val="00191C58"/>
    <w:rsid w:val="001A5FC2"/>
    <w:rsid w:val="001B48A9"/>
    <w:rsid w:val="001D77BF"/>
    <w:rsid w:val="001E3EEC"/>
    <w:rsid w:val="001F3E65"/>
    <w:rsid w:val="00210C08"/>
    <w:rsid w:val="002117F1"/>
    <w:rsid w:val="002271C9"/>
    <w:rsid w:val="00231FE5"/>
    <w:rsid w:val="00233FBC"/>
    <w:rsid w:val="00286704"/>
    <w:rsid w:val="00291751"/>
    <w:rsid w:val="00294692"/>
    <w:rsid w:val="00297007"/>
    <w:rsid w:val="002B1937"/>
    <w:rsid w:val="002B7913"/>
    <w:rsid w:val="002C04D0"/>
    <w:rsid w:val="002D0445"/>
    <w:rsid w:val="002D1B6F"/>
    <w:rsid w:val="002E100D"/>
    <w:rsid w:val="002E4ACB"/>
    <w:rsid w:val="002F2714"/>
    <w:rsid w:val="0030707A"/>
    <w:rsid w:val="00315412"/>
    <w:rsid w:val="003365F7"/>
    <w:rsid w:val="00346908"/>
    <w:rsid w:val="003474E1"/>
    <w:rsid w:val="003478B0"/>
    <w:rsid w:val="0037185D"/>
    <w:rsid w:val="00384CF9"/>
    <w:rsid w:val="003C2558"/>
    <w:rsid w:val="003C70B2"/>
    <w:rsid w:val="003E2AC0"/>
    <w:rsid w:val="0040555D"/>
    <w:rsid w:val="0041095D"/>
    <w:rsid w:val="00430428"/>
    <w:rsid w:val="00441675"/>
    <w:rsid w:val="00443184"/>
    <w:rsid w:val="00444E39"/>
    <w:rsid w:val="00446426"/>
    <w:rsid w:val="004508F3"/>
    <w:rsid w:val="00470484"/>
    <w:rsid w:val="00474D49"/>
    <w:rsid w:val="00486CF2"/>
    <w:rsid w:val="004A5BCA"/>
    <w:rsid w:val="004B4039"/>
    <w:rsid w:val="004C4EB8"/>
    <w:rsid w:val="004C7253"/>
    <w:rsid w:val="004E30BE"/>
    <w:rsid w:val="00511FDA"/>
    <w:rsid w:val="00516835"/>
    <w:rsid w:val="005339D1"/>
    <w:rsid w:val="00564CD2"/>
    <w:rsid w:val="005B0E45"/>
    <w:rsid w:val="005C2EBC"/>
    <w:rsid w:val="005C3203"/>
    <w:rsid w:val="005C360F"/>
    <w:rsid w:val="005E2A76"/>
    <w:rsid w:val="00607B99"/>
    <w:rsid w:val="00620A09"/>
    <w:rsid w:val="00621ECC"/>
    <w:rsid w:val="00622391"/>
    <w:rsid w:val="00676384"/>
    <w:rsid w:val="00676E33"/>
    <w:rsid w:val="00683670"/>
    <w:rsid w:val="00690D65"/>
    <w:rsid w:val="006A1DE8"/>
    <w:rsid w:val="006A7173"/>
    <w:rsid w:val="006C322A"/>
    <w:rsid w:val="006C5BB8"/>
    <w:rsid w:val="006C779A"/>
    <w:rsid w:val="006C7B36"/>
    <w:rsid w:val="006E0025"/>
    <w:rsid w:val="00700F4C"/>
    <w:rsid w:val="00715442"/>
    <w:rsid w:val="00724E9B"/>
    <w:rsid w:val="00740110"/>
    <w:rsid w:val="007925F5"/>
    <w:rsid w:val="00797F69"/>
    <w:rsid w:val="007E5BD1"/>
    <w:rsid w:val="00804949"/>
    <w:rsid w:val="00817B33"/>
    <w:rsid w:val="00850C02"/>
    <w:rsid w:val="00852ECD"/>
    <w:rsid w:val="00864242"/>
    <w:rsid w:val="00882EBA"/>
    <w:rsid w:val="008909F9"/>
    <w:rsid w:val="00893442"/>
    <w:rsid w:val="008A6B18"/>
    <w:rsid w:val="008C0299"/>
    <w:rsid w:val="008C09B5"/>
    <w:rsid w:val="008D121C"/>
    <w:rsid w:val="008D4349"/>
    <w:rsid w:val="008E1798"/>
    <w:rsid w:val="008E5732"/>
    <w:rsid w:val="008F39D6"/>
    <w:rsid w:val="008F73BD"/>
    <w:rsid w:val="009070F2"/>
    <w:rsid w:val="00907C6C"/>
    <w:rsid w:val="0092144F"/>
    <w:rsid w:val="00925947"/>
    <w:rsid w:val="00925ED5"/>
    <w:rsid w:val="009354F8"/>
    <w:rsid w:val="009536CB"/>
    <w:rsid w:val="009648CF"/>
    <w:rsid w:val="00973DFB"/>
    <w:rsid w:val="009A3414"/>
    <w:rsid w:val="009B0F53"/>
    <w:rsid w:val="009C740F"/>
    <w:rsid w:val="009D5E77"/>
    <w:rsid w:val="009E6E40"/>
    <w:rsid w:val="00A02621"/>
    <w:rsid w:val="00A03A0B"/>
    <w:rsid w:val="00A1270F"/>
    <w:rsid w:val="00A2035E"/>
    <w:rsid w:val="00A20E98"/>
    <w:rsid w:val="00A21934"/>
    <w:rsid w:val="00A43EF6"/>
    <w:rsid w:val="00A53FBD"/>
    <w:rsid w:val="00A56549"/>
    <w:rsid w:val="00A60810"/>
    <w:rsid w:val="00A64C97"/>
    <w:rsid w:val="00A93F23"/>
    <w:rsid w:val="00A979AE"/>
    <w:rsid w:val="00AA0CF3"/>
    <w:rsid w:val="00AA5195"/>
    <w:rsid w:val="00AB4FBE"/>
    <w:rsid w:val="00AB77FE"/>
    <w:rsid w:val="00AC1D45"/>
    <w:rsid w:val="00AC79C3"/>
    <w:rsid w:val="00AC7CEA"/>
    <w:rsid w:val="00AD51DC"/>
    <w:rsid w:val="00AF27D7"/>
    <w:rsid w:val="00B017ED"/>
    <w:rsid w:val="00B03901"/>
    <w:rsid w:val="00B7048F"/>
    <w:rsid w:val="00B74B7D"/>
    <w:rsid w:val="00B80DBF"/>
    <w:rsid w:val="00BA02E8"/>
    <w:rsid w:val="00BA4F02"/>
    <w:rsid w:val="00BA697E"/>
    <w:rsid w:val="00BB292B"/>
    <w:rsid w:val="00BB2FD2"/>
    <w:rsid w:val="00BD426D"/>
    <w:rsid w:val="00BE0D7E"/>
    <w:rsid w:val="00BE188E"/>
    <w:rsid w:val="00BF0CE4"/>
    <w:rsid w:val="00BF3154"/>
    <w:rsid w:val="00C009EA"/>
    <w:rsid w:val="00C274D7"/>
    <w:rsid w:val="00C307F8"/>
    <w:rsid w:val="00C324A3"/>
    <w:rsid w:val="00C3468A"/>
    <w:rsid w:val="00C47A18"/>
    <w:rsid w:val="00C571F1"/>
    <w:rsid w:val="00C61B8F"/>
    <w:rsid w:val="00C77414"/>
    <w:rsid w:val="00CD5725"/>
    <w:rsid w:val="00CF73D6"/>
    <w:rsid w:val="00D212E3"/>
    <w:rsid w:val="00D27463"/>
    <w:rsid w:val="00D41C8F"/>
    <w:rsid w:val="00D44563"/>
    <w:rsid w:val="00D85388"/>
    <w:rsid w:val="00DA26CF"/>
    <w:rsid w:val="00DC201D"/>
    <w:rsid w:val="00DC29B4"/>
    <w:rsid w:val="00DC2AE1"/>
    <w:rsid w:val="00DC7816"/>
    <w:rsid w:val="00DD230A"/>
    <w:rsid w:val="00DD2710"/>
    <w:rsid w:val="00DD7E86"/>
    <w:rsid w:val="00DE3B8C"/>
    <w:rsid w:val="00DE4802"/>
    <w:rsid w:val="00E059E6"/>
    <w:rsid w:val="00E16D51"/>
    <w:rsid w:val="00E46621"/>
    <w:rsid w:val="00E52DEF"/>
    <w:rsid w:val="00E538DA"/>
    <w:rsid w:val="00E65565"/>
    <w:rsid w:val="00E70137"/>
    <w:rsid w:val="00E73A00"/>
    <w:rsid w:val="00E86A2B"/>
    <w:rsid w:val="00EB41AD"/>
    <w:rsid w:val="00EC2F8D"/>
    <w:rsid w:val="00EF089F"/>
    <w:rsid w:val="00F01E21"/>
    <w:rsid w:val="00F13750"/>
    <w:rsid w:val="00F2277F"/>
    <w:rsid w:val="00F23807"/>
    <w:rsid w:val="00F43481"/>
    <w:rsid w:val="00F4704C"/>
    <w:rsid w:val="00F56DF2"/>
    <w:rsid w:val="00F635E3"/>
    <w:rsid w:val="00F66A18"/>
    <w:rsid w:val="00F71466"/>
    <w:rsid w:val="00F750BA"/>
    <w:rsid w:val="00F84D65"/>
    <w:rsid w:val="00F91292"/>
    <w:rsid w:val="00F94DAE"/>
    <w:rsid w:val="00F95B55"/>
    <w:rsid w:val="00FA1AA8"/>
    <w:rsid w:val="00FA676D"/>
    <w:rsid w:val="00FC7853"/>
    <w:rsid w:val="00FD39D0"/>
    <w:rsid w:val="00FD567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591A0D"/>
  <w15:chartTrackingRefBased/>
  <w15:docId w15:val="{F69569AC-3791-4CC8-892C-63BB9E368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28E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28E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28E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28E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28E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28E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28E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28E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28E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28E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28E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28E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28E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28E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28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28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28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28EA"/>
    <w:rPr>
      <w:rFonts w:eastAsiaTheme="majorEastAsia" w:cstheme="majorBidi"/>
      <w:color w:val="272727" w:themeColor="text1" w:themeTint="D8"/>
    </w:rPr>
  </w:style>
  <w:style w:type="paragraph" w:styleId="Title">
    <w:name w:val="Title"/>
    <w:basedOn w:val="Normal"/>
    <w:next w:val="Normal"/>
    <w:link w:val="TitleChar"/>
    <w:uiPriority w:val="10"/>
    <w:qFormat/>
    <w:rsid w:val="000C28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28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28E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28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28EA"/>
    <w:pPr>
      <w:spacing w:before="160"/>
      <w:jc w:val="center"/>
    </w:pPr>
    <w:rPr>
      <w:i/>
      <w:iCs/>
      <w:color w:val="404040" w:themeColor="text1" w:themeTint="BF"/>
    </w:rPr>
  </w:style>
  <w:style w:type="character" w:customStyle="1" w:styleId="QuoteChar">
    <w:name w:val="Quote Char"/>
    <w:basedOn w:val="DefaultParagraphFont"/>
    <w:link w:val="Quote"/>
    <w:uiPriority w:val="29"/>
    <w:rsid w:val="000C28EA"/>
    <w:rPr>
      <w:i/>
      <w:iCs/>
      <w:color w:val="404040" w:themeColor="text1" w:themeTint="BF"/>
    </w:rPr>
  </w:style>
  <w:style w:type="paragraph" w:styleId="ListParagraph">
    <w:name w:val="List Paragraph"/>
    <w:basedOn w:val="Normal"/>
    <w:uiPriority w:val="34"/>
    <w:qFormat/>
    <w:rsid w:val="000C28EA"/>
    <w:pPr>
      <w:ind w:left="720"/>
      <w:contextualSpacing/>
    </w:pPr>
  </w:style>
  <w:style w:type="character" w:styleId="IntenseEmphasis">
    <w:name w:val="Intense Emphasis"/>
    <w:basedOn w:val="DefaultParagraphFont"/>
    <w:uiPriority w:val="21"/>
    <w:qFormat/>
    <w:rsid w:val="000C28EA"/>
    <w:rPr>
      <w:i/>
      <w:iCs/>
      <w:color w:val="0F4761" w:themeColor="accent1" w:themeShade="BF"/>
    </w:rPr>
  </w:style>
  <w:style w:type="paragraph" w:styleId="IntenseQuote">
    <w:name w:val="Intense Quote"/>
    <w:basedOn w:val="Normal"/>
    <w:next w:val="Normal"/>
    <w:link w:val="IntenseQuoteChar"/>
    <w:uiPriority w:val="30"/>
    <w:qFormat/>
    <w:rsid w:val="000C28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28EA"/>
    <w:rPr>
      <w:i/>
      <w:iCs/>
      <w:color w:val="0F4761" w:themeColor="accent1" w:themeShade="BF"/>
    </w:rPr>
  </w:style>
  <w:style w:type="character" w:styleId="IntenseReference">
    <w:name w:val="Intense Reference"/>
    <w:basedOn w:val="DefaultParagraphFont"/>
    <w:uiPriority w:val="32"/>
    <w:qFormat/>
    <w:rsid w:val="000C28EA"/>
    <w:rPr>
      <w:b/>
      <w:bCs/>
      <w:smallCaps/>
      <w:color w:val="0F4761" w:themeColor="accent1" w:themeShade="BF"/>
      <w:spacing w:val="5"/>
    </w:rPr>
  </w:style>
  <w:style w:type="table" w:styleId="TableGrid">
    <w:name w:val="Table Grid"/>
    <w:basedOn w:val="TableNormal"/>
    <w:uiPriority w:val="39"/>
    <w:rsid w:val="000C28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82EBA"/>
    <w:rPr>
      <w:color w:val="467886" w:themeColor="hyperlink"/>
      <w:u w:val="single"/>
    </w:rPr>
  </w:style>
  <w:style w:type="character" w:styleId="UnresolvedMention">
    <w:name w:val="Unresolved Mention"/>
    <w:basedOn w:val="DefaultParagraphFont"/>
    <w:uiPriority w:val="99"/>
    <w:semiHidden/>
    <w:unhideWhenUsed/>
    <w:rsid w:val="00882EBA"/>
    <w:rPr>
      <w:color w:val="605E5C"/>
      <w:shd w:val="clear" w:color="auto" w:fill="E1DFDD"/>
    </w:rPr>
  </w:style>
  <w:style w:type="character" w:styleId="FollowedHyperlink">
    <w:name w:val="FollowedHyperlink"/>
    <w:basedOn w:val="DefaultParagraphFont"/>
    <w:uiPriority w:val="99"/>
    <w:semiHidden/>
    <w:unhideWhenUsed/>
    <w:rsid w:val="00AC1D45"/>
    <w:rPr>
      <w:color w:val="96607D" w:themeColor="followedHyperlink"/>
      <w:u w:val="single"/>
    </w:rPr>
  </w:style>
  <w:style w:type="paragraph" w:styleId="FootnoteText">
    <w:name w:val="footnote text"/>
    <w:basedOn w:val="Normal"/>
    <w:link w:val="FootnoteTextChar"/>
    <w:uiPriority w:val="99"/>
    <w:semiHidden/>
    <w:unhideWhenUsed/>
    <w:rsid w:val="00B017E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017ED"/>
    <w:rPr>
      <w:sz w:val="20"/>
      <w:szCs w:val="20"/>
    </w:rPr>
  </w:style>
  <w:style w:type="character" w:styleId="FootnoteReference">
    <w:name w:val="footnote reference"/>
    <w:basedOn w:val="DefaultParagraphFont"/>
    <w:uiPriority w:val="99"/>
    <w:semiHidden/>
    <w:unhideWhenUsed/>
    <w:rsid w:val="00B017ED"/>
    <w:rPr>
      <w:vertAlign w:val="superscript"/>
    </w:rPr>
  </w:style>
  <w:style w:type="character" w:styleId="CommentReference">
    <w:name w:val="annotation reference"/>
    <w:basedOn w:val="DefaultParagraphFont"/>
    <w:uiPriority w:val="99"/>
    <w:semiHidden/>
    <w:unhideWhenUsed/>
    <w:rsid w:val="00BA697E"/>
    <w:rPr>
      <w:sz w:val="16"/>
      <w:szCs w:val="16"/>
    </w:rPr>
  </w:style>
  <w:style w:type="paragraph" w:styleId="CommentText">
    <w:name w:val="annotation text"/>
    <w:basedOn w:val="Normal"/>
    <w:link w:val="CommentTextChar"/>
    <w:uiPriority w:val="99"/>
    <w:unhideWhenUsed/>
    <w:rsid w:val="00BA697E"/>
    <w:pPr>
      <w:spacing w:line="240" w:lineRule="auto"/>
    </w:pPr>
    <w:rPr>
      <w:sz w:val="20"/>
      <w:szCs w:val="20"/>
    </w:rPr>
  </w:style>
  <w:style w:type="character" w:customStyle="1" w:styleId="CommentTextChar">
    <w:name w:val="Comment Text Char"/>
    <w:basedOn w:val="DefaultParagraphFont"/>
    <w:link w:val="CommentText"/>
    <w:uiPriority w:val="99"/>
    <w:rsid w:val="00BA697E"/>
    <w:rPr>
      <w:sz w:val="20"/>
      <w:szCs w:val="20"/>
    </w:rPr>
  </w:style>
  <w:style w:type="paragraph" w:styleId="CommentSubject">
    <w:name w:val="annotation subject"/>
    <w:basedOn w:val="CommentText"/>
    <w:next w:val="CommentText"/>
    <w:link w:val="CommentSubjectChar"/>
    <w:uiPriority w:val="99"/>
    <w:semiHidden/>
    <w:unhideWhenUsed/>
    <w:rsid w:val="00BA697E"/>
    <w:rPr>
      <w:b/>
      <w:bCs/>
    </w:rPr>
  </w:style>
  <w:style w:type="character" w:customStyle="1" w:styleId="CommentSubjectChar">
    <w:name w:val="Comment Subject Char"/>
    <w:basedOn w:val="CommentTextChar"/>
    <w:link w:val="CommentSubject"/>
    <w:uiPriority w:val="99"/>
    <w:semiHidden/>
    <w:rsid w:val="00BA697E"/>
    <w:rPr>
      <w:b/>
      <w:bCs/>
      <w:sz w:val="20"/>
      <w:szCs w:val="20"/>
    </w:rPr>
  </w:style>
  <w:style w:type="paragraph" w:styleId="NoSpacing">
    <w:name w:val="No Spacing"/>
    <w:link w:val="NoSpacingChar"/>
    <w:uiPriority w:val="1"/>
    <w:qFormat/>
    <w:rsid w:val="00441675"/>
    <w:pPr>
      <w:spacing w:after="0" w:line="240" w:lineRule="auto"/>
    </w:pPr>
    <w:rPr>
      <w:rFonts w:eastAsiaTheme="minorEastAsia"/>
      <w:kern w:val="0"/>
      <w:sz w:val="22"/>
      <w:szCs w:val="22"/>
      <w:lang w:val="en-US"/>
      <w14:ligatures w14:val="none"/>
    </w:rPr>
  </w:style>
  <w:style w:type="character" w:customStyle="1" w:styleId="NoSpacingChar">
    <w:name w:val="No Spacing Char"/>
    <w:basedOn w:val="DefaultParagraphFont"/>
    <w:link w:val="NoSpacing"/>
    <w:uiPriority w:val="1"/>
    <w:rsid w:val="00441675"/>
    <w:rPr>
      <w:rFonts w:eastAsiaTheme="minorEastAsia"/>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8931944">
      <w:bodyDiv w:val="1"/>
      <w:marLeft w:val="0"/>
      <w:marRight w:val="0"/>
      <w:marTop w:val="0"/>
      <w:marBottom w:val="0"/>
      <w:divBdr>
        <w:top w:val="none" w:sz="0" w:space="0" w:color="auto"/>
        <w:left w:val="none" w:sz="0" w:space="0" w:color="auto"/>
        <w:bottom w:val="none" w:sz="0" w:space="0" w:color="auto"/>
        <w:right w:val="none" w:sz="0" w:space="0" w:color="auto"/>
      </w:divBdr>
    </w:div>
    <w:div w:id="1678730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2024-12-03T00:00:00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340E7DB-75DC-4516-9E37-A7DE3E64FD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4621</TotalTime>
  <Pages>17</Pages>
  <Words>4135</Words>
  <Characters>23571</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Profit Insight</Company>
  <LinksUpToDate>false</LinksUpToDate>
  <CharactersWithSpaces>27651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dc:subject>
  <dc:creator>John Tully and Simon Greig</dc:creator>
  <cp:keywords/>
  <dc:description/>
  <cp:lastModifiedBy>John Tully</cp:lastModifiedBy>
  <cp:revision>21</cp:revision>
  <dcterms:created xsi:type="dcterms:W3CDTF">2024-11-29T08:48:00Z</dcterms:created>
  <dcterms:modified xsi:type="dcterms:W3CDTF">2024-12-03T05:54:00Z</dcterms:modified>
</cp:coreProperties>
</file>