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D7E93" w:rsidRPr="004C07B3" w:rsidRDefault="001D7E93">
      <w:pPr>
        <w:rPr>
          <w:rFonts w:ascii="Arial" w:hAnsi="Arial" w:cs="Arial"/>
          <w:sz w:val="24"/>
        </w:rPr>
      </w:pPr>
    </w:p>
    <w:p w:rsidR="001D7E93" w:rsidRPr="004C07B3" w:rsidRDefault="001D7E93">
      <w:pPr>
        <w:rPr>
          <w:rFonts w:ascii="Arial" w:hAnsi="Arial" w:cs="Arial"/>
          <w:sz w:val="24"/>
        </w:rPr>
      </w:pPr>
    </w:p>
    <w:p w:rsidR="001D7E93" w:rsidRPr="004C07B3" w:rsidRDefault="001D7E93">
      <w:pPr>
        <w:rPr>
          <w:rFonts w:ascii="Arial" w:hAnsi="Arial" w:cs="Arial"/>
          <w:sz w:val="24"/>
        </w:rPr>
      </w:pPr>
    </w:p>
    <w:p w:rsidR="001D7E93" w:rsidRPr="004C07B3" w:rsidRDefault="001D7E93">
      <w:pPr>
        <w:rPr>
          <w:rFonts w:ascii="Arial" w:hAnsi="Arial" w:cs="Arial"/>
          <w:sz w:val="24"/>
        </w:rPr>
      </w:pPr>
    </w:p>
    <w:p w:rsidR="001D7E93" w:rsidRPr="004C07B3" w:rsidRDefault="001D7E93" w:rsidP="004C07B3">
      <w:pPr>
        <w:spacing w:line="240" w:lineRule="auto"/>
        <w:jc w:val="center"/>
        <w:rPr>
          <w:rFonts w:ascii="Arial" w:hAnsi="Arial" w:cs="Arial"/>
          <w:color w:val="FF0000"/>
          <w:szCs w:val="21"/>
        </w:rPr>
      </w:pPr>
    </w:p>
    <w:p w:rsidR="001D7E93" w:rsidRPr="00423834" w:rsidRDefault="00877764" w:rsidP="00DC272C">
      <w:pPr>
        <w:spacing w:line="240" w:lineRule="auto"/>
        <w:jc w:val="center"/>
        <w:rPr>
          <w:rFonts w:ascii="Arial" w:hAnsi="Arial" w:cs="Arial"/>
          <w:b/>
          <w:sz w:val="36"/>
        </w:rPr>
      </w:pPr>
      <w:r>
        <w:rPr>
          <w:rFonts w:ascii="Arial" w:hAnsi="Arial" w:cs="Arial"/>
          <w:b/>
          <w:sz w:val="52"/>
        </w:rPr>
        <w:t xml:space="preserve">UPI Response to </w:t>
      </w:r>
      <w:r w:rsidRPr="00877764">
        <w:rPr>
          <w:rFonts w:ascii="Arial" w:hAnsi="Arial" w:cs="Arial"/>
          <w:b/>
          <w:sz w:val="52"/>
        </w:rPr>
        <w:t>'Merchant Card Payment Costs and Surcharging – Issues Paper'</w:t>
      </w:r>
    </w:p>
    <w:p w:rsidR="001D7E93" w:rsidRPr="004C07B3" w:rsidRDefault="001D7E93">
      <w:pPr>
        <w:rPr>
          <w:rFonts w:ascii="Arial" w:hAnsi="Arial" w:cs="Arial"/>
          <w:b/>
          <w:sz w:val="36"/>
        </w:rPr>
      </w:pPr>
    </w:p>
    <w:p w:rsidR="001D7E93" w:rsidRPr="004C07B3" w:rsidRDefault="001D7E93">
      <w:pPr>
        <w:rPr>
          <w:rFonts w:ascii="Arial" w:hAnsi="Arial" w:cs="Arial"/>
          <w:b/>
          <w:sz w:val="36"/>
        </w:rPr>
      </w:pPr>
    </w:p>
    <w:p w:rsidR="001D7E93" w:rsidRPr="004C07B3" w:rsidRDefault="00877764" w:rsidP="004C07B3">
      <w:pPr>
        <w:spacing w:line="240" w:lineRule="auto"/>
        <w:jc w:val="center"/>
        <w:rPr>
          <w:rFonts w:ascii="Arial" w:hAnsi="Arial" w:cs="Arial"/>
          <w:b/>
          <w:sz w:val="36"/>
        </w:rPr>
      </w:pPr>
      <w:r>
        <w:rPr>
          <w:rFonts w:ascii="Arial" w:hAnsi="Arial" w:cs="Arial"/>
          <w:b/>
          <w:sz w:val="36"/>
        </w:rPr>
        <w:t>Nov 2024</w:t>
      </w:r>
    </w:p>
    <w:p w:rsidR="001D7E93" w:rsidRPr="004C07B3" w:rsidRDefault="001D7E93">
      <w:pPr>
        <w:rPr>
          <w:rFonts w:ascii="Arial" w:hAnsi="Arial" w:cs="Arial"/>
          <w:sz w:val="24"/>
        </w:rPr>
      </w:pPr>
    </w:p>
    <w:p w:rsidR="001D7E93" w:rsidRDefault="001D7E93">
      <w:pPr>
        <w:rPr>
          <w:rFonts w:ascii="Arial" w:hAnsi="Arial" w:cs="Arial"/>
          <w:sz w:val="24"/>
        </w:rPr>
      </w:pPr>
    </w:p>
    <w:p w:rsidR="004C07B3" w:rsidRDefault="004C07B3">
      <w:pPr>
        <w:rPr>
          <w:rFonts w:ascii="Arial" w:hAnsi="Arial" w:cs="Arial"/>
          <w:sz w:val="24"/>
        </w:rPr>
      </w:pPr>
    </w:p>
    <w:p w:rsidR="004C07B3" w:rsidRPr="004C07B3" w:rsidRDefault="004C07B3">
      <w:pPr>
        <w:rPr>
          <w:rFonts w:ascii="Arial" w:hAnsi="Arial" w:cs="Arial"/>
          <w:sz w:val="24"/>
        </w:rPr>
      </w:pPr>
    </w:p>
    <w:p w:rsidR="001D7E93" w:rsidRPr="009E00BD" w:rsidRDefault="001D7E93" w:rsidP="009E00BD">
      <w:pPr>
        <w:spacing w:line="240" w:lineRule="auto"/>
        <w:jc w:val="left"/>
        <w:rPr>
          <w:rFonts w:ascii="Arial" w:hAnsi="Arial" w:cs="Arial"/>
          <w:color w:val="FF0000"/>
          <w:szCs w:val="21"/>
        </w:rPr>
      </w:pPr>
    </w:p>
    <w:p w:rsidR="002337B4" w:rsidRPr="00423834" w:rsidRDefault="004C07B3" w:rsidP="00423834">
      <w:pPr>
        <w:widowControl/>
        <w:spacing w:line="240" w:lineRule="auto"/>
        <w:jc w:val="left"/>
        <w:rPr>
          <w:rFonts w:ascii="Arial" w:hAnsi="Arial" w:cs="Arial"/>
          <w:sz w:val="24"/>
        </w:rPr>
      </w:pPr>
      <w:r w:rsidRPr="004C07B3">
        <w:rPr>
          <w:rFonts w:ascii="Arial" w:hAnsi="Arial" w:cs="Arial"/>
          <w:sz w:val="24"/>
        </w:rPr>
        <w:br w:type="page"/>
      </w:r>
    </w:p>
    <w:p w:rsidR="00EA252B" w:rsidRDefault="00F038A0" w:rsidP="00F038A0">
      <w:pPr>
        <w:pStyle w:val="Heading1"/>
        <w:numPr>
          <w:ilvl w:val="0"/>
          <w:numId w:val="11"/>
        </w:numPr>
      </w:pPr>
      <w:r w:rsidRPr="00F038A0">
        <w:lastRenderedPageBreak/>
        <w:t>Introduction</w:t>
      </w:r>
    </w:p>
    <w:p w:rsidR="00F038A0" w:rsidRPr="00F038A0" w:rsidRDefault="00F038A0" w:rsidP="00F038A0">
      <w:pPr>
        <w:ind w:firstLineChars="200" w:firstLine="440"/>
        <w:rPr>
          <w:rFonts w:ascii="Arial" w:hAnsi="Arial" w:cs="Arial"/>
          <w:sz w:val="22"/>
          <w:szCs w:val="22"/>
        </w:rPr>
      </w:pPr>
      <w:r w:rsidRPr="00F038A0">
        <w:rPr>
          <w:rFonts w:ascii="Arial" w:hAnsi="Arial" w:cs="Arial"/>
          <w:sz w:val="22"/>
          <w:szCs w:val="22"/>
        </w:rPr>
        <w:t>The "Merchant Card Payment Costs and Surcharging – Issues Paper" raised by the Reserve Bank of Australia (RBA) addresses a crucial aspect of the financial services landscape impacting cardholders, merchants, schemes and the broader market. This inquiry into merchant payment costs and surcharging practices reflects the RBA’s commitment to promoting transparency, fairness, and efficiency within Australia’s payment systems.</w:t>
      </w:r>
    </w:p>
    <w:p w:rsidR="00F038A0" w:rsidRPr="00F038A0" w:rsidRDefault="00F038A0" w:rsidP="00F038A0">
      <w:pPr>
        <w:ind w:firstLineChars="200" w:firstLine="440"/>
        <w:rPr>
          <w:rFonts w:ascii="Arial" w:hAnsi="Arial" w:cs="Arial"/>
          <w:sz w:val="22"/>
          <w:szCs w:val="22"/>
        </w:rPr>
      </w:pPr>
    </w:p>
    <w:p w:rsidR="00F038A0" w:rsidRPr="00F038A0" w:rsidRDefault="00F038A0" w:rsidP="00F038A0">
      <w:pPr>
        <w:ind w:firstLineChars="200" w:firstLine="440"/>
        <w:rPr>
          <w:rFonts w:ascii="Arial" w:hAnsi="Arial" w:cs="Arial"/>
          <w:sz w:val="22"/>
          <w:szCs w:val="22"/>
        </w:rPr>
      </w:pPr>
      <w:r w:rsidRPr="00F038A0">
        <w:rPr>
          <w:rFonts w:ascii="Arial" w:hAnsi="Arial" w:cs="Arial"/>
          <w:sz w:val="22"/>
          <w:szCs w:val="22"/>
        </w:rPr>
        <w:t>As a key stakeholder in the market, we welcome the opportunity to contribute our perspective on interchange fees and surcharges, both of which significantly affect merchant operations and consumer costs. Interchange fees, often complex and opaque, drive much of the pricing strategy behind merchant card acceptance and subsequent surcharging. These surcharges, in turn, influence consumer behavior and the broader economy.</w:t>
      </w:r>
    </w:p>
    <w:p w:rsidR="00F038A0" w:rsidRPr="00F038A0" w:rsidRDefault="00F038A0" w:rsidP="00F038A0">
      <w:pPr>
        <w:ind w:firstLineChars="200" w:firstLine="440"/>
        <w:rPr>
          <w:rFonts w:ascii="Arial" w:hAnsi="Arial" w:cs="Arial"/>
          <w:sz w:val="22"/>
          <w:szCs w:val="22"/>
        </w:rPr>
      </w:pPr>
    </w:p>
    <w:p w:rsidR="00BB5D42" w:rsidRDefault="00F038A0" w:rsidP="00F038A0">
      <w:pPr>
        <w:ind w:firstLineChars="200" w:firstLine="440"/>
        <w:rPr>
          <w:rFonts w:ascii="Arial" w:hAnsi="Arial" w:cs="Arial"/>
          <w:sz w:val="22"/>
          <w:szCs w:val="22"/>
        </w:rPr>
      </w:pPr>
      <w:r w:rsidRPr="00F038A0">
        <w:rPr>
          <w:rFonts w:ascii="Arial" w:hAnsi="Arial" w:cs="Arial"/>
          <w:sz w:val="22"/>
          <w:szCs w:val="22"/>
        </w:rPr>
        <w:t>In this submission, we aim to highlight the challenges and opportunities around interchange fees and surcharging practices, advocating for a balanced approach that ensures sustainable costs for merchants while protecting consumers from excessive fees.</w:t>
      </w:r>
    </w:p>
    <w:p w:rsidR="00BB5D42" w:rsidRDefault="00BB5D42" w:rsidP="00BB5D42">
      <w:pPr>
        <w:pStyle w:val="Heading1"/>
        <w:numPr>
          <w:ilvl w:val="0"/>
          <w:numId w:val="11"/>
        </w:numPr>
      </w:pPr>
      <w:r w:rsidRPr="00BB5D42">
        <w:t>Recommendations</w:t>
      </w:r>
    </w:p>
    <w:p w:rsidR="00BB5D42" w:rsidRPr="00BB5D42" w:rsidRDefault="000269AF" w:rsidP="00BB5D42">
      <w:pPr>
        <w:ind w:firstLineChars="200" w:firstLine="440"/>
        <w:rPr>
          <w:rFonts w:ascii="Arial" w:hAnsi="Arial" w:cs="Arial"/>
          <w:sz w:val="22"/>
          <w:szCs w:val="22"/>
        </w:rPr>
      </w:pPr>
      <w:r w:rsidRPr="000269AF">
        <w:rPr>
          <w:rFonts w:ascii="Arial" w:hAnsi="Arial" w:cs="Arial" w:hint="eastAsia"/>
          <w:sz w:val="22"/>
          <w:szCs w:val="22"/>
        </w:rPr>
        <w:t xml:space="preserve">We noticed that </w:t>
      </w:r>
      <w:r>
        <w:rPr>
          <w:rFonts w:ascii="Arial" w:hAnsi="Arial" w:cs="Arial" w:hint="eastAsia"/>
          <w:sz w:val="22"/>
          <w:szCs w:val="22"/>
        </w:rPr>
        <w:t>in the issue paper</w:t>
      </w:r>
      <w:r>
        <w:rPr>
          <w:rFonts w:ascii="Arial" w:hAnsi="Arial" w:cs="Arial"/>
          <w:sz w:val="22"/>
          <w:szCs w:val="22"/>
        </w:rPr>
        <w:t xml:space="preserve"> </w:t>
      </w:r>
      <w:r w:rsidRPr="000269AF">
        <w:rPr>
          <w:rFonts w:ascii="Arial" w:hAnsi="Arial" w:cs="Arial" w:hint="eastAsia"/>
          <w:sz w:val="22"/>
          <w:szCs w:val="22"/>
        </w:rPr>
        <w:t>(page 12)</w:t>
      </w:r>
      <w:r w:rsidR="00C13508">
        <w:rPr>
          <w:rFonts w:ascii="Arial" w:hAnsi="Arial" w:cs="Arial"/>
          <w:sz w:val="22"/>
          <w:szCs w:val="22"/>
        </w:rPr>
        <w:t xml:space="preserve">, </w:t>
      </w:r>
      <w:r w:rsidRPr="000269AF">
        <w:rPr>
          <w:rFonts w:ascii="Arial" w:hAnsi="Arial" w:cs="Arial" w:hint="eastAsia"/>
          <w:sz w:val="22"/>
          <w:szCs w:val="22"/>
        </w:rPr>
        <w:t>"</w:t>
      </w:r>
      <w:r w:rsidRPr="000269AF">
        <w:rPr>
          <w:rFonts w:ascii="Arial" w:hAnsi="Arial" w:cs="Arial" w:hint="eastAsia"/>
          <w:i/>
          <w:iCs/>
          <w:sz w:val="22"/>
          <w:szCs w:val="22"/>
        </w:rPr>
        <w:t>For in-person transactions, European inter-regional interchange fees are capped at 0.2 per cent for debit cards and 0.3 per cent for credit cards; for online transactions the caps are set at 1.15 per cent for debit cards and 1.5 per cent for credit cards.</w:t>
      </w:r>
      <w:r w:rsidRPr="000269AF">
        <w:rPr>
          <w:rFonts w:ascii="Arial" w:hAnsi="Arial" w:cs="Arial" w:hint="eastAsia"/>
          <w:sz w:val="22"/>
          <w:szCs w:val="22"/>
        </w:rPr>
        <w:t>"</w:t>
      </w:r>
      <w:r w:rsidRPr="000269AF">
        <w:rPr>
          <w:rFonts w:ascii="Arial" w:hAnsi="Arial" w:cs="Arial" w:hint="eastAsia"/>
          <w:sz w:val="22"/>
          <w:szCs w:val="22"/>
        </w:rPr>
        <w:t>，</w:t>
      </w:r>
      <w:r w:rsidRPr="000269AF">
        <w:rPr>
          <w:rFonts w:ascii="Arial" w:hAnsi="Arial" w:cs="Arial" w:hint="eastAsia"/>
          <w:sz w:val="22"/>
          <w:szCs w:val="22"/>
        </w:rPr>
        <w:t xml:space="preserve">based on our </w:t>
      </w:r>
      <w:r>
        <w:rPr>
          <w:rFonts w:ascii="Arial" w:hAnsi="Arial" w:cs="Arial" w:hint="eastAsia"/>
          <w:sz w:val="22"/>
          <w:szCs w:val="22"/>
        </w:rPr>
        <w:t>in</w:t>
      </w:r>
      <w:r>
        <w:rPr>
          <w:rFonts w:ascii="Arial" w:hAnsi="Arial" w:cs="Arial"/>
          <w:sz w:val="22"/>
          <w:szCs w:val="22"/>
        </w:rPr>
        <w:t>formation</w:t>
      </w:r>
      <w:r w:rsidRPr="000269AF">
        <w:rPr>
          <w:rFonts w:ascii="Arial" w:hAnsi="Arial" w:cs="Arial" w:hint="eastAsia"/>
          <w:sz w:val="22"/>
          <w:szCs w:val="22"/>
        </w:rPr>
        <w:t>, the Interchange Fee Regulation (2015/751,hereinafter referred to as "IFR") set caps on interchange fees for consumer cards</w:t>
      </w:r>
      <w:r w:rsidRPr="000269AF">
        <w:rPr>
          <w:rFonts w:ascii="Arial" w:hAnsi="Arial" w:cs="Arial" w:hint="eastAsia"/>
          <w:b/>
          <w:bCs/>
          <w:sz w:val="22"/>
          <w:szCs w:val="22"/>
        </w:rPr>
        <w:t> issued and used in EEA</w:t>
      </w:r>
      <w:r w:rsidRPr="000269AF">
        <w:rPr>
          <w:rFonts w:ascii="Arial" w:hAnsi="Arial" w:cs="Arial" w:hint="eastAsia"/>
          <w:sz w:val="22"/>
          <w:szCs w:val="22"/>
        </w:rPr>
        <w:t> (maximum of 0.2% for debit cards and 0.3% for credit cards). The IFR established a level playing field for the card payments in the intra-EEA transactions. The caps of the IFR do not apply to inter-</w:t>
      </w:r>
      <w:r w:rsidRPr="000269AF">
        <w:rPr>
          <w:rFonts w:ascii="Arial" w:hAnsi="Arial" w:cs="Arial" w:hint="eastAsia"/>
          <w:sz w:val="22"/>
          <w:szCs w:val="22"/>
        </w:rPr>
        <w:lastRenderedPageBreak/>
        <w:t>regional transactions,</w:t>
      </w:r>
      <w:r w:rsidRPr="000269AF">
        <w:rPr>
          <w:rFonts w:ascii="Arial" w:hAnsi="Arial" w:cs="Arial" w:hint="eastAsia"/>
          <w:b/>
          <w:bCs/>
          <w:sz w:val="22"/>
          <w:szCs w:val="22"/>
        </w:rPr>
        <w:t> as the IFR does not apply to cards issued outside the EEA</w:t>
      </w:r>
      <w:r w:rsidRPr="000269AF">
        <w:rPr>
          <w:rFonts w:ascii="Arial" w:hAnsi="Arial" w:cs="Arial"/>
          <w:b/>
          <w:bCs/>
          <w:sz w:val="22"/>
          <w:szCs w:val="22"/>
        </w:rPr>
        <w:t>.</w:t>
      </w:r>
      <w:r w:rsidR="00920991">
        <w:rPr>
          <w:rFonts w:ascii="Arial" w:hAnsi="Arial" w:cs="Arial"/>
          <w:sz w:val="22"/>
          <w:szCs w:val="22"/>
        </w:rPr>
        <w:t xml:space="preserve">The foreign card </w:t>
      </w:r>
      <w:r w:rsidR="00BB5D42" w:rsidRPr="00BB5D42">
        <w:rPr>
          <w:rFonts w:ascii="Arial" w:hAnsi="Arial" w:cs="Arial"/>
          <w:sz w:val="22"/>
          <w:szCs w:val="22"/>
        </w:rPr>
        <w:t>interchange fee</w:t>
      </w:r>
      <w:r w:rsidR="000133A3">
        <w:rPr>
          <w:rFonts w:ascii="Arial" w:hAnsi="Arial" w:cs="Arial"/>
          <w:sz w:val="22"/>
          <w:szCs w:val="22"/>
        </w:rPr>
        <w:t>’s</w:t>
      </w:r>
      <w:r w:rsidR="00BB5D42" w:rsidRPr="00BB5D42">
        <w:rPr>
          <w:rFonts w:ascii="Arial" w:hAnsi="Arial" w:cs="Arial"/>
          <w:sz w:val="22"/>
          <w:szCs w:val="22"/>
        </w:rPr>
        <w:t xml:space="preserve"> structure represents a unique set of challenges due to its complex composition. Typically collected through card organizations and subsequently passed on to the card issuer, this fee involves a wide range of variables, as issuers based in different countries with differing regulatory frameworks and strategic priorities. As a result, interchange fees vary significantly, complicating the standardization and management of fees across international transactions.</w:t>
      </w:r>
    </w:p>
    <w:p w:rsidR="00BB5D42" w:rsidRPr="00BB5D42" w:rsidRDefault="00BB5D42" w:rsidP="00BB5D42">
      <w:pPr>
        <w:ind w:firstLineChars="200" w:firstLine="440"/>
        <w:rPr>
          <w:rFonts w:ascii="Arial" w:hAnsi="Arial" w:cs="Arial"/>
          <w:sz w:val="22"/>
          <w:szCs w:val="22"/>
        </w:rPr>
      </w:pPr>
    </w:p>
    <w:p w:rsidR="00BB5D42" w:rsidRDefault="00BB5D42" w:rsidP="00BB5D42">
      <w:pPr>
        <w:ind w:firstLineChars="200" w:firstLine="440"/>
        <w:rPr>
          <w:rFonts w:ascii="Arial" w:hAnsi="Arial" w:cs="Arial"/>
          <w:sz w:val="22"/>
          <w:szCs w:val="22"/>
        </w:rPr>
      </w:pPr>
      <w:r w:rsidRPr="00BB5D42">
        <w:rPr>
          <w:rFonts w:ascii="Arial" w:hAnsi="Arial" w:cs="Arial"/>
          <w:sz w:val="22"/>
          <w:szCs w:val="22"/>
        </w:rPr>
        <w:t xml:space="preserve">Despite the growth of foreign card transactions, their volume remains relatively low compared to local card transactions. </w:t>
      </w:r>
      <w:r w:rsidR="00CD0468" w:rsidRPr="00CD0468">
        <w:rPr>
          <w:rFonts w:ascii="Arial" w:hAnsi="Arial" w:cs="Arial"/>
          <w:sz w:val="22"/>
          <w:szCs w:val="22"/>
        </w:rPr>
        <w:t>However, we understand that many merchant surcharges catalogued by organizations, leading to foreign card interchange fees combined with local fees in a way that indirectly impact local cardholders.</w:t>
      </w:r>
      <w:r w:rsidRPr="00BB5D42">
        <w:rPr>
          <w:rFonts w:ascii="Arial" w:hAnsi="Arial" w:cs="Arial"/>
          <w:sz w:val="22"/>
          <w:szCs w:val="22"/>
        </w:rPr>
        <w:t xml:space="preserve"> This blending practice can lead to unintended costs for local consumers, as well as potential compliance issues for merchants aiming to maintain transparent surcharge practices.</w:t>
      </w:r>
    </w:p>
    <w:p w:rsidR="00984379" w:rsidRPr="00BB5D42" w:rsidRDefault="00984379" w:rsidP="00BB5D42">
      <w:pPr>
        <w:ind w:firstLineChars="200" w:firstLine="440"/>
        <w:rPr>
          <w:rFonts w:ascii="Arial" w:hAnsi="Arial" w:cs="Arial"/>
          <w:sz w:val="22"/>
          <w:szCs w:val="22"/>
        </w:rPr>
      </w:pPr>
    </w:p>
    <w:p w:rsidR="00BB5D42" w:rsidRPr="00BB5D42" w:rsidRDefault="00BB5D42" w:rsidP="00BB5D42">
      <w:pPr>
        <w:ind w:firstLineChars="200" w:firstLine="440"/>
        <w:rPr>
          <w:rFonts w:ascii="Arial" w:hAnsi="Arial" w:cs="Arial"/>
          <w:sz w:val="22"/>
          <w:szCs w:val="22"/>
        </w:rPr>
      </w:pPr>
      <w:r w:rsidRPr="00BB5D42">
        <w:rPr>
          <w:rFonts w:ascii="Arial" w:hAnsi="Arial" w:cs="Arial"/>
          <w:sz w:val="22"/>
          <w:szCs w:val="22"/>
        </w:rPr>
        <w:t>We recommend that RBA consider the following</w:t>
      </w:r>
      <w:r w:rsidR="0061105E">
        <w:rPr>
          <w:rFonts w:ascii="Arial" w:hAnsi="Arial" w:cs="Arial"/>
          <w:sz w:val="22"/>
          <w:szCs w:val="22"/>
        </w:rPr>
        <w:t xml:space="preserve"> suggestions</w:t>
      </w:r>
      <w:r w:rsidRPr="00BB5D42">
        <w:rPr>
          <w:rFonts w:ascii="Arial" w:hAnsi="Arial" w:cs="Arial"/>
          <w:sz w:val="22"/>
          <w:szCs w:val="22"/>
        </w:rPr>
        <w:t>:</w:t>
      </w:r>
    </w:p>
    <w:p w:rsidR="00984379" w:rsidRDefault="00984379" w:rsidP="00984379">
      <w:pPr>
        <w:pStyle w:val="ListParagraph"/>
        <w:numPr>
          <w:ilvl w:val="0"/>
          <w:numId w:val="12"/>
        </w:numPr>
        <w:ind w:firstLineChars="0"/>
        <w:rPr>
          <w:rFonts w:ascii="Arial" w:hAnsi="Arial" w:cs="Arial"/>
          <w:sz w:val="22"/>
          <w:szCs w:val="22"/>
        </w:rPr>
      </w:pPr>
      <w:r w:rsidRPr="00984379">
        <w:rPr>
          <w:rFonts w:ascii="Arial" w:hAnsi="Arial" w:cs="Arial"/>
          <w:sz w:val="22"/>
          <w:szCs w:val="22"/>
        </w:rPr>
        <w:t>We appreciate your suggestion to rethink this approach by implementing a separate control strategy specifically for foreign cards. This proposal to distinguish foreign cards from local card packages, assigning individual surcharges to internal (local) and external (foreign) cards, offers several potential benefits. By isolating foreign cards from internal card groups, we could effectively manage local card interchange fees with a cap or benchmark strategy, benefiting both merchants and Australian domestic consumers. The significant reduction in local card transaction costs would allow merchants to eliminate or reduce local card surcharges, while foreign cards would carry a proportionally higher surcharge.</w:t>
      </w:r>
    </w:p>
    <w:p w:rsidR="00BB5D42" w:rsidRPr="0061105E" w:rsidRDefault="00BB5D42" w:rsidP="0061105E">
      <w:pPr>
        <w:pStyle w:val="ListParagraph"/>
        <w:numPr>
          <w:ilvl w:val="0"/>
          <w:numId w:val="12"/>
        </w:numPr>
        <w:ind w:firstLineChars="0"/>
        <w:rPr>
          <w:rFonts w:ascii="Arial" w:hAnsi="Arial" w:cs="Arial"/>
          <w:sz w:val="22"/>
          <w:szCs w:val="22"/>
        </w:rPr>
      </w:pPr>
      <w:r w:rsidRPr="0061105E">
        <w:rPr>
          <w:rFonts w:ascii="Arial" w:hAnsi="Arial" w:cs="Arial"/>
          <w:sz w:val="22"/>
          <w:szCs w:val="22"/>
        </w:rPr>
        <w:t>Encourage Transparency: Ensure that interchange fees and surcharges communicated clearly to merchants and consumers to avoid unintentional blending of foreign and local card costs.</w:t>
      </w:r>
    </w:p>
    <w:p w:rsidR="00BB5D42" w:rsidRDefault="00BB5D42" w:rsidP="0061105E">
      <w:pPr>
        <w:pStyle w:val="ListParagraph"/>
        <w:numPr>
          <w:ilvl w:val="0"/>
          <w:numId w:val="12"/>
        </w:numPr>
        <w:ind w:firstLineChars="0"/>
        <w:rPr>
          <w:rFonts w:ascii="Arial" w:hAnsi="Arial" w:cs="Arial"/>
          <w:sz w:val="22"/>
          <w:szCs w:val="22"/>
        </w:rPr>
      </w:pPr>
      <w:r w:rsidRPr="0061105E">
        <w:rPr>
          <w:rFonts w:ascii="Arial" w:hAnsi="Arial" w:cs="Arial"/>
          <w:sz w:val="22"/>
          <w:szCs w:val="22"/>
        </w:rPr>
        <w:t xml:space="preserve">Promote International Cooperation: Given the cross-border nature of these fees, </w:t>
      </w:r>
      <w:r w:rsidRPr="0061105E">
        <w:rPr>
          <w:rFonts w:ascii="Arial" w:hAnsi="Arial" w:cs="Arial"/>
          <w:sz w:val="22"/>
          <w:szCs w:val="22"/>
        </w:rPr>
        <w:lastRenderedPageBreak/>
        <w:t>collaboration with international regulatory bodies may help bring greater uniformity to interchange fees, thus aiding in consistent surcharge management for merchants.</w:t>
      </w:r>
    </w:p>
    <w:p w:rsidR="008D7D8F" w:rsidRDefault="008D7D8F" w:rsidP="008D7D8F">
      <w:pPr>
        <w:pStyle w:val="ListParagraph"/>
        <w:numPr>
          <w:ilvl w:val="0"/>
          <w:numId w:val="12"/>
        </w:numPr>
        <w:ind w:firstLineChars="0"/>
        <w:rPr>
          <w:rFonts w:ascii="Arial" w:hAnsi="Arial" w:cs="Arial"/>
          <w:sz w:val="22"/>
          <w:szCs w:val="22"/>
        </w:rPr>
      </w:pPr>
      <w:r w:rsidRPr="008D7D8F">
        <w:rPr>
          <w:rFonts w:ascii="Arial" w:hAnsi="Arial" w:cs="Arial"/>
          <w:sz w:val="22"/>
          <w:szCs w:val="22"/>
        </w:rPr>
        <w:t>With regard to the use of co-badged foreign cards, we also note that some schemes are currently compelling acquirers to use their transaction routing through their strong market position. We hope that the regulator will regulate the relevant mandatory rules in the interest of Australian merchants as well as cardholders, thereby enhancing healthy competition among card schemes.</w:t>
      </w:r>
    </w:p>
    <w:p w:rsidR="007D5DCB" w:rsidRDefault="007D5DCB" w:rsidP="007D5DCB">
      <w:pPr>
        <w:rPr>
          <w:rFonts w:ascii="Arial" w:hAnsi="Arial" w:cs="Arial"/>
          <w:sz w:val="22"/>
          <w:szCs w:val="22"/>
        </w:rPr>
      </w:pPr>
    </w:p>
    <w:p w:rsidR="007D5DCB" w:rsidRDefault="007D5DCB" w:rsidP="007D5DCB">
      <w:pPr>
        <w:pStyle w:val="Heading1"/>
        <w:numPr>
          <w:ilvl w:val="0"/>
          <w:numId w:val="11"/>
        </w:numPr>
      </w:pPr>
      <w:r>
        <w:t>Conclusion</w:t>
      </w:r>
    </w:p>
    <w:p w:rsidR="004B6FA5" w:rsidRPr="004B6FA5" w:rsidRDefault="004B6FA5" w:rsidP="004B6FA5">
      <w:pPr>
        <w:ind w:firstLineChars="200" w:firstLine="440"/>
        <w:rPr>
          <w:rFonts w:ascii="Arial" w:hAnsi="Arial" w:cs="Arial"/>
          <w:sz w:val="22"/>
          <w:szCs w:val="22"/>
        </w:rPr>
      </w:pPr>
      <w:r w:rsidRPr="004B6FA5">
        <w:rPr>
          <w:rFonts w:ascii="Arial" w:hAnsi="Arial" w:cs="Arial"/>
          <w:sz w:val="22"/>
          <w:szCs w:val="22"/>
        </w:rPr>
        <w:t xml:space="preserve">We welcome the release of the </w:t>
      </w:r>
      <w:r w:rsidRPr="004B6FA5">
        <w:rPr>
          <w:rFonts w:ascii="Arial" w:hAnsi="Arial" w:cs="Arial"/>
          <w:i/>
          <w:iCs/>
          <w:sz w:val="22"/>
          <w:szCs w:val="22"/>
        </w:rPr>
        <w:t>Merchant Card Payment Costs and Surcharging – Issues Paper</w:t>
      </w:r>
      <w:r w:rsidRPr="004B6FA5">
        <w:rPr>
          <w:rFonts w:ascii="Arial" w:hAnsi="Arial" w:cs="Arial"/>
          <w:sz w:val="22"/>
          <w:szCs w:val="22"/>
        </w:rPr>
        <w:t xml:space="preserve"> by </w:t>
      </w:r>
      <w:r>
        <w:rPr>
          <w:rFonts w:ascii="Arial" w:hAnsi="Arial" w:cs="Arial"/>
          <w:sz w:val="22"/>
          <w:szCs w:val="22"/>
        </w:rPr>
        <w:t>RBA</w:t>
      </w:r>
      <w:r w:rsidRPr="004B6FA5">
        <w:rPr>
          <w:rFonts w:ascii="Arial" w:hAnsi="Arial" w:cs="Arial"/>
          <w:sz w:val="22"/>
          <w:szCs w:val="22"/>
        </w:rPr>
        <w:t>, which invites valuable insights from diverse industry participants. We appreciate the opportunity to contribute to the discussions surrounding merchant card payment costs, interchange fees, and surcharging practices. As these issues directly influence our market, we are eager to join in further discussions and explore pathways to address the concerns raised in the paper. We believe that a collaborative approach will help ensure a balanced and fair framework for all parties involved.</w:t>
      </w:r>
    </w:p>
    <w:p w:rsidR="004B6FA5" w:rsidRPr="004B6FA5" w:rsidRDefault="004B6FA5" w:rsidP="004B6FA5">
      <w:pPr>
        <w:rPr>
          <w:lang w:val="en-AU"/>
        </w:rPr>
      </w:pPr>
    </w:p>
    <w:p w:rsidR="007D5DCB" w:rsidRPr="007D5DCB" w:rsidRDefault="007D5DCB" w:rsidP="007D5DCB">
      <w:pPr>
        <w:rPr>
          <w:rFonts w:ascii="Arial" w:hAnsi="Arial" w:cs="Arial"/>
          <w:sz w:val="22"/>
          <w:szCs w:val="22"/>
        </w:rPr>
      </w:pPr>
      <w:bookmarkStart w:id="0" w:name="_GoBack"/>
      <w:bookmarkEnd w:id="0"/>
    </w:p>
    <w:sectPr w:rsidR="007D5DCB" w:rsidRPr="007D5DCB">
      <w:pgSz w:w="11906" w:h="16838"/>
      <w:pgMar w:top="1440" w:right="1797" w:bottom="779" w:left="1797" w:header="851" w:footer="483"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12EA" w:rsidRDefault="00A312EA">
      <w:pPr>
        <w:spacing w:line="240" w:lineRule="auto"/>
      </w:pPr>
      <w:r>
        <w:separator/>
      </w:r>
    </w:p>
  </w:endnote>
  <w:endnote w:type="continuationSeparator" w:id="0">
    <w:p w:rsidR="00A312EA" w:rsidRDefault="00A312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FangSong_GB2312">
    <w:altName w:val="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12EA" w:rsidRDefault="00A312EA">
      <w:pPr>
        <w:spacing w:line="240" w:lineRule="auto"/>
      </w:pPr>
      <w:r>
        <w:separator/>
      </w:r>
    </w:p>
  </w:footnote>
  <w:footnote w:type="continuationSeparator" w:id="0">
    <w:p w:rsidR="00A312EA" w:rsidRDefault="00A312E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lvl w:ilvl="0">
      <w:start w:val="1"/>
      <w:numFmt w:val="bullet"/>
      <w:lvlText w:val=""/>
      <w:lvlJc w:val="left"/>
      <w:pPr>
        <w:tabs>
          <w:tab w:val="num" w:pos="792"/>
        </w:tabs>
        <w:ind w:left="792" w:hanging="420"/>
      </w:pPr>
      <w:rPr>
        <w:rFonts w:ascii="Wingdings" w:hAnsi="Wingdings" w:hint="default"/>
      </w:rPr>
    </w:lvl>
    <w:lvl w:ilvl="1">
      <w:start w:val="1"/>
      <w:numFmt w:val="bullet"/>
      <w:lvlText w:val=""/>
      <w:lvlJc w:val="left"/>
      <w:pPr>
        <w:tabs>
          <w:tab w:val="num" w:pos="1212"/>
        </w:tabs>
        <w:ind w:left="1212" w:hanging="420"/>
      </w:pPr>
      <w:rPr>
        <w:rFonts w:ascii="Wingdings" w:hAnsi="Wingdings" w:hint="default"/>
      </w:rPr>
    </w:lvl>
    <w:lvl w:ilvl="2">
      <w:start w:val="1"/>
      <w:numFmt w:val="bullet"/>
      <w:lvlText w:val=""/>
      <w:lvlJc w:val="left"/>
      <w:pPr>
        <w:tabs>
          <w:tab w:val="num" w:pos="1632"/>
        </w:tabs>
        <w:ind w:left="1632" w:hanging="420"/>
      </w:pPr>
      <w:rPr>
        <w:rFonts w:ascii="Wingdings" w:hAnsi="Wingdings" w:hint="default"/>
      </w:rPr>
    </w:lvl>
    <w:lvl w:ilvl="3">
      <w:start w:val="1"/>
      <w:numFmt w:val="bullet"/>
      <w:lvlText w:val=""/>
      <w:lvlJc w:val="left"/>
      <w:pPr>
        <w:tabs>
          <w:tab w:val="num" w:pos="2052"/>
        </w:tabs>
        <w:ind w:left="2052" w:hanging="420"/>
      </w:pPr>
      <w:rPr>
        <w:rFonts w:ascii="Wingdings" w:hAnsi="Wingdings" w:hint="default"/>
      </w:rPr>
    </w:lvl>
    <w:lvl w:ilvl="4">
      <w:start w:val="1"/>
      <w:numFmt w:val="bullet"/>
      <w:lvlText w:val=""/>
      <w:lvlJc w:val="left"/>
      <w:pPr>
        <w:tabs>
          <w:tab w:val="num" w:pos="2472"/>
        </w:tabs>
        <w:ind w:left="2472" w:hanging="420"/>
      </w:pPr>
      <w:rPr>
        <w:rFonts w:ascii="Wingdings" w:hAnsi="Wingdings" w:hint="default"/>
      </w:rPr>
    </w:lvl>
    <w:lvl w:ilvl="5">
      <w:start w:val="1"/>
      <w:numFmt w:val="bullet"/>
      <w:lvlText w:val=""/>
      <w:lvlJc w:val="left"/>
      <w:pPr>
        <w:tabs>
          <w:tab w:val="num" w:pos="2892"/>
        </w:tabs>
        <w:ind w:left="2892" w:hanging="420"/>
      </w:pPr>
      <w:rPr>
        <w:rFonts w:ascii="Wingdings" w:hAnsi="Wingdings" w:hint="default"/>
      </w:rPr>
    </w:lvl>
    <w:lvl w:ilvl="6">
      <w:start w:val="1"/>
      <w:numFmt w:val="bullet"/>
      <w:lvlText w:val=""/>
      <w:lvlJc w:val="left"/>
      <w:pPr>
        <w:tabs>
          <w:tab w:val="num" w:pos="3312"/>
        </w:tabs>
        <w:ind w:left="3312" w:hanging="420"/>
      </w:pPr>
      <w:rPr>
        <w:rFonts w:ascii="Wingdings" w:hAnsi="Wingdings" w:hint="default"/>
      </w:rPr>
    </w:lvl>
    <w:lvl w:ilvl="7">
      <w:start w:val="1"/>
      <w:numFmt w:val="bullet"/>
      <w:lvlText w:val=""/>
      <w:lvlJc w:val="left"/>
      <w:pPr>
        <w:tabs>
          <w:tab w:val="num" w:pos="3732"/>
        </w:tabs>
        <w:ind w:left="3732" w:hanging="420"/>
      </w:pPr>
      <w:rPr>
        <w:rFonts w:ascii="Wingdings" w:hAnsi="Wingdings" w:hint="default"/>
      </w:rPr>
    </w:lvl>
    <w:lvl w:ilvl="8">
      <w:start w:val="1"/>
      <w:numFmt w:val="bullet"/>
      <w:lvlText w:val=""/>
      <w:lvlJc w:val="left"/>
      <w:pPr>
        <w:tabs>
          <w:tab w:val="num" w:pos="4152"/>
        </w:tabs>
        <w:ind w:left="4152" w:hanging="420"/>
      </w:pPr>
      <w:rPr>
        <w:rFonts w:ascii="Wingdings" w:hAnsi="Wingdings" w:hint="default"/>
      </w:rPr>
    </w:lvl>
  </w:abstractNum>
  <w:abstractNum w:abstractNumId="1" w15:restartNumberingAfterBreak="0">
    <w:nsid w:val="0000000C"/>
    <w:multiLevelType w:val="multilevel"/>
    <w:tmpl w:val="0000000C"/>
    <w:lvl w:ilvl="0">
      <w:start w:val="1"/>
      <w:numFmt w:val="bullet"/>
      <w:lvlText w:val=""/>
      <w:lvlJc w:val="left"/>
      <w:pPr>
        <w:tabs>
          <w:tab w:val="num" w:pos="792"/>
        </w:tabs>
        <w:ind w:left="792" w:hanging="420"/>
      </w:pPr>
      <w:rPr>
        <w:rFonts w:ascii="Wingdings" w:hAnsi="Wingdings" w:hint="default"/>
      </w:rPr>
    </w:lvl>
    <w:lvl w:ilvl="1">
      <w:start w:val="1"/>
      <w:numFmt w:val="bullet"/>
      <w:lvlText w:val=""/>
      <w:lvlJc w:val="left"/>
      <w:pPr>
        <w:tabs>
          <w:tab w:val="num" w:pos="1212"/>
        </w:tabs>
        <w:ind w:left="1212" w:hanging="420"/>
      </w:pPr>
      <w:rPr>
        <w:rFonts w:ascii="Wingdings" w:hAnsi="Wingdings" w:hint="default"/>
      </w:rPr>
    </w:lvl>
    <w:lvl w:ilvl="2">
      <w:start w:val="1"/>
      <w:numFmt w:val="bullet"/>
      <w:lvlText w:val=""/>
      <w:lvlJc w:val="left"/>
      <w:pPr>
        <w:tabs>
          <w:tab w:val="num" w:pos="1632"/>
        </w:tabs>
        <w:ind w:left="1632" w:hanging="420"/>
      </w:pPr>
      <w:rPr>
        <w:rFonts w:ascii="Wingdings" w:hAnsi="Wingdings" w:hint="default"/>
      </w:rPr>
    </w:lvl>
    <w:lvl w:ilvl="3">
      <w:start w:val="1"/>
      <w:numFmt w:val="bullet"/>
      <w:lvlText w:val=""/>
      <w:lvlJc w:val="left"/>
      <w:pPr>
        <w:tabs>
          <w:tab w:val="num" w:pos="2052"/>
        </w:tabs>
        <w:ind w:left="2052" w:hanging="420"/>
      </w:pPr>
      <w:rPr>
        <w:rFonts w:ascii="Wingdings" w:hAnsi="Wingdings" w:hint="default"/>
      </w:rPr>
    </w:lvl>
    <w:lvl w:ilvl="4">
      <w:start w:val="1"/>
      <w:numFmt w:val="bullet"/>
      <w:lvlText w:val=""/>
      <w:lvlJc w:val="left"/>
      <w:pPr>
        <w:tabs>
          <w:tab w:val="num" w:pos="2472"/>
        </w:tabs>
        <w:ind w:left="2472" w:hanging="420"/>
      </w:pPr>
      <w:rPr>
        <w:rFonts w:ascii="Wingdings" w:hAnsi="Wingdings" w:hint="default"/>
      </w:rPr>
    </w:lvl>
    <w:lvl w:ilvl="5">
      <w:start w:val="1"/>
      <w:numFmt w:val="bullet"/>
      <w:lvlText w:val=""/>
      <w:lvlJc w:val="left"/>
      <w:pPr>
        <w:tabs>
          <w:tab w:val="num" w:pos="2892"/>
        </w:tabs>
        <w:ind w:left="2892" w:hanging="420"/>
      </w:pPr>
      <w:rPr>
        <w:rFonts w:ascii="Wingdings" w:hAnsi="Wingdings" w:hint="default"/>
      </w:rPr>
    </w:lvl>
    <w:lvl w:ilvl="6">
      <w:start w:val="1"/>
      <w:numFmt w:val="bullet"/>
      <w:lvlText w:val=""/>
      <w:lvlJc w:val="left"/>
      <w:pPr>
        <w:tabs>
          <w:tab w:val="num" w:pos="3312"/>
        </w:tabs>
        <w:ind w:left="3312" w:hanging="420"/>
      </w:pPr>
      <w:rPr>
        <w:rFonts w:ascii="Wingdings" w:hAnsi="Wingdings" w:hint="default"/>
      </w:rPr>
    </w:lvl>
    <w:lvl w:ilvl="7">
      <w:start w:val="1"/>
      <w:numFmt w:val="bullet"/>
      <w:lvlText w:val=""/>
      <w:lvlJc w:val="left"/>
      <w:pPr>
        <w:tabs>
          <w:tab w:val="num" w:pos="3732"/>
        </w:tabs>
        <w:ind w:left="3732" w:hanging="420"/>
      </w:pPr>
      <w:rPr>
        <w:rFonts w:ascii="Wingdings" w:hAnsi="Wingdings" w:hint="default"/>
      </w:rPr>
    </w:lvl>
    <w:lvl w:ilvl="8">
      <w:start w:val="1"/>
      <w:numFmt w:val="bullet"/>
      <w:lvlText w:val=""/>
      <w:lvlJc w:val="left"/>
      <w:pPr>
        <w:tabs>
          <w:tab w:val="num" w:pos="4152"/>
        </w:tabs>
        <w:ind w:left="4152" w:hanging="420"/>
      </w:pPr>
      <w:rPr>
        <w:rFonts w:ascii="Wingdings" w:hAnsi="Wingdings" w:hint="default"/>
      </w:rPr>
    </w:lvl>
  </w:abstractNum>
  <w:abstractNum w:abstractNumId="2" w15:restartNumberingAfterBreak="0">
    <w:nsid w:val="0000000F"/>
    <w:multiLevelType w:val="multilevel"/>
    <w:tmpl w:val="0000000F"/>
    <w:lvl w:ilvl="0">
      <w:start w:val="1"/>
      <w:numFmt w:val="bullet"/>
      <w:lvlText w:val=""/>
      <w:lvlJc w:val="left"/>
      <w:pPr>
        <w:ind w:left="1212" w:hanging="420"/>
      </w:pPr>
      <w:rPr>
        <w:rFonts w:ascii="Wingdings" w:hAnsi="Wingdings" w:hint="default"/>
      </w:rPr>
    </w:lvl>
    <w:lvl w:ilvl="1">
      <w:start w:val="1"/>
      <w:numFmt w:val="bullet"/>
      <w:lvlText w:val=""/>
      <w:lvlJc w:val="left"/>
      <w:pPr>
        <w:ind w:left="1632" w:hanging="420"/>
      </w:pPr>
      <w:rPr>
        <w:rFonts w:ascii="Wingdings" w:hAnsi="Wingdings" w:hint="default"/>
      </w:rPr>
    </w:lvl>
    <w:lvl w:ilvl="2">
      <w:start w:val="1"/>
      <w:numFmt w:val="bullet"/>
      <w:lvlText w:val=""/>
      <w:lvlJc w:val="left"/>
      <w:pPr>
        <w:ind w:left="2052" w:hanging="420"/>
      </w:pPr>
      <w:rPr>
        <w:rFonts w:ascii="Wingdings" w:hAnsi="Wingdings" w:hint="default"/>
      </w:rPr>
    </w:lvl>
    <w:lvl w:ilvl="3">
      <w:start w:val="1"/>
      <w:numFmt w:val="bullet"/>
      <w:lvlText w:val=""/>
      <w:lvlJc w:val="left"/>
      <w:pPr>
        <w:ind w:left="2472" w:hanging="420"/>
      </w:pPr>
      <w:rPr>
        <w:rFonts w:ascii="Wingdings" w:hAnsi="Wingdings" w:hint="default"/>
      </w:rPr>
    </w:lvl>
    <w:lvl w:ilvl="4">
      <w:start w:val="1"/>
      <w:numFmt w:val="bullet"/>
      <w:lvlText w:val=""/>
      <w:lvlJc w:val="left"/>
      <w:pPr>
        <w:ind w:left="2892" w:hanging="420"/>
      </w:pPr>
      <w:rPr>
        <w:rFonts w:ascii="Wingdings" w:hAnsi="Wingdings" w:hint="default"/>
      </w:rPr>
    </w:lvl>
    <w:lvl w:ilvl="5">
      <w:start w:val="1"/>
      <w:numFmt w:val="bullet"/>
      <w:lvlText w:val=""/>
      <w:lvlJc w:val="left"/>
      <w:pPr>
        <w:ind w:left="3312" w:hanging="420"/>
      </w:pPr>
      <w:rPr>
        <w:rFonts w:ascii="Wingdings" w:hAnsi="Wingdings" w:hint="default"/>
      </w:rPr>
    </w:lvl>
    <w:lvl w:ilvl="6">
      <w:start w:val="1"/>
      <w:numFmt w:val="bullet"/>
      <w:lvlText w:val=""/>
      <w:lvlJc w:val="left"/>
      <w:pPr>
        <w:ind w:left="3732" w:hanging="420"/>
      </w:pPr>
      <w:rPr>
        <w:rFonts w:ascii="Wingdings" w:hAnsi="Wingdings" w:hint="default"/>
      </w:rPr>
    </w:lvl>
    <w:lvl w:ilvl="7">
      <w:start w:val="1"/>
      <w:numFmt w:val="bullet"/>
      <w:lvlText w:val=""/>
      <w:lvlJc w:val="left"/>
      <w:pPr>
        <w:ind w:left="4152" w:hanging="420"/>
      </w:pPr>
      <w:rPr>
        <w:rFonts w:ascii="Wingdings" w:hAnsi="Wingdings" w:hint="default"/>
      </w:rPr>
    </w:lvl>
    <w:lvl w:ilvl="8">
      <w:start w:val="1"/>
      <w:numFmt w:val="bullet"/>
      <w:lvlText w:val=""/>
      <w:lvlJc w:val="left"/>
      <w:pPr>
        <w:ind w:left="4572" w:hanging="420"/>
      </w:pPr>
      <w:rPr>
        <w:rFonts w:ascii="Wingdings" w:hAnsi="Wingdings" w:hint="default"/>
      </w:rPr>
    </w:lvl>
  </w:abstractNum>
  <w:abstractNum w:abstractNumId="3" w15:restartNumberingAfterBreak="0">
    <w:nsid w:val="00000010"/>
    <w:multiLevelType w:val="multilevel"/>
    <w:tmpl w:val="00000010"/>
    <w:lvl w:ilvl="0">
      <w:start w:val="1"/>
      <w:numFmt w:val="bullet"/>
      <w:lvlText w:val=""/>
      <w:lvlJc w:val="left"/>
      <w:pPr>
        <w:tabs>
          <w:tab w:val="num" w:pos="792"/>
        </w:tabs>
        <w:ind w:left="792" w:hanging="420"/>
      </w:pPr>
      <w:rPr>
        <w:rFonts w:ascii="Wingdings" w:hAnsi="Wingdings" w:hint="default"/>
      </w:rPr>
    </w:lvl>
    <w:lvl w:ilvl="1">
      <w:start w:val="1"/>
      <w:numFmt w:val="bullet"/>
      <w:lvlText w:val=""/>
      <w:lvlJc w:val="left"/>
      <w:pPr>
        <w:tabs>
          <w:tab w:val="num" w:pos="1212"/>
        </w:tabs>
        <w:ind w:left="1212" w:hanging="420"/>
      </w:pPr>
      <w:rPr>
        <w:rFonts w:ascii="Wingdings" w:hAnsi="Wingdings" w:hint="default"/>
      </w:rPr>
    </w:lvl>
    <w:lvl w:ilvl="2">
      <w:start w:val="1"/>
      <w:numFmt w:val="bullet"/>
      <w:lvlText w:val=""/>
      <w:lvlJc w:val="left"/>
      <w:pPr>
        <w:tabs>
          <w:tab w:val="num" w:pos="1632"/>
        </w:tabs>
        <w:ind w:left="1632" w:hanging="420"/>
      </w:pPr>
      <w:rPr>
        <w:rFonts w:ascii="Wingdings" w:hAnsi="Wingdings" w:hint="default"/>
      </w:rPr>
    </w:lvl>
    <w:lvl w:ilvl="3">
      <w:start w:val="1"/>
      <w:numFmt w:val="bullet"/>
      <w:lvlText w:val=""/>
      <w:lvlJc w:val="left"/>
      <w:pPr>
        <w:tabs>
          <w:tab w:val="num" w:pos="2052"/>
        </w:tabs>
        <w:ind w:left="2052" w:hanging="420"/>
      </w:pPr>
      <w:rPr>
        <w:rFonts w:ascii="Wingdings" w:hAnsi="Wingdings" w:hint="default"/>
      </w:rPr>
    </w:lvl>
    <w:lvl w:ilvl="4">
      <w:start w:val="1"/>
      <w:numFmt w:val="bullet"/>
      <w:lvlText w:val=""/>
      <w:lvlJc w:val="left"/>
      <w:pPr>
        <w:tabs>
          <w:tab w:val="num" w:pos="2472"/>
        </w:tabs>
        <w:ind w:left="2472" w:hanging="420"/>
      </w:pPr>
      <w:rPr>
        <w:rFonts w:ascii="Wingdings" w:hAnsi="Wingdings" w:hint="default"/>
      </w:rPr>
    </w:lvl>
    <w:lvl w:ilvl="5">
      <w:start w:val="1"/>
      <w:numFmt w:val="bullet"/>
      <w:lvlText w:val=""/>
      <w:lvlJc w:val="left"/>
      <w:pPr>
        <w:tabs>
          <w:tab w:val="num" w:pos="2892"/>
        </w:tabs>
        <w:ind w:left="2892" w:hanging="420"/>
      </w:pPr>
      <w:rPr>
        <w:rFonts w:ascii="Wingdings" w:hAnsi="Wingdings" w:hint="default"/>
      </w:rPr>
    </w:lvl>
    <w:lvl w:ilvl="6">
      <w:start w:val="1"/>
      <w:numFmt w:val="bullet"/>
      <w:lvlText w:val=""/>
      <w:lvlJc w:val="left"/>
      <w:pPr>
        <w:tabs>
          <w:tab w:val="num" w:pos="3312"/>
        </w:tabs>
        <w:ind w:left="3312" w:hanging="420"/>
      </w:pPr>
      <w:rPr>
        <w:rFonts w:ascii="Wingdings" w:hAnsi="Wingdings" w:hint="default"/>
      </w:rPr>
    </w:lvl>
    <w:lvl w:ilvl="7">
      <w:start w:val="1"/>
      <w:numFmt w:val="bullet"/>
      <w:lvlText w:val=""/>
      <w:lvlJc w:val="left"/>
      <w:pPr>
        <w:tabs>
          <w:tab w:val="num" w:pos="3732"/>
        </w:tabs>
        <w:ind w:left="3732" w:hanging="420"/>
      </w:pPr>
      <w:rPr>
        <w:rFonts w:ascii="Wingdings" w:hAnsi="Wingdings" w:hint="default"/>
      </w:rPr>
    </w:lvl>
    <w:lvl w:ilvl="8">
      <w:start w:val="1"/>
      <w:numFmt w:val="bullet"/>
      <w:lvlText w:val=""/>
      <w:lvlJc w:val="left"/>
      <w:pPr>
        <w:tabs>
          <w:tab w:val="num" w:pos="4152"/>
        </w:tabs>
        <w:ind w:left="4152" w:hanging="420"/>
      </w:pPr>
      <w:rPr>
        <w:rFonts w:ascii="Wingdings" w:hAnsi="Wingdings" w:hint="default"/>
      </w:rPr>
    </w:lvl>
  </w:abstractNum>
  <w:abstractNum w:abstractNumId="4" w15:restartNumberingAfterBreak="0">
    <w:nsid w:val="00000015"/>
    <w:multiLevelType w:val="multilevel"/>
    <w:tmpl w:val="00000015"/>
    <w:lvl w:ilvl="0">
      <w:start w:val="1"/>
      <w:numFmt w:val="bullet"/>
      <w:lvlText w:val=""/>
      <w:lvlJc w:val="left"/>
      <w:pPr>
        <w:tabs>
          <w:tab w:val="num" w:pos="792"/>
        </w:tabs>
        <w:ind w:left="792" w:hanging="420"/>
      </w:pPr>
      <w:rPr>
        <w:rFonts w:ascii="Wingdings" w:hAnsi="Wingdings" w:hint="default"/>
      </w:rPr>
    </w:lvl>
    <w:lvl w:ilvl="1">
      <w:start w:val="1"/>
      <w:numFmt w:val="bullet"/>
      <w:lvlText w:val=""/>
      <w:lvlJc w:val="left"/>
      <w:pPr>
        <w:tabs>
          <w:tab w:val="num" w:pos="1212"/>
        </w:tabs>
        <w:ind w:left="1212" w:hanging="420"/>
      </w:pPr>
      <w:rPr>
        <w:rFonts w:ascii="Wingdings" w:hAnsi="Wingdings" w:hint="default"/>
      </w:rPr>
    </w:lvl>
    <w:lvl w:ilvl="2">
      <w:start w:val="1"/>
      <w:numFmt w:val="bullet"/>
      <w:lvlText w:val=""/>
      <w:lvlJc w:val="left"/>
      <w:pPr>
        <w:tabs>
          <w:tab w:val="num" w:pos="1632"/>
        </w:tabs>
        <w:ind w:left="1632" w:hanging="420"/>
      </w:pPr>
      <w:rPr>
        <w:rFonts w:ascii="Wingdings" w:hAnsi="Wingdings" w:hint="default"/>
      </w:rPr>
    </w:lvl>
    <w:lvl w:ilvl="3">
      <w:start w:val="1"/>
      <w:numFmt w:val="bullet"/>
      <w:lvlText w:val=""/>
      <w:lvlJc w:val="left"/>
      <w:pPr>
        <w:tabs>
          <w:tab w:val="num" w:pos="2052"/>
        </w:tabs>
        <w:ind w:left="2052" w:hanging="420"/>
      </w:pPr>
      <w:rPr>
        <w:rFonts w:ascii="Wingdings" w:hAnsi="Wingdings" w:hint="default"/>
      </w:rPr>
    </w:lvl>
    <w:lvl w:ilvl="4">
      <w:start w:val="1"/>
      <w:numFmt w:val="bullet"/>
      <w:lvlText w:val=""/>
      <w:lvlJc w:val="left"/>
      <w:pPr>
        <w:tabs>
          <w:tab w:val="num" w:pos="2472"/>
        </w:tabs>
        <w:ind w:left="2472" w:hanging="420"/>
      </w:pPr>
      <w:rPr>
        <w:rFonts w:ascii="Wingdings" w:hAnsi="Wingdings" w:hint="default"/>
      </w:rPr>
    </w:lvl>
    <w:lvl w:ilvl="5">
      <w:start w:val="1"/>
      <w:numFmt w:val="bullet"/>
      <w:lvlText w:val=""/>
      <w:lvlJc w:val="left"/>
      <w:pPr>
        <w:tabs>
          <w:tab w:val="num" w:pos="2892"/>
        </w:tabs>
        <w:ind w:left="2892" w:hanging="420"/>
      </w:pPr>
      <w:rPr>
        <w:rFonts w:ascii="Wingdings" w:hAnsi="Wingdings" w:hint="default"/>
      </w:rPr>
    </w:lvl>
    <w:lvl w:ilvl="6">
      <w:start w:val="1"/>
      <w:numFmt w:val="bullet"/>
      <w:lvlText w:val=""/>
      <w:lvlJc w:val="left"/>
      <w:pPr>
        <w:tabs>
          <w:tab w:val="num" w:pos="3312"/>
        </w:tabs>
        <w:ind w:left="3312" w:hanging="420"/>
      </w:pPr>
      <w:rPr>
        <w:rFonts w:ascii="Wingdings" w:hAnsi="Wingdings" w:hint="default"/>
      </w:rPr>
    </w:lvl>
    <w:lvl w:ilvl="7">
      <w:start w:val="1"/>
      <w:numFmt w:val="bullet"/>
      <w:lvlText w:val=""/>
      <w:lvlJc w:val="left"/>
      <w:pPr>
        <w:tabs>
          <w:tab w:val="num" w:pos="3732"/>
        </w:tabs>
        <w:ind w:left="3732" w:hanging="420"/>
      </w:pPr>
      <w:rPr>
        <w:rFonts w:ascii="Wingdings" w:hAnsi="Wingdings" w:hint="default"/>
      </w:rPr>
    </w:lvl>
    <w:lvl w:ilvl="8">
      <w:start w:val="1"/>
      <w:numFmt w:val="bullet"/>
      <w:lvlText w:val=""/>
      <w:lvlJc w:val="left"/>
      <w:pPr>
        <w:tabs>
          <w:tab w:val="num" w:pos="4152"/>
        </w:tabs>
        <w:ind w:left="4152" w:hanging="420"/>
      </w:pPr>
      <w:rPr>
        <w:rFonts w:ascii="Wingdings" w:hAnsi="Wingdings" w:hint="default"/>
      </w:rPr>
    </w:lvl>
  </w:abstractNum>
  <w:abstractNum w:abstractNumId="5" w15:restartNumberingAfterBreak="0">
    <w:nsid w:val="0000002C"/>
    <w:multiLevelType w:val="multilevel"/>
    <w:tmpl w:val="0000002C"/>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9760B1F"/>
    <w:multiLevelType w:val="hybridMultilevel"/>
    <w:tmpl w:val="DCF2C37E"/>
    <w:lvl w:ilvl="0" w:tplc="34ECC5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32C5A88"/>
    <w:multiLevelType w:val="hybridMultilevel"/>
    <w:tmpl w:val="7D1403F2"/>
    <w:lvl w:ilvl="0" w:tplc="41A604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43106B3"/>
    <w:multiLevelType w:val="hybridMultilevel"/>
    <w:tmpl w:val="5E8209D8"/>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73A31076"/>
    <w:multiLevelType w:val="hybridMultilevel"/>
    <w:tmpl w:val="0F40899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7A585C46"/>
    <w:multiLevelType w:val="hybridMultilevel"/>
    <w:tmpl w:val="EBC20F96"/>
    <w:lvl w:ilvl="0" w:tplc="F56A9C2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F703DCD"/>
    <w:multiLevelType w:val="hybridMultilevel"/>
    <w:tmpl w:val="3A60C8C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3"/>
  </w:num>
  <w:num w:numId="3">
    <w:abstractNumId w:val="1"/>
  </w:num>
  <w:num w:numId="4">
    <w:abstractNumId w:val="2"/>
  </w:num>
  <w:num w:numId="5">
    <w:abstractNumId w:val="0"/>
  </w:num>
  <w:num w:numId="6">
    <w:abstractNumId w:val="4"/>
  </w:num>
  <w:num w:numId="7">
    <w:abstractNumId w:val="10"/>
  </w:num>
  <w:num w:numId="8">
    <w:abstractNumId w:val="11"/>
  </w:num>
  <w:num w:numId="9">
    <w:abstractNumId w:val="6"/>
  </w:num>
  <w:num w:numId="10">
    <w:abstractNumId w:val="7"/>
  </w:num>
  <w:num w:numId="11">
    <w:abstractNumId w:val="9"/>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ddd" stroke="f">
      <v:fill color="#ddd"/>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5F60"/>
    <w:rsid w:val="000133A3"/>
    <w:rsid w:val="000269AF"/>
    <w:rsid w:val="00040AB5"/>
    <w:rsid w:val="00043965"/>
    <w:rsid w:val="00043B3F"/>
    <w:rsid w:val="000448F7"/>
    <w:rsid w:val="00057B3E"/>
    <w:rsid w:val="00061BFF"/>
    <w:rsid w:val="00065903"/>
    <w:rsid w:val="0007433C"/>
    <w:rsid w:val="00082569"/>
    <w:rsid w:val="00082A89"/>
    <w:rsid w:val="000C08AD"/>
    <w:rsid w:val="000C243B"/>
    <w:rsid w:val="000E26C0"/>
    <w:rsid w:val="000F270D"/>
    <w:rsid w:val="0010557C"/>
    <w:rsid w:val="00120933"/>
    <w:rsid w:val="00131331"/>
    <w:rsid w:val="00131423"/>
    <w:rsid w:val="0013458F"/>
    <w:rsid w:val="001372B1"/>
    <w:rsid w:val="0014735A"/>
    <w:rsid w:val="0015582C"/>
    <w:rsid w:val="00167C99"/>
    <w:rsid w:val="00172A27"/>
    <w:rsid w:val="00186BE7"/>
    <w:rsid w:val="00192116"/>
    <w:rsid w:val="001D183D"/>
    <w:rsid w:val="001D2604"/>
    <w:rsid w:val="001D7E93"/>
    <w:rsid w:val="0020126C"/>
    <w:rsid w:val="00206B88"/>
    <w:rsid w:val="002337B4"/>
    <w:rsid w:val="00233FD0"/>
    <w:rsid w:val="0023614C"/>
    <w:rsid w:val="002412E8"/>
    <w:rsid w:val="00245B9B"/>
    <w:rsid w:val="00246422"/>
    <w:rsid w:val="0025532C"/>
    <w:rsid w:val="00255919"/>
    <w:rsid w:val="00274486"/>
    <w:rsid w:val="0027537D"/>
    <w:rsid w:val="002A315C"/>
    <w:rsid w:val="002B5AD4"/>
    <w:rsid w:val="002B7B6A"/>
    <w:rsid w:val="002C0AD4"/>
    <w:rsid w:val="002C7D2D"/>
    <w:rsid w:val="002D0069"/>
    <w:rsid w:val="002D465E"/>
    <w:rsid w:val="002D739A"/>
    <w:rsid w:val="002F28C3"/>
    <w:rsid w:val="00311F0B"/>
    <w:rsid w:val="00323095"/>
    <w:rsid w:val="0032415F"/>
    <w:rsid w:val="00333106"/>
    <w:rsid w:val="003355FB"/>
    <w:rsid w:val="00344D7B"/>
    <w:rsid w:val="0036451C"/>
    <w:rsid w:val="00364F30"/>
    <w:rsid w:val="00385705"/>
    <w:rsid w:val="003B30E0"/>
    <w:rsid w:val="003C6073"/>
    <w:rsid w:val="003C6E4A"/>
    <w:rsid w:val="003C7DE0"/>
    <w:rsid w:val="003D720E"/>
    <w:rsid w:val="003D74E0"/>
    <w:rsid w:val="003E6610"/>
    <w:rsid w:val="003F0D38"/>
    <w:rsid w:val="003F0E58"/>
    <w:rsid w:val="004050AE"/>
    <w:rsid w:val="004075F6"/>
    <w:rsid w:val="00414F29"/>
    <w:rsid w:val="00416FB5"/>
    <w:rsid w:val="004178BB"/>
    <w:rsid w:val="00420566"/>
    <w:rsid w:val="00423405"/>
    <w:rsid w:val="00423834"/>
    <w:rsid w:val="00433A16"/>
    <w:rsid w:val="00437F1E"/>
    <w:rsid w:val="00440688"/>
    <w:rsid w:val="0044502D"/>
    <w:rsid w:val="0046026B"/>
    <w:rsid w:val="004902CD"/>
    <w:rsid w:val="004A167E"/>
    <w:rsid w:val="004A5CD0"/>
    <w:rsid w:val="004B6FA5"/>
    <w:rsid w:val="004C07B3"/>
    <w:rsid w:val="004D35BF"/>
    <w:rsid w:val="004E00F3"/>
    <w:rsid w:val="004E6397"/>
    <w:rsid w:val="004F48C0"/>
    <w:rsid w:val="005058D1"/>
    <w:rsid w:val="00534694"/>
    <w:rsid w:val="00541C60"/>
    <w:rsid w:val="005656CB"/>
    <w:rsid w:val="00587C76"/>
    <w:rsid w:val="00596A18"/>
    <w:rsid w:val="005B6046"/>
    <w:rsid w:val="005C034D"/>
    <w:rsid w:val="005C4187"/>
    <w:rsid w:val="005F68CB"/>
    <w:rsid w:val="0060440C"/>
    <w:rsid w:val="0061105E"/>
    <w:rsid w:val="00611771"/>
    <w:rsid w:val="00613C01"/>
    <w:rsid w:val="0061605D"/>
    <w:rsid w:val="006257F4"/>
    <w:rsid w:val="006303EA"/>
    <w:rsid w:val="00636143"/>
    <w:rsid w:val="00644E4E"/>
    <w:rsid w:val="006517B3"/>
    <w:rsid w:val="00652DB3"/>
    <w:rsid w:val="006575FB"/>
    <w:rsid w:val="00657790"/>
    <w:rsid w:val="00663E65"/>
    <w:rsid w:val="006B2AB6"/>
    <w:rsid w:val="006C05C2"/>
    <w:rsid w:val="006D3B40"/>
    <w:rsid w:val="006D67C8"/>
    <w:rsid w:val="00711CA5"/>
    <w:rsid w:val="00720D3A"/>
    <w:rsid w:val="00726E6B"/>
    <w:rsid w:val="0073220C"/>
    <w:rsid w:val="007358F4"/>
    <w:rsid w:val="00742475"/>
    <w:rsid w:val="0075188C"/>
    <w:rsid w:val="00761102"/>
    <w:rsid w:val="00782674"/>
    <w:rsid w:val="00785558"/>
    <w:rsid w:val="007C27CC"/>
    <w:rsid w:val="007C6792"/>
    <w:rsid w:val="007C6DE9"/>
    <w:rsid w:val="007D5DCB"/>
    <w:rsid w:val="00813BC6"/>
    <w:rsid w:val="00815C30"/>
    <w:rsid w:val="00830811"/>
    <w:rsid w:val="0083425B"/>
    <w:rsid w:val="00840781"/>
    <w:rsid w:val="00850210"/>
    <w:rsid w:val="008705A9"/>
    <w:rsid w:val="00877764"/>
    <w:rsid w:val="00894D52"/>
    <w:rsid w:val="008C2473"/>
    <w:rsid w:val="008D1FA9"/>
    <w:rsid w:val="008D2AC9"/>
    <w:rsid w:val="008D7D8F"/>
    <w:rsid w:val="008E2CC4"/>
    <w:rsid w:val="008E483B"/>
    <w:rsid w:val="008E52AC"/>
    <w:rsid w:val="008E5A66"/>
    <w:rsid w:val="008F7D76"/>
    <w:rsid w:val="00920991"/>
    <w:rsid w:val="00931756"/>
    <w:rsid w:val="009330D0"/>
    <w:rsid w:val="009361A2"/>
    <w:rsid w:val="00943723"/>
    <w:rsid w:val="00946C4C"/>
    <w:rsid w:val="009533B4"/>
    <w:rsid w:val="00970A4E"/>
    <w:rsid w:val="00970E67"/>
    <w:rsid w:val="00984379"/>
    <w:rsid w:val="00992391"/>
    <w:rsid w:val="00997BFD"/>
    <w:rsid w:val="009A2330"/>
    <w:rsid w:val="009B4052"/>
    <w:rsid w:val="009C078D"/>
    <w:rsid w:val="009C76F7"/>
    <w:rsid w:val="009E00BD"/>
    <w:rsid w:val="009E6BCE"/>
    <w:rsid w:val="009E7DDB"/>
    <w:rsid w:val="009F3A4E"/>
    <w:rsid w:val="00A26460"/>
    <w:rsid w:val="00A312EA"/>
    <w:rsid w:val="00A35EB0"/>
    <w:rsid w:val="00A51654"/>
    <w:rsid w:val="00A61D30"/>
    <w:rsid w:val="00A7184D"/>
    <w:rsid w:val="00A71EF7"/>
    <w:rsid w:val="00AC1EBF"/>
    <w:rsid w:val="00AF7ECE"/>
    <w:rsid w:val="00B016E7"/>
    <w:rsid w:val="00B076C8"/>
    <w:rsid w:val="00B277FA"/>
    <w:rsid w:val="00B34BE4"/>
    <w:rsid w:val="00B354A4"/>
    <w:rsid w:val="00B407A8"/>
    <w:rsid w:val="00B407B8"/>
    <w:rsid w:val="00B85A8C"/>
    <w:rsid w:val="00B965EE"/>
    <w:rsid w:val="00BA2CB1"/>
    <w:rsid w:val="00BB1C2B"/>
    <w:rsid w:val="00BB4B16"/>
    <w:rsid w:val="00BB5D42"/>
    <w:rsid w:val="00BD6576"/>
    <w:rsid w:val="00BD73E0"/>
    <w:rsid w:val="00BE2362"/>
    <w:rsid w:val="00C06188"/>
    <w:rsid w:val="00C1233B"/>
    <w:rsid w:val="00C13508"/>
    <w:rsid w:val="00C15F05"/>
    <w:rsid w:val="00C16CC6"/>
    <w:rsid w:val="00C27632"/>
    <w:rsid w:val="00C4429F"/>
    <w:rsid w:val="00C57BE4"/>
    <w:rsid w:val="00C60580"/>
    <w:rsid w:val="00C70E31"/>
    <w:rsid w:val="00C76A21"/>
    <w:rsid w:val="00C83B52"/>
    <w:rsid w:val="00CD0468"/>
    <w:rsid w:val="00CD2976"/>
    <w:rsid w:val="00D022ED"/>
    <w:rsid w:val="00D1293A"/>
    <w:rsid w:val="00D12ED2"/>
    <w:rsid w:val="00D235EC"/>
    <w:rsid w:val="00D3236E"/>
    <w:rsid w:val="00D33903"/>
    <w:rsid w:val="00D35298"/>
    <w:rsid w:val="00D41207"/>
    <w:rsid w:val="00D51FDE"/>
    <w:rsid w:val="00D53B13"/>
    <w:rsid w:val="00D60809"/>
    <w:rsid w:val="00D67945"/>
    <w:rsid w:val="00D72DA0"/>
    <w:rsid w:val="00D75297"/>
    <w:rsid w:val="00D772C9"/>
    <w:rsid w:val="00D85E29"/>
    <w:rsid w:val="00D94C01"/>
    <w:rsid w:val="00D960E9"/>
    <w:rsid w:val="00DA1679"/>
    <w:rsid w:val="00DB0120"/>
    <w:rsid w:val="00DC272C"/>
    <w:rsid w:val="00DD4A57"/>
    <w:rsid w:val="00E01B75"/>
    <w:rsid w:val="00E14216"/>
    <w:rsid w:val="00E15155"/>
    <w:rsid w:val="00E17864"/>
    <w:rsid w:val="00E30CFC"/>
    <w:rsid w:val="00E31718"/>
    <w:rsid w:val="00E4030D"/>
    <w:rsid w:val="00E46B42"/>
    <w:rsid w:val="00E4771D"/>
    <w:rsid w:val="00E50BBC"/>
    <w:rsid w:val="00E6504F"/>
    <w:rsid w:val="00E7673C"/>
    <w:rsid w:val="00E76B3A"/>
    <w:rsid w:val="00E80897"/>
    <w:rsid w:val="00E84941"/>
    <w:rsid w:val="00EA252B"/>
    <w:rsid w:val="00EA7DB8"/>
    <w:rsid w:val="00EB3778"/>
    <w:rsid w:val="00EC7991"/>
    <w:rsid w:val="00ED1170"/>
    <w:rsid w:val="00ED394C"/>
    <w:rsid w:val="00F038A0"/>
    <w:rsid w:val="00F10BD0"/>
    <w:rsid w:val="00F216F1"/>
    <w:rsid w:val="00F26189"/>
    <w:rsid w:val="00F27350"/>
    <w:rsid w:val="00F33D18"/>
    <w:rsid w:val="00F46218"/>
    <w:rsid w:val="00F47BEB"/>
    <w:rsid w:val="00F57B15"/>
    <w:rsid w:val="00F73DC1"/>
    <w:rsid w:val="00F87D9E"/>
    <w:rsid w:val="00F9329C"/>
    <w:rsid w:val="00F97E09"/>
    <w:rsid w:val="00FB1D72"/>
    <w:rsid w:val="00FC0D22"/>
    <w:rsid w:val="00FD0E30"/>
    <w:rsid w:val="00FD1296"/>
    <w:rsid w:val="00FE440F"/>
    <w:rsid w:val="00FE641B"/>
    <w:rsid w:val="00FF1C73"/>
    <w:rsid w:val="00FF27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ddd" stroke="f">
      <v:fill color="#ddd"/>
      <v:stroke on="f"/>
    </o:shapedefaults>
    <o:shapelayout v:ext="edit">
      <o:idmap v:ext="edit" data="1"/>
    </o:shapelayout>
  </w:shapeDefaults>
  <w:decimalSymbol w:val="."/>
  <w:listSeparator w:val=","/>
  <w14:docId w14:val="568ABF40"/>
  <w15:docId w15:val="{159CBA50-7FED-45F2-A059-D16DAD569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pacing w:line="360" w:lineRule="auto"/>
      <w:jc w:val="both"/>
    </w:pPr>
    <w:rPr>
      <w:kern w:val="2"/>
      <w:sz w:val="21"/>
    </w:rPr>
  </w:style>
  <w:style w:type="paragraph" w:styleId="Heading1">
    <w:name w:val="heading 1"/>
    <w:basedOn w:val="Normal"/>
    <w:next w:val="Normal"/>
    <w:qFormat/>
    <w:pPr>
      <w:keepNext/>
      <w:spacing w:before="340" w:after="330" w:line="576" w:lineRule="auto"/>
      <w:jc w:val="left"/>
      <w:outlineLvl w:val="0"/>
    </w:pPr>
    <w:rPr>
      <w:rFonts w:ascii="Arial" w:eastAsia="SimHei" w:hAnsi="Arial"/>
      <w:b/>
      <w:kern w:val="44"/>
      <w:sz w:val="30"/>
    </w:rPr>
  </w:style>
  <w:style w:type="paragraph" w:styleId="Heading2">
    <w:name w:val="heading 2"/>
    <w:basedOn w:val="Normal"/>
    <w:next w:val="Normal"/>
    <w:qFormat/>
    <w:pPr>
      <w:keepNext/>
      <w:tabs>
        <w:tab w:val="left" w:pos="510"/>
      </w:tabs>
      <w:spacing w:before="260" w:after="260" w:line="413" w:lineRule="auto"/>
      <w:ind w:left="851" w:hanging="851"/>
      <w:outlineLvl w:val="1"/>
    </w:pPr>
    <w:rPr>
      <w:rFonts w:ascii="Arial" w:eastAsia="FangSong_GB2312" w:hAnsi="Arial"/>
      <w:b/>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SubjectChar">
    <w:name w:val="Comment Subject Char"/>
    <w:link w:val="CommentSubject"/>
    <w:rPr>
      <w:b/>
      <w:kern w:val="2"/>
      <w:sz w:val="21"/>
    </w:rPr>
  </w:style>
  <w:style w:type="character" w:styleId="FollowedHyperlink">
    <w:name w:val="FollowedHyperlink"/>
    <w:rPr>
      <w:color w:val="800080"/>
      <w:u w:val="single"/>
    </w:rPr>
  </w:style>
  <w:style w:type="character" w:styleId="Hyperlink">
    <w:name w:val="Hyperlink"/>
    <w:rPr>
      <w:color w:val="0000FF"/>
      <w:u w:val="single"/>
    </w:rPr>
  </w:style>
  <w:style w:type="character" w:styleId="FootnoteReference">
    <w:name w:val="footnote reference"/>
    <w:rPr>
      <w:vertAlign w:val="superscript"/>
    </w:rPr>
  </w:style>
  <w:style w:type="character" w:customStyle="1" w:styleId="CommentTextChar">
    <w:name w:val="Comment Text Char"/>
    <w:link w:val="CommentText"/>
    <w:rPr>
      <w:kern w:val="2"/>
      <w:sz w:val="21"/>
    </w:rPr>
  </w:style>
  <w:style w:type="character" w:styleId="PageNumber">
    <w:name w:val="page number"/>
    <w:basedOn w:val="DefaultParagraphFont"/>
  </w:style>
  <w:style w:type="character" w:styleId="CommentReference">
    <w:name w:val="annotation reference"/>
    <w:rPr>
      <w:sz w:val="21"/>
    </w:rPr>
  </w:style>
  <w:style w:type="paragraph" w:customStyle="1" w:styleId="a">
    <w:name w:val="表格栏目"/>
    <w:basedOn w:val="Normal"/>
    <w:pPr>
      <w:adjustRightInd w:val="0"/>
      <w:snapToGrid w:val="0"/>
      <w:spacing w:before="45" w:after="45" w:line="240" w:lineRule="auto"/>
      <w:jc w:val="center"/>
    </w:pPr>
    <w:rPr>
      <w:rFonts w:ascii="SimSun" w:eastAsia="SimHei"/>
      <w:b/>
    </w:rPr>
  </w:style>
  <w:style w:type="paragraph" w:styleId="FootnoteText">
    <w:name w:val="footnote text"/>
    <w:basedOn w:val="Normal"/>
    <w:pPr>
      <w:snapToGrid w:val="0"/>
      <w:jc w:val="left"/>
    </w:pPr>
    <w:rPr>
      <w:sz w:val="18"/>
    </w:rPr>
  </w:style>
  <w:style w:type="paragraph" w:styleId="Footer">
    <w:name w:val="footer"/>
    <w:basedOn w:val="Normal"/>
    <w:pPr>
      <w:tabs>
        <w:tab w:val="center" w:pos="4153"/>
        <w:tab w:val="right" w:pos="8306"/>
      </w:tabs>
      <w:snapToGrid w:val="0"/>
      <w:jc w:val="left"/>
    </w:pPr>
    <w:rPr>
      <w:sz w:val="18"/>
    </w:rPr>
  </w:style>
  <w:style w:type="paragraph" w:customStyle="1" w:styleId="a0">
    <w:name w:val="表格单元"/>
    <w:basedOn w:val="Normal"/>
    <w:pPr>
      <w:adjustRightInd w:val="0"/>
      <w:snapToGrid w:val="0"/>
      <w:spacing w:before="45" w:after="45" w:line="240" w:lineRule="auto"/>
      <w:jc w:val="left"/>
    </w:pPr>
    <w:rPr>
      <w:rFonts w:ascii="SimSun"/>
    </w:rPr>
  </w:style>
  <w:style w:type="paragraph" w:styleId="TOC1">
    <w:name w:val="toc 1"/>
    <w:basedOn w:val="Normal"/>
    <w:next w:val="Normal"/>
    <w:uiPriority w:val="39"/>
  </w:style>
  <w:style w:type="paragraph" w:styleId="Date">
    <w:name w:val="Date"/>
    <w:basedOn w:val="Normal"/>
    <w:next w:val="Normal"/>
    <w:pPr>
      <w:ind w:leftChars="2500" w:left="100"/>
    </w:pPr>
  </w:style>
  <w:style w:type="paragraph" w:styleId="TOC2">
    <w:name w:val="toc 2"/>
    <w:basedOn w:val="Normal"/>
    <w:next w:val="Normal"/>
    <w:uiPriority w:val="39"/>
    <w:pPr>
      <w:ind w:leftChars="200" w:left="420"/>
    </w:pPr>
  </w:style>
  <w:style w:type="paragraph" w:styleId="Header">
    <w:name w:val="header"/>
    <w:basedOn w:val="Normal"/>
    <w:pPr>
      <w:pBdr>
        <w:bottom w:val="single" w:sz="6" w:space="1" w:color="auto"/>
      </w:pBdr>
      <w:tabs>
        <w:tab w:val="center" w:pos="4153"/>
        <w:tab w:val="right" w:pos="8306"/>
      </w:tabs>
      <w:snapToGrid w:val="0"/>
      <w:jc w:val="center"/>
    </w:pPr>
    <w:rPr>
      <w:sz w:val="18"/>
    </w:rPr>
  </w:style>
  <w:style w:type="paragraph" w:styleId="BalloonText">
    <w:name w:val="Balloon Text"/>
    <w:basedOn w:val="Normal"/>
    <w:rPr>
      <w:sz w:val="18"/>
    </w:rPr>
  </w:style>
  <w:style w:type="paragraph" w:styleId="CommentText">
    <w:name w:val="annotation text"/>
    <w:basedOn w:val="Normal"/>
    <w:link w:val="CommentTextChar"/>
    <w:pPr>
      <w:jc w:val="left"/>
    </w:pPr>
    <w:rPr>
      <w:lang w:val="x-none" w:eastAsia="x-none"/>
    </w:rPr>
  </w:style>
  <w:style w:type="paragraph" w:styleId="DocumentMap">
    <w:name w:val="Document Map"/>
    <w:basedOn w:val="Normal"/>
    <w:pPr>
      <w:shd w:val="clear" w:color="auto" w:fill="000080"/>
    </w:pPr>
  </w:style>
  <w:style w:type="paragraph" w:styleId="CommentSubject">
    <w:name w:val="annotation subject"/>
    <w:basedOn w:val="CommentText"/>
    <w:next w:val="CommentText"/>
    <w:link w:val="CommentSubjectChar"/>
    <w:rPr>
      <w:b/>
    </w:rPr>
  </w:style>
  <w:style w:type="paragraph" w:styleId="Revision">
    <w:name w:val="Revision"/>
    <w:hidden/>
    <w:uiPriority w:val="99"/>
    <w:semiHidden/>
    <w:rsid w:val="004050AE"/>
    <w:rPr>
      <w:kern w:val="2"/>
      <w:sz w:val="21"/>
    </w:rPr>
  </w:style>
  <w:style w:type="table" w:styleId="TableGrid">
    <w:name w:val="Table Grid"/>
    <w:basedOn w:val="TableNormal"/>
    <w:uiPriority w:val="59"/>
    <w:rsid w:val="003B30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5903"/>
    <w:pPr>
      <w:ind w:firstLineChars="200" w:firstLine="420"/>
    </w:pPr>
  </w:style>
  <w:style w:type="paragraph" w:styleId="NormalWeb">
    <w:name w:val="Normal (Web)"/>
    <w:basedOn w:val="Normal"/>
    <w:uiPriority w:val="99"/>
    <w:semiHidden/>
    <w:unhideWhenUsed/>
    <w:rsid w:val="004B6FA5"/>
    <w:pPr>
      <w:widowControl/>
      <w:spacing w:before="100" w:beforeAutospacing="1" w:after="100" w:afterAutospacing="1" w:line="240" w:lineRule="auto"/>
      <w:jc w:val="left"/>
    </w:pPr>
    <w:rPr>
      <w:rFonts w:eastAsia="Times New Roman"/>
      <w:kern w:val="0"/>
      <w:sz w:val="24"/>
      <w:szCs w:val="24"/>
      <w:lang w:val="en-AU"/>
    </w:rPr>
  </w:style>
  <w:style w:type="character" w:styleId="Strong">
    <w:name w:val="Strong"/>
    <w:basedOn w:val="DefaultParagraphFont"/>
    <w:uiPriority w:val="22"/>
    <w:qFormat/>
    <w:rsid w:val="004B6FA5"/>
    <w:rPr>
      <w:b/>
      <w:bCs/>
    </w:rPr>
  </w:style>
  <w:style w:type="character" w:styleId="Emphasis">
    <w:name w:val="Emphasis"/>
    <w:basedOn w:val="DefaultParagraphFont"/>
    <w:uiPriority w:val="20"/>
    <w:qFormat/>
    <w:rsid w:val="004B6FA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217845">
      <w:bodyDiv w:val="1"/>
      <w:marLeft w:val="0"/>
      <w:marRight w:val="0"/>
      <w:marTop w:val="0"/>
      <w:marBottom w:val="0"/>
      <w:divBdr>
        <w:top w:val="none" w:sz="0" w:space="0" w:color="auto"/>
        <w:left w:val="none" w:sz="0" w:space="0" w:color="auto"/>
        <w:bottom w:val="none" w:sz="0" w:space="0" w:color="auto"/>
        <w:right w:val="none" w:sz="0" w:space="0" w:color="auto"/>
      </w:divBdr>
    </w:div>
    <w:div w:id="411321956">
      <w:bodyDiv w:val="1"/>
      <w:marLeft w:val="0"/>
      <w:marRight w:val="0"/>
      <w:marTop w:val="0"/>
      <w:marBottom w:val="0"/>
      <w:divBdr>
        <w:top w:val="none" w:sz="0" w:space="0" w:color="auto"/>
        <w:left w:val="none" w:sz="0" w:space="0" w:color="auto"/>
        <w:bottom w:val="none" w:sz="0" w:space="0" w:color="auto"/>
        <w:right w:val="none" w:sz="0" w:space="0" w:color="auto"/>
      </w:divBdr>
    </w:div>
    <w:div w:id="440342858">
      <w:bodyDiv w:val="1"/>
      <w:marLeft w:val="0"/>
      <w:marRight w:val="0"/>
      <w:marTop w:val="0"/>
      <w:marBottom w:val="0"/>
      <w:divBdr>
        <w:top w:val="none" w:sz="0" w:space="0" w:color="auto"/>
        <w:left w:val="none" w:sz="0" w:space="0" w:color="auto"/>
        <w:bottom w:val="none" w:sz="0" w:space="0" w:color="auto"/>
        <w:right w:val="none" w:sz="0" w:space="0" w:color="auto"/>
      </w:divBdr>
    </w:div>
    <w:div w:id="1001201339">
      <w:bodyDiv w:val="1"/>
      <w:marLeft w:val="0"/>
      <w:marRight w:val="0"/>
      <w:marTop w:val="0"/>
      <w:marBottom w:val="0"/>
      <w:divBdr>
        <w:top w:val="none" w:sz="0" w:space="0" w:color="auto"/>
        <w:left w:val="none" w:sz="0" w:space="0" w:color="auto"/>
        <w:bottom w:val="none" w:sz="0" w:space="0" w:color="auto"/>
        <w:right w:val="none" w:sz="0" w:space="0" w:color="auto"/>
      </w:divBdr>
    </w:div>
    <w:div w:id="204652201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qx\Desktop\1405\&#38134;&#32852;&#27169;&#26495;"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4EC7B7-8142-4C85-8C4E-7B1C3D852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银联模板</Template>
  <TotalTime>54</TotalTime>
  <Pages>4</Pages>
  <Words>771</Words>
  <Characters>4395</Characters>
  <Application>Microsoft Office Word</Application>
  <DocSecurity>0</DocSecurity>
  <PresentationFormat/>
  <Lines>36</Lines>
  <Paragraphs>10</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关于举办“中国银联VI规范等品牌营销业务培训班”的通知</vt:lpstr>
    </vt:vector>
  </TitlesOfParts>
  <Company>Microsoft Corporation</Company>
  <LinksUpToDate>false</LinksUpToDate>
  <CharactersWithSpaces>5156</CharactersWithSpaces>
  <SharedDoc>false</SharedDoc>
  <HLinks>
    <vt:vector size="186" baseType="variant">
      <vt:variant>
        <vt:i4>655413</vt:i4>
      </vt:variant>
      <vt:variant>
        <vt:i4>189</vt:i4>
      </vt:variant>
      <vt:variant>
        <vt:i4>0</vt:i4>
      </vt:variant>
      <vt:variant>
        <vt:i4>5</vt:i4>
      </vt:variant>
      <vt:variant>
        <vt:lpwstr>mailto:cupioc@chinaunionpay.com</vt:lpwstr>
      </vt:variant>
      <vt:variant>
        <vt:lpwstr/>
      </vt:variant>
      <vt:variant>
        <vt:i4>2031665</vt:i4>
      </vt:variant>
      <vt:variant>
        <vt:i4>176</vt:i4>
      </vt:variant>
      <vt:variant>
        <vt:i4>0</vt:i4>
      </vt:variant>
      <vt:variant>
        <vt:i4>5</vt:i4>
      </vt:variant>
      <vt:variant>
        <vt:lpwstr/>
      </vt:variant>
      <vt:variant>
        <vt:lpwstr>_Toc2038</vt:lpwstr>
      </vt:variant>
      <vt:variant>
        <vt:i4>2031666</vt:i4>
      </vt:variant>
      <vt:variant>
        <vt:i4>170</vt:i4>
      </vt:variant>
      <vt:variant>
        <vt:i4>0</vt:i4>
      </vt:variant>
      <vt:variant>
        <vt:i4>5</vt:i4>
      </vt:variant>
      <vt:variant>
        <vt:lpwstr/>
      </vt:variant>
      <vt:variant>
        <vt:lpwstr>_Toc30188</vt:lpwstr>
      </vt:variant>
      <vt:variant>
        <vt:i4>1769521</vt:i4>
      </vt:variant>
      <vt:variant>
        <vt:i4>164</vt:i4>
      </vt:variant>
      <vt:variant>
        <vt:i4>0</vt:i4>
      </vt:variant>
      <vt:variant>
        <vt:i4>5</vt:i4>
      </vt:variant>
      <vt:variant>
        <vt:lpwstr/>
      </vt:variant>
      <vt:variant>
        <vt:lpwstr>_Toc15092</vt:lpwstr>
      </vt:variant>
      <vt:variant>
        <vt:i4>1048625</vt:i4>
      </vt:variant>
      <vt:variant>
        <vt:i4>158</vt:i4>
      </vt:variant>
      <vt:variant>
        <vt:i4>0</vt:i4>
      </vt:variant>
      <vt:variant>
        <vt:i4>5</vt:i4>
      </vt:variant>
      <vt:variant>
        <vt:lpwstr/>
      </vt:variant>
      <vt:variant>
        <vt:lpwstr>_Toc17003</vt:lpwstr>
      </vt:variant>
      <vt:variant>
        <vt:i4>1048633</vt:i4>
      </vt:variant>
      <vt:variant>
        <vt:i4>152</vt:i4>
      </vt:variant>
      <vt:variant>
        <vt:i4>0</vt:i4>
      </vt:variant>
      <vt:variant>
        <vt:i4>5</vt:i4>
      </vt:variant>
      <vt:variant>
        <vt:lpwstr/>
      </vt:variant>
      <vt:variant>
        <vt:lpwstr>_Toc14834</vt:lpwstr>
      </vt:variant>
      <vt:variant>
        <vt:i4>1048626</vt:i4>
      </vt:variant>
      <vt:variant>
        <vt:i4>146</vt:i4>
      </vt:variant>
      <vt:variant>
        <vt:i4>0</vt:i4>
      </vt:variant>
      <vt:variant>
        <vt:i4>5</vt:i4>
      </vt:variant>
      <vt:variant>
        <vt:lpwstr/>
      </vt:variant>
      <vt:variant>
        <vt:lpwstr>_Toc16318</vt:lpwstr>
      </vt:variant>
      <vt:variant>
        <vt:i4>1114171</vt:i4>
      </vt:variant>
      <vt:variant>
        <vt:i4>140</vt:i4>
      </vt:variant>
      <vt:variant>
        <vt:i4>0</vt:i4>
      </vt:variant>
      <vt:variant>
        <vt:i4>5</vt:i4>
      </vt:variant>
      <vt:variant>
        <vt:lpwstr/>
      </vt:variant>
      <vt:variant>
        <vt:lpwstr>_Toc31870</vt:lpwstr>
      </vt:variant>
      <vt:variant>
        <vt:i4>1048628</vt:i4>
      </vt:variant>
      <vt:variant>
        <vt:i4>134</vt:i4>
      </vt:variant>
      <vt:variant>
        <vt:i4>0</vt:i4>
      </vt:variant>
      <vt:variant>
        <vt:i4>5</vt:i4>
      </vt:variant>
      <vt:variant>
        <vt:lpwstr/>
      </vt:variant>
      <vt:variant>
        <vt:lpwstr>_Toc16511</vt:lpwstr>
      </vt:variant>
      <vt:variant>
        <vt:i4>1179706</vt:i4>
      </vt:variant>
      <vt:variant>
        <vt:i4>128</vt:i4>
      </vt:variant>
      <vt:variant>
        <vt:i4>0</vt:i4>
      </vt:variant>
      <vt:variant>
        <vt:i4>5</vt:i4>
      </vt:variant>
      <vt:variant>
        <vt:lpwstr/>
      </vt:variant>
      <vt:variant>
        <vt:lpwstr>_Toc24811</vt:lpwstr>
      </vt:variant>
      <vt:variant>
        <vt:i4>1048628</vt:i4>
      </vt:variant>
      <vt:variant>
        <vt:i4>122</vt:i4>
      </vt:variant>
      <vt:variant>
        <vt:i4>0</vt:i4>
      </vt:variant>
      <vt:variant>
        <vt:i4>5</vt:i4>
      </vt:variant>
      <vt:variant>
        <vt:lpwstr/>
      </vt:variant>
      <vt:variant>
        <vt:lpwstr>_Toc21661</vt:lpwstr>
      </vt:variant>
      <vt:variant>
        <vt:i4>1048630</vt:i4>
      </vt:variant>
      <vt:variant>
        <vt:i4>116</vt:i4>
      </vt:variant>
      <vt:variant>
        <vt:i4>0</vt:i4>
      </vt:variant>
      <vt:variant>
        <vt:i4>5</vt:i4>
      </vt:variant>
      <vt:variant>
        <vt:lpwstr/>
      </vt:variant>
      <vt:variant>
        <vt:lpwstr>_Toc24433</vt:lpwstr>
      </vt:variant>
      <vt:variant>
        <vt:i4>1376312</vt:i4>
      </vt:variant>
      <vt:variant>
        <vt:i4>110</vt:i4>
      </vt:variant>
      <vt:variant>
        <vt:i4>0</vt:i4>
      </vt:variant>
      <vt:variant>
        <vt:i4>5</vt:i4>
      </vt:variant>
      <vt:variant>
        <vt:lpwstr/>
      </vt:variant>
      <vt:variant>
        <vt:lpwstr>_Toc16942</vt:lpwstr>
      </vt:variant>
      <vt:variant>
        <vt:i4>1966135</vt:i4>
      </vt:variant>
      <vt:variant>
        <vt:i4>104</vt:i4>
      </vt:variant>
      <vt:variant>
        <vt:i4>0</vt:i4>
      </vt:variant>
      <vt:variant>
        <vt:i4>5</vt:i4>
      </vt:variant>
      <vt:variant>
        <vt:lpwstr/>
      </vt:variant>
      <vt:variant>
        <vt:lpwstr>_Toc20592</vt:lpwstr>
      </vt:variant>
      <vt:variant>
        <vt:i4>1572919</vt:i4>
      </vt:variant>
      <vt:variant>
        <vt:i4>98</vt:i4>
      </vt:variant>
      <vt:variant>
        <vt:i4>0</vt:i4>
      </vt:variant>
      <vt:variant>
        <vt:i4>5</vt:i4>
      </vt:variant>
      <vt:variant>
        <vt:lpwstr/>
      </vt:variant>
      <vt:variant>
        <vt:lpwstr>_Toc7807</vt:lpwstr>
      </vt:variant>
      <vt:variant>
        <vt:i4>1179700</vt:i4>
      </vt:variant>
      <vt:variant>
        <vt:i4>92</vt:i4>
      </vt:variant>
      <vt:variant>
        <vt:i4>0</vt:i4>
      </vt:variant>
      <vt:variant>
        <vt:i4>5</vt:i4>
      </vt:variant>
      <vt:variant>
        <vt:lpwstr/>
      </vt:variant>
      <vt:variant>
        <vt:lpwstr>_Toc10551</vt:lpwstr>
      </vt:variant>
      <vt:variant>
        <vt:i4>1638448</vt:i4>
      </vt:variant>
      <vt:variant>
        <vt:i4>86</vt:i4>
      </vt:variant>
      <vt:variant>
        <vt:i4>0</vt:i4>
      </vt:variant>
      <vt:variant>
        <vt:i4>5</vt:i4>
      </vt:variant>
      <vt:variant>
        <vt:lpwstr/>
      </vt:variant>
      <vt:variant>
        <vt:lpwstr>_Toc1618</vt:lpwstr>
      </vt:variant>
      <vt:variant>
        <vt:i4>1114169</vt:i4>
      </vt:variant>
      <vt:variant>
        <vt:i4>80</vt:i4>
      </vt:variant>
      <vt:variant>
        <vt:i4>0</vt:i4>
      </vt:variant>
      <vt:variant>
        <vt:i4>5</vt:i4>
      </vt:variant>
      <vt:variant>
        <vt:lpwstr/>
      </vt:variant>
      <vt:variant>
        <vt:lpwstr>_Toc9503</vt:lpwstr>
      </vt:variant>
      <vt:variant>
        <vt:i4>1245235</vt:i4>
      </vt:variant>
      <vt:variant>
        <vt:i4>74</vt:i4>
      </vt:variant>
      <vt:variant>
        <vt:i4>0</vt:i4>
      </vt:variant>
      <vt:variant>
        <vt:i4>5</vt:i4>
      </vt:variant>
      <vt:variant>
        <vt:lpwstr/>
      </vt:variant>
      <vt:variant>
        <vt:lpwstr>_Toc17237</vt:lpwstr>
      </vt:variant>
      <vt:variant>
        <vt:i4>1245242</vt:i4>
      </vt:variant>
      <vt:variant>
        <vt:i4>68</vt:i4>
      </vt:variant>
      <vt:variant>
        <vt:i4>0</vt:i4>
      </vt:variant>
      <vt:variant>
        <vt:i4>5</vt:i4>
      </vt:variant>
      <vt:variant>
        <vt:lpwstr/>
      </vt:variant>
      <vt:variant>
        <vt:lpwstr>_Toc24803</vt:lpwstr>
      </vt:variant>
      <vt:variant>
        <vt:i4>1179698</vt:i4>
      </vt:variant>
      <vt:variant>
        <vt:i4>62</vt:i4>
      </vt:variant>
      <vt:variant>
        <vt:i4>0</vt:i4>
      </vt:variant>
      <vt:variant>
        <vt:i4>5</vt:i4>
      </vt:variant>
      <vt:variant>
        <vt:lpwstr/>
      </vt:variant>
      <vt:variant>
        <vt:lpwstr>_Toc21042</vt:lpwstr>
      </vt:variant>
      <vt:variant>
        <vt:i4>1376315</vt:i4>
      </vt:variant>
      <vt:variant>
        <vt:i4>56</vt:i4>
      </vt:variant>
      <vt:variant>
        <vt:i4>0</vt:i4>
      </vt:variant>
      <vt:variant>
        <vt:i4>5</vt:i4>
      </vt:variant>
      <vt:variant>
        <vt:lpwstr/>
      </vt:variant>
      <vt:variant>
        <vt:lpwstr>_Toc3183</vt:lpwstr>
      </vt:variant>
      <vt:variant>
        <vt:i4>1966136</vt:i4>
      </vt:variant>
      <vt:variant>
        <vt:i4>50</vt:i4>
      </vt:variant>
      <vt:variant>
        <vt:i4>0</vt:i4>
      </vt:variant>
      <vt:variant>
        <vt:i4>5</vt:i4>
      </vt:variant>
      <vt:variant>
        <vt:lpwstr/>
      </vt:variant>
      <vt:variant>
        <vt:lpwstr>_Toc1990</vt:lpwstr>
      </vt:variant>
      <vt:variant>
        <vt:i4>2031671</vt:i4>
      </vt:variant>
      <vt:variant>
        <vt:i4>44</vt:i4>
      </vt:variant>
      <vt:variant>
        <vt:i4>0</vt:i4>
      </vt:variant>
      <vt:variant>
        <vt:i4>5</vt:i4>
      </vt:variant>
      <vt:variant>
        <vt:lpwstr/>
      </vt:variant>
      <vt:variant>
        <vt:lpwstr>_Toc5028</vt:lpwstr>
      </vt:variant>
      <vt:variant>
        <vt:i4>1048634</vt:i4>
      </vt:variant>
      <vt:variant>
        <vt:i4>38</vt:i4>
      </vt:variant>
      <vt:variant>
        <vt:i4>0</vt:i4>
      </vt:variant>
      <vt:variant>
        <vt:i4>5</vt:i4>
      </vt:variant>
      <vt:variant>
        <vt:lpwstr/>
      </vt:variant>
      <vt:variant>
        <vt:lpwstr>_Toc21861</vt:lpwstr>
      </vt:variant>
      <vt:variant>
        <vt:i4>1835057</vt:i4>
      </vt:variant>
      <vt:variant>
        <vt:i4>32</vt:i4>
      </vt:variant>
      <vt:variant>
        <vt:i4>0</vt:i4>
      </vt:variant>
      <vt:variant>
        <vt:i4>5</vt:i4>
      </vt:variant>
      <vt:variant>
        <vt:lpwstr/>
      </vt:variant>
      <vt:variant>
        <vt:lpwstr>_Toc2239</vt:lpwstr>
      </vt:variant>
      <vt:variant>
        <vt:i4>1310768</vt:i4>
      </vt:variant>
      <vt:variant>
        <vt:i4>26</vt:i4>
      </vt:variant>
      <vt:variant>
        <vt:i4>0</vt:i4>
      </vt:variant>
      <vt:variant>
        <vt:i4>5</vt:i4>
      </vt:variant>
      <vt:variant>
        <vt:lpwstr/>
      </vt:variant>
      <vt:variant>
        <vt:lpwstr>_Toc13103</vt:lpwstr>
      </vt:variant>
      <vt:variant>
        <vt:i4>1376307</vt:i4>
      </vt:variant>
      <vt:variant>
        <vt:i4>20</vt:i4>
      </vt:variant>
      <vt:variant>
        <vt:i4>0</vt:i4>
      </vt:variant>
      <vt:variant>
        <vt:i4>5</vt:i4>
      </vt:variant>
      <vt:variant>
        <vt:lpwstr/>
      </vt:variant>
      <vt:variant>
        <vt:lpwstr>_Toc17258</vt:lpwstr>
      </vt:variant>
      <vt:variant>
        <vt:i4>1376309</vt:i4>
      </vt:variant>
      <vt:variant>
        <vt:i4>14</vt:i4>
      </vt:variant>
      <vt:variant>
        <vt:i4>0</vt:i4>
      </vt:variant>
      <vt:variant>
        <vt:i4>5</vt:i4>
      </vt:variant>
      <vt:variant>
        <vt:lpwstr/>
      </vt:variant>
      <vt:variant>
        <vt:lpwstr>_Toc21738</vt:lpwstr>
      </vt:variant>
      <vt:variant>
        <vt:i4>1048639</vt:i4>
      </vt:variant>
      <vt:variant>
        <vt:i4>8</vt:i4>
      </vt:variant>
      <vt:variant>
        <vt:i4>0</vt:i4>
      </vt:variant>
      <vt:variant>
        <vt:i4>5</vt:i4>
      </vt:variant>
      <vt:variant>
        <vt:lpwstr/>
      </vt:variant>
      <vt:variant>
        <vt:lpwstr>_Toc7582</vt:lpwstr>
      </vt:variant>
      <vt:variant>
        <vt:i4>1966132</vt:i4>
      </vt:variant>
      <vt:variant>
        <vt:i4>2</vt:i4>
      </vt:variant>
      <vt:variant>
        <vt:i4>0</vt:i4>
      </vt:variant>
      <vt:variant>
        <vt:i4>5</vt:i4>
      </vt:variant>
      <vt:variant>
        <vt:lpwstr/>
      </vt:variant>
      <vt:variant>
        <vt:lpwstr>_Toc20698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关于举办“中国银联VI规范等品牌营销业务培训班”的通知</dc:title>
  <dc:creator>CX</dc:creator>
  <cp:lastModifiedBy>Terence Zhang (张军瑛)</cp:lastModifiedBy>
  <cp:revision>26</cp:revision>
  <cp:lastPrinted>2009-04-24T01:34:00Z</cp:lastPrinted>
  <dcterms:created xsi:type="dcterms:W3CDTF">2024-11-11T04:26:00Z</dcterms:created>
  <dcterms:modified xsi:type="dcterms:W3CDTF">2024-11-14T04:05:00Z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2052-6.5.0.1966</vt:lpwstr>
  </property>
</Properties>
</file>