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00E8" w:rsidRPr="00212B38" w:rsidRDefault="001C05C7" w:rsidP="001C05C7">
      <w:pPr>
        <w:tabs>
          <w:tab w:val="left" w:pos="2700"/>
          <w:tab w:val="left" w:pos="5400"/>
          <w:tab w:val="left" w:pos="6480"/>
        </w:tabs>
        <w:rPr>
          <w:rFonts w:ascii="Arial" w:hAnsi="Arial"/>
          <w:sz w:val="22"/>
          <w:szCs w:val="22"/>
        </w:rPr>
      </w:pPr>
      <w:bookmarkStart w:id="0" w:name="_GoBack"/>
      <w:bookmarkEnd w:id="0"/>
      <w:r w:rsidRPr="00212B38">
        <w:rPr>
          <w:rFonts w:ascii="Arial" w:hAnsi="Arial"/>
          <w:b/>
          <w:noProof/>
          <w:sz w:val="22"/>
          <w:szCs w:val="22"/>
        </w:rPr>
        <w:drawing>
          <wp:anchor distT="0" distB="0" distL="114300" distR="114300" simplePos="0" relativeHeight="251657216" behindDoc="0" locked="0" layoutInCell="0" allowOverlap="1" wp14:anchorId="3938580F" wp14:editId="41970FB7">
            <wp:simplePos x="0" y="0"/>
            <wp:positionH relativeFrom="column">
              <wp:posOffset>-74295</wp:posOffset>
            </wp:positionH>
            <wp:positionV relativeFrom="paragraph">
              <wp:posOffset>4445</wp:posOffset>
            </wp:positionV>
            <wp:extent cx="2011680" cy="274320"/>
            <wp:effectExtent l="19050" t="0" r="7620" b="0"/>
            <wp:wrapTopAndBottom/>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cstate="print"/>
                    <a:srcRect/>
                    <a:stretch>
                      <a:fillRect/>
                    </a:stretch>
                  </pic:blipFill>
                  <pic:spPr bwMode="auto">
                    <a:xfrm>
                      <a:off x="0" y="0"/>
                      <a:ext cx="2011680" cy="274320"/>
                    </a:xfrm>
                    <a:prstGeom prst="rect">
                      <a:avLst/>
                    </a:prstGeom>
                    <a:noFill/>
                    <a:ln w="9525">
                      <a:noFill/>
                      <a:miter lim="800000"/>
                      <a:headEnd/>
                      <a:tailEnd/>
                    </a:ln>
                  </pic:spPr>
                </pic:pic>
              </a:graphicData>
            </a:graphic>
          </wp:anchor>
        </w:drawing>
      </w:r>
      <w:r w:rsidR="005400E8" w:rsidRPr="00212B38">
        <w:rPr>
          <w:rFonts w:ascii="Arial" w:hAnsi="Arial"/>
          <w:sz w:val="22"/>
          <w:szCs w:val="22"/>
        </w:rPr>
        <w:t>Commonwealth Bank of Australia</w:t>
      </w:r>
    </w:p>
    <w:p w:rsidR="005400E8" w:rsidRPr="00212B38" w:rsidRDefault="005400E8" w:rsidP="001C05C7">
      <w:pPr>
        <w:tabs>
          <w:tab w:val="left" w:pos="2700"/>
          <w:tab w:val="left" w:pos="5400"/>
          <w:tab w:val="left" w:pos="6480"/>
        </w:tabs>
        <w:rPr>
          <w:rFonts w:ascii="Arial" w:hAnsi="Arial"/>
          <w:sz w:val="22"/>
          <w:szCs w:val="22"/>
        </w:rPr>
      </w:pPr>
      <w:r w:rsidRPr="00212B38">
        <w:rPr>
          <w:rFonts w:ascii="Arial" w:hAnsi="Arial"/>
          <w:sz w:val="22"/>
          <w:szCs w:val="22"/>
        </w:rPr>
        <w:t>ABN 48 123 123 124</w:t>
      </w:r>
    </w:p>
    <w:p w:rsidR="0064712E" w:rsidRPr="00212B38" w:rsidRDefault="0064712E" w:rsidP="0064712E">
      <w:pPr>
        <w:tabs>
          <w:tab w:val="left" w:pos="2700"/>
          <w:tab w:val="left" w:pos="5400"/>
          <w:tab w:val="left" w:pos="6480"/>
        </w:tabs>
        <w:rPr>
          <w:rFonts w:ascii="Univers (WN)" w:hAnsi="Univers (WN)"/>
          <w:sz w:val="22"/>
          <w:szCs w:val="22"/>
        </w:rPr>
      </w:pPr>
    </w:p>
    <w:tbl>
      <w:tblPr>
        <w:tblStyle w:val="TableGrid"/>
        <w:tblW w:w="10065"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0"/>
        <w:gridCol w:w="1674"/>
        <w:gridCol w:w="3314"/>
        <w:gridCol w:w="2897"/>
      </w:tblGrid>
      <w:tr w:rsidR="0064712E" w:rsidRPr="00212B38" w:rsidTr="0075482B">
        <w:tc>
          <w:tcPr>
            <w:tcW w:w="2180" w:type="dxa"/>
          </w:tcPr>
          <w:p w:rsidR="0064712E" w:rsidRDefault="003E03FD" w:rsidP="00F8285F">
            <w:pPr>
              <w:rPr>
                <w:rFonts w:ascii="Arial" w:hAnsi="Arial"/>
              </w:rPr>
            </w:pPr>
            <w:r w:rsidRPr="00212B38">
              <w:rPr>
                <w:rFonts w:ascii="Arial" w:hAnsi="Arial"/>
              </w:rPr>
              <w:t xml:space="preserve">Level 2 </w:t>
            </w:r>
          </w:p>
          <w:p w:rsidR="0075482B" w:rsidRPr="00212B38" w:rsidRDefault="0075482B" w:rsidP="00F8285F">
            <w:pPr>
              <w:rPr>
                <w:rFonts w:ascii="Arial" w:hAnsi="Arial"/>
              </w:rPr>
            </w:pPr>
            <w:r>
              <w:rPr>
                <w:rFonts w:ascii="Arial" w:hAnsi="Arial"/>
              </w:rPr>
              <w:t>1 Harbour St</w:t>
            </w:r>
          </w:p>
        </w:tc>
        <w:tc>
          <w:tcPr>
            <w:tcW w:w="1674" w:type="dxa"/>
          </w:tcPr>
          <w:p w:rsidR="0064712E" w:rsidRPr="00212B38" w:rsidRDefault="0064712E" w:rsidP="00F8285F">
            <w:pPr>
              <w:rPr>
                <w:rFonts w:ascii="Arial" w:hAnsi="Arial"/>
              </w:rPr>
            </w:pPr>
            <w:r w:rsidRPr="00212B38">
              <w:rPr>
                <w:rFonts w:ascii="Arial" w:hAnsi="Arial"/>
              </w:rPr>
              <w:t>GPO Box 2719</w:t>
            </w:r>
          </w:p>
        </w:tc>
        <w:tc>
          <w:tcPr>
            <w:tcW w:w="3314" w:type="dxa"/>
          </w:tcPr>
          <w:p w:rsidR="0064712E" w:rsidRPr="00212B38" w:rsidRDefault="0064712E" w:rsidP="003E03FD">
            <w:pPr>
              <w:rPr>
                <w:rFonts w:ascii="Arial" w:hAnsi="Arial"/>
              </w:rPr>
            </w:pPr>
            <w:r w:rsidRPr="00212B38">
              <w:rPr>
                <w:rFonts w:ascii="Arial" w:hAnsi="Arial"/>
              </w:rPr>
              <w:t xml:space="preserve">Telephone:  </w:t>
            </w:r>
            <w:r w:rsidR="003E03FD" w:rsidRPr="00212B38">
              <w:rPr>
                <w:rFonts w:ascii="Arial" w:hAnsi="Arial"/>
              </w:rPr>
              <w:t>0437690469</w:t>
            </w:r>
          </w:p>
        </w:tc>
        <w:tc>
          <w:tcPr>
            <w:tcW w:w="2897" w:type="dxa"/>
          </w:tcPr>
          <w:p w:rsidR="0064712E" w:rsidRPr="00212B38" w:rsidRDefault="0064712E" w:rsidP="00F8285F">
            <w:pPr>
              <w:rPr>
                <w:rFonts w:ascii="Arial" w:hAnsi="Arial"/>
              </w:rPr>
            </w:pPr>
          </w:p>
        </w:tc>
      </w:tr>
      <w:tr w:rsidR="0064712E" w:rsidRPr="00212B38" w:rsidTr="0075482B">
        <w:tc>
          <w:tcPr>
            <w:tcW w:w="2180" w:type="dxa"/>
          </w:tcPr>
          <w:p w:rsidR="0064712E" w:rsidRDefault="0075482B" w:rsidP="00F8285F">
            <w:pPr>
              <w:rPr>
                <w:rFonts w:ascii="Arial" w:hAnsi="Arial"/>
              </w:rPr>
            </w:pPr>
            <w:r>
              <w:rPr>
                <w:rFonts w:ascii="Arial" w:hAnsi="Arial"/>
              </w:rPr>
              <w:t>Sydney NSW</w:t>
            </w:r>
          </w:p>
          <w:p w:rsidR="0075482B" w:rsidRPr="00212B38" w:rsidRDefault="0075482B" w:rsidP="00F8285F">
            <w:pPr>
              <w:rPr>
                <w:rFonts w:ascii="Arial" w:hAnsi="Arial"/>
              </w:rPr>
            </w:pPr>
            <w:r>
              <w:rPr>
                <w:rFonts w:ascii="Arial" w:hAnsi="Arial"/>
              </w:rPr>
              <w:t>2000</w:t>
            </w:r>
          </w:p>
        </w:tc>
        <w:tc>
          <w:tcPr>
            <w:tcW w:w="1674" w:type="dxa"/>
          </w:tcPr>
          <w:p w:rsidR="0064712E" w:rsidRPr="00212B38" w:rsidRDefault="0064712E" w:rsidP="00F8285F">
            <w:pPr>
              <w:rPr>
                <w:rFonts w:ascii="Arial" w:hAnsi="Arial"/>
              </w:rPr>
            </w:pPr>
            <w:r w:rsidRPr="00212B38">
              <w:rPr>
                <w:rFonts w:ascii="Arial" w:hAnsi="Arial"/>
              </w:rPr>
              <w:t>Sydney</w:t>
            </w:r>
          </w:p>
        </w:tc>
        <w:tc>
          <w:tcPr>
            <w:tcW w:w="3314" w:type="dxa"/>
          </w:tcPr>
          <w:p w:rsidR="0064712E" w:rsidRPr="00212B38" w:rsidRDefault="0064712E" w:rsidP="003E03FD">
            <w:pPr>
              <w:rPr>
                <w:rFonts w:ascii="Arial" w:hAnsi="Arial"/>
              </w:rPr>
            </w:pPr>
            <w:r w:rsidRPr="00212B38">
              <w:rPr>
                <w:rFonts w:ascii="Arial" w:hAnsi="Arial"/>
              </w:rPr>
              <w:t xml:space="preserve">Email:  </w:t>
            </w:r>
            <w:hyperlink r:id="rId9" w:history="1">
              <w:r w:rsidR="003E03FD" w:rsidRPr="00212B38">
                <w:rPr>
                  <w:rStyle w:val="Hyperlink"/>
                  <w:rFonts w:ascii="Arial" w:hAnsi="Arial"/>
                </w:rPr>
                <w:t>michael.baumann@cba.com.au</w:t>
              </w:r>
            </w:hyperlink>
            <w:r w:rsidR="003E03FD" w:rsidRPr="00212B38">
              <w:rPr>
                <w:rFonts w:ascii="Arial" w:hAnsi="Arial"/>
              </w:rPr>
              <w:t xml:space="preserve"> </w:t>
            </w:r>
          </w:p>
        </w:tc>
        <w:tc>
          <w:tcPr>
            <w:tcW w:w="2897" w:type="dxa"/>
          </w:tcPr>
          <w:p w:rsidR="0064712E" w:rsidRPr="00212B38" w:rsidRDefault="0064712E" w:rsidP="00F8285F">
            <w:pPr>
              <w:rPr>
                <w:rFonts w:ascii="Arial" w:hAnsi="Arial"/>
              </w:rPr>
            </w:pPr>
          </w:p>
        </w:tc>
      </w:tr>
    </w:tbl>
    <w:p w:rsidR="005400E8" w:rsidRPr="00212B38" w:rsidRDefault="005400E8" w:rsidP="001C05C7">
      <w:pPr>
        <w:tabs>
          <w:tab w:val="left" w:pos="2700"/>
          <w:tab w:val="left" w:pos="5400"/>
          <w:tab w:val="left" w:pos="6480"/>
        </w:tabs>
        <w:rPr>
          <w:rFonts w:ascii="Univers (WN)" w:hAnsi="Univers (WN)"/>
          <w:sz w:val="22"/>
          <w:szCs w:val="22"/>
        </w:rPr>
      </w:pPr>
    </w:p>
    <w:p w:rsidR="00FE0251" w:rsidRPr="00212B38" w:rsidRDefault="00FE0251" w:rsidP="008E504A">
      <w:pPr>
        <w:rPr>
          <w:rFonts w:ascii="Arial" w:hAnsi="Arial"/>
          <w:b/>
          <w:sz w:val="22"/>
          <w:szCs w:val="22"/>
        </w:rPr>
      </w:pPr>
    </w:p>
    <w:p w:rsidR="00BB41EE" w:rsidRPr="00212B38" w:rsidRDefault="00BB41EE" w:rsidP="008E504A">
      <w:pPr>
        <w:rPr>
          <w:rFonts w:ascii="Arial" w:hAnsi="Arial"/>
          <w:b/>
          <w:sz w:val="22"/>
          <w:szCs w:val="22"/>
        </w:rPr>
      </w:pPr>
    </w:p>
    <w:p w:rsidR="005400E8" w:rsidRPr="00212B38" w:rsidRDefault="00021C53" w:rsidP="00EB6FA0">
      <w:pPr>
        <w:pStyle w:val="BodyText"/>
        <w:shd w:val="clear" w:color="auto" w:fill="FFFFFF" w:themeFill="background1"/>
        <w:spacing w:after="0" w:line="280" w:lineRule="exact"/>
        <w:jc w:val="left"/>
        <w:rPr>
          <w:rFonts w:ascii="Arial" w:hAnsi="Arial" w:cs="Arial"/>
          <w:sz w:val="22"/>
          <w:szCs w:val="22"/>
        </w:rPr>
      </w:pPr>
      <w:r w:rsidRPr="00212B38">
        <w:rPr>
          <w:rFonts w:ascii="Arial" w:hAnsi="Arial" w:cs="Arial"/>
          <w:sz w:val="22"/>
          <w:szCs w:val="22"/>
        </w:rPr>
        <w:t>2</w:t>
      </w:r>
      <w:r w:rsidR="001B2901" w:rsidRPr="00212B38">
        <w:rPr>
          <w:rFonts w:ascii="Arial" w:hAnsi="Arial" w:cs="Arial"/>
          <w:sz w:val="22"/>
          <w:szCs w:val="22"/>
        </w:rPr>
        <w:t>8 March 2019</w:t>
      </w:r>
    </w:p>
    <w:p w:rsidR="00940063" w:rsidRPr="00212B38" w:rsidRDefault="00940063" w:rsidP="00940063">
      <w:pPr>
        <w:pStyle w:val="BodyText"/>
        <w:spacing w:after="0" w:line="240" w:lineRule="exact"/>
        <w:jc w:val="left"/>
        <w:rPr>
          <w:rFonts w:ascii="Arial" w:hAnsi="Arial" w:cs="Arial"/>
          <w:sz w:val="22"/>
          <w:szCs w:val="22"/>
        </w:rPr>
      </w:pPr>
    </w:p>
    <w:p w:rsidR="00EB6FA0" w:rsidRPr="00212B38" w:rsidRDefault="00EB6FA0" w:rsidP="00297F62">
      <w:pPr>
        <w:pStyle w:val="BodyText"/>
        <w:spacing w:after="0" w:line="240" w:lineRule="exact"/>
        <w:jc w:val="left"/>
        <w:rPr>
          <w:rFonts w:ascii="Arial" w:hAnsi="Arial" w:cs="Arial"/>
          <w:sz w:val="22"/>
          <w:szCs w:val="22"/>
        </w:rPr>
      </w:pPr>
    </w:p>
    <w:p w:rsidR="009A6D44" w:rsidRPr="00212B38" w:rsidRDefault="00E151A7" w:rsidP="001C05C7">
      <w:pPr>
        <w:pStyle w:val="BodyText"/>
        <w:spacing w:after="0" w:line="240" w:lineRule="auto"/>
        <w:jc w:val="left"/>
        <w:rPr>
          <w:rFonts w:ascii="Arial" w:hAnsi="Arial" w:cs="Arial"/>
          <w:sz w:val="22"/>
          <w:szCs w:val="22"/>
        </w:rPr>
      </w:pPr>
      <w:r w:rsidRPr="00212B38">
        <w:rPr>
          <w:rFonts w:ascii="Arial" w:hAnsi="Arial" w:cs="Arial"/>
          <w:noProof/>
          <w:sz w:val="22"/>
          <w:szCs w:val="22"/>
        </w:rPr>
        <mc:AlternateContent>
          <mc:Choice Requires="wpg">
            <w:drawing>
              <wp:anchor distT="0" distB="0" distL="114300" distR="114300" simplePos="0" relativeHeight="251658240" behindDoc="0" locked="0" layoutInCell="0" allowOverlap="1" wp14:anchorId="230F489D" wp14:editId="1C616F40">
                <wp:simplePos x="0" y="0"/>
                <wp:positionH relativeFrom="column">
                  <wp:posOffset>5099050</wp:posOffset>
                </wp:positionH>
                <wp:positionV relativeFrom="paragraph">
                  <wp:posOffset>45085</wp:posOffset>
                </wp:positionV>
                <wp:extent cx="671830" cy="666750"/>
                <wp:effectExtent l="3175" t="6985" r="20320" b="12065"/>
                <wp:wrapNone/>
                <wp:docPr id="1" name="Group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671830" cy="666750"/>
                          <a:chOff x="9996" y="2743"/>
                          <a:chExt cx="1564" cy="1552"/>
                        </a:xfrm>
                      </wpg:grpSpPr>
                      <wps:wsp>
                        <wps:cNvPr id="2" name="Freeform 3"/>
                        <wps:cNvSpPr>
                          <a:spLocks noChangeAspect="1"/>
                        </wps:cNvSpPr>
                        <wps:spPr bwMode="auto">
                          <a:xfrm>
                            <a:off x="9996" y="2743"/>
                            <a:ext cx="1564" cy="1552"/>
                          </a:xfrm>
                          <a:custGeom>
                            <a:avLst/>
                            <a:gdLst>
                              <a:gd name="T0" fmla="*/ 0 w 1564"/>
                              <a:gd name="T1" fmla="*/ 776 h 1552"/>
                              <a:gd name="T2" fmla="*/ 782 w 1564"/>
                              <a:gd name="T3" fmla="*/ 0 h 1552"/>
                              <a:gd name="T4" fmla="*/ 1564 w 1564"/>
                              <a:gd name="T5" fmla="*/ 776 h 1552"/>
                              <a:gd name="T6" fmla="*/ 782 w 1564"/>
                              <a:gd name="T7" fmla="*/ 1552 h 1552"/>
                              <a:gd name="T8" fmla="*/ 0 w 1564"/>
                              <a:gd name="T9" fmla="*/ 776 h 1552"/>
                            </a:gdLst>
                            <a:ahLst/>
                            <a:cxnLst>
                              <a:cxn ang="0">
                                <a:pos x="T0" y="T1"/>
                              </a:cxn>
                              <a:cxn ang="0">
                                <a:pos x="T2" y="T3"/>
                              </a:cxn>
                              <a:cxn ang="0">
                                <a:pos x="T4" y="T5"/>
                              </a:cxn>
                              <a:cxn ang="0">
                                <a:pos x="T6" y="T7"/>
                              </a:cxn>
                              <a:cxn ang="0">
                                <a:pos x="T8" y="T9"/>
                              </a:cxn>
                            </a:cxnLst>
                            <a:rect l="0" t="0" r="r" b="b"/>
                            <a:pathLst>
                              <a:path w="1564" h="1552">
                                <a:moveTo>
                                  <a:pt x="0" y="776"/>
                                </a:moveTo>
                                <a:lnTo>
                                  <a:pt x="782" y="0"/>
                                </a:lnTo>
                                <a:lnTo>
                                  <a:pt x="1564" y="776"/>
                                </a:lnTo>
                                <a:lnTo>
                                  <a:pt x="782" y="1552"/>
                                </a:lnTo>
                                <a:lnTo>
                                  <a:pt x="0" y="776"/>
                                </a:lnTo>
                                <a:close/>
                              </a:path>
                            </a:pathLst>
                          </a:custGeom>
                          <a:solidFill>
                            <a:srgbClr val="FFB00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 name="Freeform 4"/>
                        <wps:cNvSpPr>
                          <a:spLocks noChangeAspect="1"/>
                        </wps:cNvSpPr>
                        <wps:spPr bwMode="auto">
                          <a:xfrm>
                            <a:off x="10778" y="3333"/>
                            <a:ext cx="782" cy="961"/>
                          </a:xfrm>
                          <a:custGeom>
                            <a:avLst/>
                            <a:gdLst>
                              <a:gd name="T0" fmla="*/ 0 w 782"/>
                              <a:gd name="T1" fmla="*/ 961 h 961"/>
                              <a:gd name="T2" fmla="*/ 782 w 782"/>
                              <a:gd name="T3" fmla="*/ 186 h 961"/>
                              <a:gd name="T4" fmla="*/ 594 w 782"/>
                              <a:gd name="T5" fmla="*/ 0 h 961"/>
                              <a:gd name="T6" fmla="*/ 312 w 782"/>
                              <a:gd name="T7" fmla="*/ 279 h 961"/>
                              <a:gd name="T8" fmla="*/ 0 w 782"/>
                              <a:gd name="T9" fmla="*/ 961 h 961"/>
                            </a:gdLst>
                            <a:ahLst/>
                            <a:cxnLst>
                              <a:cxn ang="0">
                                <a:pos x="T0" y="T1"/>
                              </a:cxn>
                              <a:cxn ang="0">
                                <a:pos x="T2" y="T3"/>
                              </a:cxn>
                              <a:cxn ang="0">
                                <a:pos x="T4" y="T5"/>
                              </a:cxn>
                              <a:cxn ang="0">
                                <a:pos x="T6" y="T7"/>
                              </a:cxn>
                              <a:cxn ang="0">
                                <a:pos x="T8" y="T9"/>
                              </a:cxn>
                            </a:cxnLst>
                            <a:rect l="0" t="0" r="r" b="b"/>
                            <a:pathLst>
                              <a:path w="782" h="961">
                                <a:moveTo>
                                  <a:pt x="0" y="961"/>
                                </a:moveTo>
                                <a:lnTo>
                                  <a:pt x="782" y="186"/>
                                </a:lnTo>
                                <a:lnTo>
                                  <a:pt x="594" y="0"/>
                                </a:lnTo>
                                <a:lnTo>
                                  <a:pt x="312" y="279"/>
                                </a:lnTo>
                                <a:lnTo>
                                  <a:pt x="0" y="961"/>
                                </a:lnTo>
                              </a:path>
                            </a:pathLst>
                          </a:custGeom>
                          <a:solidFill>
                            <a:srgbClr val="000000"/>
                          </a:solidFill>
                          <a:ln w="0">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3BFB0C" id="Group 2" o:spid="_x0000_s1026" style="position:absolute;margin-left:401.5pt;margin-top:3.55pt;width:52.9pt;height:52.5pt;z-index:251658240" coordorigin="9996,2743" coordsize="1564,1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" o:allowincell="f">
                <o:lock v:ext="edit" aspectratio="t"/>
                <v:shape id="Freeform 3" o:spid="_x0000_s1027" style="position:absolute;left:9996;top:2743;width:1564;height:1552;visibility:visible;mso-wrap-style:square;v-text-anchor:top" coordsize="1564,1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cvlsQA&#10;AADaAAAADwAAAGRycy9kb3ducmV2LnhtbESPQWvCQBSE74L/YXlCL9JsKhhK6iqlYGl6SmIreHtk&#10;X5PQ7NuQ3cb037uC4HGYmW+YzW4ynRhpcK1lBU9RDIK4srrlWsHXYf/4DMJ5ZI2dZVLwTw522/ls&#10;g6m2Zy5oLH0tAoRdigoa7/tUSlc1ZNBFticO3o8dDPogh1rqAc8Bbjq5iuNEGmw5LDTY01tD1W/5&#10;ZxSc6vd9dlznWdIVnH9O3+XSj61SD4vp9QWEp8nfw7f2h1awguuVcAPk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nL5bEAAAA2gAAAA8AAAAAAAAAAAAAAAAAmAIAAGRycy9k&#10;b3ducmV2LnhtbFBLBQYAAAAABAAEAPUAAACJAwAAAAA=&#10;" path="m,776l782,r782,776l782,1552,,776xe" fillcolor="#ffb00f" stroked="f">
                  <v:path arrowok="t" o:connecttype="custom" o:connectlocs="0,776;782,0;1564,776;782,1552;0,776" o:connectangles="0,0,0,0,0"/>
                  <o:lock v:ext="edit" aspectratio="t"/>
                </v:shape>
                <v:shape id="Freeform 4" o:spid="_x0000_s1028" style="position:absolute;left:10778;top:3333;width:782;height:961;visibility:visible;mso-wrap-style:square;v-text-anchor:top" coordsize="782,9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YlMsIA&#10;AADaAAAADwAAAGRycy9kb3ducmV2LnhtbESPQWsCMRSE74L/ITzBmyYqtLIapYgr0kOhaw89PjbP&#10;7NLNy7KJ6/rvTaHQ4zAz3zDb/eAa0VMXas8aFnMFgrj0pmar4euSz9YgQkQ22HgmDQ8KsN+NR1vM&#10;jL/zJ/VFtCJBOGSooYqxzaQMZUUOw9y3xMm7+s5hTLKz0nR4T3DXyKVSL9JhzWmhwpYOFZU/xc1p&#10;6Btl35eRv1/r/OjU6SM/93ah9XQyvG1ARBrif/ivfTYaVvB7Jd0AuX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NiUywgAAANoAAAAPAAAAAAAAAAAAAAAAAJgCAABkcnMvZG93&#10;bnJldi54bWxQSwUGAAAAAAQABAD1AAAAhwMAAAAA&#10;" path="m,961l782,186,594,,312,279,,961e" fillcolor="black" strokeweight="0">
                  <v:path arrowok="t" o:connecttype="custom" o:connectlocs="0,961;782,186;594,0;312,279;0,961" o:connectangles="0,0,0,0,0"/>
                  <o:lock v:ext="edit" aspectratio="t"/>
                </v:shape>
              </v:group>
            </w:pict>
          </mc:Fallback>
        </mc:AlternateContent>
      </w:r>
      <w:r w:rsidR="00E9632C" w:rsidRPr="00212B38">
        <w:rPr>
          <w:rFonts w:ascii="Arial" w:hAnsi="Arial" w:cs="Arial"/>
          <w:sz w:val="22"/>
          <w:szCs w:val="22"/>
        </w:rPr>
        <w:t xml:space="preserve">Dr </w:t>
      </w:r>
      <w:r w:rsidR="00DA2E5D" w:rsidRPr="00212B38">
        <w:rPr>
          <w:rFonts w:ascii="Arial" w:hAnsi="Arial" w:cs="Arial"/>
          <w:sz w:val="22"/>
          <w:szCs w:val="22"/>
        </w:rPr>
        <w:t>Tony Richards</w:t>
      </w:r>
    </w:p>
    <w:p w:rsidR="00E5021E" w:rsidRPr="00212B38" w:rsidRDefault="00E5021E" w:rsidP="001C05C7">
      <w:pPr>
        <w:pStyle w:val="BodyText"/>
        <w:spacing w:after="0" w:line="240" w:lineRule="auto"/>
        <w:jc w:val="left"/>
        <w:rPr>
          <w:rFonts w:ascii="Arial" w:hAnsi="Arial" w:cs="Arial"/>
          <w:sz w:val="22"/>
          <w:szCs w:val="22"/>
        </w:rPr>
      </w:pPr>
      <w:r w:rsidRPr="00212B38">
        <w:rPr>
          <w:rFonts w:ascii="Arial" w:hAnsi="Arial" w:cs="Arial"/>
          <w:sz w:val="22"/>
          <w:szCs w:val="22"/>
        </w:rPr>
        <w:t>Head of Payments Policy Department</w:t>
      </w:r>
    </w:p>
    <w:p w:rsidR="00E5021E" w:rsidRPr="00212B38" w:rsidRDefault="00E5021E" w:rsidP="001C05C7">
      <w:pPr>
        <w:pStyle w:val="BodyText"/>
        <w:spacing w:after="0" w:line="240" w:lineRule="auto"/>
        <w:jc w:val="left"/>
        <w:rPr>
          <w:rFonts w:ascii="Arial" w:hAnsi="Arial" w:cs="Arial"/>
          <w:sz w:val="22"/>
          <w:szCs w:val="22"/>
        </w:rPr>
      </w:pPr>
      <w:r w:rsidRPr="00212B38">
        <w:rPr>
          <w:rFonts w:ascii="Arial" w:hAnsi="Arial" w:cs="Arial"/>
          <w:sz w:val="22"/>
          <w:szCs w:val="22"/>
        </w:rPr>
        <w:t>Reserve Bank of Australia</w:t>
      </w:r>
    </w:p>
    <w:p w:rsidR="00340DEB" w:rsidRPr="00212B38" w:rsidRDefault="00E5021E" w:rsidP="001C05C7">
      <w:pPr>
        <w:pStyle w:val="BodyText"/>
        <w:spacing w:after="0" w:line="240" w:lineRule="auto"/>
        <w:jc w:val="left"/>
        <w:rPr>
          <w:rFonts w:ascii="Arial" w:hAnsi="Arial" w:cs="Arial"/>
          <w:sz w:val="22"/>
          <w:szCs w:val="22"/>
        </w:rPr>
      </w:pPr>
      <w:r w:rsidRPr="00212B38">
        <w:rPr>
          <w:rFonts w:ascii="Arial" w:hAnsi="Arial" w:cs="Arial"/>
          <w:sz w:val="22"/>
          <w:szCs w:val="22"/>
        </w:rPr>
        <w:t>GPO Box 3947</w:t>
      </w:r>
    </w:p>
    <w:p w:rsidR="00E5021E" w:rsidRPr="00212B38" w:rsidRDefault="00E5021E" w:rsidP="001C05C7">
      <w:pPr>
        <w:pStyle w:val="BodyText"/>
        <w:spacing w:after="0" w:line="240" w:lineRule="auto"/>
        <w:jc w:val="left"/>
        <w:rPr>
          <w:rFonts w:ascii="Arial" w:hAnsi="Arial" w:cs="Arial"/>
          <w:sz w:val="22"/>
          <w:szCs w:val="22"/>
        </w:rPr>
      </w:pPr>
      <w:r w:rsidRPr="00212B38">
        <w:rPr>
          <w:rFonts w:ascii="Arial" w:hAnsi="Arial" w:cs="Arial"/>
          <w:sz w:val="22"/>
          <w:szCs w:val="22"/>
        </w:rPr>
        <w:t>Sydney NSW 2001</w:t>
      </w:r>
    </w:p>
    <w:p w:rsidR="001D7959" w:rsidRPr="00212B38" w:rsidRDefault="001D7959" w:rsidP="001C05C7">
      <w:pPr>
        <w:pStyle w:val="BodyText"/>
        <w:spacing w:after="0" w:line="240" w:lineRule="auto"/>
        <w:jc w:val="left"/>
        <w:rPr>
          <w:rFonts w:ascii="Arial" w:hAnsi="Arial" w:cs="Arial"/>
          <w:sz w:val="22"/>
          <w:szCs w:val="22"/>
        </w:rPr>
      </w:pPr>
    </w:p>
    <w:p w:rsidR="00ED1448" w:rsidRPr="00212B38" w:rsidRDefault="00ED1448" w:rsidP="001C05C7">
      <w:pPr>
        <w:pStyle w:val="BodyText"/>
        <w:spacing w:after="0" w:line="240" w:lineRule="auto"/>
        <w:jc w:val="left"/>
        <w:rPr>
          <w:rFonts w:ascii="Arial" w:hAnsi="Arial" w:cs="Arial"/>
          <w:sz w:val="22"/>
          <w:szCs w:val="22"/>
        </w:rPr>
      </w:pPr>
    </w:p>
    <w:p w:rsidR="00FE0251" w:rsidRPr="00212B38" w:rsidRDefault="00FE0251" w:rsidP="001C05C7">
      <w:pPr>
        <w:pStyle w:val="BodyText"/>
        <w:spacing w:after="0" w:line="240" w:lineRule="auto"/>
        <w:jc w:val="left"/>
        <w:rPr>
          <w:rFonts w:ascii="Arial" w:hAnsi="Arial" w:cs="Arial"/>
          <w:sz w:val="22"/>
          <w:szCs w:val="22"/>
        </w:rPr>
      </w:pPr>
    </w:p>
    <w:p w:rsidR="009A6D44" w:rsidRPr="00212B38" w:rsidRDefault="009A6D44" w:rsidP="001C05C7">
      <w:pPr>
        <w:pStyle w:val="BodyText"/>
        <w:spacing w:after="0" w:line="240" w:lineRule="auto"/>
        <w:jc w:val="left"/>
        <w:rPr>
          <w:rFonts w:ascii="Arial" w:hAnsi="Arial" w:cs="Arial"/>
          <w:i/>
          <w:sz w:val="22"/>
          <w:szCs w:val="22"/>
        </w:rPr>
      </w:pPr>
      <w:r w:rsidRPr="00212B38">
        <w:rPr>
          <w:rFonts w:ascii="Arial" w:hAnsi="Arial" w:cs="Arial"/>
          <w:i/>
          <w:sz w:val="22"/>
          <w:szCs w:val="22"/>
        </w:rPr>
        <w:t xml:space="preserve">By Email to:     </w:t>
      </w:r>
      <w:hyperlink r:id="rId10" w:history="1">
        <w:r w:rsidR="001B2901" w:rsidRPr="00212B38">
          <w:rPr>
            <w:rStyle w:val="Hyperlink"/>
            <w:rFonts w:ascii="Arial" w:hAnsi="Arial" w:cs="Arial"/>
            <w:i/>
            <w:sz w:val="22"/>
            <w:szCs w:val="22"/>
          </w:rPr>
          <w:t>PYSubmissions@rba.gov.au</w:t>
        </w:r>
      </w:hyperlink>
    </w:p>
    <w:p w:rsidR="00E5021E" w:rsidRPr="00212B38" w:rsidRDefault="00E5021E" w:rsidP="001C05C7">
      <w:pPr>
        <w:pStyle w:val="BodyText"/>
        <w:spacing w:after="0" w:line="240" w:lineRule="auto"/>
        <w:jc w:val="left"/>
        <w:rPr>
          <w:rFonts w:ascii="Arial" w:hAnsi="Arial" w:cs="Arial"/>
          <w:sz w:val="22"/>
          <w:szCs w:val="22"/>
        </w:rPr>
      </w:pPr>
    </w:p>
    <w:p w:rsidR="00E5021E" w:rsidRPr="00212B38" w:rsidRDefault="00E5021E" w:rsidP="00297F62">
      <w:pPr>
        <w:pStyle w:val="BodyText"/>
        <w:spacing w:after="0" w:line="240" w:lineRule="auto"/>
        <w:jc w:val="left"/>
        <w:rPr>
          <w:rFonts w:ascii="Arial" w:hAnsi="Arial" w:cs="Arial"/>
          <w:sz w:val="22"/>
          <w:szCs w:val="22"/>
        </w:rPr>
      </w:pPr>
    </w:p>
    <w:p w:rsidR="0043063D" w:rsidRPr="00212B38" w:rsidRDefault="0043063D" w:rsidP="001C05C7">
      <w:pPr>
        <w:pStyle w:val="BodyText"/>
        <w:spacing w:after="0" w:line="240" w:lineRule="auto"/>
        <w:jc w:val="left"/>
        <w:rPr>
          <w:rFonts w:ascii="Arial" w:hAnsi="Arial" w:cs="Arial"/>
          <w:sz w:val="22"/>
          <w:szCs w:val="22"/>
        </w:rPr>
      </w:pPr>
    </w:p>
    <w:p w:rsidR="00E5021E" w:rsidRPr="00212B38" w:rsidRDefault="00E5021E" w:rsidP="001C05C7">
      <w:pPr>
        <w:pStyle w:val="BodyText"/>
        <w:spacing w:after="0" w:line="240" w:lineRule="auto"/>
        <w:jc w:val="left"/>
        <w:rPr>
          <w:rFonts w:ascii="Arial" w:hAnsi="Arial" w:cs="Arial"/>
          <w:sz w:val="22"/>
          <w:szCs w:val="22"/>
        </w:rPr>
      </w:pPr>
      <w:r w:rsidRPr="00212B38">
        <w:rPr>
          <w:rFonts w:ascii="Arial" w:hAnsi="Arial" w:cs="Arial"/>
          <w:sz w:val="22"/>
          <w:szCs w:val="22"/>
        </w:rPr>
        <w:t xml:space="preserve">Dear Dr </w:t>
      </w:r>
      <w:r w:rsidR="00DA2E5D" w:rsidRPr="00212B38">
        <w:rPr>
          <w:rFonts w:ascii="Arial" w:hAnsi="Arial" w:cs="Arial"/>
          <w:sz w:val="22"/>
          <w:szCs w:val="22"/>
        </w:rPr>
        <w:t>Richards</w:t>
      </w:r>
      <w:r w:rsidRPr="00212B38">
        <w:rPr>
          <w:rFonts w:ascii="Arial" w:hAnsi="Arial" w:cs="Arial"/>
          <w:sz w:val="22"/>
          <w:szCs w:val="22"/>
        </w:rPr>
        <w:t xml:space="preserve">, </w:t>
      </w:r>
    </w:p>
    <w:p w:rsidR="00D159E4" w:rsidRPr="00212B38" w:rsidRDefault="00D159E4" w:rsidP="001C05C7">
      <w:pPr>
        <w:pStyle w:val="BodyText"/>
        <w:spacing w:after="0" w:line="240" w:lineRule="auto"/>
        <w:jc w:val="left"/>
        <w:rPr>
          <w:rFonts w:ascii="Arial" w:hAnsi="Arial" w:cs="Arial"/>
          <w:i/>
          <w:sz w:val="22"/>
          <w:szCs w:val="22"/>
        </w:rPr>
      </w:pPr>
    </w:p>
    <w:p w:rsidR="0043063D" w:rsidRPr="00212B38" w:rsidRDefault="0043063D" w:rsidP="001C05C7">
      <w:pPr>
        <w:pStyle w:val="BodyText"/>
        <w:spacing w:after="0" w:line="240" w:lineRule="auto"/>
        <w:jc w:val="left"/>
        <w:rPr>
          <w:rFonts w:ascii="Arial" w:hAnsi="Arial" w:cs="Arial"/>
          <w:i/>
          <w:sz w:val="22"/>
          <w:szCs w:val="22"/>
        </w:rPr>
      </w:pPr>
    </w:p>
    <w:p w:rsidR="00E9632C" w:rsidRPr="00212B38" w:rsidRDefault="00B3650E" w:rsidP="001C05C7">
      <w:pPr>
        <w:pStyle w:val="BodyText"/>
        <w:spacing w:after="0" w:line="240" w:lineRule="auto"/>
        <w:jc w:val="left"/>
        <w:rPr>
          <w:rFonts w:ascii="Arial" w:hAnsi="Arial" w:cs="Arial"/>
          <w:b/>
          <w:sz w:val="22"/>
          <w:szCs w:val="22"/>
        </w:rPr>
      </w:pPr>
      <w:r w:rsidRPr="00212B38">
        <w:rPr>
          <w:rFonts w:ascii="Arial" w:hAnsi="Arial" w:cs="Arial"/>
          <w:b/>
          <w:sz w:val="22"/>
          <w:szCs w:val="22"/>
        </w:rPr>
        <w:t xml:space="preserve">Consultation on </w:t>
      </w:r>
      <w:r w:rsidR="00021C53" w:rsidRPr="00212B38">
        <w:rPr>
          <w:rFonts w:ascii="Arial" w:hAnsi="Arial" w:cs="Arial"/>
          <w:b/>
          <w:sz w:val="22"/>
          <w:szCs w:val="22"/>
        </w:rPr>
        <w:t>“</w:t>
      </w:r>
      <w:r w:rsidR="001B2901" w:rsidRPr="00212B38">
        <w:rPr>
          <w:rFonts w:ascii="Arial" w:hAnsi="Arial" w:cs="Arial"/>
          <w:b/>
          <w:sz w:val="22"/>
          <w:szCs w:val="22"/>
        </w:rPr>
        <w:t xml:space="preserve">The Operation of the Interchange Standards, February </w:t>
      </w:r>
      <w:r w:rsidR="00021C53" w:rsidRPr="00212B38">
        <w:rPr>
          <w:rFonts w:ascii="Arial" w:hAnsi="Arial" w:cs="Arial"/>
          <w:b/>
          <w:sz w:val="22"/>
          <w:szCs w:val="22"/>
        </w:rPr>
        <w:t>20</w:t>
      </w:r>
      <w:r w:rsidR="001B2901" w:rsidRPr="00212B38">
        <w:rPr>
          <w:rFonts w:ascii="Arial" w:hAnsi="Arial" w:cs="Arial"/>
          <w:b/>
          <w:sz w:val="22"/>
          <w:szCs w:val="22"/>
        </w:rPr>
        <w:t>19</w:t>
      </w:r>
      <w:r w:rsidR="00021C53" w:rsidRPr="00212B38">
        <w:rPr>
          <w:rFonts w:ascii="Arial" w:hAnsi="Arial" w:cs="Arial"/>
          <w:b/>
          <w:sz w:val="22"/>
          <w:szCs w:val="22"/>
        </w:rPr>
        <w:t xml:space="preserve">” </w:t>
      </w:r>
    </w:p>
    <w:p w:rsidR="002452DC" w:rsidRPr="00212B38" w:rsidRDefault="002452DC" w:rsidP="00E9632C">
      <w:pPr>
        <w:rPr>
          <w:rFonts w:ascii="Arial" w:hAnsi="Arial" w:cs="Arial"/>
          <w:sz w:val="22"/>
          <w:szCs w:val="22"/>
        </w:rPr>
      </w:pPr>
    </w:p>
    <w:p w:rsidR="0043063D" w:rsidRPr="00212B38" w:rsidRDefault="0043063D" w:rsidP="00E9632C">
      <w:pPr>
        <w:rPr>
          <w:rFonts w:ascii="Arial" w:hAnsi="Arial" w:cs="Arial"/>
          <w:sz w:val="22"/>
          <w:szCs w:val="22"/>
        </w:rPr>
      </w:pPr>
    </w:p>
    <w:p w:rsidR="00A0784C" w:rsidRPr="00212B38" w:rsidRDefault="00A0784C" w:rsidP="00A0784C">
      <w:pPr>
        <w:rPr>
          <w:rFonts w:ascii="Arial" w:hAnsi="Arial" w:cs="Arial"/>
          <w:sz w:val="22"/>
          <w:szCs w:val="22"/>
        </w:rPr>
      </w:pPr>
      <w:r w:rsidRPr="00212B38">
        <w:rPr>
          <w:rFonts w:ascii="Arial" w:hAnsi="Arial" w:cs="Arial"/>
          <w:sz w:val="22"/>
          <w:szCs w:val="22"/>
        </w:rPr>
        <w:t>Commonwealth Bank of Australia (CBA) appreciates the opportunity to contribute to this consultation. CBA supports in principle the majority of the proposals in the Consultation Paper.</w:t>
      </w:r>
    </w:p>
    <w:p w:rsidR="00A0784C" w:rsidRPr="00212B38" w:rsidRDefault="00A0784C" w:rsidP="00A0784C">
      <w:pPr>
        <w:rPr>
          <w:rFonts w:ascii="Arial" w:hAnsi="Arial" w:cs="Arial"/>
          <w:sz w:val="22"/>
          <w:szCs w:val="22"/>
        </w:rPr>
      </w:pPr>
      <w:r w:rsidRPr="00212B38">
        <w:rPr>
          <w:rFonts w:ascii="Arial" w:hAnsi="Arial" w:cs="Arial"/>
          <w:sz w:val="22"/>
          <w:szCs w:val="22"/>
        </w:rPr>
        <w:t>We agree that greater clarity about the interpretation of the standards will be beneficial to improve understanding of, and compliance with, our obligations. However, we have concerns that the drafting of the amended standards, in attempting to increase clarity, could now be interpreted as unintentionally restrictive</w:t>
      </w:r>
      <w:r w:rsidR="00441316" w:rsidRPr="00212B38">
        <w:rPr>
          <w:rFonts w:ascii="Arial" w:hAnsi="Arial" w:cs="Arial"/>
          <w:sz w:val="22"/>
          <w:szCs w:val="22"/>
        </w:rPr>
        <w:t>. We predict challenges p</w:t>
      </w:r>
      <w:r w:rsidRPr="00212B38">
        <w:rPr>
          <w:rFonts w:ascii="Arial" w:hAnsi="Arial" w:cs="Arial"/>
          <w:sz w:val="22"/>
          <w:szCs w:val="22"/>
        </w:rPr>
        <w:t>articularly in relation to issuers partnering with or entering into arrangements with schemes in relation to non-core value-add services, as schemes increasing</w:t>
      </w:r>
      <w:r w:rsidR="00441316" w:rsidRPr="00212B38">
        <w:rPr>
          <w:rFonts w:ascii="Arial" w:hAnsi="Arial" w:cs="Arial"/>
          <w:sz w:val="22"/>
          <w:szCs w:val="22"/>
        </w:rPr>
        <w:t>ly</w:t>
      </w:r>
      <w:r w:rsidRPr="00212B38">
        <w:rPr>
          <w:rFonts w:ascii="Arial" w:hAnsi="Arial" w:cs="Arial"/>
          <w:sz w:val="22"/>
          <w:szCs w:val="22"/>
        </w:rPr>
        <w:t xml:space="preserve"> compete with other service providers in expanded lines of business. CBA would be happy to provide case studies to illustrate these issues when we meet with the RBA on 2 April 2019.</w:t>
      </w:r>
    </w:p>
    <w:p w:rsidR="00A0784C" w:rsidRPr="00212B38" w:rsidRDefault="00A0784C" w:rsidP="00A0784C">
      <w:pPr>
        <w:rPr>
          <w:rFonts w:ascii="Arial" w:hAnsi="Arial" w:cs="Arial"/>
          <w:sz w:val="22"/>
          <w:szCs w:val="22"/>
        </w:rPr>
      </w:pPr>
    </w:p>
    <w:p w:rsidR="00A0784C" w:rsidRPr="00212B38" w:rsidRDefault="00A0784C" w:rsidP="00A0784C">
      <w:pPr>
        <w:rPr>
          <w:rFonts w:ascii="Arial" w:hAnsi="Arial" w:cs="Arial"/>
          <w:sz w:val="22"/>
          <w:szCs w:val="22"/>
        </w:rPr>
      </w:pPr>
      <w:r w:rsidRPr="00212B38">
        <w:rPr>
          <w:rFonts w:ascii="Arial" w:hAnsi="Arial" w:cs="Arial"/>
          <w:sz w:val="22"/>
          <w:szCs w:val="22"/>
        </w:rPr>
        <w:t>CBA considers that the ‘incentive test’ should be stringently applied when considering the relevance of fees, payments, ‘pass throughs’ and other forms of benefits to avoid capturing unrelated transactions which could lead to the unintended consequences of hindering efficiency and competition in the Australian payments system and related markets.</w:t>
      </w:r>
      <w:r w:rsidR="00F75F4B">
        <w:rPr>
          <w:rFonts w:ascii="Arial" w:hAnsi="Arial" w:cs="Arial"/>
          <w:sz w:val="22"/>
          <w:szCs w:val="22"/>
        </w:rPr>
        <w:t xml:space="preserve"> </w:t>
      </w:r>
    </w:p>
    <w:p w:rsidR="00C13CA1" w:rsidRPr="00212B38" w:rsidRDefault="00C13CA1" w:rsidP="00B3650E">
      <w:pPr>
        <w:rPr>
          <w:rFonts w:ascii="Arial" w:hAnsi="Arial" w:cs="Arial"/>
          <w:sz w:val="22"/>
          <w:szCs w:val="22"/>
        </w:rPr>
      </w:pPr>
    </w:p>
    <w:p w:rsidR="00C13CA1" w:rsidRPr="00212B38" w:rsidRDefault="00C13CA1" w:rsidP="00C13CA1">
      <w:pPr>
        <w:rPr>
          <w:rFonts w:ascii="Arial" w:hAnsi="Arial" w:cs="Arial"/>
          <w:sz w:val="22"/>
          <w:szCs w:val="22"/>
        </w:rPr>
      </w:pPr>
      <w:r w:rsidRPr="00212B38">
        <w:rPr>
          <w:rFonts w:ascii="Arial" w:hAnsi="Arial" w:cs="Arial"/>
          <w:sz w:val="22"/>
          <w:szCs w:val="22"/>
        </w:rPr>
        <w:t xml:space="preserve">CBA estimates that the implementation and ongoing reporting of compliance with these Standards annually would amount to approximately 82 hours of additional work across Compliance, Finance, Risk and Senior executives. </w:t>
      </w:r>
    </w:p>
    <w:p w:rsidR="00C13CA1" w:rsidRPr="00212B38" w:rsidRDefault="00C13CA1" w:rsidP="00B3650E">
      <w:pPr>
        <w:rPr>
          <w:rFonts w:ascii="Arial" w:hAnsi="Arial" w:cs="Arial"/>
          <w:sz w:val="22"/>
          <w:szCs w:val="22"/>
        </w:rPr>
      </w:pPr>
    </w:p>
    <w:p w:rsidR="00D572BF" w:rsidRPr="00212B38" w:rsidRDefault="00D572BF" w:rsidP="00B3650E">
      <w:pPr>
        <w:rPr>
          <w:rFonts w:ascii="Arial" w:hAnsi="Arial" w:cs="Arial"/>
          <w:sz w:val="22"/>
          <w:szCs w:val="22"/>
        </w:rPr>
      </w:pPr>
    </w:p>
    <w:p w:rsidR="00D572BF" w:rsidRPr="00212B38" w:rsidRDefault="00D572BF" w:rsidP="00D572BF">
      <w:pPr>
        <w:rPr>
          <w:rFonts w:ascii="Arial" w:hAnsi="Arial" w:cs="Arial"/>
          <w:sz w:val="22"/>
          <w:szCs w:val="22"/>
        </w:rPr>
      </w:pPr>
      <w:r w:rsidRPr="00212B38">
        <w:rPr>
          <w:rFonts w:ascii="Arial" w:hAnsi="Arial" w:cs="Arial"/>
          <w:sz w:val="22"/>
          <w:szCs w:val="22"/>
        </w:rPr>
        <w:t xml:space="preserve">The Issues Paper seeks the views of stakeholders on a number of proposals.  These are </w:t>
      </w:r>
      <w:proofErr w:type="gramStart"/>
      <w:r w:rsidRPr="00212B38">
        <w:rPr>
          <w:rFonts w:ascii="Arial" w:hAnsi="Arial" w:cs="Arial"/>
          <w:sz w:val="22"/>
          <w:szCs w:val="22"/>
        </w:rPr>
        <w:t>addressed</w:t>
      </w:r>
      <w:proofErr w:type="gramEnd"/>
      <w:r w:rsidRPr="00212B38">
        <w:rPr>
          <w:rFonts w:ascii="Arial" w:hAnsi="Arial" w:cs="Arial"/>
          <w:sz w:val="22"/>
          <w:szCs w:val="22"/>
        </w:rPr>
        <w:t xml:space="preserve"> below.</w:t>
      </w:r>
    </w:p>
    <w:p w:rsidR="00D572BF" w:rsidRPr="00212B38" w:rsidRDefault="00D572BF" w:rsidP="00D572BF">
      <w:pPr>
        <w:rPr>
          <w:rFonts w:ascii="Arial" w:hAnsi="Arial" w:cs="Arial"/>
          <w:sz w:val="22"/>
          <w:szCs w:val="22"/>
        </w:rPr>
      </w:pPr>
    </w:p>
    <w:p w:rsidR="00D572BF" w:rsidRPr="00212B38" w:rsidRDefault="00D572BF" w:rsidP="00D572BF">
      <w:pPr>
        <w:rPr>
          <w:rFonts w:ascii="Arial" w:hAnsi="Arial" w:cs="Arial"/>
          <w:b/>
          <w:i/>
          <w:sz w:val="22"/>
          <w:szCs w:val="22"/>
        </w:rPr>
      </w:pPr>
      <w:r w:rsidRPr="00212B38">
        <w:rPr>
          <w:rFonts w:ascii="Arial" w:hAnsi="Arial" w:cs="Arial"/>
          <w:b/>
          <w:sz w:val="22"/>
          <w:szCs w:val="22"/>
        </w:rPr>
        <w:lastRenderedPageBreak/>
        <w:t>Proposal 1:</w:t>
      </w:r>
      <w:r w:rsidRPr="00212B38">
        <w:rPr>
          <w:rFonts w:ascii="Arial" w:hAnsi="Arial" w:cs="Arial"/>
          <w:sz w:val="22"/>
          <w:szCs w:val="22"/>
        </w:rPr>
        <w:t xml:space="preserve"> </w:t>
      </w:r>
      <w:r w:rsidRPr="00212B38">
        <w:rPr>
          <w:rFonts w:ascii="Arial" w:hAnsi="Arial" w:cs="Arial"/>
          <w:b/>
          <w:i/>
          <w:sz w:val="22"/>
          <w:szCs w:val="22"/>
        </w:rPr>
        <w:t>The Bank’s Standards No. 1 and No. 2 of 2016 would be modified to require an accrual approach to be used to allocate Issuer Receipts and Issuer Payments to, or between, reporting periods in a manner consistent with the purpose and intent of the standards, such that in determining net compensation certifying entities have more scope to draw on information from financial accounts prepared in line with generally accepted Australian accounting principles. Compliance would not be permitted on a cash or quasi-cash basis.</w:t>
      </w:r>
    </w:p>
    <w:p w:rsidR="00D572BF" w:rsidRPr="00212B38" w:rsidRDefault="00D572BF" w:rsidP="00D572BF">
      <w:pPr>
        <w:rPr>
          <w:rFonts w:ascii="Arial" w:hAnsi="Arial" w:cs="Arial"/>
          <w:sz w:val="22"/>
          <w:szCs w:val="22"/>
        </w:rPr>
      </w:pPr>
    </w:p>
    <w:p w:rsidR="00D572BF" w:rsidRPr="00212B38" w:rsidRDefault="00D572BF" w:rsidP="00B3650E">
      <w:pPr>
        <w:rPr>
          <w:rFonts w:ascii="Arial" w:hAnsi="Arial" w:cs="Arial"/>
          <w:sz w:val="22"/>
          <w:szCs w:val="22"/>
        </w:rPr>
      </w:pPr>
      <w:r w:rsidRPr="00212B38">
        <w:rPr>
          <w:rFonts w:ascii="Arial" w:hAnsi="Arial" w:cs="Arial"/>
          <w:iCs/>
          <w:sz w:val="22"/>
          <w:szCs w:val="22"/>
        </w:rPr>
        <w:t>CBA supports this approach. An accrual basis more accurately reflects the underlying commercial substance of the contractual arrangements. This is because the payments would be reported in the same period as the corresponding underlying transaction.</w:t>
      </w:r>
    </w:p>
    <w:p w:rsidR="0062514D" w:rsidRPr="00212B38" w:rsidRDefault="0062514D" w:rsidP="00B3650E">
      <w:pPr>
        <w:rPr>
          <w:rFonts w:ascii="Arial" w:hAnsi="Arial" w:cs="Arial"/>
          <w:sz w:val="22"/>
          <w:szCs w:val="22"/>
        </w:rPr>
      </w:pPr>
    </w:p>
    <w:p w:rsidR="00DD401A" w:rsidRPr="00212B38" w:rsidRDefault="00DD401A" w:rsidP="00D572BF">
      <w:pPr>
        <w:rPr>
          <w:rFonts w:ascii="Arial" w:hAnsi="Arial" w:cs="Arial"/>
          <w:b/>
          <w:sz w:val="22"/>
          <w:szCs w:val="22"/>
        </w:rPr>
      </w:pPr>
    </w:p>
    <w:p w:rsidR="00D572BF" w:rsidRPr="00212B38" w:rsidRDefault="00D572BF" w:rsidP="00D572BF">
      <w:pPr>
        <w:rPr>
          <w:rFonts w:ascii="Arial" w:hAnsi="Arial" w:cs="Arial"/>
          <w:b/>
          <w:i/>
          <w:sz w:val="22"/>
          <w:szCs w:val="22"/>
        </w:rPr>
      </w:pPr>
      <w:r w:rsidRPr="00212B38">
        <w:rPr>
          <w:rFonts w:ascii="Arial" w:hAnsi="Arial" w:cs="Arial"/>
          <w:b/>
          <w:sz w:val="22"/>
          <w:szCs w:val="22"/>
        </w:rPr>
        <w:t>Proposal 2:</w:t>
      </w:r>
      <w:r w:rsidRPr="00212B38">
        <w:rPr>
          <w:rFonts w:ascii="Arial" w:hAnsi="Arial" w:cs="Arial"/>
          <w:sz w:val="22"/>
          <w:szCs w:val="22"/>
        </w:rPr>
        <w:t xml:space="preserve"> </w:t>
      </w:r>
      <w:r w:rsidRPr="00212B38">
        <w:rPr>
          <w:rFonts w:ascii="Arial" w:hAnsi="Arial" w:cs="Arial"/>
          <w:b/>
          <w:i/>
          <w:sz w:val="22"/>
          <w:szCs w:val="22"/>
        </w:rPr>
        <w:t>Clarify that ‘Issuer Payments’ are those payments made by issuers in relation to core services of a scheme.</w:t>
      </w:r>
    </w:p>
    <w:p w:rsidR="008A3518" w:rsidRPr="00212B38" w:rsidRDefault="008A3518" w:rsidP="00B3650E">
      <w:pPr>
        <w:rPr>
          <w:rFonts w:ascii="Arial" w:hAnsi="Arial" w:cs="Arial"/>
          <w:sz w:val="22"/>
          <w:szCs w:val="22"/>
        </w:rPr>
      </w:pPr>
    </w:p>
    <w:p w:rsidR="00D572BF" w:rsidRPr="00212B38" w:rsidRDefault="00D572BF" w:rsidP="00B3650E">
      <w:pPr>
        <w:rPr>
          <w:rFonts w:ascii="Arial" w:hAnsi="Arial" w:cs="Arial"/>
          <w:sz w:val="22"/>
          <w:szCs w:val="22"/>
        </w:rPr>
      </w:pPr>
      <w:r w:rsidRPr="00212B38">
        <w:rPr>
          <w:rFonts w:ascii="Arial" w:hAnsi="Arial" w:cs="Arial"/>
          <w:sz w:val="22"/>
          <w:szCs w:val="22"/>
        </w:rPr>
        <w:t xml:space="preserve">CBA in principle supports this recommendation however we have concerns that the wording of the definitions in Appendix A do not appear to reflect the intent of the changes as described in the Consultation Paper. </w:t>
      </w:r>
    </w:p>
    <w:p w:rsidR="00D572BF" w:rsidRPr="00212B38" w:rsidRDefault="00D572BF" w:rsidP="00B3650E">
      <w:pPr>
        <w:rPr>
          <w:rFonts w:ascii="Arial" w:hAnsi="Arial" w:cs="Arial"/>
          <w:sz w:val="22"/>
          <w:szCs w:val="22"/>
        </w:rPr>
      </w:pPr>
    </w:p>
    <w:p w:rsidR="00F60E4F" w:rsidRDefault="00535AF3" w:rsidP="005C332C">
      <w:pPr>
        <w:rPr>
          <w:rFonts w:ascii="Arial" w:hAnsi="Arial" w:cs="Arial"/>
          <w:sz w:val="22"/>
          <w:szCs w:val="22"/>
        </w:rPr>
      </w:pPr>
      <w:r w:rsidRPr="00212B38">
        <w:rPr>
          <w:rFonts w:ascii="Arial" w:hAnsi="Arial" w:cs="Arial"/>
          <w:sz w:val="22"/>
          <w:szCs w:val="22"/>
        </w:rPr>
        <w:t xml:space="preserve">CBA appreciates the simplification of the proposed definition to restrict the standard to </w:t>
      </w:r>
      <w:r w:rsidR="004C24F7" w:rsidRPr="00212B38">
        <w:rPr>
          <w:rFonts w:ascii="Arial" w:hAnsi="Arial" w:cs="Arial"/>
          <w:sz w:val="22"/>
          <w:szCs w:val="22"/>
        </w:rPr>
        <w:t xml:space="preserve">specifically </w:t>
      </w:r>
      <w:r w:rsidRPr="00212B38">
        <w:rPr>
          <w:rFonts w:ascii="Arial" w:hAnsi="Arial" w:cs="Arial"/>
          <w:sz w:val="22"/>
          <w:szCs w:val="22"/>
        </w:rPr>
        <w:t>‘payments’ for core services and accepts the definition of Core Services as the ‘minimum necessary services’ for participation in a scheme.</w:t>
      </w:r>
      <w:r w:rsidR="004C24F7" w:rsidRPr="00212B38">
        <w:rPr>
          <w:rFonts w:ascii="Arial" w:hAnsi="Arial" w:cs="Arial"/>
          <w:sz w:val="22"/>
          <w:szCs w:val="22"/>
        </w:rPr>
        <w:t xml:space="preserve"> We agree that essential services should be distinguished from value adding options. However we do not consider that such services can be neatly classified into a discernible, standardised set of services assumed by the ‘global provision test’. </w:t>
      </w:r>
    </w:p>
    <w:p w:rsidR="00F60E4F" w:rsidRDefault="00F60E4F" w:rsidP="005C332C">
      <w:pPr>
        <w:rPr>
          <w:rFonts w:ascii="Arial" w:hAnsi="Arial" w:cs="Arial"/>
          <w:sz w:val="22"/>
          <w:szCs w:val="22"/>
        </w:rPr>
      </w:pPr>
    </w:p>
    <w:p w:rsidR="00F60E4F" w:rsidRDefault="009074C4" w:rsidP="005C332C">
      <w:pPr>
        <w:rPr>
          <w:rFonts w:ascii="Arial" w:hAnsi="Arial" w:cs="Arial"/>
          <w:sz w:val="22"/>
          <w:szCs w:val="22"/>
        </w:rPr>
      </w:pPr>
      <w:r>
        <w:rPr>
          <w:rFonts w:ascii="Arial" w:hAnsi="Arial" w:cs="Arial"/>
          <w:sz w:val="22"/>
          <w:szCs w:val="22"/>
        </w:rPr>
        <w:t>CBA considers that the</w:t>
      </w:r>
      <w:r w:rsidR="00535AF3" w:rsidRPr="00212B38">
        <w:rPr>
          <w:rFonts w:ascii="Arial" w:hAnsi="Arial" w:cs="Arial"/>
          <w:sz w:val="22"/>
          <w:szCs w:val="22"/>
        </w:rPr>
        <w:t xml:space="preserve"> language in (c) of t</w:t>
      </w:r>
      <w:r w:rsidR="007F35B8" w:rsidRPr="00212B38">
        <w:rPr>
          <w:rFonts w:ascii="Arial" w:hAnsi="Arial" w:cs="Arial"/>
          <w:sz w:val="22"/>
          <w:szCs w:val="22"/>
        </w:rPr>
        <w:t>he definition of Core Services i</w:t>
      </w:r>
      <w:r w:rsidR="00535AF3" w:rsidRPr="00212B38">
        <w:rPr>
          <w:rFonts w:ascii="Arial" w:hAnsi="Arial" w:cs="Arial"/>
          <w:sz w:val="22"/>
          <w:szCs w:val="22"/>
        </w:rPr>
        <w:t xml:space="preserve">s </w:t>
      </w:r>
      <w:r w:rsidR="00D410D8" w:rsidRPr="00212B38">
        <w:rPr>
          <w:rFonts w:ascii="Arial" w:hAnsi="Arial" w:cs="Arial"/>
          <w:sz w:val="22"/>
          <w:szCs w:val="22"/>
        </w:rPr>
        <w:t xml:space="preserve">open to an </w:t>
      </w:r>
      <w:r w:rsidR="00F06EB4" w:rsidRPr="00212B38">
        <w:rPr>
          <w:rFonts w:ascii="Arial" w:hAnsi="Arial" w:cs="Arial"/>
          <w:sz w:val="22"/>
          <w:szCs w:val="22"/>
        </w:rPr>
        <w:t>inadvertently</w:t>
      </w:r>
      <w:r w:rsidR="00D410D8" w:rsidRPr="00212B38">
        <w:rPr>
          <w:rFonts w:ascii="Arial" w:hAnsi="Arial" w:cs="Arial"/>
          <w:sz w:val="22"/>
          <w:szCs w:val="22"/>
        </w:rPr>
        <w:t xml:space="preserve"> </w:t>
      </w:r>
      <w:r w:rsidR="004C24F7" w:rsidRPr="00212B38">
        <w:rPr>
          <w:rFonts w:ascii="Arial" w:hAnsi="Arial" w:cs="Arial"/>
          <w:sz w:val="22"/>
          <w:szCs w:val="22"/>
        </w:rPr>
        <w:t>prescriptive</w:t>
      </w:r>
      <w:r w:rsidR="00D410D8" w:rsidRPr="00212B38">
        <w:rPr>
          <w:rFonts w:ascii="Arial" w:hAnsi="Arial" w:cs="Arial"/>
          <w:sz w:val="22"/>
          <w:szCs w:val="22"/>
        </w:rPr>
        <w:t xml:space="preserve"> interpretation.</w:t>
      </w:r>
      <w:r w:rsidR="00721D8D" w:rsidRPr="00212B38">
        <w:rPr>
          <w:rFonts w:ascii="Arial" w:hAnsi="Arial" w:cs="Arial"/>
          <w:sz w:val="22"/>
          <w:szCs w:val="22"/>
        </w:rPr>
        <w:t xml:space="preserve"> </w:t>
      </w:r>
      <w:r w:rsidR="00F60E4F">
        <w:rPr>
          <w:rFonts w:ascii="Arial" w:hAnsi="Arial" w:cs="Arial"/>
          <w:sz w:val="22"/>
          <w:szCs w:val="22"/>
        </w:rPr>
        <w:t xml:space="preserve">Subsection (c), by imposing a ‘global’ standardised requirement appears to contradict subsection (a) which refers to </w:t>
      </w:r>
      <w:r w:rsidR="00F60E4F" w:rsidRPr="00F60E4F">
        <w:rPr>
          <w:rFonts w:ascii="Arial" w:hAnsi="Arial" w:cs="Arial"/>
          <w:sz w:val="22"/>
          <w:szCs w:val="22"/>
        </w:rPr>
        <w:t xml:space="preserve">the minimum necessary services for a participant in the Scheme </w:t>
      </w:r>
      <w:r w:rsidR="00F60E4F" w:rsidRPr="00980F43">
        <w:rPr>
          <w:rFonts w:ascii="Arial" w:hAnsi="Arial" w:cs="Arial"/>
          <w:sz w:val="22"/>
          <w:szCs w:val="22"/>
          <w:u w:val="single"/>
        </w:rPr>
        <w:t>in Australia</w:t>
      </w:r>
      <w:r w:rsidR="00F60E4F">
        <w:rPr>
          <w:rFonts w:ascii="Arial" w:hAnsi="Arial" w:cs="Arial"/>
          <w:sz w:val="22"/>
          <w:szCs w:val="22"/>
        </w:rPr>
        <w:t>.</w:t>
      </w:r>
      <w:r w:rsidR="00980F43">
        <w:rPr>
          <w:rFonts w:ascii="Arial" w:hAnsi="Arial" w:cs="Arial"/>
          <w:sz w:val="22"/>
          <w:szCs w:val="22"/>
        </w:rPr>
        <w:t xml:space="preserve"> </w:t>
      </w:r>
      <w:r w:rsidR="00F60E4F">
        <w:rPr>
          <w:rFonts w:ascii="Arial" w:hAnsi="Arial" w:cs="Arial"/>
          <w:sz w:val="22"/>
          <w:szCs w:val="22"/>
        </w:rPr>
        <w:t>CBA therefore recommends subsection (c) is removed from the definition of ‘core services’.</w:t>
      </w:r>
    </w:p>
    <w:p w:rsidR="00F60E4F" w:rsidRDefault="00F60E4F" w:rsidP="005C332C">
      <w:pPr>
        <w:rPr>
          <w:rFonts w:ascii="Arial" w:hAnsi="Arial" w:cs="Arial"/>
          <w:sz w:val="22"/>
          <w:szCs w:val="22"/>
        </w:rPr>
      </w:pPr>
    </w:p>
    <w:p w:rsidR="00F60BEA" w:rsidRPr="00212B38" w:rsidRDefault="00980F43" w:rsidP="00F60BEA">
      <w:pPr>
        <w:rPr>
          <w:rFonts w:ascii="Arial" w:hAnsi="Arial" w:cs="Arial"/>
          <w:sz w:val="22"/>
          <w:szCs w:val="22"/>
        </w:rPr>
      </w:pPr>
      <w:r w:rsidRPr="00980F43">
        <w:rPr>
          <w:rFonts w:ascii="Arial" w:hAnsi="Arial" w:cs="Arial"/>
          <w:sz w:val="22"/>
          <w:szCs w:val="22"/>
        </w:rPr>
        <w:t>Additionally CBA</w:t>
      </w:r>
      <w:r>
        <w:rPr>
          <w:rFonts w:ascii="Arial" w:hAnsi="Arial" w:cs="Arial"/>
          <w:sz w:val="22"/>
          <w:szCs w:val="22"/>
        </w:rPr>
        <w:t xml:space="preserve"> suggests </w:t>
      </w:r>
      <w:r w:rsidR="00F60BEA">
        <w:rPr>
          <w:rFonts w:ascii="Arial" w:hAnsi="Arial" w:cs="Arial"/>
          <w:sz w:val="22"/>
          <w:szCs w:val="22"/>
        </w:rPr>
        <w:t xml:space="preserve">that </w:t>
      </w:r>
      <w:r>
        <w:rPr>
          <w:rFonts w:ascii="Arial" w:hAnsi="Arial" w:cs="Arial"/>
          <w:sz w:val="22"/>
          <w:szCs w:val="22"/>
        </w:rPr>
        <w:t>this amended definition of ‘core services’</w:t>
      </w:r>
      <w:r w:rsidR="00F60BEA">
        <w:rPr>
          <w:rFonts w:ascii="Arial" w:hAnsi="Arial" w:cs="Arial"/>
          <w:sz w:val="22"/>
          <w:szCs w:val="22"/>
        </w:rPr>
        <w:t xml:space="preserve"> is applied</w:t>
      </w:r>
      <w:r>
        <w:rPr>
          <w:rFonts w:ascii="Arial" w:hAnsi="Arial" w:cs="Arial"/>
          <w:sz w:val="22"/>
          <w:szCs w:val="22"/>
        </w:rPr>
        <w:t xml:space="preserve"> uniformly to both ‘Issuer Payments’ and ‘</w:t>
      </w:r>
      <w:r w:rsidR="007B2932">
        <w:rPr>
          <w:rFonts w:ascii="Arial" w:hAnsi="Arial" w:cs="Arial"/>
          <w:sz w:val="22"/>
          <w:szCs w:val="22"/>
        </w:rPr>
        <w:t>Issuer Recei</w:t>
      </w:r>
      <w:r>
        <w:rPr>
          <w:rFonts w:ascii="Arial" w:hAnsi="Arial" w:cs="Arial"/>
          <w:sz w:val="22"/>
          <w:szCs w:val="22"/>
        </w:rPr>
        <w:t>pts’</w:t>
      </w:r>
      <w:r w:rsidR="00F60BEA">
        <w:rPr>
          <w:rFonts w:ascii="Arial" w:hAnsi="Arial" w:cs="Arial"/>
          <w:sz w:val="22"/>
          <w:szCs w:val="22"/>
        </w:rPr>
        <w:t xml:space="preserve"> to avoid creating a mismatch that could impact the outcome of the assessment.</w:t>
      </w:r>
    </w:p>
    <w:p w:rsidR="00D572BF" w:rsidRPr="00212B38" w:rsidRDefault="00D572BF" w:rsidP="00B3650E">
      <w:pPr>
        <w:rPr>
          <w:rFonts w:ascii="Arial" w:hAnsi="Arial" w:cs="Arial"/>
          <w:sz w:val="22"/>
          <w:szCs w:val="22"/>
        </w:rPr>
      </w:pPr>
    </w:p>
    <w:p w:rsidR="00D410D8" w:rsidRPr="00212B38" w:rsidRDefault="00D410D8" w:rsidP="00B3650E">
      <w:pPr>
        <w:rPr>
          <w:rFonts w:ascii="Arial" w:hAnsi="Arial" w:cs="Arial"/>
          <w:sz w:val="22"/>
          <w:szCs w:val="22"/>
        </w:rPr>
      </w:pPr>
    </w:p>
    <w:p w:rsidR="00D410D8" w:rsidRPr="00212B38" w:rsidRDefault="00D410D8" w:rsidP="00D410D8">
      <w:pPr>
        <w:rPr>
          <w:rFonts w:ascii="Arial" w:hAnsi="Arial" w:cs="Arial"/>
          <w:b/>
          <w:i/>
          <w:sz w:val="22"/>
          <w:szCs w:val="22"/>
        </w:rPr>
      </w:pPr>
      <w:r w:rsidRPr="00212B38">
        <w:rPr>
          <w:rFonts w:ascii="Arial" w:hAnsi="Arial" w:cs="Arial"/>
          <w:b/>
          <w:sz w:val="22"/>
          <w:szCs w:val="22"/>
        </w:rPr>
        <w:t>Proposal 3:</w:t>
      </w:r>
      <w:r w:rsidRPr="00212B38">
        <w:rPr>
          <w:rFonts w:ascii="Arial" w:hAnsi="Arial" w:cs="Arial"/>
          <w:sz w:val="22"/>
          <w:szCs w:val="22"/>
        </w:rPr>
        <w:t xml:space="preserve"> </w:t>
      </w:r>
      <w:r w:rsidRPr="00212B38">
        <w:rPr>
          <w:rFonts w:ascii="Arial" w:hAnsi="Arial" w:cs="Arial"/>
          <w:b/>
          <w:i/>
          <w:sz w:val="22"/>
          <w:szCs w:val="22"/>
        </w:rPr>
        <w:t>Remove references to ‘Acquirer’ from the definition of ‘Issuer Payments’ in the standards.</w:t>
      </w:r>
    </w:p>
    <w:p w:rsidR="00D410D8" w:rsidRPr="00212B38" w:rsidRDefault="00D410D8" w:rsidP="00D410D8">
      <w:pPr>
        <w:rPr>
          <w:rFonts w:ascii="Arial" w:hAnsi="Arial" w:cs="Arial"/>
          <w:sz w:val="22"/>
          <w:szCs w:val="22"/>
        </w:rPr>
      </w:pPr>
    </w:p>
    <w:p w:rsidR="00D410D8" w:rsidRPr="00212B38" w:rsidRDefault="00D410D8" w:rsidP="00D410D8">
      <w:pPr>
        <w:rPr>
          <w:rFonts w:ascii="Arial" w:hAnsi="Arial" w:cs="Arial"/>
          <w:sz w:val="22"/>
          <w:szCs w:val="22"/>
        </w:rPr>
      </w:pPr>
      <w:r w:rsidRPr="00212B38">
        <w:rPr>
          <w:rFonts w:ascii="Arial" w:hAnsi="Arial" w:cs="Arial"/>
          <w:sz w:val="22"/>
          <w:szCs w:val="22"/>
        </w:rPr>
        <w:t>CBA supports Proposal 3.</w:t>
      </w:r>
    </w:p>
    <w:p w:rsidR="00D410D8" w:rsidRPr="00212B38" w:rsidRDefault="00D410D8" w:rsidP="00B3650E">
      <w:pPr>
        <w:rPr>
          <w:rFonts w:ascii="Arial" w:hAnsi="Arial" w:cs="Arial"/>
          <w:sz w:val="22"/>
          <w:szCs w:val="22"/>
        </w:rPr>
      </w:pPr>
    </w:p>
    <w:p w:rsidR="00D572BF" w:rsidRPr="00212B38" w:rsidRDefault="00D572BF" w:rsidP="00B3650E">
      <w:pPr>
        <w:rPr>
          <w:rFonts w:ascii="Arial" w:hAnsi="Arial" w:cs="Arial"/>
          <w:sz w:val="22"/>
          <w:szCs w:val="22"/>
        </w:rPr>
      </w:pPr>
    </w:p>
    <w:p w:rsidR="008A3518" w:rsidRPr="00212B38" w:rsidRDefault="008A3518" w:rsidP="008A3518">
      <w:pPr>
        <w:rPr>
          <w:rFonts w:ascii="Arial" w:hAnsi="Arial" w:cs="Arial"/>
          <w:b/>
          <w:i/>
          <w:sz w:val="22"/>
          <w:szCs w:val="22"/>
        </w:rPr>
      </w:pPr>
      <w:r w:rsidRPr="00212B38">
        <w:rPr>
          <w:rFonts w:ascii="Arial" w:hAnsi="Arial" w:cs="Arial"/>
          <w:b/>
          <w:sz w:val="22"/>
          <w:szCs w:val="22"/>
        </w:rPr>
        <w:t>Proposal 4:</w:t>
      </w:r>
      <w:r w:rsidRPr="00212B38">
        <w:rPr>
          <w:rFonts w:ascii="Arial" w:hAnsi="Arial" w:cs="Arial"/>
          <w:sz w:val="22"/>
          <w:szCs w:val="22"/>
        </w:rPr>
        <w:t xml:space="preserve"> </w:t>
      </w:r>
      <w:r w:rsidRPr="00212B38">
        <w:rPr>
          <w:rFonts w:ascii="Arial" w:hAnsi="Arial" w:cs="Arial"/>
          <w:b/>
          <w:i/>
          <w:sz w:val="22"/>
          <w:szCs w:val="22"/>
        </w:rPr>
        <w:t>Clarify the standards with the effect that where there is a price at which the supplier is regularly supplying relevant property or services, any discount or deduction from that price that meets the incentive test is a benefit to be included in Issuer Receipts.</w:t>
      </w:r>
    </w:p>
    <w:p w:rsidR="008A3518" w:rsidRPr="00212B38" w:rsidRDefault="008A3518" w:rsidP="008A3518">
      <w:pPr>
        <w:rPr>
          <w:rFonts w:ascii="Arial" w:hAnsi="Arial" w:cs="Arial"/>
          <w:b/>
          <w:i/>
          <w:sz w:val="22"/>
          <w:szCs w:val="22"/>
        </w:rPr>
      </w:pPr>
    </w:p>
    <w:p w:rsidR="005C332C" w:rsidRPr="00212B38" w:rsidRDefault="005C332C" w:rsidP="005C332C">
      <w:pPr>
        <w:rPr>
          <w:rFonts w:ascii="Arial" w:hAnsi="Arial" w:cs="Arial"/>
          <w:b/>
          <w:i/>
          <w:sz w:val="22"/>
          <w:szCs w:val="22"/>
        </w:rPr>
      </w:pPr>
      <w:r w:rsidRPr="00212B38">
        <w:rPr>
          <w:rFonts w:ascii="Arial" w:hAnsi="Arial" w:cs="Arial"/>
          <w:b/>
          <w:sz w:val="22"/>
          <w:szCs w:val="22"/>
        </w:rPr>
        <w:t>Proposal 5:</w:t>
      </w:r>
      <w:r w:rsidRPr="00212B38">
        <w:rPr>
          <w:rFonts w:ascii="Arial" w:hAnsi="Arial" w:cs="Arial"/>
          <w:sz w:val="22"/>
          <w:szCs w:val="22"/>
        </w:rPr>
        <w:t xml:space="preserve"> </w:t>
      </w:r>
      <w:r w:rsidRPr="00212B38">
        <w:rPr>
          <w:rFonts w:ascii="Arial" w:hAnsi="Arial" w:cs="Arial"/>
          <w:b/>
          <w:i/>
          <w:sz w:val="22"/>
          <w:szCs w:val="22"/>
        </w:rPr>
        <w:t>Clarify the standards with the effect that where property or services are supplied and there is not a price at which the supplier is regularly supplying the relevant property or services, the benefit to be included in Issuer Receipts, subject to the incentive test, is the amount by which the fair value of the property or services exceeds what is paid for the property or services (and if nothing is paid, then the full fair value is to be included).</w:t>
      </w:r>
    </w:p>
    <w:p w:rsidR="00F06EB4" w:rsidRPr="00212B38" w:rsidRDefault="00F06EB4" w:rsidP="00F06EB4">
      <w:pPr>
        <w:rPr>
          <w:rFonts w:ascii="Arial" w:hAnsi="Arial" w:cs="Arial"/>
          <w:sz w:val="22"/>
          <w:szCs w:val="22"/>
        </w:rPr>
      </w:pPr>
    </w:p>
    <w:p w:rsidR="00A0784C" w:rsidRPr="00212B38" w:rsidRDefault="00A0784C" w:rsidP="00A0784C">
      <w:pPr>
        <w:rPr>
          <w:rFonts w:ascii="Arial" w:hAnsi="Arial" w:cs="Arial"/>
          <w:sz w:val="22"/>
          <w:szCs w:val="22"/>
        </w:rPr>
      </w:pPr>
      <w:r w:rsidRPr="00212B38">
        <w:rPr>
          <w:rFonts w:ascii="Arial" w:hAnsi="Arial" w:cs="Arial"/>
          <w:sz w:val="22"/>
          <w:szCs w:val="22"/>
        </w:rPr>
        <w:lastRenderedPageBreak/>
        <w:t xml:space="preserve">CBA accepts that there is potential for cards schemes to funnel value to issuers through discounts and non-financial benefits agreed or paid in relation to agreements for non-core services. </w:t>
      </w:r>
    </w:p>
    <w:p w:rsidR="00A0784C" w:rsidRPr="00212B38" w:rsidRDefault="00A0784C" w:rsidP="00A0784C">
      <w:pPr>
        <w:rPr>
          <w:rFonts w:ascii="Arial" w:hAnsi="Arial" w:cs="Arial"/>
          <w:sz w:val="22"/>
          <w:szCs w:val="22"/>
        </w:rPr>
      </w:pPr>
    </w:p>
    <w:p w:rsidR="00A0784C" w:rsidRPr="00212B38" w:rsidRDefault="00A0784C" w:rsidP="00A0784C">
      <w:pPr>
        <w:rPr>
          <w:rFonts w:ascii="Arial" w:hAnsi="Arial" w:cs="Arial"/>
          <w:sz w:val="22"/>
          <w:szCs w:val="22"/>
        </w:rPr>
      </w:pPr>
      <w:r w:rsidRPr="00212B38">
        <w:rPr>
          <w:rFonts w:ascii="Arial" w:hAnsi="Arial" w:cs="Arial"/>
          <w:sz w:val="22"/>
          <w:szCs w:val="22"/>
        </w:rPr>
        <w:t xml:space="preserve">However, there is a risk that separate arms-length arrangements for </w:t>
      </w:r>
      <w:r w:rsidR="00DF6C8D">
        <w:rPr>
          <w:rFonts w:ascii="Arial" w:hAnsi="Arial" w:cs="Arial"/>
          <w:sz w:val="22"/>
          <w:szCs w:val="22"/>
        </w:rPr>
        <w:t>non-core</w:t>
      </w:r>
      <w:r w:rsidRPr="00212B38">
        <w:rPr>
          <w:rFonts w:ascii="Arial" w:hAnsi="Arial" w:cs="Arial"/>
          <w:sz w:val="22"/>
          <w:szCs w:val="22"/>
        </w:rPr>
        <w:t xml:space="preserve"> services could be included in the definit</w:t>
      </w:r>
      <w:r w:rsidR="009074C4">
        <w:rPr>
          <w:rFonts w:ascii="Arial" w:hAnsi="Arial" w:cs="Arial"/>
          <w:sz w:val="22"/>
          <w:szCs w:val="22"/>
        </w:rPr>
        <w:t>ion of ‘Benefit’ and therefore ‘</w:t>
      </w:r>
      <w:r w:rsidRPr="00212B38">
        <w:rPr>
          <w:rFonts w:ascii="Arial" w:hAnsi="Arial" w:cs="Arial"/>
          <w:sz w:val="22"/>
          <w:szCs w:val="22"/>
        </w:rPr>
        <w:t>Issuer Receipts</w:t>
      </w:r>
      <w:r w:rsidR="009074C4">
        <w:rPr>
          <w:rFonts w:ascii="Arial" w:hAnsi="Arial" w:cs="Arial"/>
          <w:sz w:val="22"/>
          <w:szCs w:val="22"/>
        </w:rPr>
        <w:t>’</w:t>
      </w:r>
      <w:r w:rsidRPr="00212B38">
        <w:rPr>
          <w:rFonts w:ascii="Arial" w:hAnsi="Arial" w:cs="Arial"/>
          <w:sz w:val="22"/>
          <w:szCs w:val="22"/>
        </w:rPr>
        <w:t xml:space="preserve"> which could lead to unintended consequences, such as reducing competition by schemes for such related services. </w:t>
      </w:r>
    </w:p>
    <w:p w:rsidR="00A0784C" w:rsidRPr="00212B38" w:rsidRDefault="00A0784C" w:rsidP="00A0784C">
      <w:pPr>
        <w:rPr>
          <w:rFonts w:ascii="Arial" w:hAnsi="Arial" w:cs="Arial"/>
          <w:sz w:val="22"/>
          <w:szCs w:val="22"/>
        </w:rPr>
      </w:pPr>
    </w:p>
    <w:p w:rsidR="00A0784C" w:rsidRPr="00212B38" w:rsidRDefault="00A0784C" w:rsidP="00A0784C">
      <w:pPr>
        <w:rPr>
          <w:rFonts w:ascii="Arial" w:hAnsi="Arial" w:cs="Arial"/>
          <w:sz w:val="22"/>
          <w:szCs w:val="22"/>
        </w:rPr>
      </w:pPr>
      <w:r w:rsidRPr="00212B38">
        <w:rPr>
          <w:rFonts w:ascii="Arial" w:hAnsi="Arial" w:cs="Arial"/>
          <w:sz w:val="22"/>
          <w:szCs w:val="22"/>
        </w:rPr>
        <w:t>In particular, agreements between issuers and schemes relating to non-core services, such as loyalty programs, or platforms to provide customers with merchant-funded offers, may include pricing that caters for volume discounts or incentives to permit investment in start-up initiatives that may not be for the purpose of incentivising issuers to prefer that scheme’s cards or encourage spend on those cards, but instead to grow the scheme’s non-core services business.  These discounts or incentives might however have an effect of increasing spend on that scheme’s cards (e.g. if the issuer/s involved in the platform happen to issue mostly that scheme’s cards).  These discounts or incentives should not however solely for that reason be included in</w:t>
      </w:r>
      <w:r w:rsidR="009074C4">
        <w:rPr>
          <w:rFonts w:ascii="Arial" w:hAnsi="Arial" w:cs="Arial"/>
          <w:sz w:val="22"/>
          <w:szCs w:val="22"/>
        </w:rPr>
        <w:t xml:space="preserve"> the definition of ‘Benefit’</w:t>
      </w:r>
      <w:r w:rsidRPr="00212B38">
        <w:rPr>
          <w:rFonts w:ascii="Arial" w:hAnsi="Arial" w:cs="Arial"/>
          <w:sz w:val="22"/>
          <w:szCs w:val="22"/>
        </w:rPr>
        <w:t xml:space="preserve">. </w:t>
      </w:r>
    </w:p>
    <w:p w:rsidR="00A0784C" w:rsidRPr="00212B38" w:rsidRDefault="00A0784C" w:rsidP="00A0784C">
      <w:pPr>
        <w:rPr>
          <w:rFonts w:ascii="Arial" w:hAnsi="Arial" w:cs="Arial"/>
          <w:sz w:val="22"/>
          <w:szCs w:val="22"/>
        </w:rPr>
      </w:pPr>
    </w:p>
    <w:p w:rsidR="00A0784C" w:rsidRDefault="00A0784C" w:rsidP="00A0784C">
      <w:pPr>
        <w:rPr>
          <w:rFonts w:ascii="Arial" w:hAnsi="Arial" w:cs="Arial"/>
          <w:sz w:val="22"/>
          <w:szCs w:val="22"/>
        </w:rPr>
      </w:pPr>
      <w:r w:rsidRPr="00212B38">
        <w:rPr>
          <w:rFonts w:ascii="Arial" w:hAnsi="Arial" w:cs="Arial"/>
          <w:sz w:val="22"/>
          <w:szCs w:val="22"/>
        </w:rPr>
        <w:t>CBA seeks clarification of the Standard to ensure that arms-length negotiated discounts or incentives are not inadvertently captured under paragraphs (</w:t>
      </w:r>
      <w:r w:rsidR="009074C4">
        <w:rPr>
          <w:rFonts w:ascii="Arial" w:hAnsi="Arial" w:cs="Arial"/>
          <w:sz w:val="22"/>
          <w:szCs w:val="22"/>
        </w:rPr>
        <w:t>b) or (c) of the definition of ‘Benefit’</w:t>
      </w:r>
      <w:r w:rsidRPr="00212B38">
        <w:rPr>
          <w:rFonts w:ascii="Arial" w:hAnsi="Arial" w:cs="Arial"/>
          <w:sz w:val="22"/>
          <w:szCs w:val="22"/>
        </w:rPr>
        <w:t xml:space="preserve">. </w:t>
      </w:r>
    </w:p>
    <w:p w:rsidR="00212B38" w:rsidRPr="00212B38" w:rsidRDefault="00212B38" w:rsidP="00A0784C">
      <w:pPr>
        <w:rPr>
          <w:rFonts w:ascii="Arial" w:hAnsi="Arial" w:cs="Arial"/>
          <w:sz w:val="22"/>
          <w:szCs w:val="22"/>
        </w:rPr>
      </w:pPr>
    </w:p>
    <w:p w:rsidR="00A0784C" w:rsidRPr="00212B38" w:rsidRDefault="00A0784C" w:rsidP="00A0784C">
      <w:pPr>
        <w:rPr>
          <w:rFonts w:ascii="Arial" w:hAnsi="Arial" w:cs="Arial"/>
          <w:sz w:val="22"/>
          <w:szCs w:val="22"/>
        </w:rPr>
      </w:pPr>
      <w:r w:rsidRPr="00212B38">
        <w:rPr>
          <w:rFonts w:ascii="Arial" w:hAnsi="Arial" w:cs="Arial"/>
          <w:sz w:val="22"/>
          <w:szCs w:val="22"/>
        </w:rPr>
        <w:t xml:space="preserve">In practice we consider that Proposals 4 and 5 will present a number of challenges. The standards refer to ‘list, standard, usual price’ in an attempt to provide a benchmark from which a discount or reduction can be measured. However, in commercial reality there will be a number of difficulties in accurately quantifying such a ‘price’. For example, </w:t>
      </w:r>
      <w:r w:rsidR="00F75F4B">
        <w:rPr>
          <w:rFonts w:ascii="Arial" w:hAnsi="Arial" w:cs="Arial"/>
          <w:sz w:val="22"/>
          <w:szCs w:val="22"/>
        </w:rPr>
        <w:t>economies of scale,</w:t>
      </w:r>
      <w:r w:rsidR="00F75F4B" w:rsidRPr="00212B38">
        <w:rPr>
          <w:rFonts w:ascii="Arial" w:hAnsi="Arial" w:cs="Arial"/>
          <w:sz w:val="22"/>
          <w:szCs w:val="22"/>
        </w:rPr>
        <w:t xml:space="preserve"> first mover incentive considerations</w:t>
      </w:r>
      <w:r w:rsidR="00F75F4B">
        <w:rPr>
          <w:rFonts w:ascii="Arial" w:hAnsi="Arial" w:cs="Arial"/>
          <w:sz w:val="22"/>
          <w:szCs w:val="22"/>
        </w:rPr>
        <w:t xml:space="preserve"> and</w:t>
      </w:r>
      <w:r w:rsidR="00F75F4B" w:rsidRPr="00212B38">
        <w:rPr>
          <w:rFonts w:ascii="Arial" w:hAnsi="Arial" w:cs="Arial"/>
          <w:sz w:val="22"/>
          <w:szCs w:val="22"/>
        </w:rPr>
        <w:t xml:space="preserve"> </w:t>
      </w:r>
      <w:r w:rsidRPr="00212B38">
        <w:rPr>
          <w:rFonts w:ascii="Arial" w:hAnsi="Arial" w:cs="Arial"/>
          <w:sz w:val="22"/>
          <w:szCs w:val="22"/>
        </w:rPr>
        <w:t>bespoke service offering</w:t>
      </w:r>
      <w:r w:rsidR="00F75F4B">
        <w:rPr>
          <w:rFonts w:ascii="Arial" w:hAnsi="Arial" w:cs="Arial"/>
          <w:sz w:val="22"/>
          <w:szCs w:val="22"/>
        </w:rPr>
        <w:t>s that have been</w:t>
      </w:r>
      <w:r w:rsidRPr="00212B38">
        <w:rPr>
          <w:rFonts w:ascii="Arial" w:hAnsi="Arial" w:cs="Arial"/>
          <w:sz w:val="22"/>
          <w:szCs w:val="22"/>
        </w:rPr>
        <w:t xml:space="preserve"> tailo</w:t>
      </w:r>
      <w:r w:rsidR="00F75F4B">
        <w:rPr>
          <w:rFonts w:ascii="Arial" w:hAnsi="Arial" w:cs="Arial"/>
          <w:sz w:val="22"/>
          <w:szCs w:val="22"/>
        </w:rPr>
        <w:t xml:space="preserve">red to the needs of the Issuer would all make </w:t>
      </w:r>
      <w:r w:rsidRPr="00212B38">
        <w:rPr>
          <w:rFonts w:ascii="Arial" w:hAnsi="Arial" w:cs="Arial"/>
          <w:sz w:val="22"/>
          <w:szCs w:val="22"/>
        </w:rPr>
        <w:t xml:space="preserve">price comparison difficult. </w:t>
      </w:r>
    </w:p>
    <w:p w:rsidR="00A0784C" w:rsidRPr="00212B38" w:rsidRDefault="00A0784C" w:rsidP="00A0784C">
      <w:pPr>
        <w:rPr>
          <w:rFonts w:ascii="Arial" w:hAnsi="Arial" w:cs="Arial"/>
          <w:sz w:val="22"/>
          <w:szCs w:val="22"/>
        </w:rPr>
      </w:pPr>
    </w:p>
    <w:p w:rsidR="00A0784C" w:rsidRPr="00212B38" w:rsidRDefault="00F60BEA" w:rsidP="00A0784C">
      <w:pPr>
        <w:rPr>
          <w:rFonts w:ascii="Arial" w:hAnsi="Arial" w:cs="Arial"/>
          <w:sz w:val="22"/>
          <w:szCs w:val="22"/>
        </w:rPr>
      </w:pPr>
      <w:r>
        <w:rPr>
          <w:rFonts w:ascii="Arial" w:hAnsi="Arial" w:cs="Arial"/>
          <w:sz w:val="22"/>
          <w:szCs w:val="22"/>
        </w:rPr>
        <w:t>Overly restrictive</w:t>
      </w:r>
      <w:r w:rsidR="00A0784C" w:rsidRPr="00212B38">
        <w:rPr>
          <w:rFonts w:ascii="Arial" w:hAnsi="Arial" w:cs="Arial"/>
          <w:sz w:val="22"/>
          <w:szCs w:val="22"/>
        </w:rPr>
        <w:t xml:space="preserve"> inclusion of payments, incentives or pass thr</w:t>
      </w:r>
      <w:r w:rsidR="009074C4">
        <w:rPr>
          <w:rFonts w:ascii="Arial" w:hAnsi="Arial" w:cs="Arial"/>
          <w:sz w:val="22"/>
          <w:szCs w:val="22"/>
        </w:rPr>
        <w:t>oughs within the definition of ‘Benefit’</w:t>
      </w:r>
      <w:r w:rsidR="00A0784C" w:rsidRPr="00212B38">
        <w:rPr>
          <w:rFonts w:ascii="Arial" w:hAnsi="Arial" w:cs="Arial"/>
          <w:sz w:val="22"/>
          <w:szCs w:val="22"/>
        </w:rPr>
        <w:t xml:space="preserve"> may inadvertently give competitors of schemes an unfair advantage in negotiations with issuers, as well as </w:t>
      </w:r>
      <w:r>
        <w:rPr>
          <w:rFonts w:ascii="Arial" w:hAnsi="Arial" w:cs="Arial"/>
          <w:sz w:val="22"/>
          <w:szCs w:val="22"/>
        </w:rPr>
        <w:t xml:space="preserve">further </w:t>
      </w:r>
      <w:r w:rsidR="00A0784C" w:rsidRPr="00212B38">
        <w:rPr>
          <w:rFonts w:ascii="Arial" w:hAnsi="Arial" w:cs="Arial"/>
          <w:sz w:val="22"/>
          <w:szCs w:val="22"/>
        </w:rPr>
        <w:t xml:space="preserve">complicate accounting and reporting under the Standards.  </w:t>
      </w:r>
    </w:p>
    <w:p w:rsidR="00A0784C" w:rsidRPr="00212B38" w:rsidRDefault="00A0784C" w:rsidP="00A0784C">
      <w:pPr>
        <w:rPr>
          <w:rFonts w:ascii="Arial" w:hAnsi="Arial" w:cs="Arial"/>
          <w:sz w:val="22"/>
          <w:szCs w:val="22"/>
        </w:rPr>
      </w:pPr>
    </w:p>
    <w:p w:rsidR="00D410D8" w:rsidRPr="00212B38" w:rsidRDefault="00D410D8" w:rsidP="00D410D8">
      <w:pPr>
        <w:rPr>
          <w:rFonts w:ascii="Arial" w:hAnsi="Arial" w:cs="Arial"/>
          <w:b/>
          <w:i/>
          <w:sz w:val="22"/>
          <w:szCs w:val="22"/>
        </w:rPr>
      </w:pPr>
    </w:p>
    <w:p w:rsidR="00D410D8" w:rsidRPr="00212B38" w:rsidRDefault="00D410D8" w:rsidP="00D410D8">
      <w:pPr>
        <w:rPr>
          <w:rFonts w:ascii="Arial" w:hAnsi="Arial" w:cs="Arial"/>
          <w:b/>
          <w:i/>
          <w:sz w:val="22"/>
          <w:szCs w:val="22"/>
        </w:rPr>
      </w:pPr>
    </w:p>
    <w:p w:rsidR="005C332C" w:rsidRPr="00212B38" w:rsidRDefault="005C332C" w:rsidP="005C332C">
      <w:pPr>
        <w:rPr>
          <w:rFonts w:ascii="Arial" w:hAnsi="Arial" w:cs="Arial"/>
          <w:b/>
          <w:i/>
          <w:sz w:val="22"/>
          <w:szCs w:val="22"/>
        </w:rPr>
      </w:pPr>
      <w:r w:rsidRPr="00212B38">
        <w:rPr>
          <w:rFonts w:ascii="Arial" w:hAnsi="Arial" w:cs="Arial"/>
          <w:b/>
          <w:sz w:val="22"/>
          <w:szCs w:val="22"/>
        </w:rPr>
        <w:t>Proposal 6:</w:t>
      </w:r>
      <w:r w:rsidRPr="00212B38">
        <w:rPr>
          <w:rFonts w:ascii="Arial" w:hAnsi="Arial" w:cs="Arial"/>
          <w:sz w:val="22"/>
          <w:szCs w:val="22"/>
        </w:rPr>
        <w:t xml:space="preserve"> </w:t>
      </w:r>
      <w:r w:rsidRPr="00212B38">
        <w:rPr>
          <w:rFonts w:ascii="Arial" w:hAnsi="Arial" w:cs="Arial"/>
          <w:b/>
          <w:i/>
          <w:sz w:val="22"/>
          <w:szCs w:val="22"/>
        </w:rPr>
        <w:t>Clarify that the types of entity that an issuer can receive an Issuer Receipt from include associated entities of scheme administrators, drawing on the definition of Associated Entity in the Corporations Act 2001.</w:t>
      </w:r>
    </w:p>
    <w:p w:rsidR="005C332C" w:rsidRPr="00212B38" w:rsidRDefault="005C332C" w:rsidP="005C332C">
      <w:pPr>
        <w:rPr>
          <w:rFonts w:ascii="Arial" w:hAnsi="Arial" w:cs="Arial"/>
          <w:b/>
          <w:i/>
          <w:sz w:val="22"/>
          <w:szCs w:val="22"/>
        </w:rPr>
      </w:pPr>
    </w:p>
    <w:p w:rsidR="007F35B8" w:rsidRPr="00212B38" w:rsidRDefault="005C332C" w:rsidP="005C332C">
      <w:pPr>
        <w:rPr>
          <w:rFonts w:ascii="Arial" w:hAnsi="Arial" w:cs="Arial"/>
          <w:sz w:val="22"/>
          <w:szCs w:val="22"/>
        </w:rPr>
      </w:pPr>
      <w:r w:rsidRPr="00212B38">
        <w:rPr>
          <w:rFonts w:ascii="Arial" w:hAnsi="Arial" w:cs="Arial"/>
          <w:sz w:val="22"/>
          <w:szCs w:val="22"/>
        </w:rPr>
        <w:t xml:space="preserve">CBA </w:t>
      </w:r>
      <w:r w:rsidR="00DD7028" w:rsidRPr="00212B38">
        <w:rPr>
          <w:rFonts w:ascii="Arial" w:hAnsi="Arial" w:cs="Arial"/>
          <w:sz w:val="22"/>
          <w:szCs w:val="22"/>
        </w:rPr>
        <w:t xml:space="preserve">in principle supports the RBA’s proposal to narrow the definition of Issuer Receipts to include only benefits provided directly or indirectly from a Scheme Administrator or any of its associated entities, with the definition of associated entity drawn from the </w:t>
      </w:r>
      <w:r w:rsidR="00DD7028" w:rsidRPr="00212B38">
        <w:rPr>
          <w:rFonts w:ascii="Arial" w:hAnsi="Arial" w:cs="Arial"/>
          <w:i/>
          <w:iCs/>
          <w:sz w:val="22"/>
          <w:szCs w:val="22"/>
        </w:rPr>
        <w:t>Corporations Act 2001</w:t>
      </w:r>
      <w:r w:rsidR="00DD7028" w:rsidRPr="00212B38">
        <w:rPr>
          <w:rFonts w:ascii="Arial" w:hAnsi="Arial" w:cs="Arial"/>
          <w:sz w:val="22"/>
          <w:szCs w:val="22"/>
        </w:rPr>
        <w:t>.</w:t>
      </w:r>
      <w:r w:rsidR="007F35B8" w:rsidRPr="00212B38">
        <w:rPr>
          <w:rFonts w:ascii="Arial" w:hAnsi="Arial" w:cs="Arial"/>
          <w:sz w:val="22"/>
          <w:szCs w:val="22"/>
        </w:rPr>
        <w:t xml:space="preserve"> For consistency we consider that a corresponding clarification should apply to Issuer Payments.</w:t>
      </w:r>
      <w:r w:rsidR="00C13CA1" w:rsidRPr="00212B38">
        <w:rPr>
          <w:rFonts w:ascii="Arial" w:hAnsi="Arial" w:cs="Arial"/>
          <w:sz w:val="22"/>
          <w:szCs w:val="22"/>
        </w:rPr>
        <w:t xml:space="preserve"> </w:t>
      </w:r>
      <w:r w:rsidR="007F35B8" w:rsidRPr="00212B38">
        <w:rPr>
          <w:rFonts w:ascii="Arial" w:hAnsi="Arial" w:cs="Arial"/>
          <w:sz w:val="22"/>
          <w:szCs w:val="22"/>
        </w:rPr>
        <w:t>However, CBA reiterates that the relevant benefits should only be included in Issuer Receipts if they meet the incentive test.</w:t>
      </w:r>
    </w:p>
    <w:p w:rsidR="005C332C" w:rsidRPr="00212B38" w:rsidRDefault="005C332C" w:rsidP="005C332C">
      <w:pPr>
        <w:rPr>
          <w:rFonts w:ascii="Arial" w:hAnsi="Arial" w:cs="Arial"/>
          <w:b/>
          <w:i/>
          <w:sz w:val="22"/>
          <w:szCs w:val="22"/>
        </w:rPr>
      </w:pPr>
    </w:p>
    <w:p w:rsidR="005C332C" w:rsidRPr="00212B38" w:rsidRDefault="005C332C" w:rsidP="005C332C">
      <w:pPr>
        <w:rPr>
          <w:rFonts w:ascii="Arial" w:hAnsi="Arial" w:cs="Arial"/>
          <w:b/>
          <w:i/>
          <w:sz w:val="22"/>
          <w:szCs w:val="22"/>
        </w:rPr>
      </w:pPr>
    </w:p>
    <w:p w:rsidR="005C332C" w:rsidRPr="00212B38" w:rsidRDefault="005C332C" w:rsidP="005C332C">
      <w:pPr>
        <w:autoSpaceDE w:val="0"/>
        <w:autoSpaceDN w:val="0"/>
        <w:adjustRightInd w:val="0"/>
        <w:rPr>
          <w:rFonts w:ascii="Arial" w:hAnsi="Arial" w:cs="Arial"/>
          <w:b/>
          <w:sz w:val="22"/>
          <w:szCs w:val="22"/>
        </w:rPr>
      </w:pPr>
      <w:r w:rsidRPr="00212B38">
        <w:rPr>
          <w:rFonts w:ascii="Arial" w:hAnsi="Arial" w:cs="Arial"/>
          <w:b/>
          <w:sz w:val="22"/>
          <w:szCs w:val="22"/>
        </w:rPr>
        <w:t xml:space="preserve">Proposal 7: </w:t>
      </w:r>
    </w:p>
    <w:p w:rsidR="005C332C" w:rsidRPr="00212B38" w:rsidRDefault="005C332C" w:rsidP="005C332C">
      <w:pPr>
        <w:rPr>
          <w:rFonts w:ascii="Arial" w:hAnsi="Arial" w:cs="Arial"/>
          <w:b/>
          <w:i/>
          <w:sz w:val="22"/>
          <w:szCs w:val="22"/>
        </w:rPr>
      </w:pPr>
      <w:r w:rsidRPr="00212B38">
        <w:rPr>
          <w:rFonts w:ascii="Arial" w:hAnsi="Arial" w:cs="Arial"/>
          <w:b/>
          <w:i/>
          <w:sz w:val="22"/>
          <w:szCs w:val="22"/>
        </w:rPr>
        <w:t xml:space="preserve">The Bank’s Standards No. 1 and No. 2 of 2016 would be modified, such that for scheme-issuer arrangements where one entity sponsors another for a card-issuing arrangement, it is only the sponsoring issuer that is required to comply with the net compensation provisions. </w:t>
      </w:r>
    </w:p>
    <w:p w:rsidR="005C332C" w:rsidRPr="00212B38" w:rsidRDefault="005C332C" w:rsidP="005C332C">
      <w:pPr>
        <w:rPr>
          <w:rFonts w:ascii="Arial" w:hAnsi="Arial" w:cs="Arial"/>
          <w:sz w:val="22"/>
          <w:szCs w:val="22"/>
        </w:rPr>
      </w:pPr>
    </w:p>
    <w:p w:rsidR="005C332C" w:rsidRPr="00212B38" w:rsidRDefault="005C332C" w:rsidP="005C332C">
      <w:pPr>
        <w:rPr>
          <w:rFonts w:ascii="Arial" w:hAnsi="Arial" w:cs="Arial"/>
          <w:sz w:val="22"/>
          <w:szCs w:val="22"/>
        </w:rPr>
      </w:pPr>
      <w:r w:rsidRPr="00212B38">
        <w:rPr>
          <w:rFonts w:ascii="Arial" w:hAnsi="Arial" w:cs="Arial"/>
          <w:sz w:val="22"/>
          <w:szCs w:val="22"/>
        </w:rPr>
        <w:t>CBA supports Proposal 7.</w:t>
      </w:r>
    </w:p>
    <w:p w:rsidR="005C332C" w:rsidRPr="00212B38" w:rsidRDefault="005C332C" w:rsidP="005C332C">
      <w:pPr>
        <w:rPr>
          <w:rFonts w:ascii="Arial" w:hAnsi="Arial" w:cs="Arial"/>
          <w:sz w:val="22"/>
          <w:szCs w:val="22"/>
        </w:rPr>
      </w:pPr>
    </w:p>
    <w:p w:rsidR="005C332C" w:rsidRPr="00212B38" w:rsidRDefault="005C332C" w:rsidP="005C332C">
      <w:pPr>
        <w:rPr>
          <w:rFonts w:ascii="Arial" w:hAnsi="Arial" w:cs="Arial"/>
          <w:sz w:val="22"/>
          <w:szCs w:val="22"/>
        </w:rPr>
      </w:pPr>
    </w:p>
    <w:p w:rsidR="005C332C" w:rsidRPr="00212B38" w:rsidRDefault="005C332C" w:rsidP="005C332C">
      <w:pPr>
        <w:rPr>
          <w:rFonts w:ascii="Arial" w:hAnsi="Arial" w:cs="Arial"/>
          <w:b/>
          <w:i/>
          <w:sz w:val="22"/>
          <w:szCs w:val="22"/>
        </w:rPr>
      </w:pPr>
      <w:r w:rsidRPr="00212B38">
        <w:rPr>
          <w:rFonts w:ascii="Arial" w:hAnsi="Arial" w:cs="Arial"/>
          <w:b/>
          <w:sz w:val="22"/>
          <w:szCs w:val="22"/>
        </w:rPr>
        <w:lastRenderedPageBreak/>
        <w:t>Proposal 8:</w:t>
      </w:r>
      <w:r w:rsidRPr="00212B38">
        <w:rPr>
          <w:rFonts w:ascii="Arial" w:hAnsi="Arial" w:cs="Arial"/>
          <w:sz w:val="22"/>
          <w:szCs w:val="22"/>
        </w:rPr>
        <w:t xml:space="preserve"> </w:t>
      </w:r>
      <w:r w:rsidRPr="00212B38">
        <w:rPr>
          <w:rFonts w:ascii="Arial" w:hAnsi="Arial" w:cs="Arial"/>
          <w:b/>
          <w:i/>
          <w:sz w:val="22"/>
          <w:szCs w:val="22"/>
        </w:rPr>
        <w:t>Provide transition arrangements that allow, for the reporting period ending 30 June 2019 only, an issuer to choose whether to comply fully with current standard or fully with the revised standard.</w:t>
      </w:r>
    </w:p>
    <w:p w:rsidR="005C332C" w:rsidRPr="00212B38" w:rsidRDefault="005C332C" w:rsidP="005C332C">
      <w:pPr>
        <w:rPr>
          <w:rFonts w:ascii="Arial" w:hAnsi="Arial" w:cs="Arial"/>
          <w:b/>
          <w:i/>
          <w:sz w:val="22"/>
          <w:szCs w:val="22"/>
        </w:rPr>
      </w:pPr>
    </w:p>
    <w:p w:rsidR="005C332C" w:rsidRPr="00212B38" w:rsidRDefault="005C332C" w:rsidP="005C332C">
      <w:pPr>
        <w:rPr>
          <w:rFonts w:ascii="Arial" w:hAnsi="Arial" w:cs="Arial"/>
          <w:sz w:val="22"/>
          <w:szCs w:val="22"/>
        </w:rPr>
      </w:pPr>
      <w:r w:rsidRPr="00212B38">
        <w:rPr>
          <w:rFonts w:ascii="Arial" w:hAnsi="Arial" w:cs="Arial"/>
          <w:sz w:val="22"/>
          <w:szCs w:val="22"/>
        </w:rPr>
        <w:t>CBA supports Proposal 8.</w:t>
      </w:r>
    </w:p>
    <w:p w:rsidR="005E15FC" w:rsidRPr="00212B38" w:rsidRDefault="005E15FC" w:rsidP="00B3650E">
      <w:pPr>
        <w:rPr>
          <w:rFonts w:ascii="Arial" w:hAnsi="Arial" w:cs="Arial"/>
          <w:sz w:val="22"/>
          <w:szCs w:val="22"/>
        </w:rPr>
      </w:pPr>
    </w:p>
    <w:p w:rsidR="003F6EEC" w:rsidRPr="00212B38" w:rsidRDefault="003F6EEC" w:rsidP="00B3650E">
      <w:pPr>
        <w:rPr>
          <w:rFonts w:ascii="Arial" w:hAnsi="Arial" w:cs="Arial"/>
          <w:sz w:val="22"/>
          <w:szCs w:val="22"/>
        </w:rPr>
      </w:pPr>
    </w:p>
    <w:p w:rsidR="008A3518" w:rsidRPr="00212B38" w:rsidRDefault="008A3518" w:rsidP="00B3650E">
      <w:pPr>
        <w:rPr>
          <w:rFonts w:ascii="Arial" w:hAnsi="Arial" w:cs="Arial"/>
          <w:sz w:val="22"/>
          <w:szCs w:val="22"/>
        </w:rPr>
      </w:pPr>
      <w:r w:rsidRPr="00212B38">
        <w:rPr>
          <w:rFonts w:ascii="Arial" w:hAnsi="Arial" w:cs="Arial"/>
          <w:sz w:val="22"/>
          <w:szCs w:val="22"/>
        </w:rPr>
        <w:t xml:space="preserve">CBA </w:t>
      </w:r>
      <w:r w:rsidR="00866B6F" w:rsidRPr="00212B38">
        <w:rPr>
          <w:rFonts w:ascii="Arial" w:hAnsi="Arial" w:cs="Arial"/>
          <w:sz w:val="22"/>
          <w:szCs w:val="22"/>
        </w:rPr>
        <w:t>would welcome the opportunity to discuss this feedback at the</w:t>
      </w:r>
      <w:r w:rsidRPr="00212B38">
        <w:rPr>
          <w:rFonts w:ascii="Arial" w:hAnsi="Arial" w:cs="Arial"/>
          <w:sz w:val="22"/>
          <w:szCs w:val="22"/>
        </w:rPr>
        <w:t xml:space="preserve"> meeting with the RBA on 2 April 2019.</w:t>
      </w:r>
    </w:p>
    <w:p w:rsidR="0084533E" w:rsidRPr="00212B38" w:rsidRDefault="0084533E" w:rsidP="00882CAA">
      <w:pPr>
        <w:rPr>
          <w:rFonts w:ascii="Arial" w:hAnsi="Arial" w:cs="Arial"/>
          <w:sz w:val="22"/>
          <w:szCs w:val="22"/>
        </w:rPr>
      </w:pPr>
    </w:p>
    <w:p w:rsidR="00F938B8" w:rsidRPr="00212B38" w:rsidRDefault="00F938B8" w:rsidP="00882CAA">
      <w:pPr>
        <w:rPr>
          <w:rFonts w:ascii="Arial" w:hAnsi="Arial" w:cs="Arial"/>
          <w:sz w:val="22"/>
          <w:szCs w:val="22"/>
        </w:rPr>
      </w:pPr>
    </w:p>
    <w:p w:rsidR="001B2901" w:rsidRPr="00212B38" w:rsidRDefault="001B2901" w:rsidP="001B2901">
      <w:pPr>
        <w:rPr>
          <w:rFonts w:ascii="Arial" w:hAnsi="Arial" w:cs="Arial"/>
          <w:b/>
          <w:i/>
          <w:sz w:val="22"/>
          <w:szCs w:val="22"/>
        </w:rPr>
      </w:pPr>
    </w:p>
    <w:p w:rsidR="001B2901" w:rsidRPr="00212B38" w:rsidRDefault="001B2901" w:rsidP="001B2901">
      <w:pPr>
        <w:rPr>
          <w:rFonts w:ascii="Arial" w:hAnsi="Arial" w:cs="Arial"/>
          <w:b/>
          <w:i/>
          <w:sz w:val="22"/>
          <w:szCs w:val="22"/>
        </w:rPr>
      </w:pPr>
    </w:p>
    <w:p w:rsidR="005400E8" w:rsidRPr="00212B38" w:rsidRDefault="005400E8" w:rsidP="001C05C7">
      <w:pPr>
        <w:jc w:val="both"/>
        <w:rPr>
          <w:rFonts w:ascii="Arial" w:hAnsi="Arial" w:cs="Arial"/>
          <w:sz w:val="22"/>
          <w:szCs w:val="22"/>
        </w:rPr>
      </w:pPr>
      <w:r w:rsidRPr="00212B38">
        <w:rPr>
          <w:rFonts w:ascii="Arial" w:hAnsi="Arial" w:cs="Arial"/>
          <w:sz w:val="22"/>
          <w:szCs w:val="22"/>
        </w:rPr>
        <w:t>Yours sincerely</w:t>
      </w:r>
    </w:p>
    <w:p w:rsidR="005400E8" w:rsidRPr="00212B38" w:rsidRDefault="005400E8" w:rsidP="001C05C7">
      <w:pPr>
        <w:jc w:val="both"/>
        <w:rPr>
          <w:rFonts w:ascii="Arial" w:hAnsi="Arial" w:cs="Arial"/>
          <w:sz w:val="22"/>
          <w:szCs w:val="22"/>
        </w:rPr>
      </w:pPr>
    </w:p>
    <w:p w:rsidR="0061318D" w:rsidRPr="00212B38" w:rsidRDefault="0061318D" w:rsidP="001C05C7">
      <w:pPr>
        <w:jc w:val="both"/>
        <w:rPr>
          <w:rFonts w:ascii="Arial" w:hAnsi="Arial" w:cs="Arial"/>
          <w:sz w:val="22"/>
          <w:szCs w:val="22"/>
        </w:rPr>
      </w:pPr>
    </w:p>
    <w:p w:rsidR="00194AB6" w:rsidRPr="00212B38" w:rsidRDefault="00194AB6" w:rsidP="001C05C7">
      <w:pPr>
        <w:jc w:val="both"/>
        <w:rPr>
          <w:rFonts w:ascii="Arial" w:hAnsi="Arial" w:cs="Arial"/>
          <w:sz w:val="22"/>
          <w:szCs w:val="22"/>
        </w:rPr>
      </w:pPr>
    </w:p>
    <w:p w:rsidR="00194AB6" w:rsidRPr="00212B38" w:rsidRDefault="00194AB6" w:rsidP="001C05C7">
      <w:pPr>
        <w:jc w:val="both"/>
        <w:rPr>
          <w:rFonts w:ascii="Arial" w:hAnsi="Arial" w:cs="Arial"/>
          <w:sz w:val="22"/>
          <w:szCs w:val="22"/>
        </w:rPr>
      </w:pPr>
      <w:r w:rsidRPr="00212B38">
        <w:rPr>
          <w:rFonts w:ascii="Arial" w:hAnsi="Arial" w:cs="Arial"/>
          <w:sz w:val="22"/>
          <w:szCs w:val="22"/>
        </w:rPr>
        <w:t>Dr Michael Baumann</w:t>
      </w:r>
    </w:p>
    <w:p w:rsidR="00194AB6" w:rsidRPr="00212B38" w:rsidRDefault="00194AB6" w:rsidP="001C05C7">
      <w:pPr>
        <w:jc w:val="both"/>
        <w:rPr>
          <w:rFonts w:ascii="Arial" w:hAnsi="Arial" w:cs="Arial"/>
          <w:sz w:val="22"/>
          <w:szCs w:val="22"/>
        </w:rPr>
      </w:pPr>
      <w:r w:rsidRPr="00212B38">
        <w:rPr>
          <w:rFonts w:ascii="Arial" w:hAnsi="Arial" w:cs="Arial"/>
          <w:sz w:val="22"/>
          <w:szCs w:val="22"/>
        </w:rPr>
        <w:t>Executive General Manager</w:t>
      </w:r>
    </w:p>
    <w:p w:rsidR="00194AB6" w:rsidRPr="00212B38" w:rsidRDefault="00194AB6" w:rsidP="001C05C7">
      <w:pPr>
        <w:jc w:val="both"/>
        <w:rPr>
          <w:rFonts w:ascii="Arial" w:hAnsi="Arial" w:cs="Arial"/>
          <w:sz w:val="22"/>
          <w:szCs w:val="22"/>
        </w:rPr>
      </w:pPr>
      <w:r w:rsidRPr="00212B38">
        <w:rPr>
          <w:rFonts w:ascii="Arial" w:hAnsi="Arial" w:cs="Arial"/>
          <w:sz w:val="22"/>
          <w:szCs w:val="22"/>
        </w:rPr>
        <w:t>Everyday Banking</w:t>
      </w:r>
    </w:p>
    <w:p w:rsidR="00194AB6" w:rsidRPr="00212B38" w:rsidRDefault="00194AB6" w:rsidP="001C05C7">
      <w:pPr>
        <w:jc w:val="both"/>
        <w:rPr>
          <w:rFonts w:ascii="Arial" w:hAnsi="Arial" w:cs="Arial"/>
          <w:sz w:val="22"/>
          <w:szCs w:val="22"/>
        </w:rPr>
      </w:pPr>
      <w:r w:rsidRPr="00212B38">
        <w:rPr>
          <w:rFonts w:ascii="Arial" w:hAnsi="Arial" w:cs="Arial"/>
          <w:sz w:val="22"/>
          <w:szCs w:val="22"/>
        </w:rPr>
        <w:t>Retail Banking Services</w:t>
      </w:r>
    </w:p>
    <w:p w:rsidR="0061318D" w:rsidRPr="00212B38" w:rsidRDefault="0061318D" w:rsidP="001C05C7">
      <w:pPr>
        <w:jc w:val="both"/>
        <w:rPr>
          <w:rFonts w:ascii="Arial" w:hAnsi="Arial" w:cs="Arial"/>
          <w:sz w:val="22"/>
          <w:szCs w:val="22"/>
        </w:rPr>
      </w:pPr>
    </w:p>
    <w:p w:rsidR="0018305B" w:rsidRPr="00212B38" w:rsidRDefault="00A91B3D" w:rsidP="001C05C7">
      <w:pPr>
        <w:jc w:val="both"/>
        <w:rPr>
          <w:rFonts w:ascii="Arial" w:hAnsi="Arial" w:cs="Arial"/>
          <w:i/>
          <w:sz w:val="22"/>
          <w:szCs w:val="22"/>
        </w:rPr>
      </w:pPr>
      <w:r w:rsidRPr="00212B38">
        <w:rPr>
          <w:rFonts w:ascii="Arial" w:hAnsi="Arial" w:cs="Arial"/>
          <w:i/>
          <w:sz w:val="22"/>
          <w:szCs w:val="22"/>
        </w:rPr>
        <w:t xml:space="preserve">   </w:t>
      </w:r>
      <w:proofErr w:type="gramStart"/>
      <w:r w:rsidRPr="00212B38">
        <w:rPr>
          <w:rFonts w:ascii="Arial" w:hAnsi="Arial" w:cs="Arial"/>
          <w:i/>
          <w:sz w:val="22"/>
          <w:szCs w:val="22"/>
        </w:rPr>
        <w:t>[  Signed</w:t>
      </w:r>
      <w:proofErr w:type="gramEnd"/>
      <w:r w:rsidRPr="00212B38">
        <w:rPr>
          <w:rFonts w:ascii="Arial" w:hAnsi="Arial" w:cs="Arial"/>
          <w:i/>
          <w:sz w:val="22"/>
          <w:szCs w:val="22"/>
        </w:rPr>
        <w:t xml:space="preserve">  ]</w:t>
      </w:r>
    </w:p>
    <w:p w:rsidR="004946C3" w:rsidRPr="00212B38" w:rsidRDefault="004946C3" w:rsidP="001C05C7">
      <w:pPr>
        <w:jc w:val="both"/>
        <w:rPr>
          <w:rFonts w:ascii="Arial" w:hAnsi="Arial" w:cs="Arial"/>
          <w:sz w:val="22"/>
          <w:szCs w:val="22"/>
        </w:rPr>
      </w:pPr>
    </w:p>
    <w:p w:rsidR="005400E8" w:rsidRPr="00212B38" w:rsidRDefault="005400E8" w:rsidP="001C05C7">
      <w:pPr>
        <w:jc w:val="both"/>
        <w:rPr>
          <w:rFonts w:ascii="Arial" w:hAnsi="Arial" w:cs="Arial"/>
          <w:sz w:val="22"/>
          <w:szCs w:val="22"/>
        </w:rPr>
      </w:pPr>
    </w:p>
    <w:p w:rsidR="00FE0251" w:rsidRPr="00212B38" w:rsidRDefault="00FE0251" w:rsidP="001C05C7">
      <w:pPr>
        <w:jc w:val="both"/>
        <w:rPr>
          <w:rFonts w:ascii="Arial" w:hAnsi="Arial" w:cs="Arial"/>
          <w:sz w:val="22"/>
          <w:szCs w:val="22"/>
        </w:rPr>
      </w:pPr>
    </w:p>
    <w:p w:rsidR="005400E8" w:rsidRPr="00212B38" w:rsidRDefault="005400E8" w:rsidP="001C05C7">
      <w:pPr>
        <w:jc w:val="both"/>
        <w:rPr>
          <w:rFonts w:ascii="Arial" w:hAnsi="Arial" w:cs="Arial"/>
          <w:sz w:val="22"/>
          <w:szCs w:val="22"/>
        </w:rPr>
      </w:pPr>
    </w:p>
    <w:sectPr w:rsidR="005400E8" w:rsidRPr="00212B38" w:rsidSect="00ED1448">
      <w:headerReference w:type="even" r:id="rId11"/>
      <w:headerReference w:type="default" r:id="rId12"/>
      <w:footerReference w:type="even" r:id="rId13"/>
      <w:footerReference w:type="default" r:id="rId14"/>
      <w:headerReference w:type="first" r:id="rId15"/>
      <w:footerReference w:type="first" r:id="rId16"/>
      <w:pgSz w:w="11907" w:h="16834" w:code="9"/>
      <w:pgMar w:top="425" w:right="1361" w:bottom="1247" w:left="1361" w:header="624"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285F" w:rsidRDefault="00F8285F">
      <w:r>
        <w:separator/>
      </w:r>
    </w:p>
  </w:endnote>
  <w:endnote w:type="continuationSeparator" w:id="0">
    <w:p w:rsidR="00F8285F" w:rsidRDefault="00F828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Univers (WN)">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477F" w:rsidRDefault="0032477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477F" w:rsidRDefault="0032477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477F" w:rsidRDefault="0032477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285F" w:rsidRDefault="00F8285F">
      <w:r>
        <w:separator/>
      </w:r>
    </w:p>
  </w:footnote>
  <w:footnote w:type="continuationSeparator" w:id="0">
    <w:p w:rsidR="00F8285F" w:rsidRDefault="00F828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285F" w:rsidRDefault="00F8285F">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8285F" w:rsidRDefault="00F8285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285F" w:rsidRDefault="00F8285F">
    <w:pPr>
      <w:pStyle w:val="Header"/>
      <w:framePr w:wrap="around" w:vAnchor="text" w:hAnchor="margin" w:xAlign="center" w:y="1"/>
      <w:rPr>
        <w:rStyle w:val="PageNumber"/>
        <w:rFonts w:ascii="Arial" w:hAnsi="Arial"/>
      </w:rPr>
    </w:pPr>
    <w:r>
      <w:rPr>
        <w:rStyle w:val="PageNumber"/>
        <w:rFonts w:ascii="Arial" w:hAnsi="Arial"/>
      </w:rPr>
      <w:fldChar w:fldCharType="begin"/>
    </w:r>
    <w:r>
      <w:rPr>
        <w:rStyle w:val="PageNumber"/>
        <w:rFonts w:ascii="Arial" w:hAnsi="Arial"/>
      </w:rPr>
      <w:instrText xml:space="preserve">PAGE  </w:instrText>
    </w:r>
    <w:r>
      <w:rPr>
        <w:rStyle w:val="PageNumber"/>
        <w:rFonts w:ascii="Arial" w:hAnsi="Arial"/>
      </w:rPr>
      <w:fldChar w:fldCharType="separate"/>
    </w:r>
    <w:r w:rsidR="0032477F">
      <w:rPr>
        <w:rStyle w:val="PageNumber"/>
        <w:rFonts w:ascii="Arial" w:hAnsi="Arial"/>
        <w:noProof/>
      </w:rPr>
      <w:t>4</w:t>
    </w:r>
    <w:r>
      <w:rPr>
        <w:rStyle w:val="PageNumber"/>
        <w:rFonts w:ascii="Arial" w:hAnsi="Arial"/>
      </w:rPr>
      <w:fldChar w:fldCharType="end"/>
    </w:r>
  </w:p>
  <w:p w:rsidR="00F8285F" w:rsidRDefault="00F8285F">
    <w:pPr>
      <w:pStyle w:val="Header"/>
    </w:pPr>
  </w:p>
  <w:p w:rsidR="00F8285F" w:rsidRDefault="00F8285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477F" w:rsidRDefault="0032477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E9307D2E"/>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61E061E0"/>
    <w:lvl w:ilvl="0">
      <w:numFmt w:val="bullet"/>
      <w:lvlText w:val="*"/>
      <w:lvlJc w:val="left"/>
    </w:lvl>
  </w:abstractNum>
  <w:abstractNum w:abstractNumId="2" w15:restartNumberingAfterBreak="0">
    <w:nsid w:val="0EEE0295"/>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12C7589"/>
    <w:multiLevelType w:val="hybridMultilevel"/>
    <w:tmpl w:val="C03C589E"/>
    <w:lvl w:ilvl="0" w:tplc="B0FC4216">
      <w:start w:val="1"/>
      <w:numFmt w:val="lowerRoman"/>
      <w:lvlText w:val="(%1)"/>
      <w:lvlJc w:val="left"/>
      <w:pPr>
        <w:ind w:left="720" w:hanging="72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15:restartNumberingAfterBreak="0">
    <w:nsid w:val="19602259"/>
    <w:multiLevelType w:val="hybridMultilevel"/>
    <w:tmpl w:val="D082B04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969121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C094284"/>
    <w:multiLevelType w:val="hybridMultilevel"/>
    <w:tmpl w:val="40BE4A68"/>
    <w:lvl w:ilvl="0" w:tplc="F3B61A0A">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1DF7523B"/>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217A7B7D"/>
    <w:multiLevelType w:val="singleLevel"/>
    <w:tmpl w:val="F47CF97C"/>
    <w:lvl w:ilvl="0">
      <w:start w:val="1"/>
      <w:numFmt w:val="bullet"/>
      <w:pStyle w:val="ListBullet"/>
      <w:lvlText w:val=""/>
      <w:lvlJc w:val="left"/>
      <w:pPr>
        <w:tabs>
          <w:tab w:val="num" w:pos="720"/>
        </w:tabs>
        <w:ind w:left="720" w:hanging="720"/>
      </w:pPr>
      <w:rPr>
        <w:rFonts w:ascii="Symbol" w:hAnsi="Symbol" w:hint="default"/>
      </w:rPr>
    </w:lvl>
  </w:abstractNum>
  <w:abstractNum w:abstractNumId="9" w15:restartNumberingAfterBreak="0">
    <w:nsid w:val="31751429"/>
    <w:multiLevelType w:val="hybridMultilevel"/>
    <w:tmpl w:val="2DBC0374"/>
    <w:lvl w:ilvl="0" w:tplc="2B5CF6D8">
      <w:start w:val="1"/>
      <w:numFmt w:val="bullet"/>
      <w:lvlText w:val=""/>
      <w:lvlJc w:val="left"/>
      <w:pPr>
        <w:tabs>
          <w:tab w:val="num" w:pos="1080"/>
        </w:tabs>
        <w:ind w:left="1080" w:hanging="360"/>
      </w:pPr>
      <w:rPr>
        <w:rFonts w:ascii="Symbol" w:hAnsi="Symbol" w:hint="default"/>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348E643B"/>
    <w:multiLevelType w:val="hybridMultilevel"/>
    <w:tmpl w:val="06D43A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58B4839"/>
    <w:multiLevelType w:val="hybridMultilevel"/>
    <w:tmpl w:val="FDDEBB68"/>
    <w:lvl w:ilvl="0" w:tplc="0C090001">
      <w:start w:val="1"/>
      <w:numFmt w:val="bullet"/>
      <w:lvlText w:val=""/>
      <w:lvlJc w:val="left"/>
      <w:pPr>
        <w:ind w:left="720" w:hanging="360"/>
      </w:pPr>
      <w:rPr>
        <w:rFonts w:ascii="Symbol" w:hAnsi="Symbol" w:hint="default"/>
      </w:rPr>
    </w:lvl>
    <w:lvl w:ilvl="1" w:tplc="0C090019">
      <w:start w:val="1"/>
      <w:numFmt w:val="decimal"/>
      <w:lvlText w:val="%2."/>
      <w:lvlJc w:val="left"/>
      <w:pPr>
        <w:tabs>
          <w:tab w:val="num" w:pos="1440"/>
        </w:tabs>
        <w:ind w:left="1440" w:hanging="360"/>
      </w:pPr>
    </w:lvl>
    <w:lvl w:ilvl="2" w:tplc="0C09001B">
      <w:start w:val="1"/>
      <w:numFmt w:val="decimal"/>
      <w:lvlText w:val="%3."/>
      <w:lvlJc w:val="left"/>
      <w:pPr>
        <w:tabs>
          <w:tab w:val="num" w:pos="2160"/>
        </w:tabs>
        <w:ind w:left="2160" w:hanging="360"/>
      </w:p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12" w15:restartNumberingAfterBreak="0">
    <w:nsid w:val="36AF0A68"/>
    <w:multiLevelType w:val="hybridMultilevel"/>
    <w:tmpl w:val="C5E68D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76E2E5C"/>
    <w:multiLevelType w:val="hybridMultilevel"/>
    <w:tmpl w:val="8F36AA20"/>
    <w:lvl w:ilvl="0" w:tplc="0C090001">
      <w:start w:val="1"/>
      <w:numFmt w:val="bullet"/>
      <w:lvlText w:val=""/>
      <w:lvlJc w:val="left"/>
      <w:pPr>
        <w:ind w:left="1080" w:hanging="360"/>
      </w:pPr>
      <w:rPr>
        <w:rFonts w:ascii="Symbol" w:hAnsi="Symbol" w:hint="default"/>
      </w:rPr>
    </w:lvl>
    <w:lvl w:ilvl="1" w:tplc="0C090003">
      <w:start w:val="1"/>
      <w:numFmt w:val="decimal"/>
      <w:lvlText w:val="%2."/>
      <w:lvlJc w:val="left"/>
      <w:pPr>
        <w:tabs>
          <w:tab w:val="num" w:pos="1800"/>
        </w:tabs>
        <w:ind w:left="1800" w:hanging="360"/>
      </w:pPr>
    </w:lvl>
    <w:lvl w:ilvl="2" w:tplc="0C090005">
      <w:start w:val="1"/>
      <w:numFmt w:val="decimal"/>
      <w:lvlText w:val="%3."/>
      <w:lvlJc w:val="left"/>
      <w:pPr>
        <w:tabs>
          <w:tab w:val="num" w:pos="2520"/>
        </w:tabs>
        <w:ind w:left="2520" w:hanging="360"/>
      </w:pPr>
    </w:lvl>
    <w:lvl w:ilvl="3" w:tplc="0C090001">
      <w:start w:val="1"/>
      <w:numFmt w:val="decimal"/>
      <w:lvlText w:val="%4."/>
      <w:lvlJc w:val="left"/>
      <w:pPr>
        <w:tabs>
          <w:tab w:val="num" w:pos="3240"/>
        </w:tabs>
        <w:ind w:left="3240" w:hanging="360"/>
      </w:pPr>
    </w:lvl>
    <w:lvl w:ilvl="4" w:tplc="0C090003">
      <w:start w:val="1"/>
      <w:numFmt w:val="decimal"/>
      <w:lvlText w:val="%5."/>
      <w:lvlJc w:val="left"/>
      <w:pPr>
        <w:tabs>
          <w:tab w:val="num" w:pos="3960"/>
        </w:tabs>
        <w:ind w:left="3960" w:hanging="360"/>
      </w:pPr>
    </w:lvl>
    <w:lvl w:ilvl="5" w:tplc="0C090005">
      <w:start w:val="1"/>
      <w:numFmt w:val="decimal"/>
      <w:lvlText w:val="%6."/>
      <w:lvlJc w:val="left"/>
      <w:pPr>
        <w:tabs>
          <w:tab w:val="num" w:pos="4680"/>
        </w:tabs>
        <w:ind w:left="4680" w:hanging="360"/>
      </w:pPr>
    </w:lvl>
    <w:lvl w:ilvl="6" w:tplc="0C090001">
      <w:start w:val="1"/>
      <w:numFmt w:val="decimal"/>
      <w:lvlText w:val="%7."/>
      <w:lvlJc w:val="left"/>
      <w:pPr>
        <w:tabs>
          <w:tab w:val="num" w:pos="5400"/>
        </w:tabs>
        <w:ind w:left="5400" w:hanging="360"/>
      </w:pPr>
    </w:lvl>
    <w:lvl w:ilvl="7" w:tplc="0C090003">
      <w:start w:val="1"/>
      <w:numFmt w:val="decimal"/>
      <w:lvlText w:val="%8."/>
      <w:lvlJc w:val="left"/>
      <w:pPr>
        <w:tabs>
          <w:tab w:val="num" w:pos="6120"/>
        </w:tabs>
        <w:ind w:left="6120" w:hanging="360"/>
      </w:pPr>
    </w:lvl>
    <w:lvl w:ilvl="8" w:tplc="0C090005">
      <w:start w:val="1"/>
      <w:numFmt w:val="decimal"/>
      <w:lvlText w:val="%9."/>
      <w:lvlJc w:val="left"/>
      <w:pPr>
        <w:tabs>
          <w:tab w:val="num" w:pos="6840"/>
        </w:tabs>
        <w:ind w:left="6840" w:hanging="360"/>
      </w:pPr>
    </w:lvl>
  </w:abstractNum>
  <w:abstractNum w:abstractNumId="14" w15:restartNumberingAfterBreak="0">
    <w:nsid w:val="38DA506D"/>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39B62C97"/>
    <w:multiLevelType w:val="hybridMultilevel"/>
    <w:tmpl w:val="D200DB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3A076473"/>
    <w:multiLevelType w:val="hybridMultilevel"/>
    <w:tmpl w:val="B21C60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C9E2CB1"/>
    <w:multiLevelType w:val="hybridMultilevel"/>
    <w:tmpl w:val="83082A1A"/>
    <w:lvl w:ilvl="0" w:tplc="2B5CF6D8">
      <w:start w:val="1"/>
      <w:numFmt w:val="bullet"/>
      <w:lvlText w:val=""/>
      <w:lvlJc w:val="left"/>
      <w:pPr>
        <w:tabs>
          <w:tab w:val="num" w:pos="1080"/>
        </w:tabs>
        <w:ind w:left="1080" w:hanging="360"/>
      </w:pPr>
      <w:rPr>
        <w:rFonts w:ascii="Symbol" w:hAnsi="Symbol" w:hint="default"/>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42CD62CF"/>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44471BB9"/>
    <w:multiLevelType w:val="hybridMultilevel"/>
    <w:tmpl w:val="7C50AE8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4A9F777E"/>
    <w:multiLevelType w:val="hybridMultilevel"/>
    <w:tmpl w:val="0D78FACC"/>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21" w15:restartNumberingAfterBreak="0">
    <w:nsid w:val="4C88401D"/>
    <w:multiLevelType w:val="hybridMultilevel"/>
    <w:tmpl w:val="993E5D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4D255C36"/>
    <w:multiLevelType w:val="hybridMultilevel"/>
    <w:tmpl w:val="41607B8E"/>
    <w:lvl w:ilvl="0" w:tplc="2B5CF6D8">
      <w:start w:val="1"/>
      <w:numFmt w:val="bullet"/>
      <w:lvlText w:val=""/>
      <w:lvlJc w:val="left"/>
      <w:pPr>
        <w:tabs>
          <w:tab w:val="num" w:pos="1080"/>
        </w:tabs>
        <w:ind w:left="1080" w:hanging="360"/>
      </w:pPr>
      <w:rPr>
        <w:rFonts w:ascii="Symbol" w:hAnsi="Symbol" w:hint="default"/>
        <w:sz w:val="22"/>
      </w:rPr>
    </w:lvl>
    <w:lvl w:ilvl="1" w:tplc="0C090003" w:tentative="1">
      <w:start w:val="1"/>
      <w:numFmt w:val="bullet"/>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529741F2"/>
    <w:multiLevelType w:val="hybridMultilevel"/>
    <w:tmpl w:val="25A21E06"/>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4" w15:restartNumberingAfterBreak="0">
    <w:nsid w:val="57895C19"/>
    <w:multiLevelType w:val="hybridMultilevel"/>
    <w:tmpl w:val="E1B0CF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597F180A"/>
    <w:multiLevelType w:val="hybridMultilevel"/>
    <w:tmpl w:val="C40695E4"/>
    <w:lvl w:ilvl="0" w:tplc="0C090001">
      <w:start w:val="1"/>
      <w:numFmt w:val="bullet"/>
      <w:lvlText w:val=""/>
      <w:lvlJc w:val="left"/>
      <w:pPr>
        <w:ind w:left="1080" w:hanging="360"/>
      </w:pPr>
      <w:rPr>
        <w:rFonts w:ascii="Symbol" w:hAnsi="Symbol" w:hint="default"/>
      </w:rPr>
    </w:lvl>
    <w:lvl w:ilvl="1" w:tplc="0C090003">
      <w:start w:val="1"/>
      <w:numFmt w:val="decimal"/>
      <w:lvlText w:val="%2."/>
      <w:lvlJc w:val="left"/>
      <w:pPr>
        <w:tabs>
          <w:tab w:val="num" w:pos="1800"/>
        </w:tabs>
        <w:ind w:left="1800" w:hanging="360"/>
      </w:pPr>
    </w:lvl>
    <w:lvl w:ilvl="2" w:tplc="0C090005">
      <w:start w:val="1"/>
      <w:numFmt w:val="decimal"/>
      <w:lvlText w:val="%3."/>
      <w:lvlJc w:val="left"/>
      <w:pPr>
        <w:tabs>
          <w:tab w:val="num" w:pos="2520"/>
        </w:tabs>
        <w:ind w:left="2520" w:hanging="360"/>
      </w:pPr>
    </w:lvl>
    <w:lvl w:ilvl="3" w:tplc="0C090001">
      <w:start w:val="1"/>
      <w:numFmt w:val="decimal"/>
      <w:lvlText w:val="%4."/>
      <w:lvlJc w:val="left"/>
      <w:pPr>
        <w:tabs>
          <w:tab w:val="num" w:pos="3240"/>
        </w:tabs>
        <w:ind w:left="3240" w:hanging="360"/>
      </w:pPr>
    </w:lvl>
    <w:lvl w:ilvl="4" w:tplc="0C090003">
      <w:start w:val="1"/>
      <w:numFmt w:val="decimal"/>
      <w:lvlText w:val="%5."/>
      <w:lvlJc w:val="left"/>
      <w:pPr>
        <w:tabs>
          <w:tab w:val="num" w:pos="3960"/>
        </w:tabs>
        <w:ind w:left="3960" w:hanging="360"/>
      </w:pPr>
    </w:lvl>
    <w:lvl w:ilvl="5" w:tplc="0C090005">
      <w:start w:val="1"/>
      <w:numFmt w:val="decimal"/>
      <w:lvlText w:val="%6."/>
      <w:lvlJc w:val="left"/>
      <w:pPr>
        <w:tabs>
          <w:tab w:val="num" w:pos="4680"/>
        </w:tabs>
        <w:ind w:left="4680" w:hanging="360"/>
      </w:pPr>
    </w:lvl>
    <w:lvl w:ilvl="6" w:tplc="0C090001">
      <w:start w:val="1"/>
      <w:numFmt w:val="decimal"/>
      <w:lvlText w:val="%7."/>
      <w:lvlJc w:val="left"/>
      <w:pPr>
        <w:tabs>
          <w:tab w:val="num" w:pos="5400"/>
        </w:tabs>
        <w:ind w:left="5400" w:hanging="360"/>
      </w:pPr>
    </w:lvl>
    <w:lvl w:ilvl="7" w:tplc="0C090003">
      <w:start w:val="1"/>
      <w:numFmt w:val="decimal"/>
      <w:lvlText w:val="%8."/>
      <w:lvlJc w:val="left"/>
      <w:pPr>
        <w:tabs>
          <w:tab w:val="num" w:pos="6120"/>
        </w:tabs>
        <w:ind w:left="6120" w:hanging="360"/>
      </w:pPr>
    </w:lvl>
    <w:lvl w:ilvl="8" w:tplc="0C090005">
      <w:start w:val="1"/>
      <w:numFmt w:val="decimal"/>
      <w:lvlText w:val="%9."/>
      <w:lvlJc w:val="left"/>
      <w:pPr>
        <w:tabs>
          <w:tab w:val="num" w:pos="6840"/>
        </w:tabs>
        <w:ind w:left="6840" w:hanging="360"/>
      </w:pPr>
    </w:lvl>
  </w:abstractNum>
  <w:abstractNum w:abstractNumId="26" w15:restartNumberingAfterBreak="0">
    <w:nsid w:val="5B94791B"/>
    <w:multiLevelType w:val="hybridMultilevel"/>
    <w:tmpl w:val="6F8A58B2"/>
    <w:lvl w:ilvl="0" w:tplc="6936A812">
      <w:start w:val="1"/>
      <w:numFmt w:val="lowerRoman"/>
      <w:lvlText w:val="%1."/>
      <w:lvlJc w:val="righ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5DC87D42"/>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5EFB05C0"/>
    <w:multiLevelType w:val="hybridMultilevel"/>
    <w:tmpl w:val="CF4A06FA"/>
    <w:lvl w:ilvl="0" w:tplc="2B5CF6D8">
      <w:start w:val="1"/>
      <w:numFmt w:val="bullet"/>
      <w:lvlText w:val=""/>
      <w:lvlJc w:val="left"/>
      <w:pPr>
        <w:tabs>
          <w:tab w:val="num" w:pos="1080"/>
        </w:tabs>
        <w:ind w:left="1080" w:hanging="360"/>
      </w:pPr>
      <w:rPr>
        <w:rFonts w:ascii="Symbol" w:hAnsi="Symbol" w:hint="default"/>
        <w:sz w:val="22"/>
      </w:rPr>
    </w:lvl>
    <w:lvl w:ilvl="1" w:tplc="0C090003">
      <w:start w:val="1"/>
      <w:numFmt w:val="bullet"/>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5FB8637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0" w15:restartNumberingAfterBreak="0">
    <w:nsid w:val="5FE94304"/>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1" w15:restartNumberingAfterBreak="0">
    <w:nsid w:val="64E04048"/>
    <w:multiLevelType w:val="hybridMultilevel"/>
    <w:tmpl w:val="4AB0A1CA"/>
    <w:lvl w:ilvl="0" w:tplc="38D6BECC">
      <w:start w:val="1"/>
      <w:numFmt w:val="decimal"/>
      <w:lvlText w:val="(%1)"/>
      <w:lvlJc w:val="left"/>
      <w:pPr>
        <w:ind w:left="-351" w:hanging="360"/>
      </w:pPr>
      <w:rPr>
        <w:rFonts w:hint="default"/>
      </w:rPr>
    </w:lvl>
    <w:lvl w:ilvl="1" w:tplc="0C090019" w:tentative="1">
      <w:start w:val="1"/>
      <w:numFmt w:val="lowerLetter"/>
      <w:lvlText w:val="%2."/>
      <w:lvlJc w:val="left"/>
      <w:pPr>
        <w:ind w:left="369" w:hanging="360"/>
      </w:pPr>
    </w:lvl>
    <w:lvl w:ilvl="2" w:tplc="0C09001B" w:tentative="1">
      <w:start w:val="1"/>
      <w:numFmt w:val="lowerRoman"/>
      <w:lvlText w:val="%3."/>
      <w:lvlJc w:val="right"/>
      <w:pPr>
        <w:ind w:left="1089" w:hanging="180"/>
      </w:pPr>
    </w:lvl>
    <w:lvl w:ilvl="3" w:tplc="0C09000F" w:tentative="1">
      <w:start w:val="1"/>
      <w:numFmt w:val="decimal"/>
      <w:lvlText w:val="%4."/>
      <w:lvlJc w:val="left"/>
      <w:pPr>
        <w:ind w:left="1809" w:hanging="360"/>
      </w:pPr>
    </w:lvl>
    <w:lvl w:ilvl="4" w:tplc="0C090019" w:tentative="1">
      <w:start w:val="1"/>
      <w:numFmt w:val="lowerLetter"/>
      <w:lvlText w:val="%5."/>
      <w:lvlJc w:val="left"/>
      <w:pPr>
        <w:ind w:left="2529" w:hanging="360"/>
      </w:pPr>
    </w:lvl>
    <w:lvl w:ilvl="5" w:tplc="0C09001B" w:tentative="1">
      <w:start w:val="1"/>
      <w:numFmt w:val="lowerRoman"/>
      <w:lvlText w:val="%6."/>
      <w:lvlJc w:val="right"/>
      <w:pPr>
        <w:ind w:left="3249" w:hanging="180"/>
      </w:pPr>
    </w:lvl>
    <w:lvl w:ilvl="6" w:tplc="0C09000F" w:tentative="1">
      <w:start w:val="1"/>
      <w:numFmt w:val="decimal"/>
      <w:lvlText w:val="%7."/>
      <w:lvlJc w:val="left"/>
      <w:pPr>
        <w:ind w:left="3969" w:hanging="360"/>
      </w:pPr>
    </w:lvl>
    <w:lvl w:ilvl="7" w:tplc="0C090019" w:tentative="1">
      <w:start w:val="1"/>
      <w:numFmt w:val="lowerLetter"/>
      <w:lvlText w:val="%8."/>
      <w:lvlJc w:val="left"/>
      <w:pPr>
        <w:ind w:left="4689" w:hanging="360"/>
      </w:pPr>
    </w:lvl>
    <w:lvl w:ilvl="8" w:tplc="0C09001B" w:tentative="1">
      <w:start w:val="1"/>
      <w:numFmt w:val="lowerRoman"/>
      <w:lvlText w:val="%9."/>
      <w:lvlJc w:val="right"/>
      <w:pPr>
        <w:ind w:left="5409" w:hanging="180"/>
      </w:pPr>
    </w:lvl>
  </w:abstractNum>
  <w:abstractNum w:abstractNumId="32" w15:restartNumberingAfterBreak="0">
    <w:nsid w:val="680C57D6"/>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69813F79"/>
    <w:multiLevelType w:val="hybridMultilevel"/>
    <w:tmpl w:val="7222E010"/>
    <w:lvl w:ilvl="0" w:tplc="0C090001">
      <w:start w:val="1"/>
      <w:numFmt w:val="bullet"/>
      <w:lvlText w:val=""/>
      <w:lvlJc w:val="left"/>
      <w:pPr>
        <w:ind w:left="1080" w:hanging="360"/>
      </w:pPr>
      <w:rPr>
        <w:rFonts w:ascii="Symbol" w:hAnsi="Symbol" w:hint="default"/>
      </w:rPr>
    </w:lvl>
    <w:lvl w:ilvl="1" w:tplc="0C090019">
      <w:start w:val="1"/>
      <w:numFmt w:val="decimal"/>
      <w:lvlText w:val="%2."/>
      <w:lvlJc w:val="left"/>
      <w:pPr>
        <w:tabs>
          <w:tab w:val="num" w:pos="1800"/>
        </w:tabs>
        <w:ind w:left="1800" w:hanging="360"/>
      </w:pPr>
    </w:lvl>
    <w:lvl w:ilvl="2" w:tplc="0C09001B">
      <w:start w:val="1"/>
      <w:numFmt w:val="decimal"/>
      <w:lvlText w:val="%3."/>
      <w:lvlJc w:val="left"/>
      <w:pPr>
        <w:tabs>
          <w:tab w:val="num" w:pos="2520"/>
        </w:tabs>
        <w:ind w:left="2520" w:hanging="360"/>
      </w:pPr>
    </w:lvl>
    <w:lvl w:ilvl="3" w:tplc="0C09000F">
      <w:start w:val="1"/>
      <w:numFmt w:val="decimal"/>
      <w:lvlText w:val="%4."/>
      <w:lvlJc w:val="left"/>
      <w:pPr>
        <w:tabs>
          <w:tab w:val="num" w:pos="3240"/>
        </w:tabs>
        <w:ind w:left="3240" w:hanging="360"/>
      </w:pPr>
    </w:lvl>
    <w:lvl w:ilvl="4" w:tplc="0C090019">
      <w:start w:val="1"/>
      <w:numFmt w:val="decimal"/>
      <w:lvlText w:val="%5."/>
      <w:lvlJc w:val="left"/>
      <w:pPr>
        <w:tabs>
          <w:tab w:val="num" w:pos="3960"/>
        </w:tabs>
        <w:ind w:left="3960" w:hanging="360"/>
      </w:pPr>
    </w:lvl>
    <w:lvl w:ilvl="5" w:tplc="0C09001B">
      <w:start w:val="1"/>
      <w:numFmt w:val="decimal"/>
      <w:lvlText w:val="%6."/>
      <w:lvlJc w:val="left"/>
      <w:pPr>
        <w:tabs>
          <w:tab w:val="num" w:pos="4680"/>
        </w:tabs>
        <w:ind w:left="4680" w:hanging="360"/>
      </w:pPr>
    </w:lvl>
    <w:lvl w:ilvl="6" w:tplc="0C09000F">
      <w:start w:val="1"/>
      <w:numFmt w:val="decimal"/>
      <w:lvlText w:val="%7."/>
      <w:lvlJc w:val="left"/>
      <w:pPr>
        <w:tabs>
          <w:tab w:val="num" w:pos="5400"/>
        </w:tabs>
        <w:ind w:left="5400" w:hanging="360"/>
      </w:pPr>
    </w:lvl>
    <w:lvl w:ilvl="7" w:tplc="0C090019">
      <w:start w:val="1"/>
      <w:numFmt w:val="decimal"/>
      <w:lvlText w:val="%8."/>
      <w:lvlJc w:val="left"/>
      <w:pPr>
        <w:tabs>
          <w:tab w:val="num" w:pos="6120"/>
        </w:tabs>
        <w:ind w:left="6120" w:hanging="360"/>
      </w:pPr>
    </w:lvl>
    <w:lvl w:ilvl="8" w:tplc="0C09001B">
      <w:start w:val="1"/>
      <w:numFmt w:val="decimal"/>
      <w:lvlText w:val="%9."/>
      <w:lvlJc w:val="left"/>
      <w:pPr>
        <w:tabs>
          <w:tab w:val="num" w:pos="6840"/>
        </w:tabs>
        <w:ind w:left="6840" w:hanging="360"/>
      </w:pPr>
    </w:lvl>
  </w:abstractNum>
  <w:abstractNum w:abstractNumId="34" w15:restartNumberingAfterBreak="0">
    <w:nsid w:val="6A5B7352"/>
    <w:multiLevelType w:val="hybridMultilevel"/>
    <w:tmpl w:val="B43276DA"/>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6B003227"/>
    <w:multiLevelType w:val="hybridMultilevel"/>
    <w:tmpl w:val="8026A54A"/>
    <w:lvl w:ilvl="0" w:tplc="2B5CF6D8">
      <w:start w:val="1"/>
      <w:numFmt w:val="bullet"/>
      <w:lvlText w:val=""/>
      <w:lvlJc w:val="left"/>
      <w:pPr>
        <w:tabs>
          <w:tab w:val="num" w:pos="720"/>
        </w:tabs>
        <w:ind w:left="720" w:hanging="360"/>
      </w:pPr>
      <w:rPr>
        <w:rFonts w:ascii="Symbol" w:hAnsi="Symbol" w:hint="default"/>
        <w:sz w:val="22"/>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30902E1"/>
    <w:multiLevelType w:val="hybridMultilevel"/>
    <w:tmpl w:val="302439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73B3700E"/>
    <w:multiLevelType w:val="hybridMultilevel"/>
    <w:tmpl w:val="35D6D380"/>
    <w:lvl w:ilvl="0" w:tplc="9C54C006">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15:restartNumberingAfterBreak="0">
    <w:nsid w:val="76DA6AB5"/>
    <w:multiLevelType w:val="hybridMultilevel"/>
    <w:tmpl w:val="E42045F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9" w15:restartNumberingAfterBreak="0">
    <w:nsid w:val="78424646"/>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40" w15:restartNumberingAfterBreak="0">
    <w:nsid w:val="7C5221AF"/>
    <w:multiLevelType w:val="hybridMultilevel"/>
    <w:tmpl w:val="811C6C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15:restartNumberingAfterBreak="0">
    <w:nsid w:val="7C813D7A"/>
    <w:multiLevelType w:val="hybridMultilevel"/>
    <w:tmpl w:val="70FCE34C"/>
    <w:lvl w:ilvl="0" w:tplc="E4EE1DE6">
      <w:start w:val="1"/>
      <w:numFmt w:val="lowerLetter"/>
      <w:lvlText w:val="(%1)"/>
      <w:lvlJc w:val="left"/>
      <w:pPr>
        <w:ind w:left="1074" w:hanging="360"/>
      </w:pPr>
      <w:rPr>
        <w:rFonts w:hint="default"/>
      </w:rPr>
    </w:lvl>
    <w:lvl w:ilvl="1" w:tplc="0C090019" w:tentative="1">
      <w:start w:val="1"/>
      <w:numFmt w:val="lowerLetter"/>
      <w:lvlText w:val="%2."/>
      <w:lvlJc w:val="left"/>
      <w:pPr>
        <w:ind w:left="1794" w:hanging="360"/>
      </w:pPr>
    </w:lvl>
    <w:lvl w:ilvl="2" w:tplc="0C09001B" w:tentative="1">
      <w:start w:val="1"/>
      <w:numFmt w:val="lowerRoman"/>
      <w:lvlText w:val="%3."/>
      <w:lvlJc w:val="right"/>
      <w:pPr>
        <w:ind w:left="2514" w:hanging="180"/>
      </w:pPr>
    </w:lvl>
    <w:lvl w:ilvl="3" w:tplc="0C09000F" w:tentative="1">
      <w:start w:val="1"/>
      <w:numFmt w:val="decimal"/>
      <w:lvlText w:val="%4."/>
      <w:lvlJc w:val="left"/>
      <w:pPr>
        <w:ind w:left="3234" w:hanging="360"/>
      </w:pPr>
    </w:lvl>
    <w:lvl w:ilvl="4" w:tplc="0C090019" w:tentative="1">
      <w:start w:val="1"/>
      <w:numFmt w:val="lowerLetter"/>
      <w:lvlText w:val="%5."/>
      <w:lvlJc w:val="left"/>
      <w:pPr>
        <w:ind w:left="3954" w:hanging="360"/>
      </w:pPr>
    </w:lvl>
    <w:lvl w:ilvl="5" w:tplc="0C09001B" w:tentative="1">
      <w:start w:val="1"/>
      <w:numFmt w:val="lowerRoman"/>
      <w:lvlText w:val="%6."/>
      <w:lvlJc w:val="right"/>
      <w:pPr>
        <w:ind w:left="4674" w:hanging="180"/>
      </w:pPr>
    </w:lvl>
    <w:lvl w:ilvl="6" w:tplc="0C09000F" w:tentative="1">
      <w:start w:val="1"/>
      <w:numFmt w:val="decimal"/>
      <w:lvlText w:val="%7."/>
      <w:lvlJc w:val="left"/>
      <w:pPr>
        <w:ind w:left="5394" w:hanging="360"/>
      </w:pPr>
    </w:lvl>
    <w:lvl w:ilvl="7" w:tplc="0C090019" w:tentative="1">
      <w:start w:val="1"/>
      <w:numFmt w:val="lowerLetter"/>
      <w:lvlText w:val="%8."/>
      <w:lvlJc w:val="left"/>
      <w:pPr>
        <w:ind w:left="6114" w:hanging="360"/>
      </w:pPr>
    </w:lvl>
    <w:lvl w:ilvl="8" w:tplc="0C09001B" w:tentative="1">
      <w:start w:val="1"/>
      <w:numFmt w:val="lowerRoman"/>
      <w:lvlText w:val="%9."/>
      <w:lvlJc w:val="right"/>
      <w:pPr>
        <w:ind w:left="6834" w:hanging="180"/>
      </w:pPr>
    </w:lvl>
  </w:abstractNum>
  <w:abstractNum w:abstractNumId="42" w15:restartNumberingAfterBreak="0">
    <w:nsid w:val="7DDC30B9"/>
    <w:multiLevelType w:val="hybridMultilevel"/>
    <w:tmpl w:val="C976635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30"/>
  </w:num>
  <w:num w:numId="4">
    <w:abstractNumId w:val="7"/>
  </w:num>
  <w:num w:numId="5">
    <w:abstractNumId w:val="27"/>
  </w:num>
  <w:num w:numId="6">
    <w:abstractNumId w:val="2"/>
  </w:num>
  <w:num w:numId="7">
    <w:abstractNumId w:val="18"/>
  </w:num>
  <w:num w:numId="8">
    <w:abstractNumId w:val="29"/>
  </w:num>
  <w:num w:numId="9">
    <w:abstractNumId w:val="32"/>
  </w:num>
  <w:num w:numId="10">
    <w:abstractNumId w:val="39"/>
  </w:num>
  <w:num w:numId="11">
    <w:abstractNumId w:val="14"/>
  </w:num>
  <w:num w:numId="12">
    <w:abstractNumId w:val="5"/>
  </w:num>
  <w:num w:numId="13">
    <w:abstractNumId w:val="22"/>
  </w:num>
  <w:num w:numId="14">
    <w:abstractNumId w:val="35"/>
  </w:num>
  <w:num w:numId="15">
    <w:abstractNumId w:val="28"/>
  </w:num>
  <w:num w:numId="16">
    <w:abstractNumId w:val="1"/>
    <w:lvlOverride w:ilvl="0">
      <w:lvl w:ilvl="0">
        <w:numFmt w:val="bullet"/>
        <w:lvlText w:val=""/>
        <w:legacy w:legacy="1" w:legacySpace="0" w:legacyIndent="0"/>
        <w:lvlJc w:val="left"/>
        <w:rPr>
          <w:rFonts w:ascii="Symbol" w:hAnsi="Symbol" w:hint="default"/>
        </w:rPr>
      </w:lvl>
    </w:lvlOverride>
  </w:num>
  <w:num w:numId="17">
    <w:abstractNumId w:val="9"/>
  </w:num>
  <w:num w:numId="18">
    <w:abstractNumId w:val="17"/>
  </w:num>
  <w:num w:numId="19">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num>
  <w:num w:numId="24">
    <w:abstractNumId w:val="38"/>
  </w:num>
  <w:num w:numId="25">
    <w:abstractNumId w:val="12"/>
  </w:num>
  <w:num w:numId="26">
    <w:abstractNumId w:val="4"/>
  </w:num>
  <w:num w:numId="27">
    <w:abstractNumId w:val="37"/>
  </w:num>
  <w:num w:numId="28">
    <w:abstractNumId w:val="26"/>
  </w:num>
  <w:num w:numId="29">
    <w:abstractNumId w:val="19"/>
  </w:num>
  <w:num w:numId="30">
    <w:abstractNumId w:val="6"/>
  </w:num>
  <w:num w:numId="31">
    <w:abstractNumId w:val="3"/>
  </w:num>
  <w:num w:numId="32">
    <w:abstractNumId w:val="34"/>
  </w:num>
  <w:num w:numId="33">
    <w:abstractNumId w:val="24"/>
  </w:num>
  <w:num w:numId="34">
    <w:abstractNumId w:val="23"/>
  </w:num>
  <w:num w:numId="35">
    <w:abstractNumId w:val="16"/>
  </w:num>
  <w:num w:numId="36">
    <w:abstractNumId w:val="21"/>
  </w:num>
  <w:num w:numId="37">
    <w:abstractNumId w:val="20"/>
  </w:num>
  <w:num w:numId="38">
    <w:abstractNumId w:val="40"/>
  </w:num>
  <w:num w:numId="39">
    <w:abstractNumId w:val="31"/>
  </w:num>
  <w:num w:numId="40">
    <w:abstractNumId w:val="41"/>
  </w:num>
  <w:num w:numId="41">
    <w:abstractNumId w:val="31"/>
    <w:lvlOverride w:ilvl="0">
      <w:lvl w:ilvl="0" w:tplc="38D6BECC">
        <w:start w:val="1"/>
        <w:numFmt w:val="decimal"/>
        <w:lvlText w:val="(%1)"/>
        <w:lvlJc w:val="left"/>
        <w:pPr>
          <w:ind w:left="720" w:hanging="360"/>
        </w:pPr>
        <w:rPr>
          <w:rFonts w:hint="default"/>
        </w:rPr>
      </w:lvl>
    </w:lvlOverride>
    <w:lvlOverride w:ilvl="1">
      <w:lvl w:ilvl="1" w:tplc="0C090019" w:tentative="1">
        <w:start w:val="1"/>
        <w:numFmt w:val="lowerLetter"/>
        <w:lvlText w:val="%2."/>
        <w:lvlJc w:val="left"/>
        <w:pPr>
          <w:ind w:left="1440" w:hanging="360"/>
        </w:pPr>
      </w:lvl>
    </w:lvlOverride>
    <w:lvlOverride w:ilvl="2">
      <w:lvl w:ilvl="2" w:tplc="0C09001B" w:tentative="1">
        <w:start w:val="1"/>
        <w:numFmt w:val="lowerRoman"/>
        <w:lvlText w:val="%3."/>
        <w:lvlJc w:val="right"/>
        <w:pPr>
          <w:ind w:left="2160" w:hanging="180"/>
        </w:pPr>
      </w:lvl>
    </w:lvlOverride>
    <w:lvlOverride w:ilvl="3">
      <w:lvl w:ilvl="3" w:tplc="0C09000F" w:tentative="1">
        <w:start w:val="1"/>
        <w:numFmt w:val="decimal"/>
        <w:lvlText w:val="%4."/>
        <w:lvlJc w:val="left"/>
        <w:pPr>
          <w:ind w:left="2880" w:hanging="360"/>
        </w:pPr>
      </w:lvl>
    </w:lvlOverride>
    <w:lvlOverride w:ilvl="4">
      <w:lvl w:ilvl="4" w:tplc="0C090019" w:tentative="1">
        <w:start w:val="1"/>
        <w:numFmt w:val="lowerLetter"/>
        <w:lvlText w:val="%5."/>
        <w:lvlJc w:val="left"/>
        <w:pPr>
          <w:ind w:left="3600" w:hanging="360"/>
        </w:pPr>
      </w:lvl>
    </w:lvlOverride>
    <w:lvlOverride w:ilvl="5">
      <w:lvl w:ilvl="5" w:tplc="0C09001B" w:tentative="1">
        <w:start w:val="1"/>
        <w:numFmt w:val="lowerRoman"/>
        <w:lvlText w:val="%6."/>
        <w:lvlJc w:val="right"/>
        <w:pPr>
          <w:ind w:left="4320" w:hanging="180"/>
        </w:pPr>
      </w:lvl>
    </w:lvlOverride>
    <w:lvlOverride w:ilvl="6">
      <w:lvl w:ilvl="6" w:tplc="0C09000F" w:tentative="1">
        <w:start w:val="1"/>
        <w:numFmt w:val="decimal"/>
        <w:lvlText w:val="%7."/>
        <w:lvlJc w:val="left"/>
        <w:pPr>
          <w:ind w:left="5040" w:hanging="360"/>
        </w:pPr>
      </w:lvl>
    </w:lvlOverride>
    <w:lvlOverride w:ilvl="7">
      <w:lvl w:ilvl="7" w:tplc="0C090019" w:tentative="1">
        <w:start w:val="1"/>
        <w:numFmt w:val="lowerLetter"/>
        <w:lvlText w:val="%8."/>
        <w:lvlJc w:val="left"/>
        <w:pPr>
          <w:ind w:left="5760" w:hanging="360"/>
        </w:pPr>
      </w:lvl>
    </w:lvlOverride>
    <w:lvlOverride w:ilvl="8">
      <w:lvl w:ilvl="8" w:tplc="0C09001B" w:tentative="1">
        <w:start w:val="1"/>
        <w:numFmt w:val="lowerRoman"/>
        <w:lvlText w:val="%9."/>
        <w:lvlJc w:val="right"/>
        <w:pPr>
          <w:ind w:left="6480" w:hanging="180"/>
        </w:pPr>
      </w:lvl>
    </w:lvlOverride>
  </w:num>
  <w:num w:numId="42">
    <w:abstractNumId w:val="42"/>
  </w:num>
  <w:num w:numId="43">
    <w:abstractNumId w:val="36"/>
  </w:num>
  <w:num w:numId="44">
    <w:abstractNumId w:val="15"/>
  </w:num>
  <w:num w:numId="4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4577">
      <o:colormenu v:ext="edit" fillcolor="none" strokecolor="re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00E8"/>
    <w:rsid w:val="00014BD1"/>
    <w:rsid w:val="00017B8C"/>
    <w:rsid w:val="00021C53"/>
    <w:rsid w:val="00026035"/>
    <w:rsid w:val="00031575"/>
    <w:rsid w:val="000435EE"/>
    <w:rsid w:val="00044008"/>
    <w:rsid w:val="00046648"/>
    <w:rsid w:val="00053377"/>
    <w:rsid w:val="00053F5F"/>
    <w:rsid w:val="00056ED7"/>
    <w:rsid w:val="00063934"/>
    <w:rsid w:val="0007536F"/>
    <w:rsid w:val="00080C9F"/>
    <w:rsid w:val="000B5887"/>
    <w:rsid w:val="000D3138"/>
    <w:rsid w:val="000D5932"/>
    <w:rsid w:val="000E62FA"/>
    <w:rsid w:val="000F6CA7"/>
    <w:rsid w:val="000F7599"/>
    <w:rsid w:val="00106A5B"/>
    <w:rsid w:val="00116445"/>
    <w:rsid w:val="001172A8"/>
    <w:rsid w:val="0012612F"/>
    <w:rsid w:val="00173960"/>
    <w:rsid w:val="0018305B"/>
    <w:rsid w:val="001840A3"/>
    <w:rsid w:val="00194AB6"/>
    <w:rsid w:val="001B1F81"/>
    <w:rsid w:val="001B2901"/>
    <w:rsid w:val="001B2B99"/>
    <w:rsid w:val="001B67EF"/>
    <w:rsid w:val="001B6D1A"/>
    <w:rsid w:val="001C05C7"/>
    <w:rsid w:val="001C5F3C"/>
    <w:rsid w:val="001C6AE9"/>
    <w:rsid w:val="001C7EFF"/>
    <w:rsid w:val="001D5A7B"/>
    <w:rsid w:val="001D7959"/>
    <w:rsid w:val="001E75D8"/>
    <w:rsid w:val="001F7B2D"/>
    <w:rsid w:val="0020338B"/>
    <w:rsid w:val="0021254F"/>
    <w:rsid w:val="00212B38"/>
    <w:rsid w:val="00214E5D"/>
    <w:rsid w:val="00217DF4"/>
    <w:rsid w:val="00232EB9"/>
    <w:rsid w:val="002343DD"/>
    <w:rsid w:val="002356F3"/>
    <w:rsid w:val="00242D77"/>
    <w:rsid w:val="002452DC"/>
    <w:rsid w:val="00247AE7"/>
    <w:rsid w:val="00263C47"/>
    <w:rsid w:val="00267284"/>
    <w:rsid w:val="0027018D"/>
    <w:rsid w:val="002755D0"/>
    <w:rsid w:val="00297F62"/>
    <w:rsid w:val="002A60A2"/>
    <w:rsid w:val="002C6FC7"/>
    <w:rsid w:val="002D1338"/>
    <w:rsid w:val="002D7756"/>
    <w:rsid w:val="002F02BB"/>
    <w:rsid w:val="002F20DB"/>
    <w:rsid w:val="00300ACC"/>
    <w:rsid w:val="003155BC"/>
    <w:rsid w:val="003244ED"/>
    <w:rsid w:val="0032477F"/>
    <w:rsid w:val="00332669"/>
    <w:rsid w:val="00336823"/>
    <w:rsid w:val="00340DEB"/>
    <w:rsid w:val="00342CCD"/>
    <w:rsid w:val="003441FA"/>
    <w:rsid w:val="00347320"/>
    <w:rsid w:val="00357CEF"/>
    <w:rsid w:val="00363DEA"/>
    <w:rsid w:val="00363E8A"/>
    <w:rsid w:val="003706B5"/>
    <w:rsid w:val="00371521"/>
    <w:rsid w:val="00372CBA"/>
    <w:rsid w:val="003B1AB1"/>
    <w:rsid w:val="003B725C"/>
    <w:rsid w:val="003D2ECE"/>
    <w:rsid w:val="003D72C0"/>
    <w:rsid w:val="003E0007"/>
    <w:rsid w:val="003E02D6"/>
    <w:rsid w:val="003E03FD"/>
    <w:rsid w:val="003E25FD"/>
    <w:rsid w:val="003F2BB3"/>
    <w:rsid w:val="003F6EEC"/>
    <w:rsid w:val="004005BD"/>
    <w:rsid w:val="00404872"/>
    <w:rsid w:val="00422E06"/>
    <w:rsid w:val="0043063D"/>
    <w:rsid w:val="00436BB6"/>
    <w:rsid w:val="004409E0"/>
    <w:rsid w:val="00441316"/>
    <w:rsid w:val="00446551"/>
    <w:rsid w:val="00462E9B"/>
    <w:rsid w:val="00464047"/>
    <w:rsid w:val="004642E5"/>
    <w:rsid w:val="00464619"/>
    <w:rsid w:val="0046487C"/>
    <w:rsid w:val="00485181"/>
    <w:rsid w:val="00492AF3"/>
    <w:rsid w:val="004946C3"/>
    <w:rsid w:val="004A63AD"/>
    <w:rsid w:val="004A67E0"/>
    <w:rsid w:val="004B7C7C"/>
    <w:rsid w:val="004B7C84"/>
    <w:rsid w:val="004C226E"/>
    <w:rsid w:val="004C24F7"/>
    <w:rsid w:val="004C62D2"/>
    <w:rsid w:val="004D06C9"/>
    <w:rsid w:val="004D1082"/>
    <w:rsid w:val="004D4859"/>
    <w:rsid w:val="004D624B"/>
    <w:rsid w:val="004F062A"/>
    <w:rsid w:val="0050427A"/>
    <w:rsid w:val="00520B4E"/>
    <w:rsid w:val="005264FD"/>
    <w:rsid w:val="00535AF3"/>
    <w:rsid w:val="005400E8"/>
    <w:rsid w:val="005635EB"/>
    <w:rsid w:val="00563C8F"/>
    <w:rsid w:val="00584539"/>
    <w:rsid w:val="00584DEA"/>
    <w:rsid w:val="00590A35"/>
    <w:rsid w:val="00591885"/>
    <w:rsid w:val="00595B6C"/>
    <w:rsid w:val="005A048D"/>
    <w:rsid w:val="005B3050"/>
    <w:rsid w:val="005B50D4"/>
    <w:rsid w:val="005C11CA"/>
    <w:rsid w:val="005C332C"/>
    <w:rsid w:val="005D54DA"/>
    <w:rsid w:val="005E15FC"/>
    <w:rsid w:val="005E77CB"/>
    <w:rsid w:val="005F70C1"/>
    <w:rsid w:val="00604209"/>
    <w:rsid w:val="0061318D"/>
    <w:rsid w:val="006166AA"/>
    <w:rsid w:val="00621294"/>
    <w:rsid w:val="00622ED1"/>
    <w:rsid w:val="0062514D"/>
    <w:rsid w:val="00635EB8"/>
    <w:rsid w:val="006369A1"/>
    <w:rsid w:val="006378D8"/>
    <w:rsid w:val="00641145"/>
    <w:rsid w:val="00642DAA"/>
    <w:rsid w:val="0064712E"/>
    <w:rsid w:val="00663A5A"/>
    <w:rsid w:val="0068772A"/>
    <w:rsid w:val="0069794A"/>
    <w:rsid w:val="006A46D2"/>
    <w:rsid w:val="006C6A78"/>
    <w:rsid w:val="006E5C06"/>
    <w:rsid w:val="006E7B75"/>
    <w:rsid w:val="0070434C"/>
    <w:rsid w:val="00707AF4"/>
    <w:rsid w:val="007207CD"/>
    <w:rsid w:val="00721D67"/>
    <w:rsid w:val="00721D8D"/>
    <w:rsid w:val="0073228A"/>
    <w:rsid w:val="007463CD"/>
    <w:rsid w:val="0075482B"/>
    <w:rsid w:val="00757109"/>
    <w:rsid w:val="007731AF"/>
    <w:rsid w:val="007754D5"/>
    <w:rsid w:val="00777A72"/>
    <w:rsid w:val="00786AD1"/>
    <w:rsid w:val="0079379A"/>
    <w:rsid w:val="007A3F97"/>
    <w:rsid w:val="007A6383"/>
    <w:rsid w:val="007B0BE8"/>
    <w:rsid w:val="007B2932"/>
    <w:rsid w:val="007B5D21"/>
    <w:rsid w:val="007E6840"/>
    <w:rsid w:val="007F35B8"/>
    <w:rsid w:val="00806DF4"/>
    <w:rsid w:val="00813751"/>
    <w:rsid w:val="00826EA7"/>
    <w:rsid w:val="0083502C"/>
    <w:rsid w:val="0084358A"/>
    <w:rsid w:val="0084533E"/>
    <w:rsid w:val="00865FD9"/>
    <w:rsid w:val="00866B6F"/>
    <w:rsid w:val="00882CAA"/>
    <w:rsid w:val="00887A33"/>
    <w:rsid w:val="008A17BC"/>
    <w:rsid w:val="008A3518"/>
    <w:rsid w:val="008A3D9C"/>
    <w:rsid w:val="008B1601"/>
    <w:rsid w:val="008B39BD"/>
    <w:rsid w:val="008C122B"/>
    <w:rsid w:val="008D291B"/>
    <w:rsid w:val="008E4B1D"/>
    <w:rsid w:val="008E504A"/>
    <w:rsid w:val="008F12DC"/>
    <w:rsid w:val="008F5986"/>
    <w:rsid w:val="008F6ABA"/>
    <w:rsid w:val="009074C4"/>
    <w:rsid w:val="00912079"/>
    <w:rsid w:val="0092072A"/>
    <w:rsid w:val="00922245"/>
    <w:rsid w:val="009257CA"/>
    <w:rsid w:val="00936181"/>
    <w:rsid w:val="00940063"/>
    <w:rsid w:val="00956615"/>
    <w:rsid w:val="009619CD"/>
    <w:rsid w:val="00963D2B"/>
    <w:rsid w:val="009643B9"/>
    <w:rsid w:val="00965B92"/>
    <w:rsid w:val="00967F9F"/>
    <w:rsid w:val="00971027"/>
    <w:rsid w:val="00976AFA"/>
    <w:rsid w:val="00980F43"/>
    <w:rsid w:val="009932BA"/>
    <w:rsid w:val="009A638C"/>
    <w:rsid w:val="009A6D44"/>
    <w:rsid w:val="009B5954"/>
    <w:rsid w:val="009C0A36"/>
    <w:rsid w:val="009C5B30"/>
    <w:rsid w:val="009D4C97"/>
    <w:rsid w:val="009E60CF"/>
    <w:rsid w:val="009F5946"/>
    <w:rsid w:val="00A0784C"/>
    <w:rsid w:val="00A10047"/>
    <w:rsid w:val="00A245FE"/>
    <w:rsid w:val="00A34470"/>
    <w:rsid w:val="00A376A3"/>
    <w:rsid w:val="00A40C6B"/>
    <w:rsid w:val="00A45554"/>
    <w:rsid w:val="00A610D6"/>
    <w:rsid w:val="00A86132"/>
    <w:rsid w:val="00A907D5"/>
    <w:rsid w:val="00A91B3D"/>
    <w:rsid w:val="00A97F42"/>
    <w:rsid w:val="00AB062D"/>
    <w:rsid w:val="00AC69F4"/>
    <w:rsid w:val="00AD52D6"/>
    <w:rsid w:val="00AD5525"/>
    <w:rsid w:val="00AD7FD7"/>
    <w:rsid w:val="00AF192F"/>
    <w:rsid w:val="00AF4FE6"/>
    <w:rsid w:val="00B00285"/>
    <w:rsid w:val="00B12B86"/>
    <w:rsid w:val="00B21D0B"/>
    <w:rsid w:val="00B36297"/>
    <w:rsid w:val="00B3650E"/>
    <w:rsid w:val="00B3691D"/>
    <w:rsid w:val="00B42342"/>
    <w:rsid w:val="00B5359A"/>
    <w:rsid w:val="00B54BE8"/>
    <w:rsid w:val="00B65313"/>
    <w:rsid w:val="00B7008B"/>
    <w:rsid w:val="00B72B99"/>
    <w:rsid w:val="00B819C2"/>
    <w:rsid w:val="00B8334D"/>
    <w:rsid w:val="00B937B4"/>
    <w:rsid w:val="00B9433D"/>
    <w:rsid w:val="00BA55DD"/>
    <w:rsid w:val="00BB1B0E"/>
    <w:rsid w:val="00BB41EE"/>
    <w:rsid w:val="00BB6523"/>
    <w:rsid w:val="00BB6E73"/>
    <w:rsid w:val="00BC5CCD"/>
    <w:rsid w:val="00BD7160"/>
    <w:rsid w:val="00BD760C"/>
    <w:rsid w:val="00BE2014"/>
    <w:rsid w:val="00BE33DA"/>
    <w:rsid w:val="00C13CA1"/>
    <w:rsid w:val="00C16571"/>
    <w:rsid w:val="00C16D0E"/>
    <w:rsid w:val="00C16EAB"/>
    <w:rsid w:val="00C2315A"/>
    <w:rsid w:val="00C272BA"/>
    <w:rsid w:val="00C276E0"/>
    <w:rsid w:val="00C30503"/>
    <w:rsid w:val="00C31B67"/>
    <w:rsid w:val="00C35F6C"/>
    <w:rsid w:val="00C73598"/>
    <w:rsid w:val="00C877E6"/>
    <w:rsid w:val="00CA6A34"/>
    <w:rsid w:val="00CB6840"/>
    <w:rsid w:val="00CC0A2D"/>
    <w:rsid w:val="00CC1335"/>
    <w:rsid w:val="00CC177B"/>
    <w:rsid w:val="00CE184A"/>
    <w:rsid w:val="00CE5A2F"/>
    <w:rsid w:val="00CF01A7"/>
    <w:rsid w:val="00CF0C4C"/>
    <w:rsid w:val="00CF28D9"/>
    <w:rsid w:val="00CF5566"/>
    <w:rsid w:val="00D06638"/>
    <w:rsid w:val="00D06956"/>
    <w:rsid w:val="00D1179B"/>
    <w:rsid w:val="00D159E4"/>
    <w:rsid w:val="00D410D8"/>
    <w:rsid w:val="00D41D53"/>
    <w:rsid w:val="00D572BF"/>
    <w:rsid w:val="00D61E9A"/>
    <w:rsid w:val="00D706E9"/>
    <w:rsid w:val="00D8068C"/>
    <w:rsid w:val="00DA2E5D"/>
    <w:rsid w:val="00DD401A"/>
    <w:rsid w:val="00DD4A21"/>
    <w:rsid w:val="00DD7028"/>
    <w:rsid w:val="00DE456D"/>
    <w:rsid w:val="00DE7331"/>
    <w:rsid w:val="00DF4186"/>
    <w:rsid w:val="00DF6C8D"/>
    <w:rsid w:val="00DF6EAD"/>
    <w:rsid w:val="00E02DFE"/>
    <w:rsid w:val="00E0425B"/>
    <w:rsid w:val="00E1406C"/>
    <w:rsid w:val="00E151A7"/>
    <w:rsid w:val="00E22E3A"/>
    <w:rsid w:val="00E27DCB"/>
    <w:rsid w:val="00E3398A"/>
    <w:rsid w:val="00E343BB"/>
    <w:rsid w:val="00E5021E"/>
    <w:rsid w:val="00E57487"/>
    <w:rsid w:val="00E60791"/>
    <w:rsid w:val="00E61851"/>
    <w:rsid w:val="00E8349A"/>
    <w:rsid w:val="00E9076A"/>
    <w:rsid w:val="00E9632C"/>
    <w:rsid w:val="00EB6FA0"/>
    <w:rsid w:val="00EC3F79"/>
    <w:rsid w:val="00EC7338"/>
    <w:rsid w:val="00ED1448"/>
    <w:rsid w:val="00EE6E85"/>
    <w:rsid w:val="00EF5B6D"/>
    <w:rsid w:val="00F06EB4"/>
    <w:rsid w:val="00F10A31"/>
    <w:rsid w:val="00F150DC"/>
    <w:rsid w:val="00F21D5B"/>
    <w:rsid w:val="00F243BB"/>
    <w:rsid w:val="00F261E5"/>
    <w:rsid w:val="00F329BB"/>
    <w:rsid w:val="00F402AF"/>
    <w:rsid w:val="00F40BCE"/>
    <w:rsid w:val="00F44BF6"/>
    <w:rsid w:val="00F508D7"/>
    <w:rsid w:val="00F55BC3"/>
    <w:rsid w:val="00F60BEA"/>
    <w:rsid w:val="00F60E4F"/>
    <w:rsid w:val="00F63E96"/>
    <w:rsid w:val="00F72F2F"/>
    <w:rsid w:val="00F75F4B"/>
    <w:rsid w:val="00F77A1C"/>
    <w:rsid w:val="00F8151E"/>
    <w:rsid w:val="00F8285F"/>
    <w:rsid w:val="00F82BF5"/>
    <w:rsid w:val="00F938B8"/>
    <w:rsid w:val="00FA155F"/>
    <w:rsid w:val="00FB07D5"/>
    <w:rsid w:val="00FD2BEE"/>
    <w:rsid w:val="00FE0251"/>
    <w:rsid w:val="00FE726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colormenu v:ext="edit" fillcolor="none" strokecolor="red"/>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6A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CA6A34"/>
    <w:pPr>
      <w:spacing w:after="340" w:line="340" w:lineRule="exact"/>
      <w:jc w:val="both"/>
    </w:pPr>
    <w:rPr>
      <w:sz w:val="23"/>
    </w:rPr>
  </w:style>
  <w:style w:type="paragraph" w:styleId="ListBullet">
    <w:name w:val="List Bullet"/>
    <w:basedOn w:val="Normal"/>
    <w:autoRedefine/>
    <w:rsid w:val="00CA6A34"/>
    <w:pPr>
      <w:numPr>
        <w:numId w:val="2"/>
      </w:numPr>
      <w:spacing w:after="120" w:line="280" w:lineRule="exact"/>
      <w:jc w:val="both"/>
    </w:pPr>
    <w:rPr>
      <w:rFonts w:ascii="Arial" w:hAnsi="Arial"/>
      <w:sz w:val="22"/>
    </w:rPr>
  </w:style>
  <w:style w:type="character" w:customStyle="1" w:styleId="Heading">
    <w:name w:val="Heading"/>
    <w:basedOn w:val="DefaultParagraphFont"/>
    <w:rsid w:val="00CA6A34"/>
    <w:rPr>
      <w:rFonts w:ascii="Arial" w:hAnsi="Arial"/>
      <w:b/>
      <w:caps/>
      <w:sz w:val="19"/>
    </w:rPr>
  </w:style>
  <w:style w:type="character" w:customStyle="1" w:styleId="Subheading">
    <w:name w:val="Subheading"/>
    <w:basedOn w:val="DefaultParagraphFont"/>
    <w:rsid w:val="00CA6A34"/>
    <w:rPr>
      <w:rFonts w:ascii="Arial" w:hAnsi="Arial"/>
      <w:b/>
      <w:sz w:val="19"/>
    </w:rPr>
  </w:style>
  <w:style w:type="paragraph" w:styleId="Header">
    <w:name w:val="header"/>
    <w:basedOn w:val="Normal"/>
    <w:rsid w:val="00CA6A34"/>
    <w:pPr>
      <w:tabs>
        <w:tab w:val="center" w:pos="4153"/>
        <w:tab w:val="right" w:pos="8306"/>
      </w:tabs>
    </w:pPr>
  </w:style>
  <w:style w:type="character" w:styleId="PageNumber">
    <w:name w:val="page number"/>
    <w:basedOn w:val="DefaultParagraphFont"/>
    <w:rsid w:val="00CA6A34"/>
  </w:style>
  <w:style w:type="paragraph" w:styleId="Footer">
    <w:name w:val="footer"/>
    <w:basedOn w:val="Normal"/>
    <w:rsid w:val="00CA6A34"/>
    <w:pPr>
      <w:tabs>
        <w:tab w:val="center" w:pos="4153"/>
        <w:tab w:val="right" w:pos="8306"/>
      </w:tabs>
    </w:pPr>
  </w:style>
  <w:style w:type="character" w:styleId="Hyperlink">
    <w:name w:val="Hyperlink"/>
    <w:basedOn w:val="DefaultParagraphFont"/>
    <w:rsid w:val="009A6D44"/>
    <w:rPr>
      <w:color w:val="0000FF"/>
      <w:u w:val="single"/>
    </w:rPr>
  </w:style>
  <w:style w:type="character" w:styleId="CommentReference">
    <w:name w:val="annotation reference"/>
    <w:basedOn w:val="DefaultParagraphFont"/>
    <w:semiHidden/>
    <w:rsid w:val="00B72B99"/>
    <w:rPr>
      <w:sz w:val="16"/>
      <w:szCs w:val="16"/>
    </w:rPr>
  </w:style>
  <w:style w:type="paragraph" w:styleId="CommentText">
    <w:name w:val="annotation text"/>
    <w:basedOn w:val="Normal"/>
    <w:semiHidden/>
    <w:rsid w:val="00B72B99"/>
  </w:style>
  <w:style w:type="paragraph" w:styleId="CommentSubject">
    <w:name w:val="annotation subject"/>
    <w:basedOn w:val="CommentText"/>
    <w:next w:val="CommentText"/>
    <w:semiHidden/>
    <w:rsid w:val="00B72B99"/>
    <w:rPr>
      <w:b/>
      <w:bCs/>
    </w:rPr>
  </w:style>
  <w:style w:type="paragraph" w:styleId="BalloonText">
    <w:name w:val="Balloon Text"/>
    <w:basedOn w:val="Normal"/>
    <w:semiHidden/>
    <w:rsid w:val="00B72B99"/>
    <w:rPr>
      <w:rFonts w:ascii="Tahoma" w:hAnsi="Tahoma" w:cs="Tahoma"/>
      <w:sz w:val="16"/>
      <w:szCs w:val="16"/>
    </w:rPr>
  </w:style>
  <w:style w:type="paragraph" w:styleId="FootnoteText">
    <w:name w:val="footnote text"/>
    <w:basedOn w:val="Normal"/>
    <w:semiHidden/>
    <w:rsid w:val="00B72B99"/>
  </w:style>
  <w:style w:type="character" w:styleId="FootnoteReference">
    <w:name w:val="footnote reference"/>
    <w:basedOn w:val="DefaultParagraphFont"/>
    <w:semiHidden/>
    <w:rsid w:val="00B72B99"/>
    <w:rPr>
      <w:vertAlign w:val="superscript"/>
    </w:rPr>
  </w:style>
  <w:style w:type="paragraph" w:styleId="ListParagraph">
    <w:name w:val="List Paragraph"/>
    <w:basedOn w:val="Normal"/>
    <w:uiPriority w:val="34"/>
    <w:qFormat/>
    <w:rsid w:val="0027018D"/>
    <w:pPr>
      <w:ind w:left="720"/>
    </w:pPr>
    <w:rPr>
      <w:rFonts w:ascii="Calibri" w:hAnsi="Calibri"/>
      <w:sz w:val="22"/>
      <w:szCs w:val="22"/>
      <w:lang w:eastAsia="en-US"/>
    </w:rPr>
  </w:style>
  <w:style w:type="character" w:customStyle="1" w:styleId="BodyTextChar">
    <w:name w:val="Body Text Char"/>
    <w:basedOn w:val="DefaultParagraphFont"/>
    <w:link w:val="BodyText"/>
    <w:rsid w:val="00CE5A2F"/>
    <w:rPr>
      <w:sz w:val="23"/>
    </w:rPr>
  </w:style>
  <w:style w:type="paragraph" w:styleId="EndnoteText">
    <w:name w:val="endnote text"/>
    <w:basedOn w:val="Normal"/>
    <w:link w:val="EndnoteTextChar"/>
    <w:rsid w:val="008E4B1D"/>
  </w:style>
  <w:style w:type="character" w:customStyle="1" w:styleId="EndnoteTextChar">
    <w:name w:val="Endnote Text Char"/>
    <w:basedOn w:val="DefaultParagraphFont"/>
    <w:link w:val="EndnoteText"/>
    <w:rsid w:val="008E4B1D"/>
  </w:style>
  <w:style w:type="character" w:styleId="EndnoteReference">
    <w:name w:val="endnote reference"/>
    <w:basedOn w:val="DefaultParagraphFont"/>
    <w:rsid w:val="008E4B1D"/>
    <w:rPr>
      <w:vertAlign w:val="superscript"/>
    </w:rPr>
  </w:style>
  <w:style w:type="table" w:styleId="TableGrid">
    <w:name w:val="Table Grid"/>
    <w:basedOn w:val="TableNormal"/>
    <w:uiPriority w:val="59"/>
    <w:rsid w:val="00E9632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3155BC"/>
    <w:rPr>
      <w:color w:val="800080" w:themeColor="followedHyperlink"/>
      <w:u w:val="single"/>
    </w:rPr>
  </w:style>
  <w:style w:type="paragraph" w:customStyle="1" w:styleId="Default">
    <w:name w:val="Default"/>
    <w:rsid w:val="002755D0"/>
    <w:pPr>
      <w:autoSpaceDE w:val="0"/>
      <w:autoSpaceDN w:val="0"/>
      <w:adjustRightInd w:val="0"/>
    </w:pPr>
    <w:rPr>
      <w:rFonts w:ascii="Palatino Linotype" w:eastAsiaTheme="minorHAnsi" w:hAnsi="Palatino Linotype" w:cs="Palatino Linotype"/>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0260116">
      <w:bodyDiv w:val="1"/>
      <w:marLeft w:val="0"/>
      <w:marRight w:val="0"/>
      <w:marTop w:val="0"/>
      <w:marBottom w:val="0"/>
      <w:divBdr>
        <w:top w:val="none" w:sz="0" w:space="0" w:color="auto"/>
        <w:left w:val="none" w:sz="0" w:space="0" w:color="auto"/>
        <w:bottom w:val="none" w:sz="0" w:space="0" w:color="auto"/>
        <w:right w:val="none" w:sz="0" w:space="0" w:color="auto"/>
      </w:divBdr>
    </w:div>
    <w:div w:id="800464946">
      <w:bodyDiv w:val="1"/>
      <w:marLeft w:val="0"/>
      <w:marRight w:val="0"/>
      <w:marTop w:val="0"/>
      <w:marBottom w:val="0"/>
      <w:divBdr>
        <w:top w:val="none" w:sz="0" w:space="0" w:color="auto"/>
        <w:left w:val="none" w:sz="0" w:space="0" w:color="auto"/>
        <w:bottom w:val="none" w:sz="0" w:space="0" w:color="auto"/>
        <w:right w:val="none" w:sz="0" w:space="0" w:color="auto"/>
      </w:divBdr>
    </w:div>
    <w:div w:id="893271065">
      <w:bodyDiv w:val="1"/>
      <w:marLeft w:val="0"/>
      <w:marRight w:val="0"/>
      <w:marTop w:val="0"/>
      <w:marBottom w:val="0"/>
      <w:divBdr>
        <w:top w:val="none" w:sz="0" w:space="0" w:color="auto"/>
        <w:left w:val="none" w:sz="0" w:space="0" w:color="auto"/>
        <w:bottom w:val="none" w:sz="0" w:space="0" w:color="auto"/>
        <w:right w:val="none" w:sz="0" w:space="0" w:color="auto"/>
      </w:divBdr>
    </w:div>
    <w:div w:id="1780681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PYSubmissions@rba.gov.au" TargetMode="External"/><Relationship Id="rId4" Type="http://schemas.openxmlformats.org/officeDocument/2006/relationships/settings" Target="settings.xml"/><Relationship Id="rId9" Type="http://schemas.openxmlformats.org/officeDocument/2006/relationships/hyperlink" Target="mailto:michael.baumann@cba.com.au"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4FF0A3-D93E-4379-9820-3703D1182E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1347</Words>
  <Characters>7656</Characters>
  <Application>Microsoft Office Word</Application>
  <DocSecurity>0</DocSecurity>
  <Lines>63</Lines>
  <Paragraphs>17</Paragraphs>
  <ScaleCrop>false</ScaleCrop>
  <Company/>
  <LinksUpToDate>false</LinksUpToDate>
  <CharactersWithSpaces>8986</CharactersWithSpaces>
  <SharedDoc>false</SharedDoc>
  <HLinks>
    <vt:vector size="12" baseType="variant">
      <vt:variant>
        <vt:i4>4522041</vt:i4>
      </vt:variant>
      <vt:variant>
        <vt:i4>0</vt:i4>
      </vt:variant>
      <vt:variant>
        <vt:i4>0</vt:i4>
      </vt:variant>
      <vt:variant>
        <vt:i4>5</vt:i4>
      </vt:variant>
      <vt:variant>
        <vt:lpwstr>mailto:adjudication@accc.gov.au</vt:lpwstr>
      </vt:variant>
      <vt:variant>
        <vt:lpwstr/>
      </vt:variant>
      <vt:variant>
        <vt:i4>6553643</vt:i4>
      </vt:variant>
      <vt:variant>
        <vt:i4>0</vt:i4>
      </vt:variant>
      <vt:variant>
        <vt:i4>0</vt:i4>
      </vt:variant>
      <vt:variant>
        <vt:i4>5</vt:i4>
      </vt:variant>
      <vt:variant>
        <vt:lpwstr>http://personal.macquarie.com.au/personal/products/credit_cards/platinum_card.htm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2019-04-02T22:52:00Z</dcterms:created>
  <dcterms:modified xsi:type="dcterms:W3CDTF">2019-04-02T22:52:00Z</dcterms:modified>
</cp:coreProperties>
</file>