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341DDA" w14:textId="77777777" w:rsidR="000A7B03" w:rsidRDefault="007E1AF2" w:rsidP="000A7B03">
      <w:pPr>
        <w:rPr>
          <w:rFonts w:ascii="Segoe UI" w:hAnsi="Segoe UI" w:cs="Segoe UI"/>
          <w:bCs/>
          <w:sz w:val="20"/>
          <w:szCs w:val="20"/>
          <w:lang w:eastAsia="en-AU"/>
        </w:rPr>
      </w:pPr>
      <w:bookmarkStart w:id="0" w:name="_GoBack"/>
      <w:bookmarkEnd w:id="0"/>
      <w:r>
        <w:rPr>
          <w:rFonts w:ascii="Segoe UI" w:hAnsi="Segoe UI" w:cs="Segoe UI"/>
          <w:bCs/>
          <w:sz w:val="20"/>
          <w:szCs w:val="20"/>
          <w:lang w:eastAsia="en-AU"/>
        </w:rPr>
        <w:t>28 March 2019</w:t>
      </w:r>
    </w:p>
    <w:p w14:paraId="276A1707" w14:textId="77777777" w:rsidR="000A7B03" w:rsidRDefault="000A7B03" w:rsidP="000A7B03">
      <w:pPr>
        <w:rPr>
          <w:rFonts w:ascii="Segoe UI" w:hAnsi="Segoe UI" w:cs="Segoe UI"/>
          <w:bCs/>
          <w:sz w:val="20"/>
          <w:szCs w:val="20"/>
          <w:lang w:eastAsia="en-AU"/>
        </w:rPr>
      </w:pPr>
    </w:p>
    <w:p w14:paraId="2C02316C" w14:textId="77777777" w:rsidR="000A7B03" w:rsidRDefault="000A7B03" w:rsidP="000A7B03">
      <w:pPr>
        <w:rPr>
          <w:rFonts w:ascii="Segoe UI" w:hAnsi="Segoe UI" w:cs="Segoe UI"/>
          <w:bCs/>
          <w:sz w:val="20"/>
          <w:szCs w:val="20"/>
          <w:lang w:eastAsia="en-AU"/>
        </w:rPr>
      </w:pPr>
      <w:r>
        <w:rPr>
          <w:rFonts w:ascii="Segoe UI" w:hAnsi="Segoe UI" w:cs="Segoe UI"/>
          <w:bCs/>
          <w:sz w:val="20"/>
          <w:szCs w:val="20"/>
          <w:lang w:eastAsia="en-AU"/>
        </w:rPr>
        <w:t>Dr. Tony Richards</w:t>
      </w:r>
    </w:p>
    <w:p w14:paraId="6B2ED9D1" w14:textId="77777777" w:rsidR="000A7B03" w:rsidRDefault="000A7B03" w:rsidP="000A7B03">
      <w:pPr>
        <w:rPr>
          <w:rFonts w:ascii="Segoe UI" w:hAnsi="Segoe UI" w:cs="Segoe UI"/>
          <w:sz w:val="20"/>
          <w:szCs w:val="20"/>
          <w:lang w:eastAsia="en-AU"/>
        </w:rPr>
      </w:pPr>
      <w:r>
        <w:rPr>
          <w:rFonts w:ascii="Segoe UI" w:hAnsi="Segoe UI" w:cs="Segoe UI"/>
          <w:sz w:val="20"/>
          <w:szCs w:val="20"/>
          <w:lang w:eastAsia="en-AU"/>
        </w:rPr>
        <w:t>Head of Payments Policy</w:t>
      </w:r>
    </w:p>
    <w:p w14:paraId="7F67221B" w14:textId="77777777" w:rsidR="000A7B03" w:rsidRDefault="000A7B03" w:rsidP="000A7B03">
      <w:pPr>
        <w:rPr>
          <w:rFonts w:ascii="Segoe UI" w:hAnsi="Segoe UI" w:cs="Segoe UI"/>
          <w:sz w:val="20"/>
          <w:szCs w:val="20"/>
          <w:lang w:eastAsia="en-AU"/>
        </w:rPr>
      </w:pPr>
      <w:r>
        <w:rPr>
          <w:rFonts w:ascii="Segoe UI" w:hAnsi="Segoe UI" w:cs="Segoe UI"/>
          <w:sz w:val="20"/>
          <w:szCs w:val="20"/>
          <w:lang w:eastAsia="en-AU"/>
        </w:rPr>
        <w:t>Reserve Bank of Australia</w:t>
      </w:r>
    </w:p>
    <w:p w14:paraId="32945753" w14:textId="77777777" w:rsidR="000A7B03" w:rsidRDefault="000A7B03" w:rsidP="0076531A">
      <w:pPr>
        <w:rPr>
          <w:rFonts w:ascii="Segoe UI" w:hAnsi="Segoe UI" w:cs="Segoe UI"/>
          <w:sz w:val="20"/>
          <w:szCs w:val="20"/>
          <w:lang w:eastAsia="en-AU"/>
        </w:rPr>
      </w:pPr>
      <w:r>
        <w:rPr>
          <w:rFonts w:ascii="Segoe UI" w:hAnsi="Segoe UI" w:cs="Segoe UI"/>
          <w:sz w:val="20"/>
          <w:szCs w:val="20"/>
          <w:lang w:eastAsia="en-AU"/>
        </w:rPr>
        <w:t>65 Martin Place</w:t>
      </w:r>
    </w:p>
    <w:p w14:paraId="7FE6EC2E" w14:textId="13126249" w:rsidR="002E394B" w:rsidRDefault="000A7B03" w:rsidP="000A7B03">
      <w:pPr>
        <w:rPr>
          <w:rFonts w:ascii="Segoe UI" w:hAnsi="Segoe UI" w:cs="Segoe UI"/>
          <w:sz w:val="20"/>
          <w:szCs w:val="20"/>
          <w:lang w:eastAsia="en-AU"/>
        </w:rPr>
      </w:pPr>
      <w:r>
        <w:rPr>
          <w:rFonts w:ascii="Segoe UI" w:hAnsi="Segoe UI" w:cs="Segoe UI"/>
          <w:sz w:val="20"/>
          <w:szCs w:val="20"/>
          <w:lang w:eastAsia="en-AU"/>
        </w:rPr>
        <w:t>Sydney NSW 2000</w:t>
      </w:r>
    </w:p>
    <w:p w14:paraId="253518EC" w14:textId="77777777" w:rsidR="00671803" w:rsidRDefault="00671803" w:rsidP="000A7B03">
      <w:pPr>
        <w:rPr>
          <w:rFonts w:ascii="Segoe UI" w:hAnsi="Segoe UI" w:cs="Segoe UI"/>
          <w:b/>
          <w:sz w:val="20"/>
          <w:szCs w:val="20"/>
          <w:lang w:eastAsia="en-AU"/>
        </w:rPr>
      </w:pPr>
    </w:p>
    <w:p w14:paraId="560A0416" w14:textId="676EEADD" w:rsidR="00E860C4" w:rsidRPr="00E860C4" w:rsidRDefault="00E860C4" w:rsidP="000A7B03">
      <w:pPr>
        <w:rPr>
          <w:rFonts w:ascii="Segoe UI" w:hAnsi="Segoe UI" w:cs="Segoe UI"/>
          <w:b/>
          <w:sz w:val="20"/>
          <w:szCs w:val="20"/>
          <w:lang w:eastAsia="en-AU"/>
        </w:rPr>
      </w:pPr>
      <w:r w:rsidRPr="00E860C4">
        <w:rPr>
          <w:rFonts w:ascii="Segoe UI" w:hAnsi="Segoe UI" w:cs="Segoe UI"/>
          <w:b/>
          <w:sz w:val="20"/>
          <w:szCs w:val="20"/>
          <w:lang w:eastAsia="en-AU"/>
        </w:rPr>
        <w:t>PYsubmissions@rba.gov.au</w:t>
      </w:r>
    </w:p>
    <w:p w14:paraId="58FFA987" w14:textId="77777777" w:rsidR="002E394B" w:rsidRDefault="002E394B" w:rsidP="000A7B03">
      <w:pPr>
        <w:rPr>
          <w:rFonts w:ascii="Segoe UI" w:hAnsi="Segoe UI" w:cs="Segoe UI"/>
          <w:sz w:val="20"/>
          <w:szCs w:val="20"/>
          <w:lang w:eastAsia="en-AU"/>
        </w:rPr>
      </w:pPr>
    </w:p>
    <w:p w14:paraId="631793F5" w14:textId="77777777" w:rsidR="000A7B03" w:rsidRDefault="000A7B03" w:rsidP="000A7B03">
      <w:pPr>
        <w:rPr>
          <w:rFonts w:ascii="Segoe UI" w:hAnsi="Segoe UI" w:cs="Segoe UI"/>
          <w:sz w:val="20"/>
          <w:szCs w:val="20"/>
        </w:rPr>
      </w:pPr>
      <w:r>
        <w:rPr>
          <w:rFonts w:ascii="Segoe UI" w:hAnsi="Segoe UI" w:cs="Segoe UI"/>
          <w:sz w:val="20"/>
          <w:szCs w:val="20"/>
        </w:rPr>
        <w:t>Dear Dr. Richards,</w:t>
      </w:r>
    </w:p>
    <w:p w14:paraId="1A93F7C5" w14:textId="77777777" w:rsidR="000B4A87" w:rsidRDefault="000B4A87" w:rsidP="000A7B03">
      <w:pPr>
        <w:rPr>
          <w:rFonts w:ascii="Segoe UI" w:hAnsi="Segoe UI" w:cs="Segoe UI"/>
          <w:sz w:val="20"/>
          <w:szCs w:val="20"/>
        </w:rPr>
      </w:pPr>
    </w:p>
    <w:p w14:paraId="39950B45" w14:textId="76739F84" w:rsidR="001233B4" w:rsidRDefault="007E1AF2" w:rsidP="00E17C4D">
      <w:pPr>
        <w:spacing w:after="240"/>
        <w:rPr>
          <w:rFonts w:ascii="Segoe UI" w:hAnsi="Segoe UI" w:cs="Segoe UI"/>
          <w:b/>
          <w:sz w:val="20"/>
          <w:szCs w:val="20"/>
        </w:rPr>
      </w:pPr>
      <w:r>
        <w:rPr>
          <w:rFonts w:ascii="Segoe UI" w:hAnsi="Segoe UI" w:cs="Segoe UI"/>
          <w:b/>
          <w:sz w:val="20"/>
          <w:szCs w:val="20"/>
        </w:rPr>
        <w:t xml:space="preserve">Operation of Interchange Standards - Consultation </w:t>
      </w:r>
      <w:r w:rsidR="00323485">
        <w:rPr>
          <w:rFonts w:ascii="Segoe UI" w:hAnsi="Segoe UI" w:cs="Segoe UI"/>
          <w:b/>
          <w:sz w:val="20"/>
          <w:szCs w:val="20"/>
        </w:rPr>
        <w:t>Paper, February 2019 (Consultation)</w:t>
      </w:r>
    </w:p>
    <w:p w14:paraId="6C33060B" w14:textId="7DC1E9EB" w:rsidR="00323485" w:rsidRDefault="00323485" w:rsidP="000D12B1">
      <w:r>
        <w:t>eftpos Payments Australia Limited (eftpos), Australia’s domestic debit card network and designated payment system</w:t>
      </w:r>
      <w:r w:rsidR="00111C30">
        <w:t>,</w:t>
      </w:r>
      <w:r>
        <w:t xml:space="preserve"> is please</w:t>
      </w:r>
      <w:r w:rsidR="00111C30">
        <w:t>d</w:t>
      </w:r>
      <w:r>
        <w:t xml:space="preserve"> to be given the opportunity to respond to the Consultation.</w:t>
      </w:r>
    </w:p>
    <w:p w14:paraId="32FED781" w14:textId="77777777" w:rsidR="00323485" w:rsidRDefault="00323485" w:rsidP="000D12B1"/>
    <w:p w14:paraId="393F5B5A" w14:textId="2F7E9395" w:rsidR="000F5D68" w:rsidRDefault="00323485" w:rsidP="000D12B1">
      <w:r>
        <w:t xml:space="preserve">eftpos agrees with the </w:t>
      </w:r>
      <w:r w:rsidR="005B2CEB">
        <w:t>RBA</w:t>
      </w:r>
      <w:r>
        <w:t xml:space="preserve"> that t</w:t>
      </w:r>
      <w:r w:rsidR="00A43143">
        <w:t xml:space="preserve">here is </w:t>
      </w:r>
      <w:r>
        <w:t xml:space="preserve">a </w:t>
      </w:r>
      <w:r w:rsidR="00A43143">
        <w:t xml:space="preserve">public interest </w:t>
      </w:r>
      <w:r>
        <w:t xml:space="preserve">benefit to be derived from maintaining </w:t>
      </w:r>
      <w:r w:rsidR="00A43143">
        <w:t>competition in payments</w:t>
      </w:r>
      <w:r w:rsidRPr="00323485">
        <w:t xml:space="preserve"> </w:t>
      </w:r>
      <w:r>
        <w:t xml:space="preserve">and supports the </w:t>
      </w:r>
      <w:r w:rsidR="005B2CEB">
        <w:t>RBA</w:t>
      </w:r>
      <w:r>
        <w:t>’s desire to improve understanding to lower regulatory and compliance burden</w:t>
      </w:r>
      <w:r w:rsidR="00A43143">
        <w:t>.</w:t>
      </w:r>
    </w:p>
    <w:p w14:paraId="05C4FB87" w14:textId="70F22E3A" w:rsidR="00C715DA" w:rsidRDefault="00C715DA" w:rsidP="000D12B1"/>
    <w:p w14:paraId="15E44C27" w14:textId="25F3CFCD" w:rsidR="00C715DA" w:rsidRPr="00C715DA" w:rsidRDefault="00C715DA" w:rsidP="000D12B1">
      <w:pPr>
        <w:rPr>
          <w:u w:val="single"/>
        </w:rPr>
      </w:pPr>
      <w:r w:rsidRPr="00C715DA">
        <w:rPr>
          <w:u w:val="single"/>
        </w:rPr>
        <w:t>Executive summary</w:t>
      </w:r>
    </w:p>
    <w:p w14:paraId="1577C23E" w14:textId="03B72922" w:rsidR="00C715DA" w:rsidRDefault="00275651" w:rsidP="000D12B1">
      <w:r>
        <w:t>In summary, the key submissions from eftpos are:</w:t>
      </w:r>
    </w:p>
    <w:p w14:paraId="23C72977" w14:textId="095B9232" w:rsidR="00275651" w:rsidRPr="00275651" w:rsidRDefault="00275651" w:rsidP="00275651">
      <w:pPr>
        <w:pStyle w:val="ListParagraph"/>
        <w:numPr>
          <w:ilvl w:val="0"/>
          <w:numId w:val="25"/>
        </w:numPr>
        <w:rPr>
          <w:rFonts w:ascii="Arial" w:hAnsi="Arial"/>
          <w:color w:val="000000" w:themeColor="text1"/>
          <w:sz w:val="19"/>
          <w:szCs w:val="24"/>
          <w:lang w:val="en-US"/>
        </w:rPr>
      </w:pPr>
      <w:r w:rsidRPr="00275651">
        <w:rPr>
          <w:rFonts w:ascii="Arial" w:hAnsi="Arial"/>
          <w:color w:val="000000" w:themeColor="text1"/>
          <w:sz w:val="19"/>
          <w:szCs w:val="24"/>
          <w:lang w:val="en-US"/>
        </w:rPr>
        <w:t>A</w:t>
      </w:r>
      <w:r w:rsidR="00E4373B">
        <w:rPr>
          <w:rFonts w:ascii="Arial" w:hAnsi="Arial"/>
          <w:color w:val="000000" w:themeColor="text1"/>
          <w:sz w:val="19"/>
          <w:szCs w:val="24"/>
          <w:lang w:val="en-US"/>
        </w:rPr>
        <w:t>n annual certification on a</w:t>
      </w:r>
      <w:r w:rsidRPr="00275651">
        <w:rPr>
          <w:rFonts w:ascii="Arial" w:hAnsi="Arial"/>
          <w:color w:val="000000" w:themeColor="text1"/>
          <w:sz w:val="19"/>
          <w:szCs w:val="24"/>
          <w:lang w:val="en-US"/>
        </w:rPr>
        <w:t xml:space="preserve"> cash basis with a two year rolling reporting period would meet the objectives, not require wholesale changes to </w:t>
      </w:r>
      <w:r w:rsidR="00E4373B">
        <w:rPr>
          <w:rFonts w:ascii="Arial" w:hAnsi="Arial"/>
          <w:color w:val="000000" w:themeColor="text1"/>
          <w:sz w:val="19"/>
          <w:szCs w:val="24"/>
          <w:lang w:val="en-US"/>
        </w:rPr>
        <w:t>a</w:t>
      </w:r>
      <w:r w:rsidRPr="00275651">
        <w:rPr>
          <w:rFonts w:ascii="Arial" w:hAnsi="Arial"/>
          <w:color w:val="000000" w:themeColor="text1"/>
          <w:sz w:val="19"/>
          <w:szCs w:val="24"/>
          <w:lang w:val="en-US"/>
        </w:rPr>
        <w:t xml:space="preserve"> regulation </w:t>
      </w:r>
      <w:r w:rsidR="00E4373B">
        <w:rPr>
          <w:rFonts w:ascii="Arial" w:hAnsi="Arial"/>
          <w:color w:val="000000" w:themeColor="text1"/>
          <w:sz w:val="19"/>
          <w:szCs w:val="24"/>
          <w:lang w:val="en-US"/>
        </w:rPr>
        <w:t>which is</w:t>
      </w:r>
      <w:r w:rsidRPr="00275651">
        <w:rPr>
          <w:rFonts w:ascii="Arial" w:hAnsi="Arial"/>
          <w:color w:val="000000" w:themeColor="text1"/>
          <w:sz w:val="19"/>
          <w:szCs w:val="24"/>
          <w:lang w:val="en-US"/>
        </w:rPr>
        <w:t xml:space="preserve"> currently clearly drafted, remove ambiguity and provide flexibility if activities span more than one reporting period;</w:t>
      </w:r>
    </w:p>
    <w:p w14:paraId="7FEE7486" w14:textId="2A8DEFBB" w:rsidR="00275651" w:rsidRDefault="00275651" w:rsidP="00275651">
      <w:pPr>
        <w:pStyle w:val="ListParagraph"/>
        <w:numPr>
          <w:ilvl w:val="0"/>
          <w:numId w:val="25"/>
        </w:numPr>
        <w:rPr>
          <w:rFonts w:ascii="Arial" w:hAnsi="Arial"/>
          <w:color w:val="000000" w:themeColor="text1"/>
          <w:sz w:val="19"/>
          <w:szCs w:val="24"/>
          <w:lang w:val="en-US"/>
        </w:rPr>
      </w:pPr>
      <w:r>
        <w:rPr>
          <w:rFonts w:ascii="Arial" w:hAnsi="Arial"/>
          <w:color w:val="000000" w:themeColor="text1"/>
          <w:sz w:val="19"/>
          <w:szCs w:val="24"/>
          <w:lang w:val="en-US"/>
        </w:rPr>
        <w:t xml:space="preserve">Using fees as published by the payment system to an issuer as the basis of calculating Issuer Payments will negate the need to define Core Services (which would require constant refresh to allow for innovation and may be open to </w:t>
      </w:r>
      <w:r w:rsidR="00E4373B">
        <w:rPr>
          <w:rFonts w:ascii="Arial" w:hAnsi="Arial"/>
          <w:color w:val="000000" w:themeColor="text1"/>
          <w:sz w:val="19"/>
          <w:szCs w:val="24"/>
          <w:lang w:val="en-US"/>
        </w:rPr>
        <w:t>misuse</w:t>
      </w:r>
      <w:r>
        <w:rPr>
          <w:rFonts w:ascii="Arial" w:hAnsi="Arial"/>
          <w:color w:val="000000" w:themeColor="text1"/>
          <w:sz w:val="19"/>
          <w:szCs w:val="24"/>
          <w:lang w:val="en-US"/>
        </w:rPr>
        <w:t>);</w:t>
      </w:r>
    </w:p>
    <w:p w14:paraId="2E6824C6" w14:textId="2ACE612E" w:rsidR="00275651" w:rsidRDefault="00FB1F61" w:rsidP="00275651">
      <w:pPr>
        <w:pStyle w:val="ListParagraph"/>
        <w:numPr>
          <w:ilvl w:val="0"/>
          <w:numId w:val="25"/>
        </w:numPr>
        <w:rPr>
          <w:rFonts w:ascii="Arial" w:hAnsi="Arial"/>
          <w:color w:val="000000" w:themeColor="text1"/>
          <w:sz w:val="19"/>
          <w:szCs w:val="24"/>
          <w:lang w:val="en-US"/>
        </w:rPr>
      </w:pPr>
      <w:r>
        <w:rPr>
          <w:rFonts w:ascii="Arial" w:hAnsi="Arial"/>
          <w:color w:val="000000" w:themeColor="text1"/>
          <w:sz w:val="19"/>
          <w:szCs w:val="24"/>
          <w:lang w:val="en-US"/>
        </w:rPr>
        <w:t>A</w:t>
      </w:r>
      <w:r w:rsidR="00275651">
        <w:rPr>
          <w:rFonts w:ascii="Arial" w:hAnsi="Arial"/>
          <w:color w:val="000000" w:themeColor="text1"/>
          <w:sz w:val="19"/>
          <w:szCs w:val="24"/>
          <w:lang w:val="en-US"/>
        </w:rPr>
        <w:t xml:space="preserve">ny reference to Issuer Payments should exclude foreign exchange fees </w:t>
      </w:r>
      <w:r w:rsidR="001A69A2">
        <w:rPr>
          <w:rFonts w:ascii="Arial" w:hAnsi="Arial"/>
          <w:color w:val="000000" w:themeColor="text1"/>
          <w:sz w:val="19"/>
          <w:szCs w:val="24"/>
          <w:lang w:val="en-US"/>
        </w:rPr>
        <w:t>and other global service offering</w:t>
      </w:r>
      <w:r>
        <w:rPr>
          <w:rFonts w:ascii="Arial" w:hAnsi="Arial"/>
          <w:color w:val="000000" w:themeColor="text1"/>
          <w:sz w:val="19"/>
          <w:szCs w:val="24"/>
          <w:lang w:val="en-US"/>
        </w:rPr>
        <w:t>s</w:t>
      </w:r>
      <w:r w:rsidR="001A69A2">
        <w:rPr>
          <w:rFonts w:ascii="Arial" w:hAnsi="Arial"/>
          <w:color w:val="000000" w:themeColor="text1"/>
          <w:sz w:val="19"/>
          <w:szCs w:val="24"/>
          <w:lang w:val="en-US"/>
        </w:rPr>
        <w:t xml:space="preserve"> </w:t>
      </w:r>
      <w:r w:rsidR="00275651">
        <w:rPr>
          <w:rFonts w:ascii="Arial" w:hAnsi="Arial"/>
          <w:color w:val="000000" w:themeColor="text1"/>
          <w:sz w:val="19"/>
          <w:szCs w:val="24"/>
          <w:lang w:val="en-US"/>
        </w:rPr>
        <w:t xml:space="preserve">as their inclusion </w:t>
      </w:r>
      <w:r w:rsidR="001A69A2">
        <w:rPr>
          <w:rFonts w:ascii="Arial" w:hAnsi="Arial"/>
          <w:color w:val="000000" w:themeColor="text1"/>
          <w:sz w:val="19"/>
          <w:szCs w:val="24"/>
          <w:lang w:val="en-US"/>
        </w:rPr>
        <w:t xml:space="preserve">provides an </w:t>
      </w:r>
      <w:r w:rsidR="001A69A2" w:rsidRPr="00FB1F61">
        <w:rPr>
          <w:rFonts w:ascii="Arial" w:hAnsi="Arial"/>
          <w:color w:val="000000" w:themeColor="text1"/>
          <w:sz w:val="19"/>
          <w:szCs w:val="24"/>
          <w:lang w:val="en-US"/>
        </w:rPr>
        <w:t xml:space="preserve">immediate competitive disadvantage to any payment system that does not provide those services.  Their inclusion </w:t>
      </w:r>
      <w:r w:rsidR="00275651" w:rsidRPr="00FB1F61">
        <w:rPr>
          <w:rFonts w:ascii="Arial" w:hAnsi="Arial"/>
          <w:color w:val="000000" w:themeColor="text1"/>
          <w:sz w:val="19"/>
          <w:szCs w:val="24"/>
          <w:lang w:val="en-US"/>
        </w:rPr>
        <w:t>would not meet the objective</w:t>
      </w:r>
      <w:r w:rsidR="00275651">
        <w:rPr>
          <w:rFonts w:ascii="Arial" w:hAnsi="Arial"/>
          <w:color w:val="000000" w:themeColor="text1"/>
          <w:sz w:val="19"/>
          <w:szCs w:val="24"/>
          <w:lang w:val="en-US"/>
        </w:rPr>
        <w:t xml:space="preserve"> of maintaining competition</w:t>
      </w:r>
      <w:r w:rsidR="001A69A2">
        <w:rPr>
          <w:rFonts w:ascii="Arial" w:hAnsi="Arial"/>
          <w:color w:val="000000" w:themeColor="text1"/>
          <w:sz w:val="19"/>
          <w:szCs w:val="24"/>
          <w:lang w:val="en-US"/>
        </w:rPr>
        <w:t>;</w:t>
      </w:r>
    </w:p>
    <w:p w14:paraId="6B10E536" w14:textId="130FEE56" w:rsidR="001A69A2" w:rsidRPr="00275651" w:rsidRDefault="00FB1F61" w:rsidP="00275651">
      <w:pPr>
        <w:pStyle w:val="ListParagraph"/>
        <w:numPr>
          <w:ilvl w:val="0"/>
          <w:numId w:val="25"/>
        </w:numPr>
        <w:rPr>
          <w:rFonts w:ascii="Arial" w:hAnsi="Arial"/>
          <w:color w:val="000000" w:themeColor="text1"/>
          <w:sz w:val="19"/>
          <w:szCs w:val="24"/>
          <w:lang w:val="en-US"/>
        </w:rPr>
      </w:pPr>
      <w:r>
        <w:rPr>
          <w:rFonts w:ascii="Arial" w:hAnsi="Arial"/>
          <w:color w:val="000000" w:themeColor="text1"/>
          <w:sz w:val="19"/>
          <w:szCs w:val="24"/>
          <w:lang w:val="en-US"/>
        </w:rPr>
        <w:t>The method of calculation of Supplemental Services is appropriate although payments of third party fees for goods and services should also be included.</w:t>
      </w:r>
    </w:p>
    <w:p w14:paraId="75501C2B" w14:textId="77777777" w:rsidR="0050507C" w:rsidRDefault="0050507C" w:rsidP="000D12B1"/>
    <w:p w14:paraId="07E1B127" w14:textId="1F16B691" w:rsidR="0050507C" w:rsidRPr="0050507C" w:rsidRDefault="0050507C" w:rsidP="000D12B1">
      <w:pPr>
        <w:rPr>
          <w:u w:val="single"/>
        </w:rPr>
      </w:pPr>
      <w:r w:rsidRPr="0050507C">
        <w:rPr>
          <w:u w:val="single"/>
        </w:rPr>
        <w:t>Rationale for and effect of Consultation</w:t>
      </w:r>
    </w:p>
    <w:p w14:paraId="1621866B" w14:textId="0EE53998" w:rsidR="00323485" w:rsidRDefault="000F5D68" w:rsidP="000D12B1">
      <w:r>
        <w:t xml:space="preserve">The </w:t>
      </w:r>
      <w:r w:rsidR="005B2CEB">
        <w:t xml:space="preserve">RBA </w:t>
      </w:r>
      <w:r>
        <w:t>issued the interchange standards in 2016, providing more than two years for designated payment systems and issuers to gain an understanding of the standard</w:t>
      </w:r>
      <w:r w:rsidR="0036475F">
        <w:t>, seek clarification of how it is to be applied</w:t>
      </w:r>
      <w:r>
        <w:t xml:space="preserve"> and put in place the </w:t>
      </w:r>
      <w:r w:rsidR="0036475F">
        <w:t xml:space="preserve">recording, </w:t>
      </w:r>
      <w:r>
        <w:t xml:space="preserve">accounting and reporting mechanisms to enable compliance with the standard. This Consultation comes after the first reporting period and despite clarifications provided by the </w:t>
      </w:r>
      <w:r w:rsidR="005B2CEB">
        <w:t xml:space="preserve">RBA </w:t>
      </w:r>
      <w:r>
        <w:t xml:space="preserve">to various participants before the reporting period. The current standard is clear in its use of language, specifically </w:t>
      </w:r>
      <w:r w:rsidR="0036475F">
        <w:t xml:space="preserve">references to issuer receipts </w:t>
      </w:r>
      <w:r>
        <w:t>“paid” rather than “payable”</w:t>
      </w:r>
      <w:r w:rsidR="0036475F">
        <w:t>.  Therefore, it has to be assumed that this Consultation is</w:t>
      </w:r>
      <w:r>
        <w:t xml:space="preserve"> in response to misapplication of the standard by some participants</w:t>
      </w:r>
      <w:r w:rsidR="0036475F">
        <w:t xml:space="preserve"> in their certifications or suggestions that the standard has not been complied with because of some ambiguity of language</w:t>
      </w:r>
      <w:r>
        <w:t xml:space="preserve">.  This begs the question of why that misapplication </w:t>
      </w:r>
      <w:r w:rsidR="00E4373B">
        <w:t>occurred</w:t>
      </w:r>
      <w:r w:rsidR="0036475F">
        <w:t xml:space="preserve"> or why further clarification </w:t>
      </w:r>
      <w:r w:rsidR="00A929F5">
        <w:t>is now sought. P</w:t>
      </w:r>
      <w:r>
        <w:t xml:space="preserve">resumably </w:t>
      </w:r>
      <w:r w:rsidR="00A929F5">
        <w:t xml:space="preserve">that is </w:t>
      </w:r>
      <w:r>
        <w:t xml:space="preserve">in relation to incentives paid within the </w:t>
      </w:r>
      <w:r w:rsidR="0036475F">
        <w:t xml:space="preserve">reporting </w:t>
      </w:r>
      <w:r>
        <w:t xml:space="preserve">period that did not meet the cash accounting basis of the current standard.  As such, eftpos queries </w:t>
      </w:r>
      <w:r w:rsidR="00E4373B">
        <w:t xml:space="preserve">(1) </w:t>
      </w:r>
      <w:r w:rsidR="0036475F">
        <w:t xml:space="preserve">the need to change the standard </w:t>
      </w:r>
      <w:r w:rsidR="00C4261B">
        <w:t xml:space="preserve">now, </w:t>
      </w:r>
      <w:r w:rsidR="00E4373B">
        <w:t xml:space="preserve">(2) </w:t>
      </w:r>
      <w:r>
        <w:t xml:space="preserve">what action has been taken to enforce the current standard </w:t>
      </w:r>
      <w:r w:rsidR="00C4261B">
        <w:t>and</w:t>
      </w:r>
      <w:r>
        <w:t xml:space="preserve"> </w:t>
      </w:r>
      <w:r w:rsidR="00E4373B">
        <w:t xml:space="preserve">(3) </w:t>
      </w:r>
      <w:r>
        <w:t xml:space="preserve">why no enforcement provisions or clarity of the impact of non-compliance has been added to the new standard.  </w:t>
      </w:r>
      <w:r w:rsidR="00147D34">
        <w:t>eftpos submits that enforcement procedures and consequences should be added to the standard.</w:t>
      </w:r>
    </w:p>
    <w:p w14:paraId="7202910F" w14:textId="6783E190" w:rsidR="00671803" w:rsidRDefault="00671803" w:rsidP="000D12B1"/>
    <w:p w14:paraId="54A113C2" w14:textId="77777777" w:rsidR="00323485" w:rsidRDefault="00323485" w:rsidP="000D12B1"/>
    <w:p w14:paraId="280EC0D9" w14:textId="4AB12CF0" w:rsidR="0050507C" w:rsidRPr="0050507C" w:rsidRDefault="00B923F5" w:rsidP="000D12B1">
      <w:pPr>
        <w:rPr>
          <w:u w:val="single"/>
        </w:rPr>
      </w:pPr>
      <w:r w:rsidRPr="006579D3">
        <w:rPr>
          <w:u w:val="single"/>
        </w:rPr>
        <w:lastRenderedPageBreak/>
        <w:t>Proposal 1: Cash or accruals</w:t>
      </w:r>
      <w:r>
        <w:rPr>
          <w:u w:val="single"/>
        </w:rPr>
        <w:t xml:space="preserve"> basis</w:t>
      </w:r>
    </w:p>
    <w:p w14:paraId="312899E9" w14:textId="39325A72" w:rsidR="00B923F5" w:rsidRDefault="00B923F5" w:rsidP="000D12B1">
      <w:r>
        <w:t>eftpos agrees that a cash basis is the most simple and straight forward basis for the application of the standard, perhaps with some flexibility in respect of multi-year agreements</w:t>
      </w:r>
      <w:r w:rsidR="008F2D61">
        <w:t>.  If the calculation remained a cash basis but the reporting period was a rolling two year period</w:t>
      </w:r>
      <w:r>
        <w:t xml:space="preserve">, </w:t>
      </w:r>
      <w:r w:rsidR="008F2D61">
        <w:t xml:space="preserve">albeit that </w:t>
      </w:r>
      <w:r w:rsidR="00683C53">
        <w:t>Issuer Receipts</w:t>
      </w:r>
      <w:r w:rsidR="008F2D61">
        <w:t xml:space="preserve"> should</w:t>
      </w:r>
      <w:r>
        <w:t xml:space="preserve"> always be less than </w:t>
      </w:r>
      <w:r w:rsidR="00683C53">
        <w:t>Issuer Payments</w:t>
      </w:r>
      <w:r>
        <w:t xml:space="preserve"> for the relevant </w:t>
      </w:r>
      <w:r w:rsidR="008F2D61">
        <w:t xml:space="preserve">reporting </w:t>
      </w:r>
      <w:proofErr w:type="gramStart"/>
      <w:r>
        <w:t>period</w:t>
      </w:r>
      <w:r w:rsidR="008F2D61">
        <w:t>, that</w:t>
      </w:r>
      <w:proofErr w:type="gramEnd"/>
      <w:r w:rsidR="008F2D61">
        <w:t xml:space="preserve"> would meet both objectives</w:t>
      </w:r>
      <w:r w:rsidR="00430076">
        <w:t xml:space="preserve"> and the intention of the regulation</w:t>
      </w:r>
      <w:r>
        <w:t>.</w:t>
      </w:r>
    </w:p>
    <w:p w14:paraId="49D45953" w14:textId="77777777" w:rsidR="00B923F5" w:rsidRDefault="00B923F5" w:rsidP="000D12B1"/>
    <w:p w14:paraId="779CCD76" w14:textId="064E5A8A" w:rsidR="00EF0911" w:rsidRDefault="0050507C" w:rsidP="000D12B1">
      <w:r>
        <w:t>Reference is made on page 3 of the Consultation to the cash accounting basis being the most simple and straight forward to apply</w:t>
      </w:r>
      <w:r w:rsidR="004F7E73">
        <w:t>,</w:t>
      </w:r>
      <w:r>
        <w:t xml:space="preserve"> with one exception relating to clause 5.2(e) said to be in respect of upfront payments which apply to more than one reporting period. </w:t>
      </w:r>
      <w:r w:rsidR="00EF0911">
        <w:t xml:space="preserve">The current and any new standard should be applied to all payments under existing and new agreements with participants required to comply with the current standard, </w:t>
      </w:r>
      <w:r w:rsidR="00ED206B">
        <w:t xml:space="preserve">with enforcement applying </w:t>
      </w:r>
      <w:r w:rsidR="00EF0911">
        <w:t xml:space="preserve">even if </w:t>
      </w:r>
      <w:r w:rsidR="00ED206B">
        <w:t xml:space="preserve">the payments have </w:t>
      </w:r>
      <w:r w:rsidR="00EF0911">
        <w:t xml:space="preserve">already </w:t>
      </w:r>
      <w:r w:rsidR="00ED206B">
        <w:t xml:space="preserve">been </w:t>
      </w:r>
      <w:r w:rsidR="00EF0911">
        <w:t>made.</w:t>
      </w:r>
    </w:p>
    <w:p w14:paraId="1F9D1AA4" w14:textId="77777777" w:rsidR="00EF0911" w:rsidRDefault="00EF0911" w:rsidP="000D12B1"/>
    <w:p w14:paraId="0CD3AECE" w14:textId="0FE9479A" w:rsidR="00CE6D8B" w:rsidRDefault="004F7E73" w:rsidP="000D12B1">
      <w:r>
        <w:t>I</w:t>
      </w:r>
      <w:r w:rsidR="0050507C">
        <w:t xml:space="preserve">t should </w:t>
      </w:r>
      <w:r>
        <w:t xml:space="preserve">also </w:t>
      </w:r>
      <w:r w:rsidR="0050507C">
        <w:t xml:space="preserve">be </w:t>
      </w:r>
      <w:proofErr w:type="spellStart"/>
      <w:r w:rsidR="0050507C">
        <w:t>recogni</w:t>
      </w:r>
      <w:r w:rsidR="0090337A">
        <w:t>s</w:t>
      </w:r>
      <w:r w:rsidR="0050507C">
        <w:t>ed</w:t>
      </w:r>
      <w:proofErr w:type="spellEnd"/>
      <w:r w:rsidR="0050507C">
        <w:t xml:space="preserve"> that clause 5.2(e) is likely to apply to any agreement between both </w:t>
      </w:r>
      <w:r w:rsidR="007C7212">
        <w:t xml:space="preserve">the international card schemes (ICS) </w:t>
      </w:r>
      <w:r w:rsidR="0050507C">
        <w:t xml:space="preserve">and issuers that have financial years that differ from the period from 1 July to 30 June.  An accruals basis supports long term incentive agreements that apply </w:t>
      </w:r>
      <w:r w:rsidR="0090337A">
        <w:t xml:space="preserve">to entities that have different financial years as it allows allocation of payments to be aligned to those financial years and allocated </w:t>
      </w:r>
      <w:r w:rsidR="0050507C">
        <w:t>across reporting periods</w:t>
      </w:r>
      <w:r w:rsidR="00C22E2A">
        <w:t>,</w:t>
      </w:r>
      <w:r w:rsidR="0050507C">
        <w:t xml:space="preserve"> </w:t>
      </w:r>
      <w:proofErr w:type="spellStart"/>
      <w:r w:rsidR="0090337A">
        <w:t>ie</w:t>
      </w:r>
      <w:proofErr w:type="spellEnd"/>
      <w:r w:rsidR="0050507C">
        <w:t xml:space="preserve"> </w:t>
      </w:r>
      <w:r w:rsidR="002744FB">
        <w:t>Issuer Receipts</w:t>
      </w:r>
      <w:r w:rsidR="0050507C">
        <w:t xml:space="preserve"> </w:t>
      </w:r>
      <w:r w:rsidR="0090337A">
        <w:t>can</w:t>
      </w:r>
      <w:r w:rsidR="0050507C">
        <w:t xml:space="preserve"> be manipulated to ensure compliance</w:t>
      </w:r>
      <w:r w:rsidR="0033267E">
        <w:t xml:space="preserve"> based on agreed adjustments to </w:t>
      </w:r>
      <w:r w:rsidR="0090337A">
        <w:t>receipts and payments</w:t>
      </w:r>
      <w:r w:rsidR="00C22E2A">
        <w:t xml:space="preserve"> timings</w:t>
      </w:r>
      <w:r w:rsidR="0050507C">
        <w:t>.</w:t>
      </w:r>
      <w:r w:rsidR="0090337A">
        <w:t xml:space="preserve">  </w:t>
      </w:r>
      <w:r w:rsidR="00B923F5">
        <w:t>Some participants, eftpos being one, have financial years aligned to the reporting period within the standard.</w:t>
      </w:r>
      <w:r w:rsidR="00D46ABA">
        <w:t xml:space="preserve">  </w:t>
      </w:r>
      <w:r w:rsidR="00C44353">
        <w:t>This is why eftpos proposes a two year rolling reporting period.</w:t>
      </w:r>
    </w:p>
    <w:p w14:paraId="1CF4DA3B" w14:textId="3B411104" w:rsidR="00CE6D8B" w:rsidRDefault="00CE6D8B" w:rsidP="000D12B1"/>
    <w:p w14:paraId="787A93D7" w14:textId="549BE067" w:rsidR="006224EA" w:rsidRDefault="006224EA" w:rsidP="000D12B1">
      <w:pPr>
        <w:rPr>
          <w:u w:val="single"/>
        </w:rPr>
      </w:pPr>
      <w:r>
        <w:rPr>
          <w:u w:val="single"/>
        </w:rPr>
        <w:t>Proposal 2: Definitions of Issuer Receipts and Issuer Payments</w:t>
      </w:r>
    </w:p>
    <w:p w14:paraId="251D97BC" w14:textId="5262C8F0" w:rsidR="002744FB" w:rsidRDefault="002744FB" w:rsidP="002744FB">
      <w:pPr>
        <w:spacing w:line="240" w:lineRule="auto"/>
      </w:pPr>
      <w:r>
        <w:rPr>
          <w:rFonts w:eastAsia="Times New Roman"/>
        </w:rPr>
        <w:t xml:space="preserve">The Consultation sets out the rationale for regulating net compensation to Issuers, </w:t>
      </w:r>
      <w:r w:rsidR="009D5166">
        <w:rPr>
          <w:rFonts w:eastAsia="Times New Roman"/>
        </w:rPr>
        <w:t>that is</w:t>
      </w:r>
      <w:r w:rsidR="003C02A0">
        <w:rPr>
          <w:rFonts w:eastAsia="Times New Roman"/>
        </w:rPr>
        <w:t>,</w:t>
      </w:r>
      <w:r w:rsidR="009D5166">
        <w:rPr>
          <w:rFonts w:eastAsia="Times New Roman"/>
        </w:rPr>
        <w:t xml:space="preserve"> to ensure that fees compensation to Issuers cannot be used to circumvent interchange regulation given that compensation has the same value flow effect as interchange </w:t>
      </w:r>
      <w:r>
        <w:rPr>
          <w:rFonts w:eastAsia="Times New Roman"/>
        </w:rPr>
        <w:t xml:space="preserve">and is subject to the same upwards pressure as interchange. </w:t>
      </w:r>
      <w:r w:rsidR="009D5166">
        <w:rPr>
          <w:rFonts w:eastAsia="Times New Roman"/>
        </w:rPr>
        <w:t>e</w:t>
      </w:r>
      <w:r>
        <w:rPr>
          <w:rFonts w:eastAsia="Times New Roman"/>
        </w:rPr>
        <w:t xml:space="preserve">ftpos submits that </w:t>
      </w:r>
      <w:r w:rsidR="00B91148">
        <w:rPr>
          <w:rFonts w:eastAsia="Times New Roman"/>
        </w:rPr>
        <w:t xml:space="preserve">net compensation rules should apply to all </w:t>
      </w:r>
      <w:r>
        <w:rPr>
          <w:rFonts w:eastAsia="Times New Roman"/>
        </w:rPr>
        <w:t xml:space="preserve">payments </w:t>
      </w:r>
      <w:r w:rsidR="00B91148">
        <w:rPr>
          <w:rFonts w:eastAsia="Times New Roman"/>
        </w:rPr>
        <w:t xml:space="preserve">across the ecosystem, including </w:t>
      </w:r>
      <w:r w:rsidR="0078561F">
        <w:rPr>
          <w:rFonts w:eastAsia="Times New Roman"/>
        </w:rPr>
        <w:t xml:space="preserve">but not limited </w:t>
      </w:r>
      <w:r>
        <w:rPr>
          <w:rFonts w:eastAsia="Times New Roman"/>
        </w:rPr>
        <w:t xml:space="preserve">to Acquirers and </w:t>
      </w:r>
      <w:r w:rsidR="009D5166">
        <w:rPr>
          <w:rFonts w:eastAsia="Times New Roman"/>
        </w:rPr>
        <w:t>M</w:t>
      </w:r>
      <w:r>
        <w:rPr>
          <w:rFonts w:eastAsia="Times New Roman"/>
        </w:rPr>
        <w:t>erchants</w:t>
      </w:r>
      <w:r w:rsidR="00C22E2A">
        <w:rPr>
          <w:rFonts w:eastAsia="Times New Roman"/>
        </w:rPr>
        <w:t>,</w:t>
      </w:r>
      <w:r w:rsidR="00B91148">
        <w:rPr>
          <w:rFonts w:eastAsia="Times New Roman"/>
        </w:rPr>
        <w:t xml:space="preserve"> as they have</w:t>
      </w:r>
      <w:r w:rsidR="009D5166">
        <w:rPr>
          <w:rFonts w:eastAsia="Times New Roman"/>
        </w:rPr>
        <w:t xml:space="preserve"> the effect of masking the</w:t>
      </w:r>
      <w:r>
        <w:t xml:space="preserve"> impact of </w:t>
      </w:r>
      <w:r w:rsidR="009D5166">
        <w:t xml:space="preserve">the </w:t>
      </w:r>
      <w:r>
        <w:t>lack of price competition</w:t>
      </w:r>
      <w:r w:rsidR="000B2498">
        <w:t>,</w:t>
      </w:r>
      <w:r w:rsidR="009D5166">
        <w:t xml:space="preserve"> </w:t>
      </w:r>
      <w:r w:rsidR="00B91148">
        <w:t xml:space="preserve">to avoid cross </w:t>
      </w:r>
      <w:proofErr w:type="spellStart"/>
      <w:r w:rsidR="00B91148">
        <w:t>subsidisation</w:t>
      </w:r>
      <w:proofErr w:type="spellEnd"/>
      <w:r w:rsidR="00B91148">
        <w:t xml:space="preserve"> </w:t>
      </w:r>
      <w:r w:rsidR="003C02A0">
        <w:t xml:space="preserve">by payment systems </w:t>
      </w:r>
      <w:r w:rsidR="00A8074D">
        <w:t xml:space="preserve">between Acquirers and Issuers and </w:t>
      </w:r>
      <w:r w:rsidR="00B91148">
        <w:t>between tiers of merchants</w:t>
      </w:r>
      <w:r>
        <w:t>.</w:t>
      </w:r>
    </w:p>
    <w:p w14:paraId="7B52CB8E" w14:textId="77777777" w:rsidR="002744FB" w:rsidRDefault="002744FB" w:rsidP="002744FB"/>
    <w:p w14:paraId="0D0DBAF0" w14:textId="348AF015" w:rsidR="002744FB" w:rsidRDefault="00B91148" w:rsidP="00B91148">
      <w:pPr>
        <w:ind w:right="56"/>
        <w:rPr>
          <w:rFonts w:eastAsia="Times New Roman"/>
        </w:rPr>
      </w:pPr>
      <w:r w:rsidRPr="00B91148">
        <w:rPr>
          <w:rFonts w:eastAsia="Times New Roman"/>
        </w:rPr>
        <w:t xml:space="preserve">Net </w:t>
      </w:r>
      <w:r w:rsidR="002744FB" w:rsidRPr="00B91148">
        <w:rPr>
          <w:rFonts w:eastAsia="Times New Roman"/>
        </w:rPr>
        <w:t>fees that are or approach zero have the same effect as interchange</w:t>
      </w:r>
      <w:r>
        <w:rPr>
          <w:rFonts w:eastAsia="Times New Roman"/>
        </w:rPr>
        <w:t>. A</w:t>
      </w:r>
      <w:r w:rsidR="002744FB" w:rsidRPr="00B91148">
        <w:rPr>
          <w:rFonts w:eastAsia="Times New Roman"/>
        </w:rPr>
        <w:t xml:space="preserve"> lack of transparency of fees for merchants impedes competition</w:t>
      </w:r>
      <w:r w:rsidR="005A743A">
        <w:rPr>
          <w:rFonts w:eastAsia="Times New Roman"/>
        </w:rPr>
        <w:t>.</w:t>
      </w:r>
      <w:r w:rsidR="002744FB" w:rsidRPr="00B91148">
        <w:rPr>
          <w:rFonts w:eastAsia="Times New Roman"/>
        </w:rPr>
        <w:t xml:space="preserve"> Pricing behaviours which have the effect of encouraging bundling and blending of rates and which render price differentiation obsolete can also have a negative effect on competition and efficiency in payments, for example, overly complex pricing, lack of transparency in pricing</w:t>
      </w:r>
      <w:r w:rsidR="005A743A">
        <w:rPr>
          <w:rFonts w:eastAsia="Times New Roman"/>
        </w:rPr>
        <w:t xml:space="preserve">. </w:t>
      </w:r>
      <w:r w:rsidR="002744FB" w:rsidRPr="00B91148">
        <w:rPr>
          <w:rFonts w:eastAsia="Times New Roman"/>
        </w:rPr>
        <w:t xml:space="preserve">Each of those methods has the effect of removing any point of price differentiation and obscures the price signals that could improve efficiency and competition in payments.  </w:t>
      </w:r>
    </w:p>
    <w:p w14:paraId="51293550" w14:textId="34EF162E" w:rsidR="00A8074D" w:rsidRDefault="00A8074D" w:rsidP="00B91148">
      <w:pPr>
        <w:ind w:right="56"/>
        <w:rPr>
          <w:rFonts w:eastAsia="Times New Roman"/>
        </w:rPr>
      </w:pPr>
    </w:p>
    <w:p w14:paraId="5332AD90" w14:textId="28BF02F9" w:rsidR="00A8074D" w:rsidRDefault="00A8074D" w:rsidP="00B91148">
      <w:pPr>
        <w:ind w:right="56"/>
        <w:rPr>
          <w:rFonts w:eastAsia="Times New Roman"/>
        </w:rPr>
      </w:pPr>
      <w:r>
        <w:rPr>
          <w:rFonts w:eastAsia="Times New Roman"/>
        </w:rPr>
        <w:t>eftpos agrees that Issuer Receipts should not exceed Issuer Payments in the relevant reporting period</w:t>
      </w:r>
      <w:r w:rsidR="00C57035">
        <w:rPr>
          <w:rFonts w:eastAsia="Times New Roman"/>
        </w:rPr>
        <w:t xml:space="preserve"> and that all Issuer Receipts of any kind or value should be included in the scope of the regulation</w:t>
      </w:r>
      <w:r w:rsidRPr="001C0F66">
        <w:rPr>
          <w:rFonts w:eastAsia="Times New Roman"/>
        </w:rPr>
        <w:t>.</w:t>
      </w:r>
      <w:r w:rsidR="00C57035" w:rsidRPr="001C0F66">
        <w:rPr>
          <w:rFonts w:eastAsia="Times New Roman"/>
        </w:rPr>
        <w:t xml:space="preserve">  Definitions allow scope for circumvention, so should be avoided in regulation that is intended to be all encompassing.</w:t>
      </w:r>
      <w:r w:rsidR="00256281" w:rsidRPr="001C0F66">
        <w:rPr>
          <w:rFonts w:eastAsia="Times New Roman"/>
        </w:rPr>
        <w:t xml:space="preserve">  If a definition is required, then eftpos suggests that the definition be to any</w:t>
      </w:r>
      <w:r w:rsidR="00256281">
        <w:rPr>
          <w:rFonts w:eastAsia="Times New Roman"/>
        </w:rPr>
        <w:t xml:space="preserve"> scheduled fees as published by the relevant payment system from time to time </w:t>
      </w:r>
      <w:r w:rsidR="00E608CD">
        <w:rPr>
          <w:rFonts w:eastAsia="Times New Roman"/>
        </w:rPr>
        <w:t xml:space="preserve">to its Issuers (whether globally or not given that country specific fees are possible depending on the maturity of innovations and appetite of Issuers in the market) </w:t>
      </w:r>
      <w:r w:rsidR="00256281">
        <w:rPr>
          <w:rFonts w:eastAsia="Times New Roman"/>
        </w:rPr>
        <w:t xml:space="preserve">with a disclosure requirement to the </w:t>
      </w:r>
      <w:r w:rsidR="00E608CD">
        <w:rPr>
          <w:rFonts w:eastAsia="Times New Roman"/>
        </w:rPr>
        <w:t>RBA</w:t>
      </w:r>
      <w:r w:rsidR="00256281">
        <w:rPr>
          <w:rFonts w:eastAsia="Times New Roman"/>
        </w:rPr>
        <w:t xml:space="preserve"> of </w:t>
      </w:r>
      <w:r w:rsidR="00E608CD">
        <w:rPr>
          <w:rFonts w:eastAsia="Times New Roman"/>
        </w:rPr>
        <w:t>all</w:t>
      </w:r>
      <w:r w:rsidR="00256281">
        <w:rPr>
          <w:rFonts w:eastAsia="Times New Roman"/>
        </w:rPr>
        <w:t xml:space="preserve"> fees </w:t>
      </w:r>
      <w:r w:rsidR="00E608CD">
        <w:rPr>
          <w:rFonts w:eastAsia="Times New Roman"/>
        </w:rPr>
        <w:t xml:space="preserve">that applied to Issuers during the reporting period at the time of </w:t>
      </w:r>
      <w:r w:rsidR="00256281">
        <w:rPr>
          <w:rFonts w:eastAsia="Times New Roman"/>
        </w:rPr>
        <w:t xml:space="preserve">certification. </w:t>
      </w:r>
      <w:r w:rsidR="009C412C">
        <w:rPr>
          <w:rFonts w:eastAsia="Times New Roman"/>
        </w:rPr>
        <w:t>Such a definition would provide an ability for the RBA to verify the certification.</w:t>
      </w:r>
      <w:r w:rsidR="00256281">
        <w:rPr>
          <w:rFonts w:eastAsia="Times New Roman"/>
        </w:rPr>
        <w:t xml:space="preserve"> The calculation method of fair value of Supplemental Services would then be valid</w:t>
      </w:r>
      <w:r w:rsidR="004926BF">
        <w:rPr>
          <w:rFonts w:eastAsia="Times New Roman"/>
        </w:rPr>
        <w:t xml:space="preserve"> to be applied to any services that are provided at discounted </w:t>
      </w:r>
      <w:r w:rsidR="008860AC">
        <w:rPr>
          <w:rFonts w:eastAsia="Times New Roman"/>
        </w:rPr>
        <w:t>fees</w:t>
      </w:r>
      <w:r w:rsidR="00E608CD">
        <w:rPr>
          <w:rFonts w:eastAsia="Times New Roman"/>
        </w:rPr>
        <w:t>, unpublished fees</w:t>
      </w:r>
      <w:r w:rsidR="004926BF">
        <w:rPr>
          <w:rFonts w:eastAsia="Times New Roman"/>
        </w:rPr>
        <w:t xml:space="preserve"> or for no consideration</w:t>
      </w:r>
      <w:r w:rsidR="00256281">
        <w:rPr>
          <w:rFonts w:eastAsia="Times New Roman"/>
        </w:rPr>
        <w:t>.</w:t>
      </w:r>
    </w:p>
    <w:p w14:paraId="5B220DA0" w14:textId="7BF495B9" w:rsidR="004F2285" w:rsidRDefault="004F2285" w:rsidP="00B91148">
      <w:pPr>
        <w:ind w:right="56"/>
        <w:rPr>
          <w:rFonts w:eastAsia="Times New Roman"/>
        </w:rPr>
      </w:pPr>
    </w:p>
    <w:p w14:paraId="7120E772" w14:textId="44CFA78E" w:rsidR="004F2285" w:rsidRDefault="004F2285" w:rsidP="00B91148">
      <w:pPr>
        <w:ind w:right="56"/>
        <w:rPr>
          <w:rFonts w:eastAsia="Times New Roman"/>
        </w:rPr>
      </w:pPr>
      <w:r w:rsidRPr="006579D3">
        <w:rPr>
          <w:rFonts w:eastAsia="Times New Roman"/>
        </w:rPr>
        <w:t>In any event, clarification should be provided about the scope of the Incentive Test.  For example, are fixed infrastructure charges that apply to connection to infrastructure necessary for processing of transactions generated from usage of Cards included within the Incentive Test?</w:t>
      </w:r>
    </w:p>
    <w:p w14:paraId="79B61E89" w14:textId="5ABE62E2" w:rsidR="008203E3" w:rsidRDefault="008203E3" w:rsidP="00B91148">
      <w:pPr>
        <w:ind w:right="56"/>
        <w:rPr>
          <w:rFonts w:eastAsia="Times New Roman"/>
        </w:rPr>
      </w:pPr>
    </w:p>
    <w:p w14:paraId="5F76C511" w14:textId="60FE108A" w:rsidR="008203E3" w:rsidRDefault="008203E3" w:rsidP="00B91148">
      <w:pPr>
        <w:ind w:right="56"/>
        <w:rPr>
          <w:rFonts w:eastAsia="Times New Roman"/>
        </w:rPr>
      </w:pPr>
      <w:r>
        <w:rPr>
          <w:rFonts w:eastAsia="Times New Roman"/>
        </w:rPr>
        <w:t xml:space="preserve">If the RBA is minded to persist with </w:t>
      </w:r>
      <w:r w:rsidR="005B2CEB">
        <w:rPr>
          <w:rFonts w:eastAsia="Times New Roman"/>
        </w:rPr>
        <w:t xml:space="preserve">adding </w:t>
      </w:r>
      <w:r>
        <w:rPr>
          <w:rFonts w:eastAsia="Times New Roman"/>
        </w:rPr>
        <w:t>a definition of Core Services</w:t>
      </w:r>
      <w:r w:rsidR="005B2CEB">
        <w:rPr>
          <w:rFonts w:eastAsia="Times New Roman"/>
        </w:rPr>
        <w:t>,</w:t>
      </w:r>
      <w:r>
        <w:rPr>
          <w:rFonts w:eastAsia="Times New Roman"/>
        </w:rPr>
        <w:t xml:space="preserve"> then the following are examples of the nature of services which would be considered to be core to the function of a payment system as it operates within Australia</w:t>
      </w:r>
      <w:r w:rsidR="005B2CEB">
        <w:rPr>
          <w:rFonts w:eastAsia="Times New Roman"/>
        </w:rPr>
        <w:t xml:space="preserve"> </w:t>
      </w:r>
      <w:r>
        <w:rPr>
          <w:rFonts w:eastAsia="Times New Roman"/>
        </w:rPr>
        <w:t xml:space="preserve">– fees for card issuance or </w:t>
      </w:r>
      <w:r w:rsidRPr="00683C53">
        <w:rPr>
          <w:rFonts w:eastAsia="Times New Roman"/>
        </w:rPr>
        <w:t>acceptance</w:t>
      </w:r>
      <w:r>
        <w:rPr>
          <w:rFonts w:eastAsia="Times New Roman"/>
        </w:rPr>
        <w:t>;</w:t>
      </w:r>
      <w:r w:rsidRPr="00683C53">
        <w:rPr>
          <w:rFonts w:eastAsia="Times New Roman"/>
        </w:rPr>
        <w:t xml:space="preserve"> </w:t>
      </w:r>
      <w:r>
        <w:rPr>
          <w:rFonts w:eastAsia="Times New Roman"/>
        </w:rPr>
        <w:t xml:space="preserve">connection to </w:t>
      </w:r>
      <w:r w:rsidRPr="00683C53">
        <w:rPr>
          <w:rFonts w:eastAsia="Times New Roman"/>
        </w:rPr>
        <w:t>network</w:t>
      </w:r>
      <w:r w:rsidR="003C68CC">
        <w:rPr>
          <w:rFonts w:eastAsia="Times New Roman"/>
        </w:rPr>
        <w:t xml:space="preserve"> for processing, tokenization and detokenization</w:t>
      </w:r>
      <w:r w:rsidRPr="00683C53">
        <w:rPr>
          <w:rFonts w:eastAsia="Times New Roman"/>
        </w:rPr>
        <w:t>, IP rights of use</w:t>
      </w:r>
      <w:r>
        <w:rPr>
          <w:rFonts w:eastAsia="Times New Roman"/>
        </w:rPr>
        <w:t xml:space="preserve"> (trademarks</w:t>
      </w:r>
      <w:r w:rsidRPr="00683C53">
        <w:rPr>
          <w:rFonts w:eastAsia="Times New Roman"/>
        </w:rPr>
        <w:t>, BINs, tokens</w:t>
      </w:r>
      <w:r>
        <w:rPr>
          <w:rFonts w:eastAsia="Times New Roman"/>
        </w:rPr>
        <w:t>,</w:t>
      </w:r>
      <w:r w:rsidRPr="00683C53">
        <w:rPr>
          <w:rFonts w:eastAsia="Times New Roman"/>
        </w:rPr>
        <w:t xml:space="preserve"> card specs</w:t>
      </w:r>
      <w:r>
        <w:rPr>
          <w:rFonts w:eastAsia="Times New Roman"/>
        </w:rPr>
        <w:t>, terminal specs)</w:t>
      </w:r>
      <w:r w:rsidRPr="00683C53">
        <w:rPr>
          <w:rFonts w:eastAsia="Times New Roman"/>
        </w:rPr>
        <w:t>, testing</w:t>
      </w:r>
      <w:r>
        <w:rPr>
          <w:rFonts w:eastAsia="Times New Roman"/>
        </w:rPr>
        <w:t xml:space="preserve"> and</w:t>
      </w:r>
      <w:r w:rsidRPr="00683C53">
        <w:rPr>
          <w:rFonts w:eastAsia="Times New Roman"/>
        </w:rPr>
        <w:t xml:space="preserve"> cert</w:t>
      </w:r>
      <w:r w:rsidR="003C68CC">
        <w:rPr>
          <w:rFonts w:eastAsia="Times New Roman"/>
        </w:rPr>
        <w:t>ification</w:t>
      </w:r>
      <w:r w:rsidRPr="00683C53">
        <w:rPr>
          <w:rFonts w:eastAsia="Times New Roman"/>
        </w:rPr>
        <w:t xml:space="preserve">, processing, </w:t>
      </w:r>
      <w:r w:rsidR="003C68CC">
        <w:rPr>
          <w:rFonts w:eastAsia="Times New Roman"/>
        </w:rPr>
        <w:t xml:space="preserve">reconciliation and </w:t>
      </w:r>
      <w:r w:rsidRPr="00683C53">
        <w:rPr>
          <w:rFonts w:eastAsia="Times New Roman"/>
        </w:rPr>
        <w:t>settlement</w:t>
      </w:r>
      <w:r w:rsidR="005B2CEB">
        <w:rPr>
          <w:rFonts w:eastAsia="Times New Roman"/>
        </w:rPr>
        <w:t xml:space="preserve"> and</w:t>
      </w:r>
      <w:r w:rsidRPr="00683C53">
        <w:rPr>
          <w:rFonts w:eastAsia="Times New Roman"/>
        </w:rPr>
        <w:t xml:space="preserve"> disputes and chargebacks</w:t>
      </w:r>
      <w:r w:rsidR="003C68CC">
        <w:rPr>
          <w:rFonts w:eastAsia="Times New Roman"/>
        </w:rPr>
        <w:t xml:space="preserve">.  Care would be needed to ensure that any definition kept pace with changes to form factors, channels, technology and infrastructure, </w:t>
      </w:r>
      <w:r w:rsidR="003C68CC">
        <w:rPr>
          <w:rFonts w:eastAsia="Times New Roman"/>
        </w:rPr>
        <w:lastRenderedPageBreak/>
        <w:t>rather than requiring update in arrears of any innovation.</w:t>
      </w:r>
      <w:r w:rsidR="00AF1F7C">
        <w:rPr>
          <w:rFonts w:eastAsia="Times New Roman"/>
        </w:rPr>
        <w:t xml:space="preserve"> </w:t>
      </w:r>
      <w:r w:rsidR="005B2CEB">
        <w:rPr>
          <w:rFonts w:eastAsia="Times New Roman"/>
        </w:rPr>
        <w:t xml:space="preserve">In any event, eftpos does not support the definition including any reference </w:t>
      </w:r>
      <w:r w:rsidR="005B2CEB" w:rsidRPr="005B2CEB">
        <w:rPr>
          <w:rFonts w:eastAsia="Times New Roman"/>
        </w:rPr>
        <w:t xml:space="preserve">to </w:t>
      </w:r>
      <w:r w:rsidR="00AF1F7C" w:rsidRPr="005B2CEB">
        <w:rPr>
          <w:rFonts w:eastAsia="Times New Roman"/>
        </w:rPr>
        <w:t>a “global” offering</w:t>
      </w:r>
      <w:r w:rsidR="005B2CEB" w:rsidRPr="005B2CEB">
        <w:rPr>
          <w:rFonts w:eastAsia="Times New Roman"/>
        </w:rPr>
        <w:t>, or foreign exchange</w:t>
      </w:r>
      <w:r w:rsidR="00AF1F7C" w:rsidRPr="005B2CEB">
        <w:rPr>
          <w:rFonts w:eastAsia="Times New Roman"/>
        </w:rPr>
        <w:t xml:space="preserve">, </w:t>
      </w:r>
      <w:r w:rsidR="005B2CEB" w:rsidRPr="005B2CEB">
        <w:rPr>
          <w:rFonts w:eastAsia="Times New Roman"/>
        </w:rPr>
        <w:t>as</w:t>
      </w:r>
      <w:r w:rsidR="00AF1F7C" w:rsidRPr="005B2CEB">
        <w:rPr>
          <w:rFonts w:eastAsia="Times New Roman"/>
        </w:rPr>
        <w:t xml:space="preserve"> that would </w:t>
      </w:r>
      <w:r w:rsidR="005B2CEB" w:rsidRPr="005B2CEB">
        <w:rPr>
          <w:rFonts w:eastAsia="Times New Roman"/>
        </w:rPr>
        <w:t>give an immediate competitive advantage to international payment systems to the disadvantage of eftpos</w:t>
      </w:r>
      <w:r w:rsidR="00AF1F7C" w:rsidRPr="005B2CEB">
        <w:rPr>
          <w:rFonts w:eastAsia="Times New Roman"/>
        </w:rPr>
        <w:t>.</w:t>
      </w:r>
      <w:r w:rsidR="00AF1F7C">
        <w:rPr>
          <w:rFonts w:eastAsia="Times New Roman"/>
        </w:rPr>
        <w:t xml:space="preserve">  </w:t>
      </w:r>
    </w:p>
    <w:p w14:paraId="5AF04031" w14:textId="4DDB78D5" w:rsidR="00545974" w:rsidRDefault="00545974" w:rsidP="00B91148">
      <w:pPr>
        <w:ind w:right="56"/>
        <w:rPr>
          <w:rFonts w:eastAsia="Times New Roman"/>
        </w:rPr>
      </w:pPr>
    </w:p>
    <w:p w14:paraId="2E648699" w14:textId="18AEB925" w:rsidR="00545974" w:rsidRPr="00545974" w:rsidRDefault="00545974" w:rsidP="00545974">
      <w:pPr>
        <w:pStyle w:val="CommentText"/>
        <w:rPr>
          <w:rFonts w:ascii="Arial" w:eastAsia="Times New Roman" w:hAnsi="Arial"/>
          <w:spacing w:val="0"/>
          <w:sz w:val="19"/>
          <w:szCs w:val="24"/>
          <w:lang w:val="en-US"/>
        </w:rPr>
      </w:pPr>
      <w:r>
        <w:rPr>
          <w:rFonts w:ascii="Arial" w:eastAsia="Times New Roman" w:hAnsi="Arial"/>
          <w:spacing w:val="0"/>
          <w:sz w:val="19"/>
          <w:szCs w:val="24"/>
          <w:lang w:val="en-US"/>
        </w:rPr>
        <w:t>A non-exhaustive list of e</w:t>
      </w:r>
      <w:r w:rsidRPr="00545974">
        <w:rPr>
          <w:rFonts w:ascii="Arial" w:eastAsia="Times New Roman" w:hAnsi="Arial"/>
          <w:spacing w:val="0"/>
          <w:sz w:val="19"/>
          <w:szCs w:val="24"/>
          <w:lang w:val="en-US"/>
        </w:rPr>
        <w:t xml:space="preserve">xamples of supplemental services </w:t>
      </w:r>
      <w:r w:rsidR="00FE740E">
        <w:rPr>
          <w:rFonts w:ascii="Arial" w:eastAsia="Times New Roman" w:hAnsi="Arial"/>
          <w:spacing w:val="0"/>
          <w:sz w:val="19"/>
          <w:szCs w:val="24"/>
          <w:lang w:val="en-US"/>
        </w:rPr>
        <w:t xml:space="preserve">provided to support Issuers </w:t>
      </w:r>
      <w:r w:rsidR="005B2CEB">
        <w:rPr>
          <w:rFonts w:ascii="Arial" w:eastAsia="Times New Roman" w:hAnsi="Arial"/>
          <w:spacing w:val="0"/>
          <w:sz w:val="19"/>
          <w:szCs w:val="24"/>
          <w:lang w:val="en-US"/>
        </w:rPr>
        <w:t xml:space="preserve">in Australia </w:t>
      </w:r>
      <w:r w:rsidR="00FE740E">
        <w:rPr>
          <w:rFonts w:ascii="Arial" w:eastAsia="Times New Roman" w:hAnsi="Arial"/>
          <w:spacing w:val="0"/>
          <w:sz w:val="19"/>
          <w:szCs w:val="24"/>
          <w:lang w:val="en-US"/>
        </w:rPr>
        <w:t xml:space="preserve">and which ultimately lead to support for card issuance, </w:t>
      </w:r>
      <w:r w:rsidRPr="00545974">
        <w:rPr>
          <w:rFonts w:ascii="Arial" w:eastAsia="Times New Roman" w:hAnsi="Arial"/>
          <w:spacing w:val="0"/>
          <w:sz w:val="19"/>
          <w:szCs w:val="24"/>
          <w:lang w:val="en-US"/>
        </w:rPr>
        <w:t>for which fair value calculations would be needed</w:t>
      </w:r>
      <w:r w:rsidR="00FE740E">
        <w:rPr>
          <w:rFonts w:ascii="Arial" w:eastAsia="Times New Roman" w:hAnsi="Arial"/>
          <w:spacing w:val="0"/>
          <w:sz w:val="19"/>
          <w:szCs w:val="24"/>
          <w:lang w:val="en-US"/>
        </w:rPr>
        <w:t>,</w:t>
      </w:r>
      <w:r w:rsidRPr="00545974">
        <w:rPr>
          <w:rFonts w:ascii="Arial" w:eastAsia="Times New Roman" w:hAnsi="Arial"/>
          <w:spacing w:val="0"/>
          <w:sz w:val="19"/>
          <w:szCs w:val="24"/>
          <w:lang w:val="en-US"/>
        </w:rPr>
        <w:t xml:space="preserve"> include </w:t>
      </w:r>
      <w:r w:rsidR="005B2CEB">
        <w:rPr>
          <w:rFonts w:ascii="Arial" w:eastAsia="Times New Roman" w:hAnsi="Arial"/>
          <w:spacing w:val="0"/>
          <w:sz w:val="19"/>
          <w:szCs w:val="24"/>
          <w:lang w:val="en-US"/>
        </w:rPr>
        <w:t>t</w:t>
      </w:r>
      <w:r w:rsidRPr="00545974">
        <w:rPr>
          <w:rFonts w:ascii="Arial" w:eastAsia="Times New Roman" w:hAnsi="Arial"/>
          <w:spacing w:val="0"/>
          <w:sz w:val="19"/>
          <w:szCs w:val="24"/>
          <w:lang w:val="en-US"/>
        </w:rPr>
        <w:t>rademark licensing</w:t>
      </w:r>
      <w:r>
        <w:rPr>
          <w:rFonts w:ascii="Arial" w:eastAsia="Times New Roman" w:hAnsi="Arial"/>
          <w:spacing w:val="0"/>
          <w:sz w:val="19"/>
          <w:szCs w:val="24"/>
          <w:lang w:val="en-US"/>
        </w:rPr>
        <w:t>; c</w:t>
      </w:r>
      <w:r w:rsidRPr="00545974">
        <w:rPr>
          <w:rFonts w:ascii="Arial" w:eastAsia="Times New Roman" w:hAnsi="Arial"/>
          <w:spacing w:val="0"/>
          <w:sz w:val="19"/>
          <w:szCs w:val="24"/>
          <w:lang w:val="en-US"/>
        </w:rPr>
        <w:t>onsultation benefit</w:t>
      </w:r>
      <w:r>
        <w:rPr>
          <w:rFonts w:ascii="Arial" w:eastAsia="Times New Roman" w:hAnsi="Arial"/>
          <w:spacing w:val="0"/>
          <w:sz w:val="19"/>
          <w:szCs w:val="24"/>
          <w:lang w:val="en-US"/>
        </w:rPr>
        <w:t>; a</w:t>
      </w:r>
      <w:r w:rsidRPr="00545974">
        <w:rPr>
          <w:rFonts w:ascii="Arial" w:eastAsia="Times New Roman" w:hAnsi="Arial"/>
          <w:spacing w:val="0"/>
          <w:sz w:val="19"/>
          <w:szCs w:val="24"/>
          <w:lang w:val="en-US"/>
        </w:rPr>
        <w:t xml:space="preserve">ttendance at </w:t>
      </w:r>
      <w:r>
        <w:rPr>
          <w:rFonts w:ascii="Arial" w:eastAsia="Times New Roman" w:hAnsi="Arial"/>
          <w:spacing w:val="0"/>
          <w:sz w:val="19"/>
          <w:szCs w:val="24"/>
          <w:lang w:val="en-US"/>
        </w:rPr>
        <w:t>best practice, user group or member</w:t>
      </w:r>
      <w:r w:rsidRPr="00545974">
        <w:rPr>
          <w:rFonts w:ascii="Arial" w:eastAsia="Times New Roman" w:hAnsi="Arial"/>
          <w:spacing w:val="0"/>
          <w:sz w:val="19"/>
          <w:szCs w:val="24"/>
          <w:lang w:val="en-US"/>
        </w:rPr>
        <w:t xml:space="preserve"> forums</w:t>
      </w:r>
      <w:r>
        <w:rPr>
          <w:rFonts w:ascii="Arial" w:eastAsia="Times New Roman" w:hAnsi="Arial"/>
          <w:spacing w:val="0"/>
          <w:sz w:val="19"/>
          <w:szCs w:val="24"/>
          <w:lang w:val="en-US"/>
        </w:rPr>
        <w:t xml:space="preserve"> (domestically only if fair competition is to be maintained), t</w:t>
      </w:r>
      <w:r w:rsidRPr="00545974">
        <w:rPr>
          <w:rFonts w:ascii="Arial" w:eastAsia="Times New Roman" w:hAnsi="Arial"/>
          <w:spacing w:val="0"/>
          <w:sz w:val="19"/>
          <w:szCs w:val="24"/>
          <w:lang w:val="en-US"/>
        </w:rPr>
        <w:t>ravel, visits to suppliers/service providers (best practice tours)</w:t>
      </w:r>
      <w:r>
        <w:rPr>
          <w:rFonts w:ascii="Arial" w:eastAsia="Times New Roman" w:hAnsi="Arial"/>
          <w:spacing w:val="0"/>
          <w:sz w:val="19"/>
          <w:szCs w:val="24"/>
          <w:lang w:val="en-US"/>
        </w:rPr>
        <w:t>, s</w:t>
      </w:r>
      <w:r w:rsidRPr="00545974">
        <w:rPr>
          <w:rFonts w:ascii="Arial" w:eastAsia="Times New Roman" w:hAnsi="Arial"/>
          <w:spacing w:val="0"/>
          <w:sz w:val="19"/>
          <w:szCs w:val="24"/>
          <w:lang w:val="en-US"/>
        </w:rPr>
        <w:t>econdments</w:t>
      </w:r>
      <w:r>
        <w:rPr>
          <w:rFonts w:ascii="Arial" w:eastAsia="Times New Roman" w:hAnsi="Arial"/>
          <w:spacing w:val="0"/>
          <w:sz w:val="19"/>
          <w:szCs w:val="24"/>
          <w:lang w:val="en-US"/>
        </w:rPr>
        <w:t>, interstate</w:t>
      </w:r>
      <w:r w:rsidRPr="00545974">
        <w:rPr>
          <w:rFonts w:ascii="Arial" w:eastAsia="Times New Roman" w:hAnsi="Arial"/>
          <w:spacing w:val="0"/>
          <w:sz w:val="19"/>
          <w:szCs w:val="24"/>
          <w:lang w:val="en-US"/>
        </w:rPr>
        <w:t xml:space="preserve"> flights</w:t>
      </w:r>
      <w:r>
        <w:rPr>
          <w:rFonts w:ascii="Arial" w:eastAsia="Times New Roman" w:hAnsi="Arial"/>
          <w:spacing w:val="0"/>
          <w:sz w:val="19"/>
          <w:szCs w:val="24"/>
          <w:lang w:val="en-US"/>
        </w:rPr>
        <w:t xml:space="preserve"> for representative attendance, </w:t>
      </w:r>
      <w:r w:rsidRPr="00545974">
        <w:rPr>
          <w:rFonts w:ascii="Arial" w:eastAsia="Times New Roman" w:hAnsi="Arial"/>
          <w:spacing w:val="0"/>
          <w:sz w:val="19"/>
          <w:szCs w:val="24"/>
          <w:lang w:val="en-US"/>
        </w:rPr>
        <w:t>developments, product R&amp;D, consumer research</w:t>
      </w:r>
      <w:r>
        <w:rPr>
          <w:rFonts w:ascii="Arial" w:eastAsia="Times New Roman" w:hAnsi="Arial"/>
          <w:spacing w:val="0"/>
          <w:sz w:val="19"/>
          <w:szCs w:val="24"/>
          <w:lang w:val="en-US"/>
        </w:rPr>
        <w:t>.</w:t>
      </w:r>
    </w:p>
    <w:p w14:paraId="31C53D2E" w14:textId="47C134D5" w:rsidR="004D608C" w:rsidRDefault="004D608C" w:rsidP="000D12B1">
      <w:pPr>
        <w:rPr>
          <w:u w:val="single"/>
        </w:rPr>
      </w:pPr>
      <w:r>
        <w:rPr>
          <w:u w:val="single"/>
        </w:rPr>
        <w:t>Proposal 3: Removal of references to Acquirer from the definition of Issuer Payments</w:t>
      </w:r>
    </w:p>
    <w:p w14:paraId="7AB0F0D3" w14:textId="4FA2BDC4" w:rsidR="004D608C" w:rsidRDefault="007A6F02" w:rsidP="004D608C">
      <w:r>
        <w:t>eftpos has no view on the deletion of the reference to Acquirer from the definition of Issuer Payments.</w:t>
      </w:r>
    </w:p>
    <w:p w14:paraId="1CDFDCBE" w14:textId="77777777" w:rsidR="004D608C" w:rsidRPr="00B7237C" w:rsidRDefault="004D608C" w:rsidP="004D608C">
      <w:pPr>
        <w:ind w:left="360" w:right="1469"/>
        <w:rPr>
          <w:rFonts w:ascii="Segoe UI" w:hAnsi="Segoe UI" w:cs="Segoe UI"/>
          <w:szCs w:val="19"/>
          <w:lang w:val="en-AU"/>
        </w:rPr>
      </w:pPr>
    </w:p>
    <w:p w14:paraId="5D6C9B96" w14:textId="447182A3" w:rsidR="004D608C" w:rsidRDefault="004D608C" w:rsidP="000D12B1">
      <w:pPr>
        <w:rPr>
          <w:u w:val="single"/>
        </w:rPr>
      </w:pPr>
      <w:r>
        <w:rPr>
          <w:u w:val="single"/>
        </w:rPr>
        <w:t xml:space="preserve">Proposal 4: Clarification that a discount of a price </w:t>
      </w:r>
      <w:r w:rsidR="004376E2">
        <w:rPr>
          <w:u w:val="single"/>
        </w:rPr>
        <w:t xml:space="preserve">and non-financial benefits </w:t>
      </w:r>
      <w:r>
        <w:rPr>
          <w:u w:val="single"/>
        </w:rPr>
        <w:t>that meet the incentive test is a Benefit</w:t>
      </w:r>
    </w:p>
    <w:p w14:paraId="4CA53953" w14:textId="45D22953" w:rsidR="004D608C" w:rsidRPr="00DE2D11" w:rsidRDefault="00DE2D11" w:rsidP="00DE2D11">
      <w:pPr>
        <w:spacing w:line="240" w:lineRule="auto"/>
        <w:rPr>
          <w:rFonts w:eastAsia="Times New Roman"/>
        </w:rPr>
      </w:pPr>
      <w:r>
        <w:rPr>
          <w:rFonts w:eastAsia="Times New Roman"/>
        </w:rPr>
        <w:t xml:space="preserve">eftpos agrees that a discount of the price </w:t>
      </w:r>
      <w:r w:rsidR="007F5994" w:rsidRPr="007F5994">
        <w:t xml:space="preserve">and non-financial benefits </w:t>
      </w:r>
      <w:r>
        <w:rPr>
          <w:rFonts w:eastAsia="Times New Roman"/>
        </w:rPr>
        <w:t xml:space="preserve">that meets the incentive test </w:t>
      </w:r>
      <w:r w:rsidR="005541A6">
        <w:rPr>
          <w:rFonts w:eastAsia="Times New Roman"/>
        </w:rPr>
        <w:t>are</w:t>
      </w:r>
      <w:r>
        <w:rPr>
          <w:rFonts w:eastAsia="Times New Roman"/>
        </w:rPr>
        <w:t xml:space="preserve"> Benefit</w:t>
      </w:r>
      <w:r w:rsidR="005541A6">
        <w:rPr>
          <w:rFonts w:eastAsia="Times New Roman"/>
        </w:rPr>
        <w:t>s</w:t>
      </w:r>
      <w:r>
        <w:rPr>
          <w:rFonts w:eastAsia="Times New Roman"/>
        </w:rPr>
        <w:t xml:space="preserve"> and that the calculation of a fair value for that benefit should be based on the </w:t>
      </w:r>
      <w:r w:rsidR="009C35F6">
        <w:rPr>
          <w:rFonts w:eastAsia="Times New Roman"/>
        </w:rPr>
        <w:t>AASB</w:t>
      </w:r>
      <w:r>
        <w:rPr>
          <w:rFonts w:eastAsia="Times New Roman"/>
        </w:rPr>
        <w:t>.</w:t>
      </w:r>
    </w:p>
    <w:p w14:paraId="13A655EA" w14:textId="77777777" w:rsidR="004D608C" w:rsidRDefault="004D608C" w:rsidP="000D12B1">
      <w:pPr>
        <w:rPr>
          <w:u w:val="single"/>
        </w:rPr>
      </w:pPr>
    </w:p>
    <w:p w14:paraId="75EEF3E7" w14:textId="4FCE0BE9" w:rsidR="00556436" w:rsidRDefault="00556436" w:rsidP="000D12B1">
      <w:pPr>
        <w:rPr>
          <w:u w:val="single"/>
        </w:rPr>
      </w:pPr>
      <w:r>
        <w:rPr>
          <w:u w:val="single"/>
        </w:rPr>
        <w:t>Proposal 5: Fair value of property where no price for regular supply</w:t>
      </w:r>
    </w:p>
    <w:p w14:paraId="2EABD46B" w14:textId="3EE129D1" w:rsidR="00556436" w:rsidRDefault="00DF7064" w:rsidP="000D12B1">
      <w:pPr>
        <w:rPr>
          <w:u w:val="single"/>
        </w:rPr>
      </w:pPr>
      <w:r>
        <w:rPr>
          <w:rFonts w:eastAsia="Times New Roman"/>
        </w:rPr>
        <w:t>eftpos agrees with the proposed calculation of value for a benefit provided without a price, should be based on the fair value of the benefit in accordance with the AASB.</w:t>
      </w:r>
    </w:p>
    <w:p w14:paraId="69B11085" w14:textId="48D3BAD9" w:rsidR="00556436" w:rsidRDefault="00556436" w:rsidP="000D12B1">
      <w:pPr>
        <w:rPr>
          <w:u w:val="single"/>
        </w:rPr>
      </w:pPr>
    </w:p>
    <w:p w14:paraId="7DB3EC52" w14:textId="2E191D0A" w:rsidR="00556436" w:rsidRDefault="00556436" w:rsidP="000D12B1">
      <w:pPr>
        <w:rPr>
          <w:u w:val="single"/>
        </w:rPr>
      </w:pPr>
      <w:r>
        <w:rPr>
          <w:u w:val="single"/>
        </w:rPr>
        <w:t>Proposal 6: Issuer Receipts to include from associated entities</w:t>
      </w:r>
    </w:p>
    <w:p w14:paraId="29B3558F" w14:textId="1441B1EB" w:rsidR="00556436" w:rsidRDefault="00FA5C34" w:rsidP="000D12B1">
      <w:pPr>
        <w:rPr>
          <w:u w:val="single"/>
        </w:rPr>
      </w:pPr>
      <w:r>
        <w:t xml:space="preserve">eftpos </w:t>
      </w:r>
      <w:r w:rsidR="00556436" w:rsidRPr="00556436">
        <w:t>agree</w:t>
      </w:r>
      <w:r>
        <w:t>s with the proposal</w:t>
      </w:r>
      <w:r w:rsidR="002E5FD5">
        <w:t xml:space="preserve">, save that true pass through payments for </w:t>
      </w:r>
      <w:proofErr w:type="spellStart"/>
      <w:r w:rsidR="002E5FD5">
        <w:t>eg</w:t>
      </w:r>
      <w:proofErr w:type="spellEnd"/>
      <w:r w:rsidR="002E5FD5">
        <w:t xml:space="preserve"> merchant funded loyalty should be excluded</w:t>
      </w:r>
      <w:r>
        <w:t>.</w:t>
      </w:r>
      <w:r w:rsidR="002E5FD5">
        <w:t xml:space="preserve">  The potential for circumvention which concerned the RBA in the Consultation could be dealt with through the above proposed published fee requirement and disclosure in the payment system certification of receipts from involved merchants.</w:t>
      </w:r>
    </w:p>
    <w:p w14:paraId="180BA959" w14:textId="77777777" w:rsidR="00556436" w:rsidRDefault="00556436" w:rsidP="000D12B1">
      <w:pPr>
        <w:rPr>
          <w:u w:val="single"/>
        </w:rPr>
      </w:pPr>
    </w:p>
    <w:p w14:paraId="7C8D4F13" w14:textId="39C1FC3B" w:rsidR="00916EF8" w:rsidRDefault="00916EF8" w:rsidP="000D12B1">
      <w:pPr>
        <w:rPr>
          <w:u w:val="single"/>
        </w:rPr>
      </w:pPr>
      <w:r>
        <w:rPr>
          <w:u w:val="single"/>
        </w:rPr>
        <w:t xml:space="preserve">Proposal 7: Sponsoring </w:t>
      </w:r>
      <w:r w:rsidR="00FA5C34">
        <w:rPr>
          <w:u w:val="single"/>
        </w:rPr>
        <w:t>I</w:t>
      </w:r>
      <w:r>
        <w:rPr>
          <w:u w:val="single"/>
        </w:rPr>
        <w:t>ssuers to comply</w:t>
      </w:r>
    </w:p>
    <w:p w14:paraId="5A572DA8" w14:textId="779BAD42" w:rsidR="00916EF8" w:rsidRDefault="00FA5C34" w:rsidP="000D12B1">
      <w:pPr>
        <w:rPr>
          <w:rFonts w:eastAsia="Times New Roman"/>
        </w:rPr>
      </w:pPr>
      <w:r>
        <w:t xml:space="preserve">eftpos </w:t>
      </w:r>
      <w:r w:rsidRPr="00556436">
        <w:t>agree</w:t>
      </w:r>
      <w:r>
        <w:t>s with the proposal</w:t>
      </w:r>
      <w:r>
        <w:rPr>
          <w:rFonts w:eastAsia="Times New Roman"/>
        </w:rPr>
        <w:t xml:space="preserve"> as the payment system</w:t>
      </w:r>
      <w:r w:rsidR="00916EF8">
        <w:rPr>
          <w:rFonts w:eastAsia="Times New Roman"/>
        </w:rPr>
        <w:t xml:space="preserve"> visibility </w:t>
      </w:r>
      <w:r>
        <w:rPr>
          <w:rFonts w:eastAsia="Times New Roman"/>
        </w:rPr>
        <w:t>and ability to influence (if the payment system is to comply with the Competition and Consumer Act) rest</w:t>
      </w:r>
      <w:r w:rsidR="006B24F5">
        <w:rPr>
          <w:rFonts w:eastAsia="Times New Roman"/>
        </w:rPr>
        <w:t>s</w:t>
      </w:r>
      <w:r>
        <w:rPr>
          <w:rFonts w:eastAsia="Times New Roman"/>
        </w:rPr>
        <w:t xml:space="preserve"> </w:t>
      </w:r>
      <w:r w:rsidR="00916EF8">
        <w:rPr>
          <w:rFonts w:eastAsia="Times New Roman"/>
        </w:rPr>
        <w:t>at</w:t>
      </w:r>
      <w:r>
        <w:rPr>
          <w:rFonts w:eastAsia="Times New Roman"/>
        </w:rPr>
        <w:t xml:space="preserve"> the</w:t>
      </w:r>
      <w:r w:rsidR="00916EF8">
        <w:rPr>
          <w:rFonts w:eastAsia="Times New Roman"/>
        </w:rPr>
        <w:t xml:space="preserve"> aggregator </w:t>
      </w:r>
      <w:r>
        <w:rPr>
          <w:rFonts w:eastAsia="Times New Roman"/>
        </w:rPr>
        <w:t xml:space="preserve">or sponsoring entity </w:t>
      </w:r>
      <w:r w:rsidR="00916EF8">
        <w:rPr>
          <w:rFonts w:eastAsia="Times New Roman"/>
        </w:rPr>
        <w:t>level</w:t>
      </w:r>
      <w:r>
        <w:rPr>
          <w:rFonts w:eastAsia="Times New Roman"/>
        </w:rPr>
        <w:t>.</w:t>
      </w:r>
    </w:p>
    <w:p w14:paraId="4F5A30E1" w14:textId="52120E2A" w:rsidR="00916EF8" w:rsidRDefault="00916EF8" w:rsidP="000D12B1">
      <w:pPr>
        <w:rPr>
          <w:rFonts w:eastAsia="Times New Roman"/>
        </w:rPr>
      </w:pPr>
    </w:p>
    <w:p w14:paraId="2BC0A690" w14:textId="77777777" w:rsidR="00414F65" w:rsidRDefault="00414F65" w:rsidP="000D12B1">
      <w:pPr>
        <w:rPr>
          <w:u w:val="single"/>
        </w:rPr>
      </w:pPr>
      <w:r>
        <w:rPr>
          <w:u w:val="single"/>
        </w:rPr>
        <w:t>Proposal 8: New Transition Arrangements</w:t>
      </w:r>
    </w:p>
    <w:p w14:paraId="05B55570" w14:textId="5077BF53" w:rsidR="00E8734B" w:rsidRDefault="00E8734B" w:rsidP="000D12B1">
      <w:r>
        <w:t>Standards are issued in respect of all participants of a designated payment system. Therefore, both the payment system and any regulated participant must comply with the standard. Many long</w:t>
      </w:r>
      <w:r w:rsidR="009E3BFE">
        <w:t>-</w:t>
      </w:r>
      <w:r>
        <w:t>term incentive agreements have already been entered into, according to publicly available materials including press releases issued by the ICS.</w:t>
      </w:r>
      <w:r w:rsidR="009E3BFE">
        <w:t xml:space="preserve">  eftpos submits that the standard should be applied to every incentive agreement, both those existing and new agreements</w:t>
      </w:r>
      <w:r w:rsidR="003273F5">
        <w:t>,</w:t>
      </w:r>
      <w:r w:rsidR="009E3BFE">
        <w:t xml:space="preserve"> with certifications required to be provided for any payments already </w:t>
      </w:r>
      <w:r w:rsidR="002B0A47">
        <w:t xml:space="preserve">made or </w:t>
      </w:r>
      <w:r w:rsidR="009E3BFE">
        <w:t>received</w:t>
      </w:r>
      <w:r w:rsidR="003273F5">
        <w:t xml:space="preserve"> since the standards became operational, in light of the comments above about clause 5.2(e) of the standard.   </w:t>
      </w:r>
    </w:p>
    <w:p w14:paraId="1D2500EB" w14:textId="77777777" w:rsidR="00E8734B" w:rsidRDefault="00E8734B" w:rsidP="000D12B1"/>
    <w:p w14:paraId="4913DCDB" w14:textId="77777777" w:rsidR="00AC5868" w:rsidRDefault="004B156D" w:rsidP="000D12B1">
      <w:r>
        <w:t>The election of how to comply appears to now rest with Issuers, rather than designated payment systems</w:t>
      </w:r>
      <w:r w:rsidR="003B2277">
        <w:t xml:space="preserve"> and could be different for the reporting period ending 30 June 2019 than for the reporting period ending 30 June 2020</w:t>
      </w:r>
      <w:r>
        <w:t xml:space="preserve">.  As the large </w:t>
      </w:r>
      <w:r w:rsidR="00E2450F">
        <w:t>I</w:t>
      </w:r>
      <w:r>
        <w:t xml:space="preserve">ssuers have already entered into long term incentive agreements with the ICS, this leaves open the possibility for an </w:t>
      </w:r>
      <w:r w:rsidR="00B97E94">
        <w:t>I</w:t>
      </w:r>
      <w:r>
        <w:t xml:space="preserve">ssuer to apply the </w:t>
      </w:r>
      <w:r w:rsidR="00454D06">
        <w:t xml:space="preserve">option </w:t>
      </w:r>
      <w:r>
        <w:t xml:space="preserve">most beneficial </w:t>
      </w:r>
      <w:r w:rsidR="00454D06">
        <w:t xml:space="preserve">to the </w:t>
      </w:r>
      <w:r>
        <w:t xml:space="preserve">accounting practices of their ICS under those existing agreements and </w:t>
      </w:r>
      <w:r w:rsidR="00B97E94">
        <w:t xml:space="preserve">seek to </w:t>
      </w:r>
      <w:r>
        <w:t xml:space="preserve">impose that same accounting practice on eftpos </w:t>
      </w:r>
      <w:r w:rsidR="00B97E94">
        <w:t xml:space="preserve">for ease and </w:t>
      </w:r>
      <w:r>
        <w:t xml:space="preserve">to maintain consistency of application of the standard for the </w:t>
      </w:r>
      <w:r w:rsidR="00C7250D">
        <w:t>I</w:t>
      </w:r>
      <w:r>
        <w:t xml:space="preserve">ssuer.  For eftpos, that means that the compliance burden of potentially having to support both a cash and accruals basis of calculation and reporting for the same reporting period for different </w:t>
      </w:r>
      <w:r w:rsidR="00E8734B">
        <w:t>I</w:t>
      </w:r>
      <w:r>
        <w:t xml:space="preserve">ssuers rests with eftpos. If that is the case, eftpos will potentially have to put in place mechanisms, </w:t>
      </w:r>
      <w:r w:rsidR="00454D06">
        <w:t>all</w:t>
      </w:r>
      <w:r>
        <w:t xml:space="preserve"> of which will be manual, to calculate and adjust the application of the standard, to match </w:t>
      </w:r>
      <w:r w:rsidR="00E8734B">
        <w:t>each</w:t>
      </w:r>
      <w:r>
        <w:t xml:space="preserve"> </w:t>
      </w:r>
      <w:r w:rsidR="00E8734B">
        <w:t>I</w:t>
      </w:r>
      <w:r>
        <w:t>ssuer’s election</w:t>
      </w:r>
      <w:r w:rsidR="00454D06">
        <w:t xml:space="preserve"> (and consistent with an application of international accounting standards according to the interpretation of an ICS)</w:t>
      </w:r>
      <w:r w:rsidR="00E8734B">
        <w:t>,</w:t>
      </w:r>
      <w:r>
        <w:t xml:space="preserve"> rather than </w:t>
      </w:r>
      <w:r w:rsidR="00454D06">
        <w:t xml:space="preserve">consistently with </w:t>
      </w:r>
      <w:r>
        <w:t xml:space="preserve">the manner in which eftpos accounts for the application of the standard and potentially inconsistently with </w:t>
      </w:r>
      <w:r w:rsidR="00E8734B">
        <w:t>its own</w:t>
      </w:r>
      <w:r>
        <w:t xml:space="preserve"> application of the </w:t>
      </w:r>
      <w:r w:rsidR="00454D06">
        <w:t>AASB</w:t>
      </w:r>
      <w:r>
        <w:t>.</w:t>
      </w:r>
      <w:r w:rsidR="0070046F">
        <w:t xml:space="preserve"> </w:t>
      </w:r>
      <w:r w:rsidR="00AC5868">
        <w:t xml:space="preserve">It would be preferable in eftpos’ view for one method of calculation to be settled upon for all participants and applied by all participants for and from the reporting period ending 30 June 2019. </w:t>
      </w:r>
      <w:r w:rsidR="0070046F">
        <w:t xml:space="preserve"> </w:t>
      </w:r>
    </w:p>
    <w:p w14:paraId="6F60FE00" w14:textId="77777777" w:rsidR="00AC5868" w:rsidRDefault="00AC5868" w:rsidP="000D12B1"/>
    <w:p w14:paraId="0F7663FA" w14:textId="4707FC31" w:rsidR="00414F65" w:rsidRDefault="0070046F" w:rsidP="000D12B1">
      <w:pPr>
        <w:rPr>
          <w:u w:val="single"/>
        </w:rPr>
      </w:pPr>
      <w:r>
        <w:lastRenderedPageBreak/>
        <w:t>eftpos has assess</w:t>
      </w:r>
      <w:r w:rsidR="00A70301">
        <w:t xml:space="preserve">ed the compliance burden </w:t>
      </w:r>
      <w:r w:rsidR="006D4199">
        <w:t xml:space="preserve">for the initial reporting period ending 30 June 2018 </w:t>
      </w:r>
      <w:r w:rsidR="00A70301">
        <w:t xml:space="preserve">at </w:t>
      </w:r>
      <w:r w:rsidR="00056B8F">
        <w:t xml:space="preserve">approximately </w:t>
      </w:r>
      <w:r w:rsidR="00626040">
        <w:t>3.5 days effort for one person.  The estimated c</w:t>
      </w:r>
      <w:r>
        <w:t xml:space="preserve">ompliance burden </w:t>
      </w:r>
      <w:r w:rsidR="00A70301">
        <w:t xml:space="preserve">of </w:t>
      </w:r>
      <w:r w:rsidR="006D4199">
        <w:t>a</w:t>
      </w:r>
      <w:r w:rsidR="00A70301">
        <w:t xml:space="preserve"> changed standard</w:t>
      </w:r>
      <w:r w:rsidR="00626040">
        <w:t xml:space="preserve"> as currently proposed, the effort would be 1 day for one person.</w:t>
      </w:r>
      <w:r w:rsidR="00A70301">
        <w:t xml:space="preserve"> </w:t>
      </w:r>
      <w:r w:rsidR="006D4199">
        <w:t xml:space="preserve">This is due to the highly </w:t>
      </w:r>
      <w:r>
        <w:t>manual calculation</w:t>
      </w:r>
      <w:r w:rsidR="00A70301">
        <w:t xml:space="preserve"> effort</w:t>
      </w:r>
      <w:r w:rsidR="006D4199">
        <w:t xml:space="preserve"> required.  If eftpos was required to support two different calculation methods in any one year, that compliance burden would be </w:t>
      </w:r>
      <w:r w:rsidR="00626040">
        <w:t>approximately 5 days effort for one person</w:t>
      </w:r>
      <w:r w:rsidR="006D4199">
        <w:t xml:space="preserve">. </w:t>
      </w:r>
      <w:r w:rsidR="00173C45">
        <w:t xml:space="preserve"> For a cash basis with a two year rolling calculation and reporting period, the effort is estimated to be 7 days for one person.</w:t>
      </w:r>
      <w:r w:rsidR="001178E3">
        <w:t xml:space="preserve">  While the cost of compliance is a consideration, </w:t>
      </w:r>
      <w:r w:rsidR="00C02FC8">
        <w:t xml:space="preserve">it is not the only or primary consideration.  It is more important that </w:t>
      </w:r>
      <w:r w:rsidR="001178E3">
        <w:t xml:space="preserve">the objective of the standard is </w:t>
      </w:r>
      <w:r w:rsidR="00C02FC8">
        <w:t xml:space="preserve">achieved. </w:t>
      </w:r>
    </w:p>
    <w:p w14:paraId="705F9042" w14:textId="41AA113A" w:rsidR="00A84B4C" w:rsidRDefault="00A84B4C" w:rsidP="000D12B1"/>
    <w:p w14:paraId="4B1F8840" w14:textId="3A2F6F0E" w:rsidR="0050507C" w:rsidRPr="006D4199" w:rsidRDefault="006D4199" w:rsidP="000D12B1">
      <w:pPr>
        <w:rPr>
          <w:u w:val="single"/>
        </w:rPr>
      </w:pPr>
      <w:r w:rsidRPr="002D2BE8">
        <w:rPr>
          <w:u w:val="single"/>
        </w:rPr>
        <w:t>Draft changes to the Standard</w:t>
      </w:r>
      <w:r w:rsidR="000E1E4F" w:rsidRPr="002D2BE8">
        <w:rPr>
          <w:u w:val="single"/>
        </w:rPr>
        <w:t>s</w:t>
      </w:r>
    </w:p>
    <w:p w14:paraId="27742327" w14:textId="6D9CCD20" w:rsidR="006D4199" w:rsidRDefault="000E1E4F" w:rsidP="000D12B1">
      <w:r>
        <w:t xml:space="preserve">eftpos has no comment on Standard 1.  </w:t>
      </w:r>
      <w:r w:rsidR="005613AB" w:rsidRPr="000E1E4F">
        <w:rPr>
          <w:u w:val="single"/>
        </w:rPr>
        <w:t>Attachment 1</w:t>
      </w:r>
      <w:r w:rsidR="005613AB">
        <w:t xml:space="preserve"> contains suggested changes to the proposed new Standard</w:t>
      </w:r>
      <w:r>
        <w:t xml:space="preserve"> 2</w:t>
      </w:r>
      <w:r w:rsidR="005613AB">
        <w:t xml:space="preserve">, with explanations </w:t>
      </w:r>
      <w:r w:rsidR="001F1317">
        <w:t>provided in comment boxed where needed</w:t>
      </w:r>
      <w:r w:rsidR="005613AB">
        <w:t>.</w:t>
      </w:r>
    </w:p>
    <w:p w14:paraId="4DF9E6DD" w14:textId="071A993C" w:rsidR="001A16BF" w:rsidRDefault="001A16BF" w:rsidP="00586AED">
      <w:pPr>
        <w:ind w:right="1469"/>
        <w:rPr>
          <w:rFonts w:ascii="Segoe UI" w:hAnsi="Segoe UI" w:cs="Segoe UI"/>
          <w:color w:val="auto"/>
          <w:sz w:val="20"/>
          <w:szCs w:val="19"/>
          <w:lang w:val="en-AU"/>
        </w:rPr>
      </w:pPr>
    </w:p>
    <w:p w14:paraId="46155039" w14:textId="57FF1E65" w:rsidR="00586AED" w:rsidRPr="005613AB" w:rsidRDefault="005613AB" w:rsidP="00586AED">
      <w:pPr>
        <w:ind w:right="1469"/>
      </w:pPr>
      <w:r w:rsidRPr="005613AB">
        <w:t xml:space="preserve">eftpos would be pleased to meet with the RBA and discuss the submissions contained in this letter.  </w:t>
      </w:r>
    </w:p>
    <w:p w14:paraId="3AB36928" w14:textId="77777777" w:rsidR="00931BAF" w:rsidRPr="005613AB" w:rsidRDefault="00931BAF" w:rsidP="000A7B03"/>
    <w:p w14:paraId="0FD60431" w14:textId="77777777" w:rsidR="00EE6BC0" w:rsidRPr="005613AB" w:rsidRDefault="000B4A87" w:rsidP="000A7B03">
      <w:r w:rsidRPr="005613AB">
        <w:t>Yours sincerely</w:t>
      </w:r>
    </w:p>
    <w:p w14:paraId="206B8B6B" w14:textId="184B69F8" w:rsidR="00EE6BC0" w:rsidRDefault="00EE6BC0" w:rsidP="000A7B03"/>
    <w:p w14:paraId="202CFCA7" w14:textId="78E556ED" w:rsidR="00B80A55" w:rsidRDefault="00B80A55" w:rsidP="000A7B03"/>
    <w:p w14:paraId="1144AE26" w14:textId="77777777" w:rsidR="00B80A55" w:rsidRPr="005613AB" w:rsidRDefault="00B80A55" w:rsidP="000A7B03"/>
    <w:p w14:paraId="19885F2F" w14:textId="77777777" w:rsidR="00DF2A8C" w:rsidRDefault="00A866CB" w:rsidP="00A33991">
      <w:r w:rsidRPr="005613AB">
        <w:t>Robyn Sanders</w:t>
      </w:r>
    </w:p>
    <w:p w14:paraId="48822353" w14:textId="6EBB1102" w:rsidR="00E928EA" w:rsidRPr="00DF2A8C" w:rsidRDefault="00A866CB" w:rsidP="00A33991">
      <w:pPr>
        <w:rPr>
          <w:b/>
        </w:rPr>
        <w:sectPr w:rsidR="00E928EA" w:rsidRPr="00DF2A8C" w:rsidSect="00DF2A8C">
          <w:headerReference w:type="even" r:id="rId8"/>
          <w:headerReference w:type="default" r:id="rId9"/>
          <w:footerReference w:type="even" r:id="rId10"/>
          <w:footerReference w:type="default" r:id="rId11"/>
          <w:headerReference w:type="first" r:id="rId12"/>
          <w:footerReference w:type="first" r:id="rId13"/>
          <w:pgSz w:w="11900" w:h="16840"/>
          <w:pgMar w:top="23" w:right="1127" w:bottom="709" w:left="1361" w:header="476" w:footer="0" w:gutter="0"/>
          <w:cols w:space="708"/>
          <w:titlePg/>
        </w:sectPr>
      </w:pPr>
      <w:r w:rsidRPr="005613AB">
        <w:rPr>
          <w:b/>
        </w:rPr>
        <w:t>General Counsel</w:t>
      </w:r>
    </w:p>
    <w:p w14:paraId="4392075C" w14:textId="77777777" w:rsidR="009B3894" w:rsidRPr="00B860EF" w:rsidRDefault="009B3894" w:rsidP="00DF2A8C">
      <w:pPr>
        <w:pStyle w:val="BodyText"/>
        <w:rPr>
          <w:b/>
        </w:rPr>
      </w:pPr>
    </w:p>
    <w:sectPr w:rsidR="009B3894" w:rsidRPr="00B860EF" w:rsidSect="00534AE8">
      <w:headerReference w:type="even" r:id="rId14"/>
      <w:headerReference w:type="default" r:id="rId15"/>
      <w:footerReference w:type="even" r:id="rId16"/>
      <w:footerReference w:type="default" r:id="rId17"/>
      <w:headerReference w:type="first" r:id="rId18"/>
      <w:footerReference w:type="first" r:id="rId19"/>
      <w:pgSz w:w="11900" w:h="16840"/>
      <w:pgMar w:top="23" w:right="1127" w:bottom="709" w:left="1361" w:header="476" w:footer="0" w:gutter="0"/>
      <w:cols w:space="708"/>
      <w:titlePg/>
      <w:docGrid w:linePitch="25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BA464D" w14:textId="77777777" w:rsidR="009C412C" w:rsidRDefault="009C412C">
      <w:pPr>
        <w:spacing w:line="240" w:lineRule="auto"/>
      </w:pPr>
      <w:r>
        <w:separator/>
      </w:r>
    </w:p>
  </w:endnote>
  <w:endnote w:type="continuationSeparator" w:id="0">
    <w:p w14:paraId="471C478C" w14:textId="77777777" w:rsidR="009C412C" w:rsidRDefault="009C41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utiger 65 Bold">
    <w:altName w:val="Calibri"/>
    <w:charset w:val="00"/>
    <w:family w:val="auto"/>
    <w:pitch w:val="variable"/>
    <w:sig w:usb0="00000003" w:usb1="00000000" w:usb2="00000000" w:usb3="00000000" w:csb0="00000001" w:csb1="00000000"/>
  </w:font>
  <w:font w:name="Frutiger 55 Roman">
    <w:altName w:val="Calibri"/>
    <w:charset w:val="00"/>
    <w:family w:val="auto"/>
    <w:pitch w:val="variable"/>
    <w:sig w:usb0="00000003" w:usb1="00000000" w:usb2="00000000" w:usb3="00000000" w:csb0="00000001" w:csb1="00000000"/>
  </w:font>
  <w:font w:name="Frutiger 45 Light">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Frutiger-Bold">
    <w:altName w:val="Cambria"/>
    <w:panose1 w:val="00000000000000000000"/>
    <w:charset w:val="4D"/>
    <w:family w:val="auto"/>
    <w:notTrueType/>
    <w:pitch w:val="default"/>
    <w:sig w:usb0="00000003" w:usb1="00000000" w:usb2="00000000" w:usb3="00000000" w:csb0="00000001" w:csb1="00000000"/>
  </w:font>
  <w:font w:name="Frutiger-Ligh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1386BA" w14:textId="77777777" w:rsidR="00C715DA" w:rsidRDefault="00C715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8434BE" w14:textId="6B54E765" w:rsidR="009C412C" w:rsidRDefault="00C715DA" w:rsidP="00586AED">
    <w:pPr>
      <w:rPr>
        <w:rFonts w:ascii="Frutiger-Light" w:hAnsi="Frutiger-Light" w:cs="Frutiger-Light"/>
        <w:color w:val="5A5B5E"/>
        <w:spacing w:val="-3"/>
        <w:sz w:val="14"/>
        <w:szCs w:val="14"/>
      </w:rPr>
    </w:pPr>
    <w:r>
      <w:rPr>
        <w:noProof/>
        <w:lang w:val="en-AU" w:eastAsia="en-AU"/>
      </w:rPr>
      <mc:AlternateContent>
        <mc:Choice Requires="wps">
          <w:drawing>
            <wp:anchor distT="0" distB="0" distL="114300" distR="114300" simplePos="0" relativeHeight="251695104" behindDoc="0" locked="0" layoutInCell="0" allowOverlap="1" wp14:anchorId="333E01E8" wp14:editId="4911AE1C">
              <wp:simplePos x="0" y="0"/>
              <wp:positionH relativeFrom="page">
                <wp:posOffset>0</wp:posOffset>
              </wp:positionH>
              <wp:positionV relativeFrom="page">
                <wp:posOffset>10229215</wp:posOffset>
              </wp:positionV>
              <wp:extent cx="7556500" cy="273050"/>
              <wp:effectExtent l="0" t="0" r="0" b="12700"/>
              <wp:wrapNone/>
              <wp:docPr id="1" name="MSIPCM6d414f69a04779e2b8e8a392" descr="{&quot;HashCode&quot;:-72179600,&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565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CAB380A" w14:textId="35B4FFD0"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33E01E8" id="_x0000_t202" coordsize="21600,21600" o:spt="202" path="m,l,21600r21600,l21600,xe">
              <v:stroke joinstyle="miter"/>
              <v:path gradientshapeok="t" o:connecttype="rect"/>
            </v:shapetype>
            <v:shape id="MSIPCM6d414f69a04779e2b8e8a392" o:spid="_x0000_s1026" type="#_x0000_t202" alt="{&quot;HashCode&quot;:-72179600,&quot;Height&quot;:842.0,&quot;Width&quot;:595.0,&quot;Placement&quot;:&quot;Footer&quot;,&quot;Index&quot;:&quot;Primary&quot;,&quot;Section&quot;:1,&quot;Top&quot;:0.0,&quot;Left&quot;:0.0}" style="position:absolute;margin-left:0;margin-top:805.45pt;width:595pt;height:21.5pt;z-index:25169510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" o:allowincell="f" filled="f" stroked="f" strokeweight=".5pt">
              <v:fill o:detectmouseclick="t"/>
              <v:textbox inset=",0,,0">
                <w:txbxContent>
                  <w:p w14:paraId="4CAB380A" w14:textId="35B4FFD0"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v:textbox>
              <w10:wrap anchorx="page" anchory="page"/>
            </v:shape>
          </w:pict>
        </mc:Fallback>
      </mc:AlternateContent>
    </w:r>
    <w:r w:rsidR="009C412C">
      <w:tab/>
    </w:r>
  </w:p>
  <w:p w14:paraId="41E83178" w14:textId="77777777" w:rsidR="009C412C" w:rsidRDefault="009C412C" w:rsidP="00785DDA">
    <w:pPr>
      <w:suppressAutoHyphens/>
      <w:rPr>
        <w:rFonts w:ascii="Frutiger-Light" w:hAnsi="Frutiger-Light" w:cs="Frutiger-Light"/>
        <w:color w:val="5A5B5E"/>
        <w:spacing w:val="-3"/>
        <w:sz w:val="14"/>
        <w:szCs w:val="14"/>
      </w:rPr>
    </w:pPr>
  </w:p>
  <w:p w14:paraId="03BE9746" w14:textId="77777777" w:rsidR="009C412C" w:rsidRDefault="009C412C" w:rsidP="00785DDA">
    <w:pPr>
      <w:suppressAutoHyphens/>
      <w:rPr>
        <w:rFonts w:ascii="Frutiger-Light" w:hAnsi="Frutiger-Light" w:cs="Frutiger-Light"/>
        <w:color w:val="5A5B5E"/>
        <w:spacing w:val="-3"/>
        <w:sz w:val="14"/>
        <w:szCs w:val="14"/>
      </w:rPr>
    </w:pPr>
  </w:p>
  <w:p w14:paraId="41BE0144" w14:textId="77777777" w:rsidR="009C412C" w:rsidRDefault="009C412C" w:rsidP="00785DDA">
    <w:pPr>
      <w:suppressAutoHyphens/>
      <w:rPr>
        <w:rFonts w:ascii="Frutiger-Light" w:hAnsi="Frutiger-Light" w:cs="Frutiger-Light"/>
        <w:color w:val="5A5B5E"/>
        <w:spacing w:val="-3"/>
        <w:sz w:val="14"/>
        <w:szCs w:val="14"/>
      </w:rPr>
    </w:pPr>
  </w:p>
  <w:p w14:paraId="31436752" w14:textId="77777777" w:rsidR="009C412C" w:rsidRDefault="009C412C" w:rsidP="00785DDA">
    <w:pPr>
      <w:suppressAutoHyphens/>
      <w:rPr>
        <w:rFonts w:ascii="Frutiger-Light" w:hAnsi="Frutiger-Light" w:cs="Frutiger-Light"/>
        <w:color w:val="5A5B5E"/>
        <w:spacing w:val="-3"/>
        <w:sz w:val="14"/>
        <w:szCs w:val="14"/>
      </w:rPr>
    </w:pPr>
  </w:p>
  <w:p w14:paraId="01DF718F" w14:textId="77777777" w:rsidR="009C412C" w:rsidRDefault="009C412C" w:rsidP="00785DDA">
    <w:pPr>
      <w:suppressAutoHyphens/>
      <w:rPr>
        <w:rFonts w:ascii="Frutiger-Light" w:hAnsi="Frutiger-Light" w:cs="Frutiger-Light"/>
        <w:color w:val="5A5B5E"/>
        <w:spacing w:val="-3"/>
        <w:sz w:val="14"/>
        <w:szCs w:val="14"/>
      </w:rPr>
    </w:pPr>
  </w:p>
  <w:p w14:paraId="74143A56" w14:textId="77777777" w:rsidR="009C412C" w:rsidRPr="0036448C" w:rsidRDefault="009C412C" w:rsidP="00785DDA">
    <w:pPr>
      <w:suppressAutoHyphens/>
      <w:rPr>
        <w:rFonts w:ascii="Frutiger-Light" w:hAnsi="Frutiger-Light" w:cs="Frutiger-Light"/>
        <w:color w:val="5A5B5E"/>
        <w:spacing w:val="-3"/>
        <w:sz w:val="14"/>
        <w:szCs w:val="14"/>
      </w:rPr>
    </w:pPr>
    <w:r w:rsidRPr="0036448C">
      <w:rPr>
        <w:rFonts w:ascii="Frutiger-Light" w:hAnsi="Frutiger-Light" w:cs="Frutiger-Light"/>
        <w:color w:val="5A5B5E"/>
        <w:spacing w:val="-3"/>
        <w:sz w:val="14"/>
        <w:szCs w:val="14"/>
      </w:rPr>
      <w:t>eftpos Payments Australia Limited</w:t>
    </w:r>
  </w:p>
  <w:p w14:paraId="470EE8B5" w14:textId="77777777" w:rsidR="009C412C" w:rsidRPr="00785DDA" w:rsidRDefault="009C412C">
    <w:pPr>
      <w:pStyle w:val="Footer"/>
      <w:rPr>
        <w:color w:val="5A5B5E"/>
      </w:rPr>
    </w:pPr>
    <w:r w:rsidRPr="0036448C">
      <w:rPr>
        <w:rFonts w:ascii="Frutiger-Light" w:hAnsi="Frutiger-Light" w:cs="Frutiger-Light"/>
        <w:color w:val="5A5B5E"/>
        <w:spacing w:val="-3"/>
        <w:sz w:val="14"/>
        <w:szCs w:val="14"/>
      </w:rPr>
      <w:t>ABN 37 136 180 366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4AACCF" w14:textId="6A92688D" w:rsidR="009C412C" w:rsidRDefault="00C715DA" w:rsidP="00253C70">
    <w:pPr>
      <w:suppressAutoHyphens/>
      <w:rPr>
        <w:rFonts w:ascii="Frutiger-Light" w:hAnsi="Frutiger-Light" w:cs="Frutiger-Light"/>
        <w:color w:val="5A5B5E"/>
        <w:spacing w:val="-3"/>
        <w:sz w:val="14"/>
        <w:szCs w:val="14"/>
      </w:rPr>
    </w:pPr>
    <w:r>
      <w:rPr>
        <w:rFonts w:ascii="Frutiger-Light" w:hAnsi="Frutiger-Light" w:cs="Frutiger-Light"/>
        <w:noProof/>
        <w:color w:val="5A5B5E"/>
        <w:spacing w:val="-3"/>
        <w:sz w:val="14"/>
        <w:szCs w:val="14"/>
        <w:lang w:val="en-AU" w:eastAsia="en-AU"/>
      </w:rPr>
      <mc:AlternateContent>
        <mc:Choice Requires="wps">
          <w:drawing>
            <wp:anchor distT="0" distB="0" distL="114300" distR="114300" simplePos="0" relativeHeight="251696128" behindDoc="0" locked="0" layoutInCell="0" allowOverlap="1" wp14:anchorId="0DC1D31A" wp14:editId="10CDDFDB">
              <wp:simplePos x="0" y="0"/>
              <wp:positionH relativeFrom="page">
                <wp:posOffset>0</wp:posOffset>
              </wp:positionH>
              <wp:positionV relativeFrom="page">
                <wp:posOffset>10229215</wp:posOffset>
              </wp:positionV>
              <wp:extent cx="7556500" cy="273050"/>
              <wp:effectExtent l="0" t="0" r="0" b="12700"/>
              <wp:wrapNone/>
              <wp:docPr id="2" name="MSIPCMc02841d3a1d0498b0637b75d" descr="{&quot;HashCode&quot;:-72179600,&quot;Height&quot;:842.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565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7C6090A" w14:textId="28FEC0F8"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DC1D31A" id="_x0000_t202" coordsize="21600,21600" o:spt="202" path="m,l,21600r21600,l21600,xe">
              <v:stroke joinstyle="miter"/>
              <v:path gradientshapeok="t" o:connecttype="rect"/>
            </v:shapetype>
            <v:shape id="MSIPCMc02841d3a1d0498b0637b75d" o:spid="_x0000_s1027" type="#_x0000_t202" alt="{&quot;HashCode&quot;:-72179600,&quot;Height&quot;:842.0,&quot;Width&quot;:595.0,&quot;Placement&quot;:&quot;Footer&quot;,&quot;Index&quot;:&quot;FirstPage&quot;,&quot;Section&quot;:1,&quot;Top&quot;:0.0,&quot;Left&quot;:0.0}" style="position:absolute;margin-left:0;margin-top:805.45pt;width:595pt;height:21.5pt;z-index:25169612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" o:allowincell="f" filled="f" stroked="f" strokeweight=".5pt">
              <v:fill o:detectmouseclick="t"/>
              <v:textbox inset=",0,,0">
                <w:txbxContent>
                  <w:p w14:paraId="37C6090A" w14:textId="28FEC0F8"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v:textbox>
              <w10:wrap anchorx="page" anchory="page"/>
            </v:shape>
          </w:pict>
        </mc:Fallback>
      </mc:AlternateContent>
    </w:r>
  </w:p>
  <w:p w14:paraId="64D46108" w14:textId="77777777" w:rsidR="009C412C" w:rsidRDefault="009C412C" w:rsidP="00253C70">
    <w:pPr>
      <w:suppressAutoHyphens/>
      <w:rPr>
        <w:rFonts w:ascii="Frutiger-Light" w:hAnsi="Frutiger-Light" w:cs="Frutiger-Light"/>
        <w:color w:val="5A5B5E"/>
        <w:spacing w:val="-3"/>
        <w:sz w:val="14"/>
        <w:szCs w:val="14"/>
      </w:rPr>
    </w:pPr>
  </w:p>
  <w:p w14:paraId="429B5609" w14:textId="77777777" w:rsidR="009C412C" w:rsidRDefault="009C412C" w:rsidP="00253C70">
    <w:pPr>
      <w:suppressAutoHyphens/>
      <w:rPr>
        <w:rFonts w:ascii="Frutiger-Light" w:hAnsi="Frutiger-Light" w:cs="Frutiger-Light"/>
        <w:color w:val="5A5B5E"/>
        <w:spacing w:val="-3"/>
        <w:sz w:val="14"/>
        <w:szCs w:val="14"/>
      </w:rPr>
    </w:pPr>
  </w:p>
  <w:p w14:paraId="5C4060D9" w14:textId="77777777" w:rsidR="009C412C" w:rsidRPr="0036448C" w:rsidRDefault="009C412C" w:rsidP="00253C70">
    <w:pPr>
      <w:suppressAutoHyphens/>
      <w:rPr>
        <w:rFonts w:ascii="Frutiger-Light" w:hAnsi="Frutiger-Light" w:cs="Frutiger-Light"/>
        <w:color w:val="5A5B5E"/>
        <w:spacing w:val="-3"/>
        <w:sz w:val="14"/>
        <w:szCs w:val="14"/>
      </w:rPr>
    </w:pPr>
    <w:r w:rsidRPr="0036448C">
      <w:rPr>
        <w:rFonts w:ascii="Frutiger-Light" w:hAnsi="Frutiger-Light" w:cs="Frutiger-Light"/>
        <w:color w:val="5A5B5E"/>
        <w:spacing w:val="-3"/>
        <w:sz w:val="14"/>
        <w:szCs w:val="14"/>
      </w:rPr>
      <w:t>eftpos Payments Australia Limited</w:t>
    </w:r>
  </w:p>
  <w:p w14:paraId="2CD04CE9" w14:textId="77777777" w:rsidR="009C412C" w:rsidRPr="00253C70" w:rsidRDefault="009C412C" w:rsidP="00253C70">
    <w:pPr>
      <w:pStyle w:val="Footer"/>
      <w:rPr>
        <w:color w:val="5A5B5E"/>
      </w:rPr>
    </w:pPr>
    <w:r w:rsidRPr="0036448C">
      <w:rPr>
        <w:rFonts w:ascii="Frutiger-Light" w:hAnsi="Frutiger-Light" w:cs="Frutiger-Light"/>
        <w:color w:val="5A5B5E"/>
        <w:spacing w:val="-3"/>
        <w:sz w:val="14"/>
        <w:szCs w:val="14"/>
      </w:rPr>
      <w:t>ABN 37 136 180 366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78464" w14:textId="77777777" w:rsidR="009C412C" w:rsidRDefault="009C412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1DC30" w14:textId="2DDD1E0C" w:rsidR="009C412C" w:rsidRPr="009B3894" w:rsidRDefault="00C715DA" w:rsidP="009B3894">
    <w:pPr>
      <w:pStyle w:val="Footer"/>
      <w:jc w:val="center"/>
    </w:pPr>
    <w:r>
      <w:rPr>
        <w:noProof/>
        <w:lang w:val="en-AU" w:eastAsia="en-AU"/>
      </w:rPr>
      <mc:AlternateContent>
        <mc:Choice Requires="wps">
          <w:drawing>
            <wp:anchor distT="0" distB="0" distL="114300" distR="114300" simplePos="1" relativeHeight="251697152" behindDoc="0" locked="0" layoutInCell="0" allowOverlap="1" wp14:anchorId="16D68E99" wp14:editId="086BD7C9">
              <wp:simplePos x="0" y="10229453"/>
              <wp:positionH relativeFrom="page">
                <wp:posOffset>0</wp:posOffset>
              </wp:positionH>
              <wp:positionV relativeFrom="page">
                <wp:posOffset>10229215</wp:posOffset>
              </wp:positionV>
              <wp:extent cx="7556500" cy="273050"/>
              <wp:effectExtent l="0" t="0" r="0" b="12700"/>
              <wp:wrapNone/>
              <wp:docPr id="5" name="MSIPCM826a44b5a87b4a9aa4d73087" descr="{&quot;HashCode&quot;:-72179600,&quot;Height&quot;:842.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565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A4846C" w14:textId="3B09A0CB"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6D68E99" id="_x0000_t202" coordsize="21600,21600" o:spt="202" path="m,l,21600r21600,l21600,xe">
              <v:stroke joinstyle="miter"/>
              <v:path gradientshapeok="t" o:connecttype="rect"/>
            </v:shapetype>
            <v:shape id="MSIPCM826a44b5a87b4a9aa4d73087" o:spid="_x0000_s1028" type="#_x0000_t202" alt="{&quot;HashCode&quot;:-72179600,&quot;Height&quot;:842.0,&quot;Width&quot;:595.0,&quot;Placement&quot;:&quot;Footer&quot;,&quot;Index&quot;:&quot;Primary&quot;,&quot;Section&quot;:2,&quot;Top&quot;:0.0,&quot;Left&quot;:0.0}" style="position:absolute;left:0;text-align:left;margin-left:0;margin-top:805.45pt;width:595pt;height:21.5pt;z-index:25169715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" o:allowincell="f" filled="f" stroked="f" strokeweight=".5pt">
              <v:fill o:detectmouseclick="t"/>
              <v:textbox inset=",0,,0">
                <w:txbxContent>
                  <w:p w14:paraId="0BA4846C" w14:textId="3B09A0CB"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v:textbox>
              <w10:wrap anchorx="page" anchory="page"/>
            </v:shape>
          </w:pict>
        </mc:Fallback>
      </mc:AlternateContent>
    </w:r>
    <w:r w:rsidR="009C412C">
      <w:t>Confidential to eftpos Payments Australia Limited ABN37 136 180 366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3A705F" w14:textId="063D2800" w:rsidR="009C412C" w:rsidRDefault="00C715DA">
    <w:pPr>
      <w:pStyle w:val="Footer"/>
    </w:pPr>
    <w:r>
      <w:rPr>
        <w:noProof/>
        <w:lang w:val="en-AU" w:eastAsia="en-AU"/>
      </w:rPr>
      <mc:AlternateContent>
        <mc:Choice Requires="wps">
          <w:drawing>
            <wp:anchor distT="0" distB="0" distL="114300" distR="114300" simplePos="0" relativeHeight="251698176" behindDoc="0" locked="0" layoutInCell="0" allowOverlap="1" wp14:anchorId="73343FAB" wp14:editId="5685C3E0">
              <wp:simplePos x="0" y="0"/>
              <wp:positionH relativeFrom="page">
                <wp:posOffset>0</wp:posOffset>
              </wp:positionH>
              <wp:positionV relativeFrom="page">
                <wp:posOffset>10229215</wp:posOffset>
              </wp:positionV>
              <wp:extent cx="7556500" cy="273050"/>
              <wp:effectExtent l="0" t="0" r="0" b="12700"/>
              <wp:wrapNone/>
              <wp:docPr id="6" name="MSIPCMa40144afaebd1d06f4c15f63" descr="{&quot;HashCode&quot;:-72179600,&quot;Height&quot;:842.0,&quot;Width&quot;:595.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5565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B2D7BB1" w14:textId="33E7A375"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3343FAB" id="_x0000_t202" coordsize="21600,21600" o:spt="202" path="m,l,21600r21600,l21600,xe">
              <v:stroke joinstyle="miter"/>
              <v:path gradientshapeok="t" o:connecttype="rect"/>
            </v:shapetype>
            <v:shape id="MSIPCMa40144afaebd1d06f4c15f63" o:spid="_x0000_s1029" type="#_x0000_t202" alt="{&quot;HashCode&quot;:-72179600,&quot;Height&quot;:842.0,&quot;Width&quot;:595.0,&quot;Placement&quot;:&quot;Footer&quot;,&quot;Index&quot;:&quot;FirstPage&quot;,&quot;Section&quot;:2,&quot;Top&quot;:0.0,&quot;Left&quot;:0.0}" style="position:absolute;margin-left:0;margin-top:805.45pt;width:595pt;height:21.5pt;z-index:2516981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" o:allowincell="f" filled="f" stroked="f" strokeweight=".5pt">
              <v:fill o:detectmouseclick="t"/>
              <v:textbox inset=",0,,0">
                <w:txbxContent>
                  <w:p w14:paraId="3B2D7BB1" w14:textId="33E7A375" w:rsidR="00C715DA" w:rsidRPr="00C715DA" w:rsidRDefault="00C715DA" w:rsidP="00C715DA">
                    <w:pPr>
                      <w:jc w:val="center"/>
                      <w:rPr>
                        <w:rFonts w:ascii="Calibri" w:hAnsi="Calibri" w:cs="Calibri"/>
                        <w:color w:val="8D1B3D"/>
                        <w:sz w:val="18"/>
                      </w:rPr>
                    </w:pPr>
                    <w:r w:rsidRPr="00C715DA">
                      <w:rPr>
                        <w:rFonts w:ascii="Calibri" w:hAnsi="Calibri" w:cs="Calibri"/>
                        <w:color w:val="8D1B3D"/>
                        <w:sz w:val="18"/>
                      </w:rPr>
                      <w:t>For Official Use Only</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1EC6E" w14:textId="77777777" w:rsidR="009C412C" w:rsidRDefault="009C412C">
      <w:pPr>
        <w:spacing w:line="240" w:lineRule="auto"/>
      </w:pPr>
      <w:r>
        <w:separator/>
      </w:r>
    </w:p>
  </w:footnote>
  <w:footnote w:type="continuationSeparator" w:id="0">
    <w:p w14:paraId="11338560" w14:textId="77777777" w:rsidR="009C412C" w:rsidRDefault="009C412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BD16E2" w14:textId="77777777" w:rsidR="00C715DA" w:rsidRDefault="00C715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8675" w:type="dxa"/>
      <w:tblLook w:val="00A0" w:firstRow="1" w:lastRow="0" w:firstColumn="1" w:lastColumn="0" w:noHBand="0" w:noVBand="0"/>
    </w:tblPr>
    <w:tblGrid>
      <w:gridCol w:w="6030"/>
      <w:gridCol w:w="2645"/>
    </w:tblGrid>
    <w:tr w:rsidR="009C412C" w:rsidRPr="0036448C" w14:paraId="05CEBE87" w14:textId="77777777">
      <w:tc>
        <w:tcPr>
          <w:tcW w:w="5557" w:type="dxa"/>
        </w:tcPr>
        <w:p w14:paraId="06EC8CE4" w14:textId="77777777" w:rsidR="009C412C" w:rsidRPr="009E7F07" w:rsidRDefault="009C412C" w:rsidP="0036448C">
          <w:pPr>
            <w:tabs>
              <w:tab w:val="left" w:pos="283"/>
            </w:tabs>
            <w:suppressAutoHyphens/>
            <w:spacing w:after="20"/>
            <w:jc w:val="right"/>
            <w:rPr>
              <w:rFonts w:ascii="Frutiger-Bold" w:hAnsi="Frutiger-Bold" w:cs="Frutiger-Bold"/>
              <w:b/>
              <w:bCs/>
              <w:noProof/>
              <w:color w:val="5A5B5E"/>
              <w:spacing w:val="-2"/>
              <w:sz w:val="15"/>
              <w:szCs w:val="15"/>
            </w:rPr>
          </w:pPr>
        </w:p>
        <w:p w14:paraId="3BE5AD0B" w14:textId="77777777" w:rsidR="009C412C" w:rsidRPr="00465147" w:rsidRDefault="009C412C" w:rsidP="00465147"/>
        <w:p w14:paraId="752C4AE5" w14:textId="77777777" w:rsidR="009C412C" w:rsidRPr="00465147" w:rsidRDefault="009C412C" w:rsidP="00465147"/>
        <w:p w14:paraId="3F423378" w14:textId="77777777" w:rsidR="009C412C" w:rsidRPr="00465147" w:rsidRDefault="009C412C" w:rsidP="00465147">
          <w:pPr>
            <w:tabs>
              <w:tab w:val="left" w:pos="4430"/>
            </w:tabs>
          </w:pPr>
          <w:r>
            <w:rPr>
              <w:noProof/>
              <w:lang w:val="en-AU" w:eastAsia="en-AU"/>
            </w:rPr>
            <w:drawing>
              <wp:anchor distT="0" distB="0" distL="114300" distR="114300" simplePos="0" relativeHeight="251661312" behindDoc="0" locked="0" layoutInCell="1" allowOverlap="1" wp14:anchorId="1DDD9917" wp14:editId="5946CD7D">
                <wp:simplePos x="0" y="0"/>
                <wp:positionH relativeFrom="column">
                  <wp:posOffset>-19050</wp:posOffset>
                </wp:positionH>
                <wp:positionV relativeFrom="paragraph">
                  <wp:posOffset>-432435</wp:posOffset>
                </wp:positionV>
                <wp:extent cx="1024890" cy="361315"/>
                <wp:effectExtent l="19050" t="0" r="3810" b="0"/>
                <wp:wrapThrough wrapText="bothSides">
                  <wp:wrapPolygon edited="0">
                    <wp:start x="-401" y="0"/>
                    <wp:lineTo x="-401" y="20499"/>
                    <wp:lineTo x="21680" y="20499"/>
                    <wp:lineTo x="21680" y="0"/>
                    <wp:lineTo x="-401" y="0"/>
                  </wp:wrapPolygon>
                </wp:wrapThrough>
                <wp:docPr id="39" name="Picture 39"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24890" cy="361315"/>
                        </a:xfrm>
                        <a:prstGeom prst="rect">
                          <a:avLst/>
                        </a:prstGeom>
                        <a:noFill/>
                        <a:ln w="9525">
                          <a:noFill/>
                          <a:miter lim="800000"/>
                          <a:headEnd/>
                          <a:tailEnd/>
                        </a:ln>
                      </pic:spPr>
                    </pic:pic>
                  </a:graphicData>
                </a:graphic>
              </wp:anchor>
            </w:drawing>
          </w:r>
          <w:r>
            <w:tab/>
          </w:r>
        </w:p>
      </w:tc>
      <w:tc>
        <w:tcPr>
          <w:tcW w:w="2438" w:type="dxa"/>
        </w:tcPr>
        <w:p w14:paraId="69BD5B3B" w14:textId="77777777" w:rsidR="009C412C" w:rsidRDefault="009C412C" w:rsidP="0036448C">
          <w:pPr>
            <w:tabs>
              <w:tab w:val="left" w:pos="700"/>
            </w:tabs>
            <w:suppressAutoHyphens/>
            <w:spacing w:before="60"/>
            <w:rPr>
              <w:rFonts w:cs="Frutiger-Light"/>
              <w:color w:val="5A5B5E"/>
              <w:spacing w:val="-1"/>
              <w:sz w:val="15"/>
              <w:szCs w:val="15"/>
            </w:rPr>
          </w:pPr>
        </w:p>
        <w:p w14:paraId="2061E211" w14:textId="77777777" w:rsidR="009C412C" w:rsidRDefault="009C412C" w:rsidP="0036448C">
          <w:pPr>
            <w:tabs>
              <w:tab w:val="left" w:pos="700"/>
            </w:tabs>
            <w:suppressAutoHyphens/>
            <w:spacing w:before="60"/>
            <w:rPr>
              <w:rFonts w:cs="Frutiger-Light"/>
              <w:color w:val="5A5B5E"/>
              <w:spacing w:val="-1"/>
              <w:sz w:val="15"/>
              <w:szCs w:val="15"/>
            </w:rPr>
          </w:pPr>
        </w:p>
        <w:p w14:paraId="662A74C6" w14:textId="77777777" w:rsidR="009C412C" w:rsidRPr="0036448C" w:rsidRDefault="009C412C" w:rsidP="0036448C">
          <w:pPr>
            <w:tabs>
              <w:tab w:val="left" w:pos="700"/>
            </w:tabs>
            <w:suppressAutoHyphens/>
            <w:spacing w:before="60"/>
            <w:rPr>
              <w:rFonts w:cs="Frutiger-Light"/>
              <w:color w:val="5A5B5E"/>
              <w:spacing w:val="-1"/>
              <w:sz w:val="15"/>
              <w:szCs w:val="15"/>
            </w:rPr>
          </w:pPr>
        </w:p>
      </w:tc>
    </w:tr>
  </w:tbl>
  <w:p w14:paraId="676FF86A" w14:textId="77777777" w:rsidR="009C412C" w:rsidRPr="0036448C" w:rsidRDefault="009C412C" w:rsidP="00DC2C98">
    <w:pPr>
      <w:tabs>
        <w:tab w:val="left" w:pos="283"/>
      </w:tabs>
      <w:suppressAutoHyphens/>
      <w:spacing w:after="20"/>
      <w:jc w:val="right"/>
      <w:rPr>
        <w:rFonts w:ascii="Frutiger-Bold" w:hAnsi="Frutiger-Bold" w:cs="Frutiger-Bold"/>
        <w:b/>
        <w:bCs/>
        <w:color w:val="5A5B5E"/>
        <w:spacing w:val="-2"/>
        <w:sz w:val="15"/>
        <w:szCs w:val="15"/>
      </w:rPr>
    </w:pPr>
  </w:p>
  <w:p w14:paraId="4D99DD43" w14:textId="77777777" w:rsidR="009C412C" w:rsidRPr="00DC2C98" w:rsidRDefault="009C412C" w:rsidP="00DC2C98">
    <w:pPr>
      <w:rPr>
        <w:szCs w:val="15"/>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61" w:type="dxa"/>
      <w:tblLook w:val="00A0" w:firstRow="1" w:lastRow="0" w:firstColumn="1" w:lastColumn="0" w:noHBand="0" w:noVBand="0"/>
    </w:tblPr>
    <w:tblGrid>
      <w:gridCol w:w="6785"/>
      <w:gridCol w:w="2976"/>
    </w:tblGrid>
    <w:tr w:rsidR="009C412C" w:rsidRPr="0036448C" w14:paraId="2CFFA874" w14:textId="77777777" w:rsidTr="003A600E">
      <w:trPr>
        <w:trHeight w:val="2430"/>
      </w:trPr>
      <w:tc>
        <w:tcPr>
          <w:tcW w:w="6785" w:type="dxa"/>
        </w:tcPr>
        <w:p w14:paraId="4E869444" w14:textId="77777777" w:rsidR="009C412C" w:rsidRPr="009E7F07" w:rsidRDefault="009C412C" w:rsidP="0036448C">
          <w:pPr>
            <w:tabs>
              <w:tab w:val="left" w:pos="283"/>
            </w:tabs>
            <w:suppressAutoHyphens/>
            <w:spacing w:after="20"/>
            <w:jc w:val="right"/>
            <w:rPr>
              <w:rFonts w:ascii="Frutiger-Bold" w:hAnsi="Frutiger-Bold" w:cs="Frutiger-Bold"/>
              <w:b/>
              <w:bCs/>
              <w:noProof/>
              <w:color w:val="5A5B5E"/>
              <w:spacing w:val="-2"/>
              <w:sz w:val="15"/>
              <w:szCs w:val="15"/>
            </w:rPr>
          </w:pPr>
          <w:r>
            <w:rPr>
              <w:rFonts w:ascii="Frutiger-Bold" w:hAnsi="Frutiger-Bold" w:cs="Frutiger-Bold"/>
              <w:b/>
              <w:bCs/>
              <w:noProof/>
              <w:color w:val="5A5B5E"/>
              <w:spacing w:val="-2"/>
              <w:sz w:val="15"/>
              <w:szCs w:val="15"/>
            </w:rPr>
            <w:t xml:space="preserve"> </w:t>
          </w:r>
        </w:p>
        <w:p w14:paraId="1BF2D0CB" w14:textId="77777777" w:rsidR="009C412C" w:rsidRPr="00465147" w:rsidRDefault="009C412C" w:rsidP="00465147"/>
        <w:p w14:paraId="4D40B84A" w14:textId="77777777" w:rsidR="009C412C" w:rsidRPr="00465147" w:rsidRDefault="009C412C" w:rsidP="00465147"/>
        <w:p w14:paraId="46EABFBB" w14:textId="77777777" w:rsidR="009C412C" w:rsidRPr="00465147" w:rsidRDefault="009C412C" w:rsidP="00465147">
          <w:pPr>
            <w:tabs>
              <w:tab w:val="left" w:pos="4430"/>
            </w:tabs>
          </w:pPr>
          <w:r>
            <w:rPr>
              <w:noProof/>
              <w:lang w:val="en-AU" w:eastAsia="en-AU"/>
            </w:rPr>
            <w:drawing>
              <wp:anchor distT="0" distB="0" distL="114300" distR="114300" simplePos="0" relativeHeight="251663360" behindDoc="0" locked="0" layoutInCell="1" allowOverlap="1" wp14:anchorId="054E4C41" wp14:editId="27D0048D">
                <wp:simplePos x="0" y="0"/>
                <wp:positionH relativeFrom="column">
                  <wp:posOffset>-74930</wp:posOffset>
                </wp:positionH>
                <wp:positionV relativeFrom="paragraph">
                  <wp:posOffset>-434340</wp:posOffset>
                </wp:positionV>
                <wp:extent cx="1031240" cy="361315"/>
                <wp:effectExtent l="19050" t="0" r="0" b="0"/>
                <wp:wrapThrough wrapText="bothSides">
                  <wp:wrapPolygon edited="0">
                    <wp:start x="-399" y="0"/>
                    <wp:lineTo x="-399" y="20499"/>
                    <wp:lineTo x="21547" y="20499"/>
                    <wp:lineTo x="21547" y="0"/>
                    <wp:lineTo x="-399" y="0"/>
                  </wp:wrapPolygon>
                </wp:wrapThrough>
                <wp:docPr id="40" name="Picture 40"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31240" cy="361315"/>
                        </a:xfrm>
                        <a:prstGeom prst="rect">
                          <a:avLst/>
                        </a:prstGeom>
                        <a:noFill/>
                        <a:ln w="9525">
                          <a:noFill/>
                          <a:miter lim="800000"/>
                          <a:headEnd/>
                          <a:tailEnd/>
                        </a:ln>
                      </pic:spPr>
                    </pic:pic>
                  </a:graphicData>
                </a:graphic>
              </wp:anchor>
            </w:drawing>
          </w:r>
          <w:r>
            <w:tab/>
          </w:r>
        </w:p>
      </w:tc>
      <w:tc>
        <w:tcPr>
          <w:tcW w:w="2976" w:type="dxa"/>
        </w:tcPr>
        <w:p w14:paraId="36CA4266" w14:textId="77777777" w:rsidR="009C412C" w:rsidRPr="0036448C" w:rsidRDefault="009C412C" w:rsidP="0036448C">
          <w:pPr>
            <w:tabs>
              <w:tab w:val="left" w:pos="283"/>
            </w:tabs>
            <w:suppressAutoHyphens/>
            <w:rPr>
              <w:rFonts w:cs="Frutiger-Light"/>
              <w:color w:val="5A5B5E"/>
              <w:spacing w:val="-1"/>
              <w:sz w:val="15"/>
              <w:szCs w:val="15"/>
            </w:rPr>
          </w:pPr>
          <w:r w:rsidRPr="0036448C">
            <w:rPr>
              <w:rFonts w:ascii="Frutiger 65 Bold" w:hAnsi="Frutiger 65 Bold" w:cs="Frutiger-Bold"/>
              <w:bCs/>
              <w:color w:val="5A5B5E"/>
              <w:spacing w:val="-2"/>
              <w:sz w:val="15"/>
              <w:szCs w:val="15"/>
            </w:rPr>
            <w:t>eftpos Payments Australia Limited</w:t>
          </w:r>
          <w:r w:rsidRPr="0036448C">
            <w:rPr>
              <w:rFonts w:ascii="Frutiger-Bold" w:hAnsi="Frutiger-Bold" w:cs="Frutiger-Bold"/>
              <w:b/>
              <w:bCs/>
              <w:color w:val="5A5B5E"/>
              <w:spacing w:val="-2"/>
              <w:sz w:val="15"/>
              <w:szCs w:val="15"/>
            </w:rPr>
            <w:br/>
          </w:r>
          <w:r>
            <w:rPr>
              <w:rFonts w:cs="Frutiger-Light"/>
              <w:color w:val="5A5B5E"/>
              <w:spacing w:val="-1"/>
              <w:sz w:val="15"/>
              <w:szCs w:val="15"/>
            </w:rPr>
            <w:t>Level 11</w:t>
          </w:r>
          <w:r w:rsidRPr="0036448C">
            <w:rPr>
              <w:rFonts w:cs="Frutiger-Light"/>
              <w:color w:val="5A5B5E"/>
              <w:spacing w:val="-1"/>
              <w:sz w:val="15"/>
              <w:szCs w:val="15"/>
            </w:rPr>
            <w:t xml:space="preserve"> </w:t>
          </w:r>
          <w:r w:rsidRPr="0036448C">
            <w:rPr>
              <w:rFonts w:cs="Frutiger-Light"/>
              <w:color w:val="5A5B5E"/>
              <w:spacing w:val="-1"/>
              <w:sz w:val="15"/>
              <w:szCs w:val="15"/>
            </w:rPr>
            <w:br/>
          </w:r>
          <w:r>
            <w:rPr>
              <w:rFonts w:cs="Frutiger-Light"/>
              <w:color w:val="5A5B5E"/>
              <w:spacing w:val="-1"/>
              <w:sz w:val="15"/>
              <w:szCs w:val="15"/>
            </w:rPr>
            <w:t xml:space="preserve">45 Clarence </w:t>
          </w:r>
          <w:r w:rsidRPr="0036448C">
            <w:rPr>
              <w:rFonts w:cs="Frutiger-Light"/>
              <w:color w:val="5A5B5E"/>
              <w:spacing w:val="-1"/>
              <w:sz w:val="15"/>
              <w:szCs w:val="15"/>
            </w:rPr>
            <w:t xml:space="preserve">Street </w:t>
          </w:r>
          <w:r w:rsidRPr="0036448C">
            <w:rPr>
              <w:rFonts w:cs="Frutiger-Light"/>
              <w:color w:val="5A5B5E"/>
              <w:spacing w:val="-1"/>
              <w:sz w:val="15"/>
              <w:szCs w:val="15"/>
            </w:rPr>
            <w:br/>
            <w:t>Sydney NSW 2000</w:t>
          </w:r>
        </w:p>
        <w:p w14:paraId="08621840" w14:textId="77777777" w:rsidR="009C412C" w:rsidRPr="0036448C" w:rsidRDefault="009C412C" w:rsidP="0036448C">
          <w:pPr>
            <w:tabs>
              <w:tab w:val="left" w:pos="283"/>
            </w:tabs>
            <w:suppressAutoHyphens/>
            <w:spacing w:before="60"/>
            <w:rPr>
              <w:rFonts w:cs="Frutiger-Light"/>
              <w:color w:val="5A5B5E"/>
              <w:spacing w:val="-3"/>
              <w:sz w:val="15"/>
              <w:szCs w:val="15"/>
            </w:rPr>
          </w:pPr>
          <w:r w:rsidRPr="0036448C">
            <w:rPr>
              <w:rFonts w:cs="Frutiger-Light"/>
              <w:color w:val="5A5B5E"/>
              <w:spacing w:val="-1"/>
              <w:sz w:val="15"/>
              <w:szCs w:val="15"/>
            </w:rPr>
            <w:t>GPO Box 126</w:t>
          </w:r>
          <w:r w:rsidRPr="0036448C">
            <w:rPr>
              <w:rFonts w:cs="Frutiger-Light"/>
              <w:color w:val="5A5B5E"/>
              <w:spacing w:val="-1"/>
              <w:sz w:val="15"/>
              <w:szCs w:val="15"/>
            </w:rPr>
            <w:br/>
            <w:t>Sydney NSW 2001</w:t>
          </w:r>
        </w:p>
        <w:p w14:paraId="364916E2" w14:textId="77777777" w:rsidR="009C412C" w:rsidRPr="0036448C" w:rsidRDefault="009C412C" w:rsidP="00732949">
          <w:pPr>
            <w:tabs>
              <w:tab w:val="left" w:pos="700"/>
            </w:tabs>
            <w:suppressAutoHyphens/>
            <w:spacing w:before="60"/>
            <w:rPr>
              <w:rFonts w:cs="Frutiger-Light"/>
              <w:color w:val="5A5B5E"/>
              <w:spacing w:val="-1"/>
              <w:sz w:val="15"/>
              <w:szCs w:val="15"/>
            </w:rPr>
          </w:pPr>
          <w:r w:rsidRPr="0036448C">
            <w:rPr>
              <w:rFonts w:cs="Frutiger-Light"/>
              <w:color w:val="5A5B5E"/>
              <w:spacing w:val="-3"/>
              <w:sz w:val="15"/>
              <w:szCs w:val="15"/>
            </w:rPr>
            <w:t>Telephone</w:t>
          </w:r>
          <w:r w:rsidRPr="0036448C">
            <w:rPr>
              <w:rFonts w:cs="Frutiger-Light"/>
              <w:color w:val="5A5B5E"/>
              <w:spacing w:val="-3"/>
              <w:sz w:val="15"/>
              <w:szCs w:val="15"/>
            </w:rPr>
            <w:tab/>
          </w:r>
          <w:r>
            <w:rPr>
              <w:rFonts w:cs="Frutiger-Light"/>
              <w:color w:val="5A5B5E"/>
              <w:spacing w:val="-3"/>
              <w:sz w:val="15"/>
              <w:szCs w:val="15"/>
            </w:rPr>
            <w:t xml:space="preserve"> </w:t>
          </w:r>
          <w:r w:rsidRPr="0036448C">
            <w:rPr>
              <w:rFonts w:cs="Frutiger-Light"/>
              <w:color w:val="5A5B5E"/>
              <w:spacing w:val="-3"/>
              <w:sz w:val="15"/>
              <w:szCs w:val="15"/>
            </w:rPr>
            <w:t>+61 2 8270 1800</w:t>
          </w:r>
          <w:r w:rsidRPr="0036448C">
            <w:rPr>
              <w:rFonts w:cs="Frutiger-Light"/>
              <w:color w:val="5A5B5E"/>
              <w:spacing w:val="-3"/>
              <w:sz w:val="15"/>
              <w:szCs w:val="15"/>
            </w:rPr>
            <w:br/>
            <w:t>Facsimile</w:t>
          </w:r>
          <w:r w:rsidRPr="0036448C">
            <w:rPr>
              <w:rFonts w:cs="Frutiger-Light"/>
              <w:color w:val="5A5B5E"/>
              <w:spacing w:val="-3"/>
              <w:sz w:val="15"/>
              <w:szCs w:val="15"/>
            </w:rPr>
            <w:tab/>
            <w:t>+61 2 9299 2885</w:t>
          </w:r>
          <w:r w:rsidRPr="0036448C">
            <w:rPr>
              <w:rFonts w:cs="Frutiger-Light"/>
              <w:color w:val="5A5B5E"/>
              <w:spacing w:val="-1"/>
              <w:sz w:val="15"/>
              <w:szCs w:val="15"/>
            </w:rPr>
            <w:br/>
            <w:t>eftpos</w:t>
          </w:r>
          <w:r>
            <w:rPr>
              <w:rFonts w:cs="Frutiger-Light"/>
              <w:color w:val="5A5B5E"/>
              <w:spacing w:val="-1"/>
              <w:sz w:val="15"/>
              <w:szCs w:val="15"/>
            </w:rPr>
            <w:t>australia</w:t>
          </w:r>
          <w:r w:rsidRPr="0036448C">
            <w:rPr>
              <w:rFonts w:cs="Frutiger-Light"/>
              <w:color w:val="5A5B5E"/>
              <w:spacing w:val="-1"/>
              <w:sz w:val="15"/>
              <w:szCs w:val="15"/>
            </w:rPr>
            <w:t>.com.au</w:t>
          </w:r>
        </w:p>
      </w:tc>
    </w:tr>
  </w:tbl>
  <w:p w14:paraId="66EE4780" w14:textId="77777777" w:rsidR="009C412C" w:rsidRPr="00213C6A" w:rsidRDefault="009C412C" w:rsidP="00213C6A">
    <w:pPr>
      <w:pStyle w:val="Header"/>
      <w:rPr>
        <w:rFonts w:ascii="Segoe UI" w:hAnsi="Segoe UI" w:cs="Segoe UI"/>
        <w:sz w:val="20"/>
        <w:szCs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315526" w14:textId="77777777" w:rsidR="009C412C" w:rsidRDefault="009C412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E853B" w14:textId="77777777" w:rsidR="009C412C" w:rsidRDefault="009C412C">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6528D" w14:textId="77777777" w:rsidR="009C412C" w:rsidRDefault="009C41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7791F"/>
    <w:multiLevelType w:val="hybridMultilevel"/>
    <w:tmpl w:val="FFECA9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F1517B"/>
    <w:multiLevelType w:val="hybridMultilevel"/>
    <w:tmpl w:val="5CCA2B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296FD3"/>
    <w:multiLevelType w:val="multilevel"/>
    <w:tmpl w:val="2474C4B0"/>
    <w:lvl w:ilvl="0">
      <w:start w:val="1"/>
      <w:numFmt w:val="decimal"/>
      <w:pStyle w:val="ListNumber"/>
      <w:lvlText w:val="%1"/>
      <w:lvlJc w:val="left"/>
      <w:pPr>
        <w:tabs>
          <w:tab w:val="num" w:pos="567"/>
        </w:tabs>
        <w:ind w:left="567" w:hanging="567"/>
      </w:pPr>
      <w:rPr>
        <w:rFonts w:hint="default"/>
      </w:rPr>
    </w:lvl>
    <w:lvl w:ilvl="1">
      <w:start w:val="1"/>
      <w:numFmt w:val="lowerLetter"/>
      <w:pStyle w:val="ListNumber2"/>
      <w:lvlText w:val="%2"/>
      <w:lvlJc w:val="left"/>
      <w:pPr>
        <w:tabs>
          <w:tab w:val="num" w:pos="1134"/>
        </w:tabs>
        <w:ind w:left="1134" w:hanging="567"/>
      </w:pPr>
      <w:rPr>
        <w:rFonts w:hint="default"/>
      </w:rPr>
    </w:lvl>
    <w:lvl w:ilvl="2">
      <w:start w:val="1"/>
      <w:numFmt w:val="lowerRoman"/>
      <w:pStyle w:val="ListNumber3"/>
      <w:lvlText w:val="%3"/>
      <w:lvlJc w:val="left"/>
      <w:pPr>
        <w:tabs>
          <w:tab w:val="num" w:pos="1701"/>
        </w:tabs>
        <w:ind w:left="1701" w:hanging="567"/>
      </w:pPr>
      <w:rPr>
        <w:rFonts w:hint="default"/>
      </w:rPr>
    </w:lvl>
    <w:lvl w:ilvl="3">
      <w:start w:val="1"/>
      <w:numFmt w:val="decimal"/>
      <w:pStyle w:val="ListNumber4"/>
      <w:lvlText w:val="%4"/>
      <w:lvlJc w:val="left"/>
      <w:pPr>
        <w:tabs>
          <w:tab w:val="num" w:pos="2268"/>
        </w:tabs>
        <w:ind w:left="2268" w:hanging="567"/>
      </w:pPr>
      <w:rPr>
        <w:rFonts w:hint="default"/>
      </w:rPr>
    </w:lvl>
    <w:lvl w:ilvl="4">
      <w:start w:val="1"/>
      <w:numFmt w:val="lowerLetter"/>
      <w:pStyle w:val="ListNumber5"/>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3" w15:restartNumberingAfterBreak="0">
    <w:nsid w:val="10AA05A3"/>
    <w:multiLevelType w:val="hybridMultilevel"/>
    <w:tmpl w:val="C99855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13C4B44"/>
    <w:multiLevelType w:val="multilevel"/>
    <w:tmpl w:val="4E5C847A"/>
    <w:styleLink w:val="Indents"/>
    <w:lvl w:ilvl="0">
      <w:start w:val="1"/>
      <w:numFmt w:val="none"/>
      <w:pStyle w:val="PwCNormal"/>
      <w:suff w:val="nothing"/>
      <w:lvlText w:val=""/>
      <w:lvlJc w:val="left"/>
      <w:pPr>
        <w:ind w:left="0" w:firstLine="0"/>
      </w:pPr>
      <w:rPr>
        <w:rFonts w:hint="default"/>
        <w:color w:val="auto"/>
      </w:rPr>
    </w:lvl>
    <w:lvl w:ilvl="1">
      <w:start w:val="1"/>
      <w:numFmt w:val="none"/>
      <w:pStyle w:val="Indent1"/>
      <w:suff w:val="nothing"/>
      <w:lvlText w:val=""/>
      <w:lvlJc w:val="left"/>
      <w:pPr>
        <w:ind w:left="567" w:firstLine="0"/>
      </w:pPr>
      <w:rPr>
        <w:rFonts w:hint="default"/>
      </w:rPr>
    </w:lvl>
    <w:lvl w:ilvl="2">
      <w:start w:val="1"/>
      <w:numFmt w:val="none"/>
      <w:pStyle w:val="Indent2"/>
      <w:suff w:val="nothing"/>
      <w:lvlText w:val=""/>
      <w:lvlJc w:val="left"/>
      <w:pPr>
        <w:ind w:left="1134" w:firstLine="0"/>
      </w:pPr>
      <w:rPr>
        <w:rFonts w:hint="default"/>
      </w:rPr>
    </w:lvl>
    <w:lvl w:ilvl="3">
      <w:start w:val="1"/>
      <w:numFmt w:val="none"/>
      <w:pStyle w:val="Indent3"/>
      <w:suff w:val="nothing"/>
      <w:lvlText w:val=""/>
      <w:lvlJc w:val="left"/>
      <w:pPr>
        <w:ind w:left="1701" w:firstLine="0"/>
      </w:pPr>
      <w:rPr>
        <w:rFonts w:hint="default"/>
      </w:rPr>
    </w:lvl>
    <w:lvl w:ilvl="4">
      <w:start w:val="1"/>
      <w:numFmt w:val="none"/>
      <w:pStyle w:val="Indent4"/>
      <w:suff w:val="nothing"/>
      <w:lvlText w:val=""/>
      <w:lvlJc w:val="left"/>
      <w:pPr>
        <w:ind w:left="2268" w:firstLine="0"/>
      </w:pPr>
      <w:rPr>
        <w:rFonts w:hint="default"/>
      </w:rPr>
    </w:lvl>
    <w:lvl w:ilvl="5">
      <w:start w:val="1"/>
      <w:numFmt w:val="none"/>
      <w:pStyle w:val="Indent5"/>
      <w:suff w:val="nothing"/>
      <w:lvlText w:val=""/>
      <w:lvlJc w:val="left"/>
      <w:pPr>
        <w:ind w:left="2835" w:firstLine="0"/>
      </w:pPr>
      <w:rPr>
        <w:rFonts w:hint="default"/>
      </w:rPr>
    </w:lvl>
    <w:lvl w:ilvl="6">
      <w:start w:val="1"/>
      <w:numFmt w:val="none"/>
      <w:pStyle w:val="Indent6"/>
      <w:suff w:val="nothing"/>
      <w:lvlText w:val=""/>
      <w:lvlJc w:val="left"/>
      <w:pPr>
        <w:ind w:left="3402" w:firstLine="0"/>
      </w:pPr>
      <w:rPr>
        <w:rFonts w:hint="default"/>
      </w:rPr>
    </w:lvl>
    <w:lvl w:ilvl="7">
      <w:start w:val="1"/>
      <w:numFmt w:val="none"/>
      <w:pStyle w:val="Indent7"/>
      <w:suff w:val="nothing"/>
      <w:lvlText w:val=""/>
      <w:lvlJc w:val="left"/>
      <w:pPr>
        <w:ind w:left="3969" w:firstLine="0"/>
      </w:pPr>
      <w:rPr>
        <w:rFonts w:hint="default"/>
      </w:rPr>
    </w:lvl>
    <w:lvl w:ilvl="8">
      <w:start w:val="1"/>
      <w:numFmt w:val="none"/>
      <w:pStyle w:val="Indent8"/>
      <w:suff w:val="nothing"/>
      <w:lvlText w:val=""/>
      <w:lvlJc w:val="left"/>
      <w:pPr>
        <w:ind w:left="4536" w:firstLine="0"/>
      </w:pPr>
      <w:rPr>
        <w:rFonts w:hint="default"/>
      </w:rPr>
    </w:lvl>
  </w:abstractNum>
  <w:abstractNum w:abstractNumId="5" w15:restartNumberingAfterBreak="0">
    <w:nsid w:val="16F5614B"/>
    <w:multiLevelType w:val="hybridMultilevel"/>
    <w:tmpl w:val="79EA6CE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1F7A536A"/>
    <w:multiLevelType w:val="multilevel"/>
    <w:tmpl w:val="F54871D6"/>
    <w:lvl w:ilvl="0">
      <w:start w:val="1"/>
      <w:numFmt w:val="decimal"/>
      <w:pStyle w:val="NumberLetter2"/>
      <w:lvlText w:val="%1."/>
      <w:lvlJc w:val="left"/>
      <w:pPr>
        <w:tabs>
          <w:tab w:val="num" w:pos="432"/>
        </w:tabs>
        <w:ind w:left="432" w:hanging="432"/>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288"/>
      </w:pPr>
      <w:rPr>
        <w:rFonts w:ascii="Arial" w:hAnsi="Arial" w:hint="default"/>
        <w:b w:val="0"/>
        <w:i w:val="0"/>
        <w:color w:val="auto"/>
        <w:sz w:val="20"/>
      </w:rPr>
    </w:lvl>
    <w:lvl w:ilvl="2">
      <w:start w:val="1"/>
      <w:numFmt w:val="decimal"/>
      <w:lvlText w:val="(%3)"/>
      <w:lvlJc w:val="left"/>
      <w:pPr>
        <w:tabs>
          <w:tab w:val="num" w:pos="1080"/>
        </w:tabs>
        <w:ind w:left="1080" w:hanging="432"/>
      </w:pPr>
      <w:rPr>
        <w:rFonts w:ascii="Arial" w:hAnsi="Arial" w:hint="default"/>
        <w:b w:val="0"/>
        <w:i w:val="0"/>
        <w:sz w:val="20"/>
      </w:rPr>
    </w:lvl>
    <w:lvl w:ilvl="3">
      <w:start w:val="1"/>
      <w:numFmt w:val="none"/>
      <w:lvlText w:val=""/>
      <w:lvlJc w:val="left"/>
      <w:pPr>
        <w:tabs>
          <w:tab w:val="num" w:pos="180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288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3960"/>
        </w:tabs>
        <w:ind w:left="3744" w:hanging="1224"/>
      </w:pPr>
      <w:rPr>
        <w:rFonts w:hint="default"/>
      </w:rPr>
    </w:lvl>
    <w:lvl w:ilvl="8">
      <w:start w:val="1"/>
      <w:numFmt w:val="none"/>
      <w:lvlText w:val=""/>
      <w:lvlJc w:val="left"/>
      <w:pPr>
        <w:tabs>
          <w:tab w:val="num" w:pos="4680"/>
        </w:tabs>
        <w:ind w:left="4320" w:hanging="1440"/>
      </w:pPr>
      <w:rPr>
        <w:rFonts w:hint="default"/>
      </w:rPr>
    </w:lvl>
  </w:abstractNum>
  <w:abstractNum w:abstractNumId="7" w15:restartNumberingAfterBreak="0">
    <w:nsid w:val="24B15037"/>
    <w:multiLevelType w:val="hybridMultilevel"/>
    <w:tmpl w:val="3C48F6B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5E040CE"/>
    <w:multiLevelType w:val="hybridMultilevel"/>
    <w:tmpl w:val="AD60BC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0706286"/>
    <w:multiLevelType w:val="hybridMultilevel"/>
    <w:tmpl w:val="F13AF5F2"/>
    <w:lvl w:ilvl="0" w:tplc="CD9EBEE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3F460A4"/>
    <w:multiLevelType w:val="hybridMultilevel"/>
    <w:tmpl w:val="4A1EB362"/>
    <w:lvl w:ilvl="0" w:tplc="5C50F70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361F12EC"/>
    <w:multiLevelType w:val="hybridMultilevel"/>
    <w:tmpl w:val="1EE000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D883EFF"/>
    <w:multiLevelType w:val="hybridMultilevel"/>
    <w:tmpl w:val="1CBA6F5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 w15:restartNumberingAfterBreak="0">
    <w:nsid w:val="44A538DC"/>
    <w:multiLevelType w:val="hybridMultilevel"/>
    <w:tmpl w:val="4266BB60"/>
    <w:lvl w:ilvl="0" w:tplc="934E8C0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7553AB8"/>
    <w:multiLevelType w:val="hybridMultilevel"/>
    <w:tmpl w:val="E02EB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AF65D76"/>
    <w:multiLevelType w:val="hybridMultilevel"/>
    <w:tmpl w:val="6B169C16"/>
    <w:lvl w:ilvl="0" w:tplc="0C090001">
      <w:start w:val="1"/>
      <w:numFmt w:val="bullet"/>
      <w:lvlText w:val=""/>
      <w:lvlJc w:val="left"/>
      <w:pPr>
        <w:ind w:left="774" w:hanging="360"/>
      </w:pPr>
      <w:rPr>
        <w:rFonts w:ascii="Symbol" w:hAnsi="Symbol" w:hint="default"/>
      </w:rPr>
    </w:lvl>
    <w:lvl w:ilvl="1" w:tplc="0C090003" w:tentative="1">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16" w15:restartNumberingAfterBreak="0">
    <w:nsid w:val="602E0C5D"/>
    <w:multiLevelType w:val="hybridMultilevel"/>
    <w:tmpl w:val="175EE3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3917BB9"/>
    <w:multiLevelType w:val="multilevel"/>
    <w:tmpl w:val="4E5C847A"/>
    <w:numStyleLink w:val="Indents"/>
  </w:abstractNum>
  <w:abstractNum w:abstractNumId="18" w15:restartNumberingAfterBreak="0">
    <w:nsid w:val="674C2938"/>
    <w:multiLevelType w:val="hybridMultilevel"/>
    <w:tmpl w:val="C9A699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21F715B"/>
    <w:multiLevelType w:val="hybridMultilevel"/>
    <w:tmpl w:val="02642F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24E59F5"/>
    <w:multiLevelType w:val="hybridMultilevel"/>
    <w:tmpl w:val="98D6C470"/>
    <w:lvl w:ilvl="0" w:tplc="3F062EC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72BF5676"/>
    <w:multiLevelType w:val="hybridMultilevel"/>
    <w:tmpl w:val="76484D8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7DB136C6"/>
    <w:multiLevelType w:val="hybridMultilevel"/>
    <w:tmpl w:val="CFA6C1A8"/>
    <w:lvl w:ilvl="0" w:tplc="AE02342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F3B4E5C"/>
    <w:multiLevelType w:val="hybridMultilevel"/>
    <w:tmpl w:val="CC0444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FC92036"/>
    <w:multiLevelType w:val="hybridMultilevel"/>
    <w:tmpl w:val="E76A6AB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7"/>
  </w:num>
  <w:num w:numId="4">
    <w:abstractNumId w:val="2"/>
  </w:num>
  <w:num w:numId="5">
    <w:abstractNumId w:val="19"/>
  </w:num>
  <w:num w:numId="6">
    <w:abstractNumId w:val="3"/>
  </w:num>
  <w:num w:numId="7">
    <w:abstractNumId w:val="5"/>
  </w:num>
  <w:num w:numId="8">
    <w:abstractNumId w:val="23"/>
  </w:num>
  <w:num w:numId="9">
    <w:abstractNumId w:val="9"/>
  </w:num>
  <w:num w:numId="10">
    <w:abstractNumId w:val="10"/>
  </w:num>
  <w:num w:numId="11">
    <w:abstractNumId w:val="22"/>
  </w:num>
  <w:num w:numId="12">
    <w:abstractNumId w:val="20"/>
  </w:num>
  <w:num w:numId="13">
    <w:abstractNumId w:val="15"/>
  </w:num>
  <w:num w:numId="14">
    <w:abstractNumId w:val="21"/>
  </w:num>
  <w:num w:numId="15">
    <w:abstractNumId w:val="13"/>
  </w:num>
  <w:num w:numId="16">
    <w:abstractNumId w:val="24"/>
  </w:num>
  <w:num w:numId="17">
    <w:abstractNumId w:val="18"/>
  </w:num>
  <w:num w:numId="18">
    <w:abstractNumId w:val="1"/>
  </w:num>
  <w:num w:numId="19">
    <w:abstractNumId w:val="14"/>
  </w:num>
  <w:num w:numId="20">
    <w:abstractNumId w:val="12"/>
  </w:num>
  <w:num w:numId="21">
    <w:abstractNumId w:val="0"/>
  </w:num>
  <w:num w:numId="22">
    <w:abstractNumId w:val="16"/>
  </w:num>
  <w:num w:numId="23">
    <w:abstractNumId w:val="11"/>
  </w:num>
  <w:num w:numId="24">
    <w:abstractNumId w:val="8"/>
  </w:num>
  <w:num w:numId="25">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48C"/>
    <w:rsid w:val="00000A34"/>
    <w:rsid w:val="000015CA"/>
    <w:rsid w:val="000016E6"/>
    <w:rsid w:val="000076EA"/>
    <w:rsid w:val="00007CC6"/>
    <w:rsid w:val="00011BC3"/>
    <w:rsid w:val="00017DD3"/>
    <w:rsid w:val="00020327"/>
    <w:rsid w:val="000206AF"/>
    <w:rsid w:val="000208D9"/>
    <w:rsid w:val="0002188A"/>
    <w:rsid w:val="00021E43"/>
    <w:rsid w:val="0002219C"/>
    <w:rsid w:val="000279A2"/>
    <w:rsid w:val="00030E6E"/>
    <w:rsid w:val="00032273"/>
    <w:rsid w:val="00033F3F"/>
    <w:rsid w:val="000354F9"/>
    <w:rsid w:val="00050AA8"/>
    <w:rsid w:val="000535A8"/>
    <w:rsid w:val="00054923"/>
    <w:rsid w:val="00055FBA"/>
    <w:rsid w:val="00056B8F"/>
    <w:rsid w:val="00057920"/>
    <w:rsid w:val="000611B8"/>
    <w:rsid w:val="000654DF"/>
    <w:rsid w:val="00065D24"/>
    <w:rsid w:val="000748BA"/>
    <w:rsid w:val="00075ABA"/>
    <w:rsid w:val="00082A1B"/>
    <w:rsid w:val="000855A1"/>
    <w:rsid w:val="0008585A"/>
    <w:rsid w:val="00092F7B"/>
    <w:rsid w:val="00093EA7"/>
    <w:rsid w:val="00095321"/>
    <w:rsid w:val="000A13CC"/>
    <w:rsid w:val="000A7B03"/>
    <w:rsid w:val="000B2498"/>
    <w:rsid w:val="000B4A87"/>
    <w:rsid w:val="000B4E54"/>
    <w:rsid w:val="000B6D90"/>
    <w:rsid w:val="000C07C0"/>
    <w:rsid w:val="000C1348"/>
    <w:rsid w:val="000C293A"/>
    <w:rsid w:val="000C5824"/>
    <w:rsid w:val="000C7ADE"/>
    <w:rsid w:val="000D12B1"/>
    <w:rsid w:val="000D548D"/>
    <w:rsid w:val="000D5A8F"/>
    <w:rsid w:val="000D77AE"/>
    <w:rsid w:val="000E1E4F"/>
    <w:rsid w:val="000E6FAC"/>
    <w:rsid w:val="000E7420"/>
    <w:rsid w:val="000F5D68"/>
    <w:rsid w:val="000F69EC"/>
    <w:rsid w:val="00100320"/>
    <w:rsid w:val="001112E2"/>
    <w:rsid w:val="00111C30"/>
    <w:rsid w:val="001162C8"/>
    <w:rsid w:val="001178E3"/>
    <w:rsid w:val="0012328E"/>
    <w:rsid w:val="001233B4"/>
    <w:rsid w:val="00124D1E"/>
    <w:rsid w:val="001255E3"/>
    <w:rsid w:val="00127A40"/>
    <w:rsid w:val="00130F46"/>
    <w:rsid w:val="00131098"/>
    <w:rsid w:val="00132A3B"/>
    <w:rsid w:val="001416D9"/>
    <w:rsid w:val="0014190C"/>
    <w:rsid w:val="00142A0A"/>
    <w:rsid w:val="00147D34"/>
    <w:rsid w:val="00165373"/>
    <w:rsid w:val="00170347"/>
    <w:rsid w:val="00173C45"/>
    <w:rsid w:val="0018407A"/>
    <w:rsid w:val="0018431C"/>
    <w:rsid w:val="00186103"/>
    <w:rsid w:val="00192F4E"/>
    <w:rsid w:val="001933F3"/>
    <w:rsid w:val="00194C72"/>
    <w:rsid w:val="001A0178"/>
    <w:rsid w:val="001A122A"/>
    <w:rsid w:val="001A16BF"/>
    <w:rsid w:val="001A21F6"/>
    <w:rsid w:val="001A69A2"/>
    <w:rsid w:val="001B043A"/>
    <w:rsid w:val="001B1B61"/>
    <w:rsid w:val="001B214A"/>
    <w:rsid w:val="001B44FD"/>
    <w:rsid w:val="001B6ABE"/>
    <w:rsid w:val="001C016F"/>
    <w:rsid w:val="001C0F66"/>
    <w:rsid w:val="001C2E53"/>
    <w:rsid w:val="001C3CEF"/>
    <w:rsid w:val="001C5346"/>
    <w:rsid w:val="001D1BDD"/>
    <w:rsid w:val="001D2B83"/>
    <w:rsid w:val="001D5F46"/>
    <w:rsid w:val="001E36C1"/>
    <w:rsid w:val="001E5CAA"/>
    <w:rsid w:val="001F1317"/>
    <w:rsid w:val="001F2A02"/>
    <w:rsid w:val="001F354E"/>
    <w:rsid w:val="001F45C0"/>
    <w:rsid w:val="00200DAC"/>
    <w:rsid w:val="0020737E"/>
    <w:rsid w:val="00213C6A"/>
    <w:rsid w:val="00213EB6"/>
    <w:rsid w:val="002143BF"/>
    <w:rsid w:val="002207D2"/>
    <w:rsid w:val="00223E36"/>
    <w:rsid w:val="00227175"/>
    <w:rsid w:val="00232A5C"/>
    <w:rsid w:val="00232D60"/>
    <w:rsid w:val="0023499D"/>
    <w:rsid w:val="0024047C"/>
    <w:rsid w:val="00240C8B"/>
    <w:rsid w:val="0024254E"/>
    <w:rsid w:val="0024687E"/>
    <w:rsid w:val="00247FE4"/>
    <w:rsid w:val="00250386"/>
    <w:rsid w:val="00253C70"/>
    <w:rsid w:val="00253D7C"/>
    <w:rsid w:val="00254361"/>
    <w:rsid w:val="00256281"/>
    <w:rsid w:val="002610EB"/>
    <w:rsid w:val="002744FB"/>
    <w:rsid w:val="00275651"/>
    <w:rsid w:val="00275C3E"/>
    <w:rsid w:val="002763AB"/>
    <w:rsid w:val="00281558"/>
    <w:rsid w:val="002825C3"/>
    <w:rsid w:val="002A0A98"/>
    <w:rsid w:val="002A78FB"/>
    <w:rsid w:val="002B0A47"/>
    <w:rsid w:val="002B48CF"/>
    <w:rsid w:val="002B6CBA"/>
    <w:rsid w:val="002B6D0E"/>
    <w:rsid w:val="002C42A5"/>
    <w:rsid w:val="002C760B"/>
    <w:rsid w:val="002C7C61"/>
    <w:rsid w:val="002D2BE8"/>
    <w:rsid w:val="002D4B10"/>
    <w:rsid w:val="002D74B8"/>
    <w:rsid w:val="002E1CB2"/>
    <w:rsid w:val="002E2178"/>
    <w:rsid w:val="002E3249"/>
    <w:rsid w:val="002E394B"/>
    <w:rsid w:val="002E5FD5"/>
    <w:rsid w:val="002E749B"/>
    <w:rsid w:val="002E7AF1"/>
    <w:rsid w:val="002E7F7B"/>
    <w:rsid w:val="002F036E"/>
    <w:rsid w:val="002F0B9D"/>
    <w:rsid w:val="002F44DB"/>
    <w:rsid w:val="003156DF"/>
    <w:rsid w:val="003214B4"/>
    <w:rsid w:val="00321DF3"/>
    <w:rsid w:val="00323485"/>
    <w:rsid w:val="003237E8"/>
    <w:rsid w:val="00323C32"/>
    <w:rsid w:val="00324139"/>
    <w:rsid w:val="00324891"/>
    <w:rsid w:val="003273F5"/>
    <w:rsid w:val="00331DF0"/>
    <w:rsid w:val="0033267E"/>
    <w:rsid w:val="00333B43"/>
    <w:rsid w:val="00333F97"/>
    <w:rsid w:val="00335415"/>
    <w:rsid w:val="00337304"/>
    <w:rsid w:val="00337A13"/>
    <w:rsid w:val="00340FF3"/>
    <w:rsid w:val="00341333"/>
    <w:rsid w:val="003474DE"/>
    <w:rsid w:val="00347BFB"/>
    <w:rsid w:val="00351F71"/>
    <w:rsid w:val="00356706"/>
    <w:rsid w:val="00357421"/>
    <w:rsid w:val="00357440"/>
    <w:rsid w:val="00363E79"/>
    <w:rsid w:val="0036448C"/>
    <w:rsid w:val="0036475F"/>
    <w:rsid w:val="00364A6E"/>
    <w:rsid w:val="003653B8"/>
    <w:rsid w:val="00370D29"/>
    <w:rsid w:val="0037355E"/>
    <w:rsid w:val="00377953"/>
    <w:rsid w:val="00383D55"/>
    <w:rsid w:val="003848A1"/>
    <w:rsid w:val="003876A5"/>
    <w:rsid w:val="0039062D"/>
    <w:rsid w:val="0039321D"/>
    <w:rsid w:val="003A244F"/>
    <w:rsid w:val="003A5916"/>
    <w:rsid w:val="003A600E"/>
    <w:rsid w:val="003B1361"/>
    <w:rsid w:val="003B196E"/>
    <w:rsid w:val="003B2277"/>
    <w:rsid w:val="003B7B53"/>
    <w:rsid w:val="003C02A0"/>
    <w:rsid w:val="003C10C3"/>
    <w:rsid w:val="003C6750"/>
    <w:rsid w:val="003C68CC"/>
    <w:rsid w:val="003D37B7"/>
    <w:rsid w:val="003D6A9E"/>
    <w:rsid w:val="003E6967"/>
    <w:rsid w:val="003E6A43"/>
    <w:rsid w:val="003E7C5E"/>
    <w:rsid w:val="003E7FC2"/>
    <w:rsid w:val="003F3395"/>
    <w:rsid w:val="003F6BC5"/>
    <w:rsid w:val="00401AD9"/>
    <w:rsid w:val="004045E1"/>
    <w:rsid w:val="00404E9F"/>
    <w:rsid w:val="00412DB6"/>
    <w:rsid w:val="00414F65"/>
    <w:rsid w:val="00415440"/>
    <w:rsid w:val="00417724"/>
    <w:rsid w:val="00420AE2"/>
    <w:rsid w:val="004243FD"/>
    <w:rsid w:val="00425BC8"/>
    <w:rsid w:val="0042648E"/>
    <w:rsid w:val="00430076"/>
    <w:rsid w:val="004315EB"/>
    <w:rsid w:val="00436251"/>
    <w:rsid w:val="0043723D"/>
    <w:rsid w:val="004376E2"/>
    <w:rsid w:val="00437C4F"/>
    <w:rsid w:val="004407EC"/>
    <w:rsid w:val="00441271"/>
    <w:rsid w:val="00450072"/>
    <w:rsid w:val="00452B07"/>
    <w:rsid w:val="00452B33"/>
    <w:rsid w:val="004547BD"/>
    <w:rsid w:val="00454D06"/>
    <w:rsid w:val="00462955"/>
    <w:rsid w:val="00465147"/>
    <w:rsid w:val="004747B0"/>
    <w:rsid w:val="00484440"/>
    <w:rsid w:val="004857A6"/>
    <w:rsid w:val="00485D20"/>
    <w:rsid w:val="00487695"/>
    <w:rsid w:val="00490657"/>
    <w:rsid w:val="004926BF"/>
    <w:rsid w:val="00493C78"/>
    <w:rsid w:val="00494D6F"/>
    <w:rsid w:val="00494DC7"/>
    <w:rsid w:val="00496B98"/>
    <w:rsid w:val="00497DB3"/>
    <w:rsid w:val="004A1329"/>
    <w:rsid w:val="004A6E1A"/>
    <w:rsid w:val="004B156D"/>
    <w:rsid w:val="004B5241"/>
    <w:rsid w:val="004B5332"/>
    <w:rsid w:val="004B5AA0"/>
    <w:rsid w:val="004C141E"/>
    <w:rsid w:val="004C1A94"/>
    <w:rsid w:val="004D1A40"/>
    <w:rsid w:val="004D608C"/>
    <w:rsid w:val="004E09F7"/>
    <w:rsid w:val="004F014C"/>
    <w:rsid w:val="004F2285"/>
    <w:rsid w:val="004F369C"/>
    <w:rsid w:val="004F58D6"/>
    <w:rsid w:val="004F5A49"/>
    <w:rsid w:val="004F7E73"/>
    <w:rsid w:val="00500D91"/>
    <w:rsid w:val="005014C7"/>
    <w:rsid w:val="00504C8D"/>
    <w:rsid w:val="0050507C"/>
    <w:rsid w:val="00507146"/>
    <w:rsid w:val="00507332"/>
    <w:rsid w:val="005075C3"/>
    <w:rsid w:val="00511094"/>
    <w:rsid w:val="00524808"/>
    <w:rsid w:val="0053396D"/>
    <w:rsid w:val="00534AE8"/>
    <w:rsid w:val="00541BB2"/>
    <w:rsid w:val="005445E4"/>
    <w:rsid w:val="00545974"/>
    <w:rsid w:val="005541A6"/>
    <w:rsid w:val="00554E32"/>
    <w:rsid w:val="00556436"/>
    <w:rsid w:val="005613AB"/>
    <w:rsid w:val="00561890"/>
    <w:rsid w:val="005664C4"/>
    <w:rsid w:val="00576194"/>
    <w:rsid w:val="00583279"/>
    <w:rsid w:val="00584DEF"/>
    <w:rsid w:val="00586AED"/>
    <w:rsid w:val="00590986"/>
    <w:rsid w:val="00590A4F"/>
    <w:rsid w:val="00590E70"/>
    <w:rsid w:val="005943A4"/>
    <w:rsid w:val="005A18E3"/>
    <w:rsid w:val="005A51D7"/>
    <w:rsid w:val="005A743A"/>
    <w:rsid w:val="005A7FDA"/>
    <w:rsid w:val="005B0244"/>
    <w:rsid w:val="005B2CEB"/>
    <w:rsid w:val="005B3B9A"/>
    <w:rsid w:val="005C30FF"/>
    <w:rsid w:val="005C3F4A"/>
    <w:rsid w:val="005D47EB"/>
    <w:rsid w:val="005D66AE"/>
    <w:rsid w:val="005D7F52"/>
    <w:rsid w:val="005E165E"/>
    <w:rsid w:val="005E5E06"/>
    <w:rsid w:val="005E69B4"/>
    <w:rsid w:val="005F11EE"/>
    <w:rsid w:val="005F2520"/>
    <w:rsid w:val="005F742C"/>
    <w:rsid w:val="00600F0F"/>
    <w:rsid w:val="006014F0"/>
    <w:rsid w:val="006202AF"/>
    <w:rsid w:val="006224EA"/>
    <w:rsid w:val="00626040"/>
    <w:rsid w:val="006275C3"/>
    <w:rsid w:val="00631442"/>
    <w:rsid w:val="006329D0"/>
    <w:rsid w:val="006362A2"/>
    <w:rsid w:val="00640DA2"/>
    <w:rsid w:val="00642C68"/>
    <w:rsid w:val="00643643"/>
    <w:rsid w:val="00645160"/>
    <w:rsid w:val="00650602"/>
    <w:rsid w:val="00653F69"/>
    <w:rsid w:val="006542E3"/>
    <w:rsid w:val="006558C9"/>
    <w:rsid w:val="006579D3"/>
    <w:rsid w:val="00660F7A"/>
    <w:rsid w:val="00661560"/>
    <w:rsid w:val="00663129"/>
    <w:rsid w:val="00670708"/>
    <w:rsid w:val="00671803"/>
    <w:rsid w:val="00681311"/>
    <w:rsid w:val="006826EF"/>
    <w:rsid w:val="00683C53"/>
    <w:rsid w:val="006A1D6D"/>
    <w:rsid w:val="006B24F5"/>
    <w:rsid w:val="006B4936"/>
    <w:rsid w:val="006C1360"/>
    <w:rsid w:val="006C6CEF"/>
    <w:rsid w:val="006C70B3"/>
    <w:rsid w:val="006C71A1"/>
    <w:rsid w:val="006D1790"/>
    <w:rsid w:val="006D4199"/>
    <w:rsid w:val="006D435F"/>
    <w:rsid w:val="006D576B"/>
    <w:rsid w:val="006D6C5D"/>
    <w:rsid w:val="006E4A4E"/>
    <w:rsid w:val="006E5D4E"/>
    <w:rsid w:val="006E74B9"/>
    <w:rsid w:val="006F1038"/>
    <w:rsid w:val="006F404A"/>
    <w:rsid w:val="006F45C1"/>
    <w:rsid w:val="0070046F"/>
    <w:rsid w:val="0070366D"/>
    <w:rsid w:val="00703C7B"/>
    <w:rsid w:val="007124FA"/>
    <w:rsid w:val="00715739"/>
    <w:rsid w:val="007217A4"/>
    <w:rsid w:val="00732448"/>
    <w:rsid w:val="00732949"/>
    <w:rsid w:val="00742AAE"/>
    <w:rsid w:val="00744B1C"/>
    <w:rsid w:val="007478A8"/>
    <w:rsid w:val="0075109E"/>
    <w:rsid w:val="00756371"/>
    <w:rsid w:val="00760F1B"/>
    <w:rsid w:val="00762914"/>
    <w:rsid w:val="007641C0"/>
    <w:rsid w:val="0076531A"/>
    <w:rsid w:val="00771BB2"/>
    <w:rsid w:val="00772E48"/>
    <w:rsid w:val="00780F12"/>
    <w:rsid w:val="0078561F"/>
    <w:rsid w:val="00785DDA"/>
    <w:rsid w:val="0078620C"/>
    <w:rsid w:val="0079106F"/>
    <w:rsid w:val="00796741"/>
    <w:rsid w:val="007A3FF2"/>
    <w:rsid w:val="007A6F02"/>
    <w:rsid w:val="007A7794"/>
    <w:rsid w:val="007A7F48"/>
    <w:rsid w:val="007B0607"/>
    <w:rsid w:val="007B7011"/>
    <w:rsid w:val="007C1019"/>
    <w:rsid w:val="007C4867"/>
    <w:rsid w:val="007C67DB"/>
    <w:rsid w:val="007C7212"/>
    <w:rsid w:val="007C7399"/>
    <w:rsid w:val="007D6504"/>
    <w:rsid w:val="007D7C7C"/>
    <w:rsid w:val="007E167E"/>
    <w:rsid w:val="007E168B"/>
    <w:rsid w:val="007E1AF2"/>
    <w:rsid w:val="007E5D84"/>
    <w:rsid w:val="007F2629"/>
    <w:rsid w:val="007F5994"/>
    <w:rsid w:val="007F6CEE"/>
    <w:rsid w:val="0080446A"/>
    <w:rsid w:val="00811CA9"/>
    <w:rsid w:val="00817F6D"/>
    <w:rsid w:val="0082020D"/>
    <w:rsid w:val="008203E3"/>
    <w:rsid w:val="0082399C"/>
    <w:rsid w:val="00824DFC"/>
    <w:rsid w:val="0082732D"/>
    <w:rsid w:val="0082797A"/>
    <w:rsid w:val="0084463B"/>
    <w:rsid w:val="00845D01"/>
    <w:rsid w:val="00846F1D"/>
    <w:rsid w:val="00851FC1"/>
    <w:rsid w:val="00853FBB"/>
    <w:rsid w:val="00855224"/>
    <w:rsid w:val="00863CF5"/>
    <w:rsid w:val="0086532D"/>
    <w:rsid w:val="00866BD9"/>
    <w:rsid w:val="00867B13"/>
    <w:rsid w:val="00875EC4"/>
    <w:rsid w:val="00883603"/>
    <w:rsid w:val="008849B5"/>
    <w:rsid w:val="008860AC"/>
    <w:rsid w:val="00890303"/>
    <w:rsid w:val="008A29B3"/>
    <w:rsid w:val="008A2F72"/>
    <w:rsid w:val="008A7EEF"/>
    <w:rsid w:val="008B4F78"/>
    <w:rsid w:val="008C02BB"/>
    <w:rsid w:val="008E10CA"/>
    <w:rsid w:val="008E7286"/>
    <w:rsid w:val="008F2D61"/>
    <w:rsid w:val="008F4357"/>
    <w:rsid w:val="008F60E4"/>
    <w:rsid w:val="008F751D"/>
    <w:rsid w:val="008F763E"/>
    <w:rsid w:val="00901172"/>
    <w:rsid w:val="009014DB"/>
    <w:rsid w:val="0090337A"/>
    <w:rsid w:val="009049D7"/>
    <w:rsid w:val="00915D2A"/>
    <w:rsid w:val="00916EF8"/>
    <w:rsid w:val="0091701C"/>
    <w:rsid w:val="00923ED8"/>
    <w:rsid w:val="00923EE7"/>
    <w:rsid w:val="009267E9"/>
    <w:rsid w:val="00931BAF"/>
    <w:rsid w:val="00935478"/>
    <w:rsid w:val="00936FAC"/>
    <w:rsid w:val="00941C3A"/>
    <w:rsid w:val="009448F5"/>
    <w:rsid w:val="009449F7"/>
    <w:rsid w:val="00946086"/>
    <w:rsid w:val="00951BF3"/>
    <w:rsid w:val="00961697"/>
    <w:rsid w:val="009635A5"/>
    <w:rsid w:val="00971BA0"/>
    <w:rsid w:val="009726C2"/>
    <w:rsid w:val="00977AD1"/>
    <w:rsid w:val="00977C57"/>
    <w:rsid w:val="00980703"/>
    <w:rsid w:val="009813D8"/>
    <w:rsid w:val="00982BCE"/>
    <w:rsid w:val="0098409B"/>
    <w:rsid w:val="0098499E"/>
    <w:rsid w:val="00985161"/>
    <w:rsid w:val="00985D5C"/>
    <w:rsid w:val="009907AD"/>
    <w:rsid w:val="00990899"/>
    <w:rsid w:val="00993901"/>
    <w:rsid w:val="00994334"/>
    <w:rsid w:val="009A2E0C"/>
    <w:rsid w:val="009A2F49"/>
    <w:rsid w:val="009A431A"/>
    <w:rsid w:val="009A58A8"/>
    <w:rsid w:val="009B3894"/>
    <w:rsid w:val="009B4D7B"/>
    <w:rsid w:val="009B7FEC"/>
    <w:rsid w:val="009C16DF"/>
    <w:rsid w:val="009C1F88"/>
    <w:rsid w:val="009C3266"/>
    <w:rsid w:val="009C35F6"/>
    <w:rsid w:val="009C412C"/>
    <w:rsid w:val="009C55E6"/>
    <w:rsid w:val="009D5166"/>
    <w:rsid w:val="009E0377"/>
    <w:rsid w:val="009E1C05"/>
    <w:rsid w:val="009E2B0F"/>
    <w:rsid w:val="009E3BFE"/>
    <w:rsid w:val="009E652D"/>
    <w:rsid w:val="009E73BA"/>
    <w:rsid w:val="009E7F07"/>
    <w:rsid w:val="009F4D0E"/>
    <w:rsid w:val="009F6F7A"/>
    <w:rsid w:val="009F74AD"/>
    <w:rsid w:val="009F7ADD"/>
    <w:rsid w:val="00A00CAA"/>
    <w:rsid w:val="00A13A92"/>
    <w:rsid w:val="00A13D06"/>
    <w:rsid w:val="00A15807"/>
    <w:rsid w:val="00A20502"/>
    <w:rsid w:val="00A24B3E"/>
    <w:rsid w:val="00A25509"/>
    <w:rsid w:val="00A33991"/>
    <w:rsid w:val="00A37484"/>
    <w:rsid w:val="00A43143"/>
    <w:rsid w:val="00A44860"/>
    <w:rsid w:val="00A50222"/>
    <w:rsid w:val="00A50C70"/>
    <w:rsid w:val="00A510ED"/>
    <w:rsid w:val="00A51CEB"/>
    <w:rsid w:val="00A5302F"/>
    <w:rsid w:val="00A54F74"/>
    <w:rsid w:val="00A55CD8"/>
    <w:rsid w:val="00A60AF0"/>
    <w:rsid w:val="00A669AD"/>
    <w:rsid w:val="00A70301"/>
    <w:rsid w:val="00A7105C"/>
    <w:rsid w:val="00A74D70"/>
    <w:rsid w:val="00A8074D"/>
    <w:rsid w:val="00A84B4C"/>
    <w:rsid w:val="00A85CD0"/>
    <w:rsid w:val="00A866CB"/>
    <w:rsid w:val="00A929F5"/>
    <w:rsid w:val="00A92B34"/>
    <w:rsid w:val="00AB6CD4"/>
    <w:rsid w:val="00AC4B75"/>
    <w:rsid w:val="00AC5868"/>
    <w:rsid w:val="00AC60D9"/>
    <w:rsid w:val="00AC6C7E"/>
    <w:rsid w:val="00AD5D28"/>
    <w:rsid w:val="00AD7D98"/>
    <w:rsid w:val="00AE3269"/>
    <w:rsid w:val="00AE6577"/>
    <w:rsid w:val="00AF0971"/>
    <w:rsid w:val="00AF1F7C"/>
    <w:rsid w:val="00AF37DA"/>
    <w:rsid w:val="00AF5CC1"/>
    <w:rsid w:val="00AF5D11"/>
    <w:rsid w:val="00AF6F0B"/>
    <w:rsid w:val="00B0637F"/>
    <w:rsid w:val="00B12E68"/>
    <w:rsid w:val="00B217E9"/>
    <w:rsid w:val="00B42A6C"/>
    <w:rsid w:val="00B451F7"/>
    <w:rsid w:val="00B46563"/>
    <w:rsid w:val="00B46D26"/>
    <w:rsid w:val="00B47C12"/>
    <w:rsid w:val="00B52296"/>
    <w:rsid w:val="00B66591"/>
    <w:rsid w:val="00B7237C"/>
    <w:rsid w:val="00B80A55"/>
    <w:rsid w:val="00B81261"/>
    <w:rsid w:val="00B84E3A"/>
    <w:rsid w:val="00B860EF"/>
    <w:rsid w:val="00B91148"/>
    <w:rsid w:val="00B91F45"/>
    <w:rsid w:val="00B923F5"/>
    <w:rsid w:val="00B9281A"/>
    <w:rsid w:val="00B96A58"/>
    <w:rsid w:val="00B97E94"/>
    <w:rsid w:val="00BA13C3"/>
    <w:rsid w:val="00BA5A74"/>
    <w:rsid w:val="00BB02D6"/>
    <w:rsid w:val="00BB34CA"/>
    <w:rsid w:val="00BB5167"/>
    <w:rsid w:val="00BC11D4"/>
    <w:rsid w:val="00BC3A9B"/>
    <w:rsid w:val="00BC47DB"/>
    <w:rsid w:val="00BC5132"/>
    <w:rsid w:val="00BC5546"/>
    <w:rsid w:val="00BD11F1"/>
    <w:rsid w:val="00BD29F7"/>
    <w:rsid w:val="00BE299A"/>
    <w:rsid w:val="00BE34FD"/>
    <w:rsid w:val="00BE4BFB"/>
    <w:rsid w:val="00BE6C7C"/>
    <w:rsid w:val="00BF3B3C"/>
    <w:rsid w:val="00BF4023"/>
    <w:rsid w:val="00BF50D4"/>
    <w:rsid w:val="00C02CE5"/>
    <w:rsid w:val="00C02FC8"/>
    <w:rsid w:val="00C02FE0"/>
    <w:rsid w:val="00C11DFA"/>
    <w:rsid w:val="00C1306D"/>
    <w:rsid w:val="00C17735"/>
    <w:rsid w:val="00C20AAB"/>
    <w:rsid w:val="00C22E2A"/>
    <w:rsid w:val="00C250C7"/>
    <w:rsid w:val="00C257EB"/>
    <w:rsid w:val="00C26EC4"/>
    <w:rsid w:val="00C33CD5"/>
    <w:rsid w:val="00C3418E"/>
    <w:rsid w:val="00C35AE0"/>
    <w:rsid w:val="00C4261B"/>
    <w:rsid w:val="00C44005"/>
    <w:rsid w:val="00C44353"/>
    <w:rsid w:val="00C44D14"/>
    <w:rsid w:val="00C4662B"/>
    <w:rsid w:val="00C52BFA"/>
    <w:rsid w:val="00C566AB"/>
    <w:rsid w:val="00C57035"/>
    <w:rsid w:val="00C57BF0"/>
    <w:rsid w:val="00C66FC9"/>
    <w:rsid w:val="00C715DA"/>
    <w:rsid w:val="00C71A9F"/>
    <w:rsid w:val="00C7250D"/>
    <w:rsid w:val="00C84FDB"/>
    <w:rsid w:val="00C87F7F"/>
    <w:rsid w:val="00CA106B"/>
    <w:rsid w:val="00CB6422"/>
    <w:rsid w:val="00CB7240"/>
    <w:rsid w:val="00CC03B6"/>
    <w:rsid w:val="00CC0BB6"/>
    <w:rsid w:val="00CC13F5"/>
    <w:rsid w:val="00CC71D6"/>
    <w:rsid w:val="00CD1492"/>
    <w:rsid w:val="00CD485C"/>
    <w:rsid w:val="00CD4BF1"/>
    <w:rsid w:val="00CE0FEF"/>
    <w:rsid w:val="00CE382B"/>
    <w:rsid w:val="00CE6D8B"/>
    <w:rsid w:val="00D012D1"/>
    <w:rsid w:val="00D01ACC"/>
    <w:rsid w:val="00D147E7"/>
    <w:rsid w:val="00D14B9A"/>
    <w:rsid w:val="00D2160C"/>
    <w:rsid w:val="00D31CD6"/>
    <w:rsid w:val="00D32C5F"/>
    <w:rsid w:val="00D336BB"/>
    <w:rsid w:val="00D33958"/>
    <w:rsid w:val="00D413AA"/>
    <w:rsid w:val="00D45575"/>
    <w:rsid w:val="00D46ABA"/>
    <w:rsid w:val="00D56BBD"/>
    <w:rsid w:val="00D62A43"/>
    <w:rsid w:val="00D655C4"/>
    <w:rsid w:val="00D66F7C"/>
    <w:rsid w:val="00D71072"/>
    <w:rsid w:val="00D735DA"/>
    <w:rsid w:val="00D76179"/>
    <w:rsid w:val="00D776CB"/>
    <w:rsid w:val="00D85849"/>
    <w:rsid w:val="00D872E5"/>
    <w:rsid w:val="00D930EC"/>
    <w:rsid w:val="00D976D0"/>
    <w:rsid w:val="00DC0099"/>
    <w:rsid w:val="00DC2C98"/>
    <w:rsid w:val="00DC6EB2"/>
    <w:rsid w:val="00DD24E8"/>
    <w:rsid w:val="00DD3FE5"/>
    <w:rsid w:val="00DD64BD"/>
    <w:rsid w:val="00DD6B5D"/>
    <w:rsid w:val="00DD7106"/>
    <w:rsid w:val="00DE0160"/>
    <w:rsid w:val="00DE2D11"/>
    <w:rsid w:val="00DE5183"/>
    <w:rsid w:val="00DF2A8C"/>
    <w:rsid w:val="00DF48D5"/>
    <w:rsid w:val="00DF7064"/>
    <w:rsid w:val="00DF7129"/>
    <w:rsid w:val="00DF775D"/>
    <w:rsid w:val="00E002E4"/>
    <w:rsid w:val="00E01B2D"/>
    <w:rsid w:val="00E05246"/>
    <w:rsid w:val="00E06673"/>
    <w:rsid w:val="00E1417D"/>
    <w:rsid w:val="00E158B3"/>
    <w:rsid w:val="00E17C4D"/>
    <w:rsid w:val="00E240CF"/>
    <w:rsid w:val="00E243D5"/>
    <w:rsid w:val="00E2450F"/>
    <w:rsid w:val="00E3187D"/>
    <w:rsid w:val="00E35C95"/>
    <w:rsid w:val="00E4373B"/>
    <w:rsid w:val="00E44B09"/>
    <w:rsid w:val="00E46D43"/>
    <w:rsid w:val="00E53C20"/>
    <w:rsid w:val="00E608CD"/>
    <w:rsid w:val="00E63C0F"/>
    <w:rsid w:val="00E67277"/>
    <w:rsid w:val="00E701EC"/>
    <w:rsid w:val="00E74B27"/>
    <w:rsid w:val="00E7514B"/>
    <w:rsid w:val="00E75C7E"/>
    <w:rsid w:val="00E76B1A"/>
    <w:rsid w:val="00E828C3"/>
    <w:rsid w:val="00E860C4"/>
    <w:rsid w:val="00E86846"/>
    <w:rsid w:val="00E8734B"/>
    <w:rsid w:val="00E928EA"/>
    <w:rsid w:val="00E936E2"/>
    <w:rsid w:val="00EA028C"/>
    <w:rsid w:val="00EA2497"/>
    <w:rsid w:val="00EA74C2"/>
    <w:rsid w:val="00EA7FA8"/>
    <w:rsid w:val="00EB654F"/>
    <w:rsid w:val="00EB77EA"/>
    <w:rsid w:val="00EC4320"/>
    <w:rsid w:val="00EC61CA"/>
    <w:rsid w:val="00ED206B"/>
    <w:rsid w:val="00ED4AA8"/>
    <w:rsid w:val="00ED5756"/>
    <w:rsid w:val="00EE122A"/>
    <w:rsid w:val="00EE2277"/>
    <w:rsid w:val="00EE432C"/>
    <w:rsid w:val="00EE4929"/>
    <w:rsid w:val="00EE6BC0"/>
    <w:rsid w:val="00EF0911"/>
    <w:rsid w:val="00EF18C8"/>
    <w:rsid w:val="00F054F4"/>
    <w:rsid w:val="00F06ACC"/>
    <w:rsid w:val="00F073CC"/>
    <w:rsid w:val="00F135AD"/>
    <w:rsid w:val="00F14739"/>
    <w:rsid w:val="00F17270"/>
    <w:rsid w:val="00F31F3E"/>
    <w:rsid w:val="00F32F17"/>
    <w:rsid w:val="00F34B5F"/>
    <w:rsid w:val="00F367DB"/>
    <w:rsid w:val="00F36CD2"/>
    <w:rsid w:val="00F36D3E"/>
    <w:rsid w:val="00F4425D"/>
    <w:rsid w:val="00F5404A"/>
    <w:rsid w:val="00F60738"/>
    <w:rsid w:val="00F62E47"/>
    <w:rsid w:val="00F63C3F"/>
    <w:rsid w:val="00F645DD"/>
    <w:rsid w:val="00F66D75"/>
    <w:rsid w:val="00F75A7A"/>
    <w:rsid w:val="00F77042"/>
    <w:rsid w:val="00F86ADF"/>
    <w:rsid w:val="00F932ED"/>
    <w:rsid w:val="00F932F8"/>
    <w:rsid w:val="00F93A98"/>
    <w:rsid w:val="00F93B41"/>
    <w:rsid w:val="00F945FB"/>
    <w:rsid w:val="00F95D57"/>
    <w:rsid w:val="00FA231B"/>
    <w:rsid w:val="00FA5C34"/>
    <w:rsid w:val="00FA61CD"/>
    <w:rsid w:val="00FA7212"/>
    <w:rsid w:val="00FA72E4"/>
    <w:rsid w:val="00FB1F61"/>
    <w:rsid w:val="00FB5503"/>
    <w:rsid w:val="00FC135F"/>
    <w:rsid w:val="00FC1429"/>
    <w:rsid w:val="00FC2D8D"/>
    <w:rsid w:val="00FC4D0A"/>
    <w:rsid w:val="00FE4A1B"/>
    <w:rsid w:val="00FE740E"/>
    <w:rsid w:val="00FF247C"/>
    <w:rsid w:val="00FF4E43"/>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A5DF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13"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3" w:unhideWhenUsed="1" w:qFormat="1"/>
    <w:lsdException w:name="List Number 3" w:semiHidden="1" w:uiPriority="13" w:unhideWhenUsed="1" w:qFormat="1"/>
    <w:lsdException w:name="List Number 4" w:semiHidden="1" w:uiPriority="13" w:unhideWhenUsed="1"/>
    <w:lsdException w:name="List Number 5" w:semiHidden="1" w:uiPriority="13"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3643"/>
    <w:pPr>
      <w:spacing w:line="230" w:lineRule="exact"/>
    </w:pPr>
    <w:rPr>
      <w:rFonts w:ascii="Arial" w:hAnsi="Arial"/>
      <w:color w:val="000000" w:themeColor="text1"/>
      <w:sz w:val="19"/>
    </w:rPr>
  </w:style>
  <w:style w:type="paragraph" w:styleId="Heading2">
    <w:name w:val="heading 2"/>
    <w:basedOn w:val="Normal"/>
    <w:next w:val="Normal"/>
    <w:link w:val="Heading2Char"/>
    <w:rsid w:val="00D01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497DB3"/>
    <w:pPr>
      <w:keepNext/>
      <w:spacing w:before="360" w:line="240" w:lineRule="auto"/>
      <w:outlineLvl w:val="2"/>
    </w:pPr>
    <w:rPr>
      <w:rFonts w:ascii="Arial Narrow" w:eastAsia="Times New Roman" w:hAnsi="Arial Narrow" w:cs="Times New Roman"/>
      <w:b/>
      <w:color w:val="auto"/>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ject">
    <w:name w:val="Subject"/>
    <w:basedOn w:val="Normal"/>
    <w:qFormat/>
    <w:rsid w:val="002B6D0E"/>
    <w:rPr>
      <w:rFonts w:ascii="Frutiger 65 Bold" w:hAnsi="Frutiger 65 Bold"/>
      <w:lang w:val="en-AU"/>
    </w:rPr>
  </w:style>
  <w:style w:type="paragraph" w:customStyle="1" w:styleId="Subheading">
    <w:name w:val="Subheading"/>
    <w:basedOn w:val="Normal"/>
    <w:qFormat/>
    <w:rsid w:val="002B6D0E"/>
    <w:rPr>
      <w:rFonts w:ascii="Frutiger 55 Roman" w:hAnsi="Frutiger 55 Roman"/>
      <w:lang w:val="en-AU"/>
    </w:rPr>
  </w:style>
  <w:style w:type="paragraph" w:styleId="Footer">
    <w:name w:val="footer"/>
    <w:basedOn w:val="Normal"/>
    <w:link w:val="FooterChar"/>
    <w:uiPriority w:val="99"/>
    <w:unhideWhenUsed/>
    <w:rsid w:val="0036448C"/>
    <w:pPr>
      <w:tabs>
        <w:tab w:val="center" w:pos="4320"/>
        <w:tab w:val="right" w:pos="8640"/>
      </w:tabs>
    </w:pPr>
  </w:style>
  <w:style w:type="character" w:customStyle="1" w:styleId="FooterChar">
    <w:name w:val="Footer Char"/>
    <w:basedOn w:val="DefaultParagraphFont"/>
    <w:link w:val="Footer"/>
    <w:uiPriority w:val="99"/>
    <w:rsid w:val="0036448C"/>
  </w:style>
  <w:style w:type="paragraph" w:styleId="Header">
    <w:name w:val="header"/>
    <w:basedOn w:val="Normal"/>
    <w:link w:val="HeaderChar"/>
    <w:uiPriority w:val="99"/>
    <w:rsid w:val="00D930EC"/>
    <w:pPr>
      <w:tabs>
        <w:tab w:val="center" w:pos="4320"/>
        <w:tab w:val="right" w:pos="8640"/>
      </w:tabs>
      <w:spacing w:line="240" w:lineRule="auto"/>
    </w:pPr>
  </w:style>
  <w:style w:type="character" w:customStyle="1" w:styleId="HeaderChar">
    <w:name w:val="Header Char"/>
    <w:basedOn w:val="DefaultParagraphFont"/>
    <w:link w:val="Header"/>
    <w:uiPriority w:val="99"/>
    <w:rsid w:val="00D930EC"/>
    <w:rPr>
      <w:rFonts w:ascii="Frutiger 45 Light" w:hAnsi="Frutiger 45 Light"/>
      <w:color w:val="000000" w:themeColor="text1"/>
      <w:sz w:val="19"/>
    </w:rPr>
  </w:style>
  <w:style w:type="paragraph" w:styleId="BodyText">
    <w:name w:val="Body Text"/>
    <w:basedOn w:val="Normal"/>
    <w:link w:val="BodyTextChar"/>
    <w:rsid w:val="00643643"/>
    <w:rPr>
      <w:lang w:val="en-AU"/>
    </w:rPr>
  </w:style>
  <w:style w:type="character" w:customStyle="1" w:styleId="BodyTextChar">
    <w:name w:val="Body Text Char"/>
    <w:basedOn w:val="DefaultParagraphFont"/>
    <w:link w:val="BodyText"/>
    <w:rsid w:val="00643643"/>
    <w:rPr>
      <w:rFonts w:ascii="Arial" w:hAnsi="Arial"/>
      <w:color w:val="000000" w:themeColor="text1"/>
      <w:sz w:val="19"/>
      <w:lang w:val="en-AU"/>
    </w:rPr>
  </w:style>
  <w:style w:type="paragraph" w:customStyle="1" w:styleId="heading">
    <w:name w:val="heading"/>
    <w:basedOn w:val="Normal"/>
    <w:qFormat/>
    <w:rsid w:val="00643643"/>
    <w:rPr>
      <w:b/>
    </w:rPr>
  </w:style>
  <w:style w:type="paragraph" w:customStyle="1" w:styleId="Standard1">
    <w:name w:val="Standard 1"/>
    <w:basedOn w:val="Normal"/>
    <w:rsid w:val="002C7C61"/>
    <w:pPr>
      <w:tabs>
        <w:tab w:val="num" w:pos="720"/>
      </w:tabs>
      <w:spacing w:before="120" w:after="120" w:line="240" w:lineRule="auto"/>
      <w:ind w:left="720" w:hanging="720"/>
      <w:jc w:val="both"/>
      <w:outlineLvl w:val="0"/>
    </w:pPr>
    <w:rPr>
      <w:rFonts w:ascii="Verdana" w:eastAsia="Times New Roman" w:hAnsi="Verdana" w:cs="Times New Roman"/>
      <w:color w:val="auto"/>
      <w:sz w:val="20"/>
      <w:szCs w:val="20"/>
      <w:lang w:val="en-AU"/>
    </w:rPr>
  </w:style>
  <w:style w:type="paragraph" w:customStyle="1" w:styleId="Standard2">
    <w:name w:val="Standard 2"/>
    <w:basedOn w:val="Normal"/>
    <w:rsid w:val="002C7C61"/>
    <w:pPr>
      <w:tabs>
        <w:tab w:val="num" w:pos="720"/>
      </w:tabs>
      <w:spacing w:before="120" w:after="120" w:line="240" w:lineRule="auto"/>
      <w:ind w:left="720" w:hanging="720"/>
      <w:jc w:val="both"/>
      <w:outlineLvl w:val="1"/>
    </w:pPr>
    <w:rPr>
      <w:rFonts w:ascii="Verdana" w:eastAsia="Times New Roman" w:hAnsi="Verdana" w:cs="Times New Roman"/>
      <w:color w:val="auto"/>
      <w:sz w:val="20"/>
      <w:szCs w:val="20"/>
      <w:lang w:val="en-AU"/>
    </w:rPr>
  </w:style>
  <w:style w:type="paragraph" w:customStyle="1" w:styleId="Standard3">
    <w:name w:val="Standard 3"/>
    <w:basedOn w:val="Normal"/>
    <w:rsid w:val="002C7C61"/>
    <w:pPr>
      <w:tabs>
        <w:tab w:val="num" w:pos="1440"/>
      </w:tabs>
      <w:spacing w:before="120" w:after="120" w:line="240" w:lineRule="auto"/>
      <w:ind w:left="1440" w:hanging="720"/>
      <w:jc w:val="both"/>
      <w:outlineLvl w:val="2"/>
    </w:pPr>
    <w:rPr>
      <w:rFonts w:ascii="Verdana" w:eastAsia="Times New Roman" w:hAnsi="Verdana" w:cs="Times New Roman"/>
      <w:color w:val="auto"/>
      <w:sz w:val="20"/>
      <w:szCs w:val="20"/>
      <w:lang w:val="en-AU"/>
    </w:rPr>
  </w:style>
  <w:style w:type="paragraph" w:customStyle="1" w:styleId="Indent">
    <w:name w:val="Indent"/>
    <w:basedOn w:val="Normal"/>
    <w:rsid w:val="002C7C61"/>
    <w:pPr>
      <w:tabs>
        <w:tab w:val="num" w:pos="3600"/>
      </w:tabs>
      <w:spacing w:before="120" w:after="120" w:line="240" w:lineRule="auto"/>
      <w:ind w:left="3600" w:hanging="720"/>
      <w:jc w:val="both"/>
    </w:pPr>
    <w:rPr>
      <w:rFonts w:ascii="Verdana" w:eastAsia="Times New Roman" w:hAnsi="Verdana" w:cs="Times New Roman"/>
      <w:color w:val="auto"/>
      <w:sz w:val="20"/>
      <w:szCs w:val="20"/>
      <w:lang w:val="en-AU"/>
    </w:rPr>
  </w:style>
  <w:style w:type="paragraph" w:styleId="BodyTextIndent">
    <w:name w:val="Body Text Indent"/>
    <w:basedOn w:val="Normal"/>
    <w:link w:val="BodyTextIndentChar"/>
    <w:rsid w:val="00497DB3"/>
    <w:pPr>
      <w:spacing w:after="120"/>
      <w:ind w:left="283"/>
    </w:pPr>
  </w:style>
  <w:style w:type="character" w:customStyle="1" w:styleId="BodyTextIndentChar">
    <w:name w:val="Body Text Indent Char"/>
    <w:basedOn w:val="DefaultParagraphFont"/>
    <w:link w:val="BodyTextIndent"/>
    <w:rsid w:val="00497DB3"/>
    <w:rPr>
      <w:rFonts w:ascii="Arial" w:hAnsi="Arial"/>
      <w:color w:val="000000" w:themeColor="text1"/>
      <w:sz w:val="19"/>
    </w:rPr>
  </w:style>
  <w:style w:type="character" w:customStyle="1" w:styleId="Heading3Char">
    <w:name w:val="Heading 3 Char"/>
    <w:basedOn w:val="DefaultParagraphFont"/>
    <w:link w:val="Heading3"/>
    <w:rsid w:val="00497DB3"/>
    <w:rPr>
      <w:rFonts w:ascii="Arial Narrow" w:eastAsia="Times New Roman" w:hAnsi="Arial Narrow" w:cs="Times New Roman"/>
      <w:b/>
      <w:szCs w:val="20"/>
      <w:lang w:val="en-AU"/>
    </w:rPr>
  </w:style>
  <w:style w:type="paragraph" w:customStyle="1" w:styleId="1stparagraph">
    <w:name w:val="1st paragraph"/>
    <w:basedOn w:val="Normal"/>
    <w:rsid w:val="00497DB3"/>
    <w:pPr>
      <w:spacing w:after="243" w:line="240" w:lineRule="auto"/>
      <w:jc w:val="both"/>
    </w:pPr>
    <w:rPr>
      <w:rFonts w:ascii="Times New Roman" w:eastAsia="Times New Roman" w:hAnsi="Times New Roman" w:cs="Times New Roman"/>
      <w:snapToGrid w:val="0"/>
      <w:color w:val="auto"/>
      <w:sz w:val="24"/>
      <w:szCs w:val="20"/>
    </w:rPr>
  </w:style>
  <w:style w:type="paragraph" w:styleId="NormalWeb">
    <w:name w:val="Normal (Web)"/>
    <w:basedOn w:val="Normal"/>
    <w:rsid w:val="00497DB3"/>
    <w:pPr>
      <w:spacing w:before="100" w:beforeAutospacing="1" w:after="100" w:afterAutospacing="1" w:line="240" w:lineRule="auto"/>
    </w:pPr>
    <w:rPr>
      <w:rFonts w:ascii="Times New Roman" w:eastAsia="Times New Roman" w:hAnsi="Times New Roman" w:cs="Times New Roman"/>
      <w:color w:val="auto"/>
      <w:sz w:val="24"/>
      <w:lang w:val="en-AU" w:eastAsia="en-AU"/>
    </w:rPr>
  </w:style>
  <w:style w:type="paragraph" w:styleId="BodyTextIndent2">
    <w:name w:val="Body Text Indent 2"/>
    <w:basedOn w:val="Normal"/>
    <w:link w:val="BodyTextIndent2Char"/>
    <w:rsid w:val="00497DB3"/>
    <w:pPr>
      <w:spacing w:after="120" w:line="480" w:lineRule="auto"/>
      <w:ind w:left="283"/>
    </w:pPr>
  </w:style>
  <w:style w:type="character" w:customStyle="1" w:styleId="BodyTextIndent2Char">
    <w:name w:val="Body Text Indent 2 Char"/>
    <w:basedOn w:val="DefaultParagraphFont"/>
    <w:link w:val="BodyTextIndent2"/>
    <w:rsid w:val="00497DB3"/>
    <w:rPr>
      <w:rFonts w:ascii="Arial" w:hAnsi="Arial"/>
      <w:color w:val="000000" w:themeColor="text1"/>
      <w:sz w:val="19"/>
    </w:rPr>
  </w:style>
  <w:style w:type="paragraph" w:customStyle="1" w:styleId="PWBullet1">
    <w:name w:val="PW Bullet 1"/>
    <w:basedOn w:val="Normal"/>
    <w:rsid w:val="00497DB3"/>
    <w:pPr>
      <w:spacing w:before="160" w:line="300" w:lineRule="atLeast"/>
      <w:ind w:left="567" w:hanging="567"/>
    </w:pPr>
    <w:rPr>
      <w:rFonts w:ascii="Times New Roman" w:eastAsia="Times New Roman" w:hAnsi="Times New Roman" w:cs="Times New Roman"/>
      <w:color w:val="auto"/>
      <w:sz w:val="24"/>
      <w:szCs w:val="20"/>
      <w:lang w:val="en-AU"/>
    </w:rPr>
  </w:style>
  <w:style w:type="paragraph" w:customStyle="1" w:styleId="NumberLetter2">
    <w:name w:val="|Number/Letter (2)"/>
    <w:rsid w:val="00497DB3"/>
    <w:pPr>
      <w:numPr>
        <w:numId w:val="1"/>
      </w:numPr>
      <w:spacing w:after="120" w:line="240" w:lineRule="atLeast"/>
    </w:pPr>
    <w:rPr>
      <w:rFonts w:ascii="Arial" w:eastAsia="Times New Roman" w:hAnsi="Arial" w:cs="Arial"/>
      <w:color w:val="000000"/>
      <w:sz w:val="20"/>
      <w:szCs w:val="20"/>
    </w:rPr>
  </w:style>
  <w:style w:type="table" w:styleId="TableGrid">
    <w:name w:val="Table Grid"/>
    <w:basedOn w:val="TableNormal"/>
    <w:rsid w:val="00497DB3"/>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
    <w:name w:val="Colorful Grid"/>
    <w:basedOn w:val="TableNormal"/>
    <w:rsid w:val="00247FE4"/>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3">
    <w:name w:val="Colorful List Accent 3"/>
    <w:basedOn w:val="TableNormal"/>
    <w:rsid w:val="00247FE4"/>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TableList4">
    <w:name w:val="Table List 4"/>
    <w:basedOn w:val="TableNormal"/>
    <w:rsid w:val="00247FE4"/>
    <w:pPr>
      <w:spacing w:line="23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PlainText">
    <w:name w:val="Plain Text"/>
    <w:basedOn w:val="Normal"/>
    <w:link w:val="PlainTextChar"/>
    <w:uiPriority w:val="99"/>
    <w:unhideWhenUsed/>
    <w:rsid w:val="0082020D"/>
    <w:pPr>
      <w:spacing w:line="240" w:lineRule="auto"/>
    </w:pPr>
    <w:rPr>
      <w:rFonts w:ascii="Calibri" w:hAnsi="Calibri" w:cs="Calibri"/>
      <w:color w:val="auto"/>
      <w:sz w:val="22"/>
      <w:szCs w:val="22"/>
    </w:rPr>
  </w:style>
  <w:style w:type="character" w:customStyle="1" w:styleId="PlainTextChar">
    <w:name w:val="Plain Text Char"/>
    <w:basedOn w:val="DefaultParagraphFont"/>
    <w:link w:val="PlainText"/>
    <w:uiPriority w:val="99"/>
    <w:rsid w:val="0082020D"/>
    <w:rPr>
      <w:rFonts w:ascii="Calibri" w:hAnsi="Calibri" w:cs="Calibri"/>
      <w:sz w:val="22"/>
      <w:szCs w:val="22"/>
    </w:rPr>
  </w:style>
  <w:style w:type="character" w:customStyle="1" w:styleId="Heading2Char">
    <w:name w:val="Heading 2 Char"/>
    <w:basedOn w:val="DefaultParagraphFont"/>
    <w:link w:val="Heading2"/>
    <w:rsid w:val="00D012D1"/>
    <w:rPr>
      <w:rFonts w:asciiTheme="majorHAnsi" w:eastAsiaTheme="majorEastAsia" w:hAnsiTheme="majorHAnsi" w:cstheme="majorBidi"/>
      <w:b/>
      <w:bCs/>
      <w:color w:val="4F81BD" w:themeColor="accent1"/>
      <w:sz w:val="26"/>
      <w:szCs w:val="26"/>
    </w:rPr>
  </w:style>
  <w:style w:type="paragraph" w:customStyle="1" w:styleId="Indent1">
    <w:name w:val="Indent 1"/>
    <w:basedOn w:val="Normal"/>
    <w:rsid w:val="00D012D1"/>
    <w:pPr>
      <w:numPr>
        <w:ilvl w:val="1"/>
        <w:numId w:val="3"/>
      </w:numPr>
      <w:kinsoku w:val="0"/>
      <w:overflowPunct w:val="0"/>
      <w:autoSpaceDE w:val="0"/>
      <w:autoSpaceDN w:val="0"/>
      <w:adjustRightInd w:val="0"/>
      <w:snapToGrid w:val="0"/>
      <w:spacing w:after="240" w:line="240" w:lineRule="atLeast"/>
    </w:pPr>
    <w:rPr>
      <w:rFonts w:ascii="Georgia" w:hAnsi="Georgia"/>
      <w:snapToGrid w:val="0"/>
      <w:color w:val="auto"/>
      <w:sz w:val="20"/>
      <w:szCs w:val="21"/>
      <w:lang w:val="en-GB"/>
    </w:rPr>
  </w:style>
  <w:style w:type="paragraph" w:customStyle="1" w:styleId="Indent2">
    <w:name w:val="Indent 2"/>
    <w:basedOn w:val="Indent1"/>
    <w:rsid w:val="00D012D1"/>
    <w:pPr>
      <w:numPr>
        <w:ilvl w:val="2"/>
      </w:numPr>
    </w:pPr>
  </w:style>
  <w:style w:type="paragraph" w:customStyle="1" w:styleId="BodySingle">
    <w:name w:val="Body Single"/>
    <w:basedOn w:val="BodyText"/>
    <w:uiPriority w:val="1"/>
    <w:qFormat/>
    <w:rsid w:val="00D012D1"/>
    <w:pPr>
      <w:tabs>
        <w:tab w:val="right" w:pos="9072"/>
      </w:tabs>
      <w:spacing w:line="240" w:lineRule="auto"/>
    </w:pPr>
    <w:rPr>
      <w:rFonts w:ascii="Georgia" w:hAnsi="Georgia"/>
      <w:color w:val="auto"/>
      <w:sz w:val="20"/>
      <w:szCs w:val="20"/>
      <w:lang w:val="en-GB"/>
    </w:rPr>
  </w:style>
  <w:style w:type="paragraph" w:styleId="Closing">
    <w:name w:val="Closing"/>
    <w:basedOn w:val="BodySingle"/>
    <w:link w:val="ClosingChar"/>
    <w:rsid w:val="00D012D1"/>
    <w:pPr>
      <w:keepNext/>
      <w:keepLines/>
    </w:pPr>
  </w:style>
  <w:style w:type="character" w:customStyle="1" w:styleId="ClosingChar">
    <w:name w:val="Closing Char"/>
    <w:basedOn w:val="DefaultParagraphFont"/>
    <w:link w:val="Closing"/>
    <w:rsid w:val="00D012D1"/>
    <w:rPr>
      <w:rFonts w:ascii="Georgia" w:hAnsi="Georgia"/>
      <w:sz w:val="20"/>
      <w:szCs w:val="20"/>
      <w:lang w:val="en-GB"/>
    </w:rPr>
  </w:style>
  <w:style w:type="paragraph" w:customStyle="1" w:styleId="Indent3">
    <w:name w:val="Indent 3"/>
    <w:basedOn w:val="Indent2"/>
    <w:rsid w:val="00D012D1"/>
    <w:pPr>
      <w:numPr>
        <w:ilvl w:val="3"/>
      </w:numPr>
    </w:pPr>
  </w:style>
  <w:style w:type="paragraph" w:customStyle="1" w:styleId="Indent4">
    <w:name w:val="Indent 4"/>
    <w:basedOn w:val="Indent3"/>
    <w:rsid w:val="00D012D1"/>
    <w:pPr>
      <w:numPr>
        <w:ilvl w:val="4"/>
      </w:numPr>
    </w:pPr>
  </w:style>
  <w:style w:type="paragraph" w:customStyle="1" w:styleId="Indent5">
    <w:name w:val="Indent 5"/>
    <w:basedOn w:val="Indent4"/>
    <w:rsid w:val="00D012D1"/>
    <w:pPr>
      <w:numPr>
        <w:ilvl w:val="5"/>
      </w:numPr>
    </w:pPr>
  </w:style>
  <w:style w:type="paragraph" w:customStyle="1" w:styleId="Indent6">
    <w:name w:val="Indent 6"/>
    <w:basedOn w:val="Indent5"/>
    <w:rsid w:val="00D012D1"/>
    <w:pPr>
      <w:numPr>
        <w:ilvl w:val="6"/>
      </w:numPr>
    </w:pPr>
  </w:style>
  <w:style w:type="paragraph" w:customStyle="1" w:styleId="Indent7">
    <w:name w:val="Indent 7"/>
    <w:basedOn w:val="Indent6"/>
    <w:rsid w:val="00D012D1"/>
    <w:pPr>
      <w:numPr>
        <w:ilvl w:val="7"/>
      </w:numPr>
    </w:pPr>
  </w:style>
  <w:style w:type="paragraph" w:customStyle="1" w:styleId="Indent8">
    <w:name w:val="Indent 8"/>
    <w:basedOn w:val="Indent7"/>
    <w:rsid w:val="00D012D1"/>
    <w:pPr>
      <w:numPr>
        <w:ilvl w:val="8"/>
      </w:numPr>
    </w:pPr>
  </w:style>
  <w:style w:type="numbering" w:customStyle="1" w:styleId="Indents">
    <w:name w:val="Indents"/>
    <w:rsid w:val="00D012D1"/>
    <w:pPr>
      <w:numPr>
        <w:numId w:val="2"/>
      </w:numPr>
    </w:pPr>
  </w:style>
  <w:style w:type="paragraph" w:styleId="ListNumber">
    <w:name w:val="List Number"/>
    <w:basedOn w:val="Normal"/>
    <w:uiPriority w:val="13"/>
    <w:unhideWhenUsed/>
    <w:qFormat/>
    <w:rsid w:val="00D012D1"/>
    <w:pPr>
      <w:numPr>
        <w:numId w:val="4"/>
      </w:numPr>
      <w:spacing w:after="240" w:line="240" w:lineRule="atLeast"/>
    </w:pPr>
    <w:rPr>
      <w:rFonts w:ascii="Georgia" w:hAnsi="Georgia"/>
      <w:color w:val="auto"/>
      <w:sz w:val="20"/>
      <w:szCs w:val="20"/>
      <w:lang w:val="en-GB"/>
    </w:rPr>
  </w:style>
  <w:style w:type="paragraph" w:styleId="ListNumber2">
    <w:name w:val="List Number 2"/>
    <w:basedOn w:val="ListNumber"/>
    <w:uiPriority w:val="13"/>
    <w:unhideWhenUsed/>
    <w:qFormat/>
    <w:rsid w:val="00D012D1"/>
    <w:pPr>
      <w:numPr>
        <w:ilvl w:val="1"/>
      </w:numPr>
    </w:pPr>
  </w:style>
  <w:style w:type="paragraph" w:styleId="ListNumber3">
    <w:name w:val="List Number 3"/>
    <w:basedOn w:val="ListNumber2"/>
    <w:uiPriority w:val="13"/>
    <w:unhideWhenUsed/>
    <w:qFormat/>
    <w:rsid w:val="00D012D1"/>
    <w:pPr>
      <w:numPr>
        <w:ilvl w:val="2"/>
      </w:numPr>
    </w:pPr>
  </w:style>
  <w:style w:type="paragraph" w:styleId="ListNumber4">
    <w:name w:val="List Number 4"/>
    <w:basedOn w:val="ListNumber3"/>
    <w:uiPriority w:val="13"/>
    <w:unhideWhenUsed/>
    <w:rsid w:val="00D012D1"/>
    <w:pPr>
      <w:numPr>
        <w:ilvl w:val="3"/>
      </w:numPr>
    </w:pPr>
  </w:style>
  <w:style w:type="paragraph" w:styleId="ListNumber5">
    <w:name w:val="List Number 5"/>
    <w:basedOn w:val="ListNumber4"/>
    <w:uiPriority w:val="13"/>
    <w:unhideWhenUsed/>
    <w:rsid w:val="00D012D1"/>
    <w:pPr>
      <w:numPr>
        <w:ilvl w:val="4"/>
      </w:numPr>
    </w:pPr>
  </w:style>
  <w:style w:type="paragraph" w:customStyle="1" w:styleId="PwCNormal">
    <w:name w:val="PwC Normal"/>
    <w:basedOn w:val="Normal"/>
    <w:rsid w:val="00D012D1"/>
    <w:pPr>
      <w:numPr>
        <w:numId w:val="3"/>
      </w:numPr>
      <w:kinsoku w:val="0"/>
      <w:overflowPunct w:val="0"/>
      <w:autoSpaceDE w:val="0"/>
      <w:autoSpaceDN w:val="0"/>
      <w:adjustRightInd w:val="0"/>
      <w:snapToGrid w:val="0"/>
      <w:spacing w:after="240" w:line="240" w:lineRule="auto"/>
    </w:pPr>
    <w:rPr>
      <w:rFonts w:ascii="Georgia" w:eastAsia="Times New Roman" w:hAnsi="Georgia" w:cs="Arial"/>
      <w:snapToGrid w:val="0"/>
      <w:color w:val="auto"/>
      <w:sz w:val="20"/>
      <w:szCs w:val="21"/>
      <w:lang w:val="en-AU"/>
    </w:rPr>
  </w:style>
  <w:style w:type="paragraph" w:customStyle="1" w:styleId="HangingIndent2">
    <w:name w:val="Hanging Indent 2"/>
    <w:basedOn w:val="Normal"/>
    <w:rsid w:val="00D012D1"/>
    <w:pPr>
      <w:tabs>
        <w:tab w:val="left" w:pos="567"/>
      </w:tabs>
      <w:spacing w:after="240" w:line="240" w:lineRule="atLeast"/>
      <w:ind w:left="1134" w:hanging="567"/>
    </w:pPr>
    <w:rPr>
      <w:rFonts w:ascii="Georgia" w:hAnsi="Georgia"/>
      <w:color w:val="auto"/>
      <w:sz w:val="20"/>
      <w:szCs w:val="20"/>
      <w:lang w:val="en-GB"/>
    </w:rPr>
  </w:style>
  <w:style w:type="paragraph" w:customStyle="1" w:styleId="HangingIndent3">
    <w:name w:val="Hanging Indent 3"/>
    <w:basedOn w:val="HangingIndent2"/>
    <w:rsid w:val="00D012D1"/>
    <w:pPr>
      <w:ind w:left="1701"/>
    </w:pPr>
  </w:style>
  <w:style w:type="paragraph" w:styleId="ListParagraph">
    <w:name w:val="List Paragraph"/>
    <w:basedOn w:val="Normal"/>
    <w:uiPriority w:val="34"/>
    <w:qFormat/>
    <w:rsid w:val="003848A1"/>
    <w:pPr>
      <w:spacing w:after="240" w:line="240" w:lineRule="atLeast"/>
      <w:ind w:left="720"/>
      <w:contextualSpacing/>
    </w:pPr>
    <w:rPr>
      <w:rFonts w:asciiTheme="minorHAnsi" w:hAnsiTheme="minorHAnsi"/>
      <w:color w:val="auto"/>
      <w:sz w:val="20"/>
      <w:szCs w:val="20"/>
      <w:lang w:val="en-GB"/>
    </w:rPr>
  </w:style>
  <w:style w:type="paragraph" w:styleId="BalloonText">
    <w:name w:val="Balloon Text"/>
    <w:basedOn w:val="Normal"/>
    <w:link w:val="BalloonTextChar"/>
    <w:rsid w:val="00E44B09"/>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E44B09"/>
    <w:rPr>
      <w:rFonts w:ascii="Tahoma" w:hAnsi="Tahoma" w:cs="Tahoma"/>
      <w:color w:val="000000" w:themeColor="text1"/>
      <w:sz w:val="16"/>
      <w:szCs w:val="16"/>
    </w:rPr>
  </w:style>
  <w:style w:type="character" w:styleId="CommentReference">
    <w:name w:val="annotation reference"/>
    <w:basedOn w:val="DefaultParagraphFont"/>
    <w:uiPriority w:val="99"/>
    <w:unhideWhenUsed/>
    <w:rsid w:val="00E936E2"/>
    <w:rPr>
      <w:sz w:val="16"/>
      <w:szCs w:val="16"/>
    </w:rPr>
  </w:style>
  <w:style w:type="paragraph" w:styleId="CommentText">
    <w:name w:val="annotation text"/>
    <w:basedOn w:val="Normal"/>
    <w:link w:val="CommentTextChar"/>
    <w:uiPriority w:val="99"/>
    <w:unhideWhenUsed/>
    <w:rsid w:val="00E936E2"/>
    <w:pPr>
      <w:spacing w:after="170" w:line="240" w:lineRule="auto"/>
    </w:pPr>
    <w:rPr>
      <w:rFonts w:ascii="Segoe UI" w:hAnsi="Segoe UI"/>
      <w:spacing w:val="-1"/>
      <w:sz w:val="20"/>
      <w:szCs w:val="20"/>
      <w:lang w:val="en-AU"/>
    </w:rPr>
  </w:style>
  <w:style w:type="character" w:customStyle="1" w:styleId="CommentTextChar">
    <w:name w:val="Comment Text Char"/>
    <w:basedOn w:val="DefaultParagraphFont"/>
    <w:link w:val="CommentText"/>
    <w:uiPriority w:val="99"/>
    <w:rsid w:val="00E936E2"/>
    <w:rPr>
      <w:rFonts w:ascii="Segoe UI" w:hAnsi="Segoe UI"/>
      <w:color w:val="000000" w:themeColor="text1"/>
      <w:spacing w:val="-1"/>
      <w:sz w:val="20"/>
      <w:szCs w:val="20"/>
      <w:lang w:val="en-AU"/>
    </w:rPr>
  </w:style>
  <w:style w:type="paragraph" w:styleId="CommentSubject">
    <w:name w:val="annotation subject"/>
    <w:basedOn w:val="CommentText"/>
    <w:next w:val="CommentText"/>
    <w:link w:val="CommentSubjectChar"/>
    <w:rsid w:val="00C35AE0"/>
    <w:pPr>
      <w:spacing w:after="0"/>
    </w:pPr>
    <w:rPr>
      <w:rFonts w:ascii="Arial" w:hAnsi="Arial"/>
      <w:b/>
      <w:bCs/>
      <w:spacing w:val="0"/>
      <w:lang w:val="en-US"/>
    </w:rPr>
  </w:style>
  <w:style w:type="character" w:customStyle="1" w:styleId="CommentSubjectChar">
    <w:name w:val="Comment Subject Char"/>
    <w:basedOn w:val="CommentTextChar"/>
    <w:link w:val="CommentSubject"/>
    <w:rsid w:val="00C35AE0"/>
    <w:rPr>
      <w:rFonts w:ascii="Arial" w:hAnsi="Arial"/>
      <w:b/>
      <w:bCs/>
      <w:color w:val="000000" w:themeColor="text1"/>
      <w:spacing w:val="-1"/>
      <w:sz w:val="20"/>
      <w:szCs w:val="20"/>
      <w:lang w:val="en-AU"/>
    </w:rPr>
  </w:style>
  <w:style w:type="paragraph" w:styleId="FootnoteText">
    <w:name w:val="footnote text"/>
    <w:basedOn w:val="Normal"/>
    <w:link w:val="FootnoteTextChar"/>
    <w:semiHidden/>
    <w:unhideWhenUsed/>
    <w:rsid w:val="00335415"/>
    <w:pPr>
      <w:spacing w:line="240" w:lineRule="auto"/>
    </w:pPr>
    <w:rPr>
      <w:sz w:val="20"/>
      <w:szCs w:val="20"/>
    </w:rPr>
  </w:style>
  <w:style w:type="character" w:customStyle="1" w:styleId="FootnoteTextChar">
    <w:name w:val="Footnote Text Char"/>
    <w:basedOn w:val="DefaultParagraphFont"/>
    <w:link w:val="FootnoteText"/>
    <w:semiHidden/>
    <w:rsid w:val="00335415"/>
    <w:rPr>
      <w:rFonts w:ascii="Arial" w:hAnsi="Arial"/>
      <w:color w:val="000000" w:themeColor="text1"/>
      <w:sz w:val="20"/>
      <w:szCs w:val="20"/>
    </w:rPr>
  </w:style>
  <w:style w:type="character" w:styleId="FootnoteReference">
    <w:name w:val="footnote reference"/>
    <w:basedOn w:val="DefaultParagraphFont"/>
    <w:semiHidden/>
    <w:unhideWhenUsed/>
    <w:rsid w:val="00335415"/>
    <w:rPr>
      <w:vertAlign w:val="superscript"/>
    </w:rPr>
  </w:style>
  <w:style w:type="character" w:styleId="Hyperlink">
    <w:name w:val="Hyperlink"/>
    <w:basedOn w:val="DefaultParagraphFont"/>
    <w:uiPriority w:val="99"/>
    <w:semiHidden/>
    <w:unhideWhenUsed/>
    <w:rsid w:val="00F36D3E"/>
    <w:rPr>
      <w:color w:val="0066AA"/>
      <w:u w:val="single"/>
      <w:shd w:val="clear" w:color="auto" w:fill="auto"/>
    </w:rPr>
  </w:style>
  <w:style w:type="paragraph" w:customStyle="1" w:styleId="paragraph">
    <w:name w:val="paragraph"/>
    <w:basedOn w:val="Normal"/>
    <w:rsid w:val="00EB77EA"/>
    <w:pPr>
      <w:spacing w:line="240" w:lineRule="auto"/>
    </w:pPr>
    <w:rPr>
      <w:rFonts w:ascii="Times New Roman" w:eastAsia="Times New Roman" w:hAnsi="Times New Roman" w:cs="Times New Roman"/>
      <w:color w:val="auto"/>
      <w:sz w:val="24"/>
      <w:lang w:val="en-AU" w:eastAsia="en-AU"/>
    </w:rPr>
  </w:style>
  <w:style w:type="character" w:customStyle="1" w:styleId="spellingerror">
    <w:name w:val="spellingerror"/>
    <w:basedOn w:val="DefaultParagraphFont"/>
    <w:rsid w:val="00EB77EA"/>
  </w:style>
  <w:style w:type="character" w:customStyle="1" w:styleId="normaltextrun1">
    <w:name w:val="normaltextrun1"/>
    <w:basedOn w:val="DefaultParagraphFont"/>
    <w:rsid w:val="00EB77EA"/>
  </w:style>
  <w:style w:type="character" w:customStyle="1" w:styleId="eop">
    <w:name w:val="eop"/>
    <w:basedOn w:val="DefaultParagraphFont"/>
    <w:rsid w:val="00EB7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0694">
      <w:bodyDiv w:val="1"/>
      <w:marLeft w:val="0"/>
      <w:marRight w:val="0"/>
      <w:marTop w:val="0"/>
      <w:marBottom w:val="0"/>
      <w:divBdr>
        <w:top w:val="none" w:sz="0" w:space="0" w:color="auto"/>
        <w:left w:val="none" w:sz="0" w:space="0" w:color="auto"/>
        <w:bottom w:val="none" w:sz="0" w:space="0" w:color="auto"/>
        <w:right w:val="none" w:sz="0" w:space="0" w:color="auto"/>
      </w:divBdr>
    </w:div>
    <w:div w:id="19286814">
      <w:bodyDiv w:val="1"/>
      <w:marLeft w:val="0"/>
      <w:marRight w:val="0"/>
      <w:marTop w:val="0"/>
      <w:marBottom w:val="0"/>
      <w:divBdr>
        <w:top w:val="none" w:sz="0" w:space="0" w:color="auto"/>
        <w:left w:val="none" w:sz="0" w:space="0" w:color="auto"/>
        <w:bottom w:val="none" w:sz="0" w:space="0" w:color="auto"/>
        <w:right w:val="none" w:sz="0" w:space="0" w:color="auto"/>
      </w:divBdr>
    </w:div>
    <w:div w:id="44909887">
      <w:bodyDiv w:val="1"/>
      <w:marLeft w:val="0"/>
      <w:marRight w:val="0"/>
      <w:marTop w:val="0"/>
      <w:marBottom w:val="0"/>
      <w:divBdr>
        <w:top w:val="none" w:sz="0" w:space="0" w:color="auto"/>
        <w:left w:val="none" w:sz="0" w:space="0" w:color="auto"/>
        <w:bottom w:val="none" w:sz="0" w:space="0" w:color="auto"/>
        <w:right w:val="none" w:sz="0" w:space="0" w:color="auto"/>
      </w:divBdr>
    </w:div>
    <w:div w:id="95827919">
      <w:bodyDiv w:val="1"/>
      <w:marLeft w:val="0"/>
      <w:marRight w:val="0"/>
      <w:marTop w:val="0"/>
      <w:marBottom w:val="0"/>
      <w:divBdr>
        <w:top w:val="none" w:sz="0" w:space="0" w:color="auto"/>
        <w:left w:val="none" w:sz="0" w:space="0" w:color="auto"/>
        <w:bottom w:val="none" w:sz="0" w:space="0" w:color="auto"/>
        <w:right w:val="none" w:sz="0" w:space="0" w:color="auto"/>
      </w:divBdr>
    </w:div>
    <w:div w:id="242418297">
      <w:bodyDiv w:val="1"/>
      <w:marLeft w:val="0"/>
      <w:marRight w:val="0"/>
      <w:marTop w:val="0"/>
      <w:marBottom w:val="0"/>
      <w:divBdr>
        <w:top w:val="none" w:sz="0" w:space="0" w:color="auto"/>
        <w:left w:val="none" w:sz="0" w:space="0" w:color="auto"/>
        <w:bottom w:val="none" w:sz="0" w:space="0" w:color="auto"/>
        <w:right w:val="none" w:sz="0" w:space="0" w:color="auto"/>
      </w:divBdr>
    </w:div>
    <w:div w:id="257370188">
      <w:bodyDiv w:val="1"/>
      <w:marLeft w:val="0"/>
      <w:marRight w:val="0"/>
      <w:marTop w:val="0"/>
      <w:marBottom w:val="0"/>
      <w:divBdr>
        <w:top w:val="none" w:sz="0" w:space="0" w:color="auto"/>
        <w:left w:val="none" w:sz="0" w:space="0" w:color="auto"/>
        <w:bottom w:val="none" w:sz="0" w:space="0" w:color="auto"/>
        <w:right w:val="none" w:sz="0" w:space="0" w:color="auto"/>
      </w:divBdr>
    </w:div>
    <w:div w:id="317224343">
      <w:bodyDiv w:val="1"/>
      <w:marLeft w:val="0"/>
      <w:marRight w:val="0"/>
      <w:marTop w:val="0"/>
      <w:marBottom w:val="0"/>
      <w:divBdr>
        <w:top w:val="none" w:sz="0" w:space="0" w:color="auto"/>
        <w:left w:val="none" w:sz="0" w:space="0" w:color="auto"/>
        <w:bottom w:val="none" w:sz="0" w:space="0" w:color="auto"/>
        <w:right w:val="none" w:sz="0" w:space="0" w:color="auto"/>
      </w:divBdr>
    </w:div>
    <w:div w:id="428157338">
      <w:bodyDiv w:val="1"/>
      <w:marLeft w:val="0"/>
      <w:marRight w:val="0"/>
      <w:marTop w:val="0"/>
      <w:marBottom w:val="0"/>
      <w:divBdr>
        <w:top w:val="none" w:sz="0" w:space="0" w:color="auto"/>
        <w:left w:val="none" w:sz="0" w:space="0" w:color="auto"/>
        <w:bottom w:val="none" w:sz="0" w:space="0" w:color="auto"/>
        <w:right w:val="none" w:sz="0" w:space="0" w:color="auto"/>
      </w:divBdr>
    </w:div>
    <w:div w:id="481891283">
      <w:bodyDiv w:val="1"/>
      <w:marLeft w:val="0"/>
      <w:marRight w:val="0"/>
      <w:marTop w:val="0"/>
      <w:marBottom w:val="0"/>
      <w:divBdr>
        <w:top w:val="none" w:sz="0" w:space="0" w:color="auto"/>
        <w:left w:val="none" w:sz="0" w:space="0" w:color="auto"/>
        <w:bottom w:val="none" w:sz="0" w:space="0" w:color="auto"/>
        <w:right w:val="none" w:sz="0" w:space="0" w:color="auto"/>
      </w:divBdr>
    </w:div>
    <w:div w:id="549997795">
      <w:bodyDiv w:val="1"/>
      <w:marLeft w:val="0"/>
      <w:marRight w:val="0"/>
      <w:marTop w:val="0"/>
      <w:marBottom w:val="0"/>
      <w:divBdr>
        <w:top w:val="none" w:sz="0" w:space="0" w:color="auto"/>
        <w:left w:val="none" w:sz="0" w:space="0" w:color="auto"/>
        <w:bottom w:val="none" w:sz="0" w:space="0" w:color="auto"/>
        <w:right w:val="none" w:sz="0" w:space="0" w:color="auto"/>
      </w:divBdr>
    </w:div>
    <w:div w:id="637420398">
      <w:bodyDiv w:val="1"/>
      <w:marLeft w:val="0"/>
      <w:marRight w:val="0"/>
      <w:marTop w:val="0"/>
      <w:marBottom w:val="0"/>
      <w:divBdr>
        <w:top w:val="none" w:sz="0" w:space="0" w:color="auto"/>
        <w:left w:val="none" w:sz="0" w:space="0" w:color="auto"/>
        <w:bottom w:val="none" w:sz="0" w:space="0" w:color="auto"/>
        <w:right w:val="none" w:sz="0" w:space="0" w:color="auto"/>
      </w:divBdr>
    </w:div>
    <w:div w:id="729504510">
      <w:bodyDiv w:val="1"/>
      <w:marLeft w:val="0"/>
      <w:marRight w:val="0"/>
      <w:marTop w:val="0"/>
      <w:marBottom w:val="0"/>
      <w:divBdr>
        <w:top w:val="none" w:sz="0" w:space="0" w:color="auto"/>
        <w:left w:val="none" w:sz="0" w:space="0" w:color="auto"/>
        <w:bottom w:val="none" w:sz="0" w:space="0" w:color="auto"/>
        <w:right w:val="none" w:sz="0" w:space="0" w:color="auto"/>
      </w:divBdr>
    </w:div>
    <w:div w:id="769469351">
      <w:bodyDiv w:val="1"/>
      <w:marLeft w:val="0"/>
      <w:marRight w:val="0"/>
      <w:marTop w:val="0"/>
      <w:marBottom w:val="0"/>
      <w:divBdr>
        <w:top w:val="none" w:sz="0" w:space="0" w:color="auto"/>
        <w:left w:val="none" w:sz="0" w:space="0" w:color="auto"/>
        <w:bottom w:val="none" w:sz="0" w:space="0" w:color="auto"/>
        <w:right w:val="none" w:sz="0" w:space="0" w:color="auto"/>
      </w:divBdr>
    </w:div>
    <w:div w:id="927539623">
      <w:bodyDiv w:val="1"/>
      <w:marLeft w:val="0"/>
      <w:marRight w:val="0"/>
      <w:marTop w:val="0"/>
      <w:marBottom w:val="0"/>
      <w:divBdr>
        <w:top w:val="none" w:sz="0" w:space="0" w:color="auto"/>
        <w:left w:val="none" w:sz="0" w:space="0" w:color="auto"/>
        <w:bottom w:val="none" w:sz="0" w:space="0" w:color="auto"/>
        <w:right w:val="none" w:sz="0" w:space="0" w:color="auto"/>
      </w:divBdr>
    </w:div>
    <w:div w:id="1056391165">
      <w:bodyDiv w:val="1"/>
      <w:marLeft w:val="0"/>
      <w:marRight w:val="0"/>
      <w:marTop w:val="0"/>
      <w:marBottom w:val="0"/>
      <w:divBdr>
        <w:top w:val="none" w:sz="0" w:space="0" w:color="auto"/>
        <w:left w:val="none" w:sz="0" w:space="0" w:color="auto"/>
        <w:bottom w:val="none" w:sz="0" w:space="0" w:color="auto"/>
        <w:right w:val="none" w:sz="0" w:space="0" w:color="auto"/>
      </w:divBdr>
    </w:div>
    <w:div w:id="1177619947">
      <w:bodyDiv w:val="1"/>
      <w:marLeft w:val="0"/>
      <w:marRight w:val="0"/>
      <w:marTop w:val="0"/>
      <w:marBottom w:val="0"/>
      <w:divBdr>
        <w:top w:val="none" w:sz="0" w:space="0" w:color="auto"/>
        <w:left w:val="none" w:sz="0" w:space="0" w:color="auto"/>
        <w:bottom w:val="none" w:sz="0" w:space="0" w:color="auto"/>
        <w:right w:val="none" w:sz="0" w:space="0" w:color="auto"/>
      </w:divBdr>
    </w:div>
    <w:div w:id="1275017518">
      <w:bodyDiv w:val="1"/>
      <w:marLeft w:val="0"/>
      <w:marRight w:val="0"/>
      <w:marTop w:val="0"/>
      <w:marBottom w:val="0"/>
      <w:divBdr>
        <w:top w:val="none" w:sz="0" w:space="0" w:color="auto"/>
        <w:left w:val="none" w:sz="0" w:space="0" w:color="auto"/>
        <w:bottom w:val="none" w:sz="0" w:space="0" w:color="auto"/>
        <w:right w:val="none" w:sz="0" w:space="0" w:color="auto"/>
      </w:divBdr>
    </w:div>
    <w:div w:id="1295672464">
      <w:bodyDiv w:val="1"/>
      <w:marLeft w:val="0"/>
      <w:marRight w:val="0"/>
      <w:marTop w:val="0"/>
      <w:marBottom w:val="0"/>
      <w:divBdr>
        <w:top w:val="none" w:sz="0" w:space="0" w:color="auto"/>
        <w:left w:val="none" w:sz="0" w:space="0" w:color="auto"/>
        <w:bottom w:val="none" w:sz="0" w:space="0" w:color="auto"/>
        <w:right w:val="none" w:sz="0" w:space="0" w:color="auto"/>
      </w:divBdr>
    </w:div>
    <w:div w:id="1300266008">
      <w:bodyDiv w:val="1"/>
      <w:marLeft w:val="0"/>
      <w:marRight w:val="0"/>
      <w:marTop w:val="0"/>
      <w:marBottom w:val="0"/>
      <w:divBdr>
        <w:top w:val="none" w:sz="0" w:space="0" w:color="auto"/>
        <w:left w:val="none" w:sz="0" w:space="0" w:color="auto"/>
        <w:bottom w:val="none" w:sz="0" w:space="0" w:color="auto"/>
        <w:right w:val="none" w:sz="0" w:space="0" w:color="auto"/>
      </w:divBdr>
    </w:div>
    <w:div w:id="1387800834">
      <w:bodyDiv w:val="1"/>
      <w:marLeft w:val="0"/>
      <w:marRight w:val="0"/>
      <w:marTop w:val="0"/>
      <w:marBottom w:val="0"/>
      <w:divBdr>
        <w:top w:val="none" w:sz="0" w:space="0" w:color="auto"/>
        <w:left w:val="none" w:sz="0" w:space="0" w:color="auto"/>
        <w:bottom w:val="none" w:sz="0" w:space="0" w:color="auto"/>
        <w:right w:val="none" w:sz="0" w:space="0" w:color="auto"/>
      </w:divBdr>
    </w:div>
    <w:div w:id="1400789757">
      <w:bodyDiv w:val="1"/>
      <w:marLeft w:val="0"/>
      <w:marRight w:val="0"/>
      <w:marTop w:val="0"/>
      <w:marBottom w:val="0"/>
      <w:divBdr>
        <w:top w:val="none" w:sz="0" w:space="0" w:color="auto"/>
        <w:left w:val="none" w:sz="0" w:space="0" w:color="auto"/>
        <w:bottom w:val="none" w:sz="0" w:space="0" w:color="auto"/>
        <w:right w:val="none" w:sz="0" w:space="0" w:color="auto"/>
      </w:divBdr>
    </w:div>
    <w:div w:id="1422024608">
      <w:bodyDiv w:val="1"/>
      <w:marLeft w:val="0"/>
      <w:marRight w:val="0"/>
      <w:marTop w:val="0"/>
      <w:marBottom w:val="0"/>
      <w:divBdr>
        <w:top w:val="none" w:sz="0" w:space="0" w:color="auto"/>
        <w:left w:val="none" w:sz="0" w:space="0" w:color="auto"/>
        <w:bottom w:val="none" w:sz="0" w:space="0" w:color="auto"/>
        <w:right w:val="none" w:sz="0" w:space="0" w:color="auto"/>
      </w:divBdr>
    </w:div>
    <w:div w:id="1543589184">
      <w:bodyDiv w:val="1"/>
      <w:marLeft w:val="0"/>
      <w:marRight w:val="0"/>
      <w:marTop w:val="0"/>
      <w:marBottom w:val="0"/>
      <w:divBdr>
        <w:top w:val="none" w:sz="0" w:space="0" w:color="auto"/>
        <w:left w:val="none" w:sz="0" w:space="0" w:color="auto"/>
        <w:bottom w:val="none" w:sz="0" w:space="0" w:color="auto"/>
        <w:right w:val="none" w:sz="0" w:space="0" w:color="auto"/>
      </w:divBdr>
    </w:div>
    <w:div w:id="1570263373">
      <w:bodyDiv w:val="1"/>
      <w:marLeft w:val="0"/>
      <w:marRight w:val="0"/>
      <w:marTop w:val="0"/>
      <w:marBottom w:val="0"/>
      <w:divBdr>
        <w:top w:val="none" w:sz="0" w:space="0" w:color="auto"/>
        <w:left w:val="none" w:sz="0" w:space="0" w:color="auto"/>
        <w:bottom w:val="none" w:sz="0" w:space="0" w:color="auto"/>
        <w:right w:val="none" w:sz="0" w:space="0" w:color="auto"/>
      </w:divBdr>
    </w:div>
    <w:div w:id="1613591862">
      <w:bodyDiv w:val="1"/>
      <w:marLeft w:val="0"/>
      <w:marRight w:val="0"/>
      <w:marTop w:val="0"/>
      <w:marBottom w:val="0"/>
      <w:divBdr>
        <w:top w:val="none" w:sz="0" w:space="0" w:color="auto"/>
        <w:left w:val="none" w:sz="0" w:space="0" w:color="auto"/>
        <w:bottom w:val="none" w:sz="0" w:space="0" w:color="auto"/>
        <w:right w:val="none" w:sz="0" w:space="0" w:color="auto"/>
      </w:divBdr>
    </w:div>
    <w:div w:id="1649287002">
      <w:bodyDiv w:val="1"/>
      <w:marLeft w:val="0"/>
      <w:marRight w:val="0"/>
      <w:marTop w:val="0"/>
      <w:marBottom w:val="0"/>
      <w:divBdr>
        <w:top w:val="none" w:sz="0" w:space="0" w:color="auto"/>
        <w:left w:val="none" w:sz="0" w:space="0" w:color="auto"/>
        <w:bottom w:val="none" w:sz="0" w:space="0" w:color="auto"/>
        <w:right w:val="none" w:sz="0" w:space="0" w:color="auto"/>
      </w:divBdr>
    </w:div>
    <w:div w:id="1659111828">
      <w:bodyDiv w:val="1"/>
      <w:marLeft w:val="0"/>
      <w:marRight w:val="0"/>
      <w:marTop w:val="0"/>
      <w:marBottom w:val="0"/>
      <w:divBdr>
        <w:top w:val="none" w:sz="0" w:space="0" w:color="auto"/>
        <w:left w:val="none" w:sz="0" w:space="0" w:color="auto"/>
        <w:bottom w:val="none" w:sz="0" w:space="0" w:color="auto"/>
        <w:right w:val="none" w:sz="0" w:space="0" w:color="auto"/>
      </w:divBdr>
    </w:div>
    <w:div w:id="1759131372">
      <w:bodyDiv w:val="1"/>
      <w:marLeft w:val="0"/>
      <w:marRight w:val="0"/>
      <w:marTop w:val="0"/>
      <w:marBottom w:val="0"/>
      <w:divBdr>
        <w:top w:val="none" w:sz="0" w:space="0" w:color="auto"/>
        <w:left w:val="none" w:sz="0" w:space="0" w:color="auto"/>
        <w:bottom w:val="none" w:sz="0" w:space="0" w:color="auto"/>
        <w:right w:val="none" w:sz="0" w:space="0" w:color="auto"/>
      </w:divBdr>
    </w:div>
    <w:div w:id="1799108220">
      <w:bodyDiv w:val="1"/>
      <w:marLeft w:val="0"/>
      <w:marRight w:val="0"/>
      <w:marTop w:val="0"/>
      <w:marBottom w:val="0"/>
      <w:divBdr>
        <w:top w:val="none" w:sz="0" w:space="0" w:color="auto"/>
        <w:left w:val="none" w:sz="0" w:space="0" w:color="auto"/>
        <w:bottom w:val="none" w:sz="0" w:space="0" w:color="auto"/>
        <w:right w:val="none" w:sz="0" w:space="0" w:color="auto"/>
      </w:divBdr>
    </w:div>
    <w:div w:id="1819108031">
      <w:bodyDiv w:val="1"/>
      <w:marLeft w:val="0"/>
      <w:marRight w:val="0"/>
      <w:marTop w:val="0"/>
      <w:marBottom w:val="0"/>
      <w:divBdr>
        <w:top w:val="none" w:sz="0" w:space="0" w:color="auto"/>
        <w:left w:val="none" w:sz="0" w:space="0" w:color="auto"/>
        <w:bottom w:val="none" w:sz="0" w:space="0" w:color="auto"/>
        <w:right w:val="none" w:sz="0" w:space="0" w:color="auto"/>
      </w:divBdr>
    </w:div>
    <w:div w:id="1902327350">
      <w:bodyDiv w:val="1"/>
      <w:marLeft w:val="0"/>
      <w:marRight w:val="0"/>
      <w:marTop w:val="0"/>
      <w:marBottom w:val="0"/>
      <w:divBdr>
        <w:top w:val="none" w:sz="0" w:space="0" w:color="auto"/>
        <w:left w:val="none" w:sz="0" w:space="0" w:color="auto"/>
        <w:bottom w:val="none" w:sz="0" w:space="0" w:color="auto"/>
        <w:right w:val="none" w:sz="0" w:space="0" w:color="auto"/>
      </w:divBdr>
    </w:div>
    <w:div w:id="1920863822">
      <w:bodyDiv w:val="1"/>
      <w:marLeft w:val="0"/>
      <w:marRight w:val="0"/>
      <w:marTop w:val="0"/>
      <w:marBottom w:val="0"/>
      <w:divBdr>
        <w:top w:val="none" w:sz="0" w:space="0" w:color="auto"/>
        <w:left w:val="none" w:sz="0" w:space="0" w:color="auto"/>
        <w:bottom w:val="none" w:sz="0" w:space="0" w:color="auto"/>
        <w:right w:val="none" w:sz="0" w:space="0" w:color="auto"/>
      </w:divBdr>
      <w:divsChild>
        <w:div w:id="126752202">
          <w:marLeft w:val="0"/>
          <w:marRight w:val="0"/>
          <w:marTop w:val="0"/>
          <w:marBottom w:val="0"/>
          <w:divBdr>
            <w:top w:val="none" w:sz="0" w:space="0" w:color="auto"/>
            <w:left w:val="none" w:sz="0" w:space="0" w:color="auto"/>
            <w:bottom w:val="none" w:sz="0" w:space="0" w:color="auto"/>
            <w:right w:val="none" w:sz="0" w:space="0" w:color="auto"/>
          </w:divBdr>
          <w:divsChild>
            <w:div w:id="897085304">
              <w:marLeft w:val="0"/>
              <w:marRight w:val="0"/>
              <w:marTop w:val="0"/>
              <w:marBottom w:val="0"/>
              <w:divBdr>
                <w:top w:val="none" w:sz="0" w:space="0" w:color="auto"/>
                <w:left w:val="none" w:sz="0" w:space="0" w:color="auto"/>
                <w:bottom w:val="none" w:sz="0" w:space="0" w:color="auto"/>
                <w:right w:val="none" w:sz="0" w:space="0" w:color="auto"/>
              </w:divBdr>
              <w:divsChild>
                <w:div w:id="937464">
                  <w:marLeft w:val="0"/>
                  <w:marRight w:val="0"/>
                  <w:marTop w:val="0"/>
                  <w:marBottom w:val="0"/>
                  <w:divBdr>
                    <w:top w:val="none" w:sz="0" w:space="0" w:color="auto"/>
                    <w:left w:val="none" w:sz="0" w:space="0" w:color="auto"/>
                    <w:bottom w:val="none" w:sz="0" w:space="0" w:color="auto"/>
                    <w:right w:val="none" w:sz="0" w:space="0" w:color="auto"/>
                  </w:divBdr>
                  <w:divsChild>
                    <w:div w:id="1815757335">
                      <w:marLeft w:val="0"/>
                      <w:marRight w:val="0"/>
                      <w:marTop w:val="0"/>
                      <w:marBottom w:val="0"/>
                      <w:divBdr>
                        <w:top w:val="none" w:sz="0" w:space="0" w:color="auto"/>
                        <w:left w:val="none" w:sz="0" w:space="0" w:color="auto"/>
                        <w:bottom w:val="none" w:sz="0" w:space="0" w:color="auto"/>
                        <w:right w:val="none" w:sz="0" w:space="0" w:color="auto"/>
                      </w:divBdr>
                      <w:divsChild>
                        <w:div w:id="1495293474">
                          <w:marLeft w:val="0"/>
                          <w:marRight w:val="0"/>
                          <w:marTop w:val="0"/>
                          <w:marBottom w:val="0"/>
                          <w:divBdr>
                            <w:top w:val="none" w:sz="0" w:space="0" w:color="auto"/>
                            <w:left w:val="none" w:sz="0" w:space="0" w:color="auto"/>
                            <w:bottom w:val="none" w:sz="0" w:space="0" w:color="auto"/>
                            <w:right w:val="none" w:sz="0" w:space="0" w:color="auto"/>
                          </w:divBdr>
                          <w:divsChild>
                            <w:div w:id="1656492489">
                              <w:marLeft w:val="0"/>
                              <w:marRight w:val="0"/>
                              <w:marTop w:val="0"/>
                              <w:marBottom w:val="0"/>
                              <w:divBdr>
                                <w:top w:val="none" w:sz="0" w:space="0" w:color="auto"/>
                                <w:left w:val="none" w:sz="0" w:space="0" w:color="auto"/>
                                <w:bottom w:val="none" w:sz="0" w:space="0" w:color="auto"/>
                                <w:right w:val="none" w:sz="0" w:space="0" w:color="auto"/>
                              </w:divBdr>
                              <w:divsChild>
                                <w:div w:id="705982651">
                                  <w:marLeft w:val="0"/>
                                  <w:marRight w:val="0"/>
                                  <w:marTop w:val="0"/>
                                  <w:marBottom w:val="0"/>
                                  <w:divBdr>
                                    <w:top w:val="none" w:sz="0" w:space="0" w:color="auto"/>
                                    <w:left w:val="none" w:sz="0" w:space="0" w:color="auto"/>
                                    <w:bottom w:val="none" w:sz="0" w:space="0" w:color="auto"/>
                                    <w:right w:val="none" w:sz="0" w:space="0" w:color="auto"/>
                                  </w:divBdr>
                                  <w:divsChild>
                                    <w:div w:id="1104767818">
                                      <w:marLeft w:val="0"/>
                                      <w:marRight w:val="0"/>
                                      <w:marTop w:val="0"/>
                                      <w:marBottom w:val="0"/>
                                      <w:divBdr>
                                        <w:top w:val="none" w:sz="0" w:space="0" w:color="auto"/>
                                        <w:left w:val="none" w:sz="0" w:space="0" w:color="auto"/>
                                        <w:bottom w:val="none" w:sz="0" w:space="0" w:color="auto"/>
                                        <w:right w:val="none" w:sz="0" w:space="0" w:color="auto"/>
                                      </w:divBdr>
                                      <w:divsChild>
                                        <w:div w:id="560596447">
                                          <w:marLeft w:val="0"/>
                                          <w:marRight w:val="0"/>
                                          <w:marTop w:val="0"/>
                                          <w:marBottom w:val="0"/>
                                          <w:divBdr>
                                            <w:top w:val="none" w:sz="0" w:space="0" w:color="auto"/>
                                            <w:left w:val="none" w:sz="0" w:space="0" w:color="auto"/>
                                            <w:bottom w:val="none" w:sz="0" w:space="0" w:color="auto"/>
                                            <w:right w:val="none" w:sz="0" w:space="0" w:color="auto"/>
                                          </w:divBdr>
                                          <w:divsChild>
                                            <w:div w:id="2047946623">
                                              <w:marLeft w:val="0"/>
                                              <w:marRight w:val="0"/>
                                              <w:marTop w:val="0"/>
                                              <w:marBottom w:val="0"/>
                                              <w:divBdr>
                                                <w:top w:val="none" w:sz="0" w:space="0" w:color="auto"/>
                                                <w:left w:val="none" w:sz="0" w:space="0" w:color="auto"/>
                                                <w:bottom w:val="none" w:sz="0" w:space="0" w:color="auto"/>
                                                <w:right w:val="none" w:sz="0" w:space="0" w:color="auto"/>
                                              </w:divBdr>
                                              <w:divsChild>
                                                <w:div w:id="979962954">
                                                  <w:marLeft w:val="0"/>
                                                  <w:marRight w:val="0"/>
                                                  <w:marTop w:val="0"/>
                                                  <w:marBottom w:val="0"/>
                                                  <w:divBdr>
                                                    <w:top w:val="none" w:sz="0" w:space="0" w:color="auto"/>
                                                    <w:left w:val="none" w:sz="0" w:space="0" w:color="auto"/>
                                                    <w:bottom w:val="none" w:sz="0" w:space="0" w:color="auto"/>
                                                    <w:right w:val="none" w:sz="0" w:space="0" w:color="auto"/>
                                                  </w:divBdr>
                                                  <w:divsChild>
                                                    <w:div w:id="1178812529">
                                                      <w:marLeft w:val="0"/>
                                                      <w:marRight w:val="0"/>
                                                      <w:marTop w:val="0"/>
                                                      <w:marBottom w:val="0"/>
                                                      <w:divBdr>
                                                        <w:top w:val="single" w:sz="12" w:space="0" w:color="ABABAB"/>
                                                        <w:left w:val="single" w:sz="6" w:space="0" w:color="ABABAB"/>
                                                        <w:bottom w:val="none" w:sz="0" w:space="0" w:color="auto"/>
                                                        <w:right w:val="single" w:sz="6" w:space="0" w:color="ABABAB"/>
                                                      </w:divBdr>
                                                      <w:divsChild>
                                                        <w:div w:id="1137650963">
                                                          <w:marLeft w:val="0"/>
                                                          <w:marRight w:val="0"/>
                                                          <w:marTop w:val="0"/>
                                                          <w:marBottom w:val="0"/>
                                                          <w:divBdr>
                                                            <w:top w:val="none" w:sz="0" w:space="0" w:color="auto"/>
                                                            <w:left w:val="none" w:sz="0" w:space="0" w:color="auto"/>
                                                            <w:bottom w:val="none" w:sz="0" w:space="0" w:color="auto"/>
                                                            <w:right w:val="none" w:sz="0" w:space="0" w:color="auto"/>
                                                          </w:divBdr>
                                                          <w:divsChild>
                                                            <w:div w:id="742802709">
                                                              <w:marLeft w:val="0"/>
                                                              <w:marRight w:val="0"/>
                                                              <w:marTop w:val="0"/>
                                                              <w:marBottom w:val="0"/>
                                                              <w:divBdr>
                                                                <w:top w:val="none" w:sz="0" w:space="0" w:color="auto"/>
                                                                <w:left w:val="none" w:sz="0" w:space="0" w:color="auto"/>
                                                                <w:bottom w:val="none" w:sz="0" w:space="0" w:color="auto"/>
                                                                <w:right w:val="none" w:sz="0" w:space="0" w:color="auto"/>
                                                              </w:divBdr>
                                                              <w:divsChild>
                                                                <w:div w:id="566262383">
                                                                  <w:marLeft w:val="0"/>
                                                                  <w:marRight w:val="0"/>
                                                                  <w:marTop w:val="0"/>
                                                                  <w:marBottom w:val="0"/>
                                                                  <w:divBdr>
                                                                    <w:top w:val="none" w:sz="0" w:space="0" w:color="auto"/>
                                                                    <w:left w:val="none" w:sz="0" w:space="0" w:color="auto"/>
                                                                    <w:bottom w:val="none" w:sz="0" w:space="0" w:color="auto"/>
                                                                    <w:right w:val="none" w:sz="0" w:space="0" w:color="auto"/>
                                                                  </w:divBdr>
                                                                  <w:divsChild>
                                                                    <w:div w:id="999380952">
                                                                      <w:marLeft w:val="0"/>
                                                                      <w:marRight w:val="0"/>
                                                                      <w:marTop w:val="0"/>
                                                                      <w:marBottom w:val="0"/>
                                                                      <w:divBdr>
                                                                        <w:top w:val="none" w:sz="0" w:space="0" w:color="auto"/>
                                                                        <w:left w:val="none" w:sz="0" w:space="0" w:color="auto"/>
                                                                        <w:bottom w:val="none" w:sz="0" w:space="0" w:color="auto"/>
                                                                        <w:right w:val="none" w:sz="0" w:space="0" w:color="auto"/>
                                                                      </w:divBdr>
                                                                      <w:divsChild>
                                                                        <w:div w:id="970020591">
                                                                          <w:marLeft w:val="0"/>
                                                                          <w:marRight w:val="0"/>
                                                                          <w:marTop w:val="0"/>
                                                                          <w:marBottom w:val="0"/>
                                                                          <w:divBdr>
                                                                            <w:top w:val="none" w:sz="0" w:space="0" w:color="auto"/>
                                                                            <w:left w:val="none" w:sz="0" w:space="0" w:color="auto"/>
                                                                            <w:bottom w:val="none" w:sz="0" w:space="0" w:color="auto"/>
                                                                            <w:right w:val="none" w:sz="0" w:space="0" w:color="auto"/>
                                                                          </w:divBdr>
                                                                          <w:divsChild>
                                                                            <w:div w:id="1635678448">
                                                                              <w:marLeft w:val="0"/>
                                                                              <w:marRight w:val="0"/>
                                                                              <w:marTop w:val="0"/>
                                                                              <w:marBottom w:val="0"/>
                                                                              <w:divBdr>
                                                                                <w:top w:val="none" w:sz="0" w:space="0" w:color="auto"/>
                                                                                <w:left w:val="none" w:sz="0" w:space="0" w:color="auto"/>
                                                                                <w:bottom w:val="none" w:sz="0" w:space="0" w:color="auto"/>
                                                                                <w:right w:val="none" w:sz="0" w:space="0" w:color="auto"/>
                                                                              </w:divBdr>
                                                                              <w:divsChild>
                                                                                <w:div w:id="1989699211">
                                                                                  <w:marLeft w:val="0"/>
                                                                                  <w:marRight w:val="0"/>
                                                                                  <w:marTop w:val="0"/>
                                                                                  <w:marBottom w:val="0"/>
                                                                                  <w:divBdr>
                                                                                    <w:top w:val="none" w:sz="0" w:space="0" w:color="auto"/>
                                                                                    <w:left w:val="none" w:sz="0" w:space="0" w:color="auto"/>
                                                                                    <w:bottom w:val="none" w:sz="0" w:space="0" w:color="auto"/>
                                                                                    <w:right w:val="none" w:sz="0" w:space="0" w:color="auto"/>
                                                                                  </w:divBdr>
                                                                                </w:div>
                                                                                <w:div w:id="220211382">
                                                                                  <w:marLeft w:val="0"/>
                                                                                  <w:marRight w:val="0"/>
                                                                                  <w:marTop w:val="0"/>
                                                                                  <w:marBottom w:val="0"/>
                                                                                  <w:divBdr>
                                                                                    <w:top w:val="none" w:sz="0" w:space="0" w:color="auto"/>
                                                                                    <w:left w:val="none" w:sz="0" w:space="0" w:color="auto"/>
                                                                                    <w:bottom w:val="none" w:sz="0" w:space="0" w:color="auto"/>
                                                                                    <w:right w:val="none" w:sz="0" w:space="0" w:color="auto"/>
                                                                                  </w:divBdr>
                                                                                </w:div>
                                                                                <w:div w:id="1402100723">
                                                                                  <w:marLeft w:val="0"/>
                                                                                  <w:marRight w:val="0"/>
                                                                                  <w:marTop w:val="0"/>
                                                                                  <w:marBottom w:val="0"/>
                                                                                  <w:divBdr>
                                                                                    <w:top w:val="none" w:sz="0" w:space="0" w:color="auto"/>
                                                                                    <w:left w:val="none" w:sz="0" w:space="0" w:color="auto"/>
                                                                                    <w:bottom w:val="none" w:sz="0" w:space="0" w:color="auto"/>
                                                                                    <w:right w:val="none" w:sz="0" w:space="0" w:color="auto"/>
                                                                                  </w:divBdr>
                                                                                </w:div>
                                                                                <w:div w:id="55523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0381641">
      <w:bodyDiv w:val="1"/>
      <w:marLeft w:val="0"/>
      <w:marRight w:val="0"/>
      <w:marTop w:val="0"/>
      <w:marBottom w:val="0"/>
      <w:divBdr>
        <w:top w:val="none" w:sz="0" w:space="0" w:color="auto"/>
        <w:left w:val="none" w:sz="0" w:space="0" w:color="auto"/>
        <w:bottom w:val="none" w:sz="0" w:space="0" w:color="auto"/>
        <w:right w:val="none" w:sz="0" w:space="0" w:color="auto"/>
      </w:divBdr>
    </w:div>
    <w:div w:id="2120837011">
      <w:bodyDiv w:val="1"/>
      <w:marLeft w:val="0"/>
      <w:marRight w:val="0"/>
      <w:marTop w:val="0"/>
      <w:marBottom w:val="0"/>
      <w:divBdr>
        <w:top w:val="none" w:sz="0" w:space="0" w:color="auto"/>
        <w:left w:val="none" w:sz="0" w:space="0" w:color="auto"/>
        <w:bottom w:val="none" w:sz="0" w:space="0" w:color="auto"/>
        <w:right w:val="none" w:sz="0" w:space="0" w:color="auto"/>
      </w:divBdr>
    </w:div>
    <w:div w:id="21439568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354B0-60DF-4150-B76A-6E81101BD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2072</Words>
  <Characters>11813</Characters>
  <Application>Microsoft Office Word</Application>
  <DocSecurity>0</DocSecurity>
  <Lines>98</Lines>
  <Paragraphs>27</Paragraphs>
  <ScaleCrop>false</ScaleCrop>
  <Company/>
  <LinksUpToDate>false</LinksUpToDate>
  <CharactersWithSpaces>13858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2019-04-03T23:10:00Z</dcterms:created>
  <dcterms:modified xsi:type="dcterms:W3CDTF">2019-04-03T23:10:00Z</dcterms:modified>
</cp:coreProperties>
</file>