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986FB" w14:textId="77777777" w:rsidR="00BE6FD1" w:rsidRDefault="00A44BD8" w:rsidP="00A44BD8">
      <w:pPr>
        <w:spacing w:after="0"/>
        <w:ind w:left="567"/>
        <w:rPr>
          <w:rFonts w:ascii="HelveticaNeueLT Std Thin Cn" w:hAnsi="HelveticaNeueLT Std Thin Cn"/>
          <w:noProof/>
          <w:color w:val="C6AA76"/>
          <w:sz w:val="60"/>
          <w:szCs w:val="60"/>
          <w:lang w:eastAsia="en-AU"/>
        </w:rPr>
      </w:pPr>
      <w:r>
        <w:rPr>
          <w:rFonts w:ascii="HelveticaNeueLT Std Thin Cn" w:hAnsi="HelveticaNeueLT Std Thin Cn"/>
          <w:noProof/>
          <w:color w:val="C6AA76"/>
          <w:sz w:val="60"/>
          <w:szCs w:val="60"/>
          <w:lang w:eastAsia="en-AU"/>
        </w:rPr>
        <w:drawing>
          <wp:anchor distT="0" distB="0" distL="114300" distR="114300" simplePos="0" relativeHeight="251672576" behindDoc="0" locked="0" layoutInCell="1" allowOverlap="1" wp14:anchorId="5EFB444D" wp14:editId="68781483">
            <wp:simplePos x="0" y="0"/>
            <wp:positionH relativeFrom="column">
              <wp:posOffset>-59690</wp:posOffset>
            </wp:positionH>
            <wp:positionV relativeFrom="paragraph">
              <wp:posOffset>-682625</wp:posOffset>
            </wp:positionV>
            <wp:extent cx="2984500" cy="1306091"/>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I_Rel2_FullColour_RGB_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4500" cy="1306091"/>
                    </a:xfrm>
                    <a:prstGeom prst="rect">
                      <a:avLst/>
                    </a:prstGeom>
                  </pic:spPr>
                </pic:pic>
              </a:graphicData>
            </a:graphic>
            <wp14:sizeRelH relativeFrom="page">
              <wp14:pctWidth>0</wp14:pctWidth>
            </wp14:sizeRelH>
            <wp14:sizeRelV relativeFrom="page">
              <wp14:pctHeight>0</wp14:pctHeight>
            </wp14:sizeRelV>
          </wp:anchor>
        </w:drawing>
      </w:r>
    </w:p>
    <w:p w14:paraId="304C301D" w14:textId="77777777" w:rsidR="00BE6FD1" w:rsidRPr="008C5FF2" w:rsidRDefault="00BE6FD1" w:rsidP="00BE6FD1">
      <w:pPr>
        <w:spacing w:after="0"/>
        <w:rPr>
          <w:rFonts w:ascii="HelveticaNeueLT Std Thin Cn" w:hAnsi="HelveticaNeueLT Std Thin Cn"/>
          <w:noProof/>
          <w:color w:val="C6AA76"/>
          <w:sz w:val="52"/>
          <w:szCs w:val="60"/>
          <w:lang w:eastAsia="en-AU"/>
        </w:rPr>
      </w:pPr>
    </w:p>
    <w:p w14:paraId="75DE95B5" w14:textId="77777777" w:rsidR="003A1DD4" w:rsidRDefault="000041EE" w:rsidP="00615805">
      <w:pPr>
        <w:spacing w:after="0"/>
        <w:ind w:left="284"/>
        <w:rPr>
          <w:rStyle w:val="SubtitleChar"/>
        </w:rPr>
      </w:pPr>
      <w:r w:rsidRPr="00870C23">
        <w:rPr>
          <w:rStyle w:val="TitleChar"/>
          <w:noProof/>
          <w:lang w:eastAsia="en-AU"/>
        </w:rPr>
        <mc:AlternateContent>
          <mc:Choice Requires="wps">
            <w:drawing>
              <wp:anchor distT="0" distB="0" distL="114300" distR="114300" simplePos="0" relativeHeight="251659264" behindDoc="0" locked="0" layoutInCell="1" allowOverlap="1" wp14:anchorId="61B7DDEC" wp14:editId="65C99BFF">
                <wp:simplePos x="0" y="0"/>
                <wp:positionH relativeFrom="column">
                  <wp:posOffset>184150</wp:posOffset>
                </wp:positionH>
                <wp:positionV relativeFrom="paragraph">
                  <wp:posOffset>477520</wp:posOffset>
                </wp:positionV>
                <wp:extent cx="54864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486400" cy="0"/>
                        </a:xfrm>
                        <a:prstGeom prst="line">
                          <a:avLst/>
                        </a:prstGeom>
                        <a:ln>
                          <a:solidFill>
                            <a:srgbClr val="C6AA7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ex="http://schemas.microsoft.com/office/word/2018/wordml/cex" xmlns:w16="http://schemas.microsoft.com/office/word/2018/wordml">
            <w:pict>
              <v:line w14:anchorId="10BE5320"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37.6pt" to="446.5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" strokecolor="#c6aa76"/>
            </w:pict>
          </mc:Fallback>
        </mc:AlternateContent>
      </w:r>
      <w:sdt>
        <w:sdtPr>
          <w:rPr>
            <w:rStyle w:val="TitleChar"/>
          </w:rPr>
          <w:alias w:val="Title"/>
          <w:tag w:val=""/>
          <w:id w:val="580105628"/>
          <w:placeholder>
            <w:docPart w:val="494F9A892EFA41AC8DB0A5F453CB512D"/>
          </w:placeholder>
          <w:dataBinding w:prefixMappings="xmlns:ns0='http://purl.org/dc/elements/1.1/' xmlns:ns1='http://schemas.openxmlformats.org/package/2006/metadata/core-properties' " w:xpath="/ns1:coreProperties[1]/ns0:title[1]" w:storeItemID="{6C3C8BC8-F283-45AE-878A-BAB7291924A1}"/>
          <w:text/>
        </w:sdtPr>
        <w:sdtEndPr>
          <w:rPr>
            <w:rStyle w:val="TitleChar"/>
          </w:rPr>
        </w:sdtEndPr>
        <w:sdtContent>
          <w:r w:rsidR="00A96A81">
            <w:rPr>
              <w:rStyle w:val="TitleChar"/>
            </w:rPr>
            <w:t>Review of Retail Payments Regulation</w:t>
          </w:r>
        </w:sdtContent>
      </w:sdt>
      <w:r w:rsidR="00250C6C">
        <w:rPr>
          <w:rFonts w:ascii="HelveticaNeueLT Std Cn" w:hAnsi="HelveticaNeueLT Std Cn"/>
          <w:color w:val="012169"/>
          <w:sz w:val="26"/>
          <w:lang w:val="en-GB"/>
        </w:rPr>
        <w:t xml:space="preserve"> </w:t>
      </w:r>
      <w:r>
        <w:rPr>
          <w:rFonts w:ascii="HelveticaNeueLT Std Cn" w:hAnsi="HelveticaNeueLT Std Cn"/>
          <w:color w:val="012169"/>
          <w:sz w:val="26"/>
          <w:lang w:val="en-GB"/>
        </w:rPr>
        <w:br/>
      </w:r>
      <w:r w:rsidR="008C5FF2">
        <w:rPr>
          <w:rFonts w:ascii="HelveticaNeueLT Std Cn" w:hAnsi="HelveticaNeueLT Std Cn"/>
          <w:color w:val="012169"/>
          <w:sz w:val="26"/>
          <w:lang w:val="en-GB"/>
        </w:rPr>
        <w:br/>
      </w:r>
      <w:r w:rsidR="009F2A5F" w:rsidRPr="008C5FF2">
        <w:rPr>
          <w:rStyle w:val="SubtitleChar"/>
        </w:rPr>
        <w:t xml:space="preserve">Submission to the </w:t>
      </w:r>
      <w:r w:rsidR="00A96A81">
        <w:rPr>
          <w:rStyle w:val="SubtitleChar"/>
        </w:rPr>
        <w:t>Reserve Bank of Australia</w:t>
      </w:r>
      <w:r w:rsidR="003A1DD4">
        <w:rPr>
          <w:rStyle w:val="SubtitleChar"/>
        </w:rPr>
        <w:t xml:space="preserve"> </w:t>
      </w:r>
    </w:p>
    <w:p w14:paraId="77224466" w14:textId="77777777" w:rsidR="00615805" w:rsidRPr="00615805" w:rsidRDefault="00C707B8" w:rsidP="00615805">
      <w:pPr>
        <w:spacing w:after="0"/>
        <w:ind w:left="284"/>
        <w:rPr>
          <w:rFonts w:ascii="HelveticaNeueLT Std Cn" w:hAnsi="HelveticaNeueLT Std Cn"/>
          <w:color w:val="012169"/>
          <w:sz w:val="32"/>
          <w:lang w:val="en-GB"/>
        </w:rPr>
      </w:pPr>
      <w:sdt>
        <w:sdtPr>
          <w:rPr>
            <w:rFonts w:eastAsiaTheme="majorEastAsia" w:cstheme="majorBidi"/>
            <w:iCs/>
            <w:color w:val="012169"/>
            <w:spacing w:val="15"/>
            <w:sz w:val="36"/>
            <w:szCs w:val="24"/>
          </w:rPr>
          <w:alias w:val="Status"/>
          <w:tag w:val=""/>
          <w:id w:val="-1884080328"/>
          <w:placeholder>
            <w:docPart w:val="420B14C803114741A3E8B3BA97F18905"/>
          </w:placeholder>
          <w:dataBinding w:prefixMappings="xmlns:ns0='http://purl.org/dc/elements/1.1/' xmlns:ns1='http://schemas.openxmlformats.org/package/2006/metadata/core-properties' " w:xpath="/ns1:coreProperties[1]/ns1:contentStatus[1]" w:storeItemID="{6C3C8BC8-F283-45AE-878A-BAB7291924A1}"/>
          <w:text/>
        </w:sdtPr>
        <w:sdtEndPr/>
        <w:sdtContent>
          <w:r w:rsidR="00A96A81">
            <w:rPr>
              <w:rFonts w:eastAsiaTheme="majorEastAsia" w:cstheme="majorBidi"/>
              <w:iCs/>
              <w:color w:val="012169"/>
              <w:spacing w:val="15"/>
              <w:sz w:val="36"/>
              <w:szCs w:val="24"/>
            </w:rPr>
            <w:t>August</w:t>
          </w:r>
          <w:r w:rsidR="003A1DD4">
            <w:rPr>
              <w:rFonts w:eastAsiaTheme="majorEastAsia" w:cstheme="majorBidi"/>
              <w:iCs/>
              <w:color w:val="012169"/>
              <w:spacing w:val="15"/>
              <w:sz w:val="36"/>
              <w:szCs w:val="24"/>
            </w:rPr>
            <w:t xml:space="preserve"> </w:t>
          </w:r>
          <w:r w:rsidR="00A96A81">
            <w:rPr>
              <w:rFonts w:eastAsiaTheme="majorEastAsia" w:cstheme="majorBidi"/>
              <w:iCs/>
              <w:color w:val="012169"/>
              <w:spacing w:val="15"/>
              <w:sz w:val="36"/>
              <w:szCs w:val="24"/>
            </w:rPr>
            <w:t>9</w:t>
          </w:r>
          <w:r w:rsidR="000041EE" w:rsidRPr="000041EE">
            <w:rPr>
              <w:rFonts w:eastAsiaTheme="majorEastAsia" w:cstheme="majorBidi"/>
              <w:iCs/>
              <w:color w:val="012169"/>
              <w:spacing w:val="15"/>
              <w:sz w:val="36"/>
              <w:szCs w:val="24"/>
            </w:rPr>
            <w:t>, 20</w:t>
          </w:r>
          <w:r w:rsidR="00A96A81">
            <w:rPr>
              <w:rFonts w:eastAsiaTheme="majorEastAsia" w:cstheme="majorBidi"/>
              <w:iCs/>
              <w:color w:val="012169"/>
              <w:spacing w:val="15"/>
              <w:sz w:val="36"/>
              <w:szCs w:val="24"/>
            </w:rPr>
            <w:t>21</w:t>
          </w:r>
        </w:sdtContent>
      </w:sdt>
    </w:p>
    <w:p w14:paraId="78A702CC" w14:textId="77777777" w:rsidR="00890421" w:rsidRPr="008C5FF2" w:rsidRDefault="00DB4956" w:rsidP="00DD4029">
      <w:pPr>
        <w:pStyle w:val="Heading1"/>
      </w:pPr>
      <w:r w:rsidRPr="008C5FF2">
        <w:t>Introduction</w:t>
      </w:r>
      <w:r w:rsidR="00B15CE8">
        <w:t xml:space="preserve"> </w:t>
      </w:r>
    </w:p>
    <w:p w14:paraId="3A235527" w14:textId="1DF822E2" w:rsidR="00A34CF2" w:rsidRDefault="00164643" w:rsidP="005A6F8E">
      <w:pPr>
        <w:ind w:left="284"/>
        <w:rPr>
          <w:shd w:val="clear" w:color="auto" w:fill="FFFFFF"/>
        </w:rPr>
      </w:pPr>
      <w:r w:rsidRPr="00164643">
        <w:rPr>
          <w:shd w:val="clear" w:color="auto" w:fill="FFFFFF"/>
        </w:rPr>
        <w:t>The Australian Chamber of Commerce and Industry (ACCI) is Australia’s largest most</w:t>
      </w:r>
      <w:r>
        <w:rPr>
          <w:shd w:val="clear" w:color="auto" w:fill="FFFFFF"/>
        </w:rPr>
        <w:t xml:space="preserve"> </w:t>
      </w:r>
      <w:r w:rsidRPr="00164643">
        <w:rPr>
          <w:shd w:val="clear" w:color="auto" w:fill="FFFFFF"/>
        </w:rPr>
        <w:t xml:space="preserve">representative organisation of small businesses in Australia. ACCI represents over </w:t>
      </w:r>
      <w:r w:rsidR="006210C4">
        <w:rPr>
          <w:shd w:val="clear" w:color="auto" w:fill="FFFFFF"/>
        </w:rPr>
        <w:t>80</w:t>
      </w:r>
      <w:r w:rsidRPr="00164643">
        <w:rPr>
          <w:shd w:val="clear" w:color="auto" w:fill="FFFFFF"/>
        </w:rPr>
        <w:t xml:space="preserve"> national</w:t>
      </w:r>
      <w:r>
        <w:rPr>
          <w:shd w:val="clear" w:color="auto" w:fill="FFFFFF"/>
        </w:rPr>
        <w:t xml:space="preserve"> </w:t>
      </w:r>
      <w:r w:rsidRPr="00164643">
        <w:rPr>
          <w:shd w:val="clear" w:color="auto" w:fill="FFFFFF"/>
        </w:rPr>
        <w:t>industry associations and all state and territory chambers of commerce. Our members are mostly</w:t>
      </w:r>
      <w:r>
        <w:rPr>
          <w:shd w:val="clear" w:color="auto" w:fill="FFFFFF"/>
        </w:rPr>
        <w:t xml:space="preserve"> </w:t>
      </w:r>
      <w:r w:rsidRPr="00164643">
        <w:rPr>
          <w:shd w:val="clear" w:color="auto" w:fill="FFFFFF"/>
        </w:rPr>
        <w:t>SMEs spread across industries throughout all parts of Australia. ACCI is also the only peak body</w:t>
      </w:r>
      <w:r>
        <w:rPr>
          <w:shd w:val="clear" w:color="auto" w:fill="FFFFFF"/>
        </w:rPr>
        <w:t xml:space="preserve"> </w:t>
      </w:r>
      <w:r w:rsidRPr="00164643">
        <w:rPr>
          <w:shd w:val="clear" w:color="auto" w:fill="FFFFFF"/>
        </w:rPr>
        <w:t xml:space="preserve">with influence and engagement on the international stage. </w:t>
      </w:r>
      <w:r w:rsidR="00BD7F53">
        <w:rPr>
          <w:shd w:val="clear" w:color="auto" w:fill="FFFFFF"/>
        </w:rPr>
        <w:t>ACCI is the unique Australian industry association member of the ICC, IOE, BIAC to the OECD, CACCI</w:t>
      </w:r>
      <w:r w:rsidR="00AE063A">
        <w:rPr>
          <w:shd w:val="clear" w:color="auto" w:fill="FFFFFF"/>
        </w:rPr>
        <w:t xml:space="preserve">, </w:t>
      </w:r>
      <w:r w:rsidR="00BD7F53">
        <w:rPr>
          <w:shd w:val="clear" w:color="auto" w:fill="FFFFFF"/>
        </w:rPr>
        <w:t>CAPE</w:t>
      </w:r>
      <w:r w:rsidR="00AE063A">
        <w:rPr>
          <w:shd w:val="clear" w:color="auto" w:fill="FFFFFF"/>
        </w:rPr>
        <w:t xml:space="preserve"> and represents Australian employers at the UN and WTO.</w:t>
      </w:r>
      <w:bookmarkStart w:id="0" w:name="_GoBack"/>
      <w:bookmarkEnd w:id="0"/>
    </w:p>
    <w:p w14:paraId="7EF1E1ED" w14:textId="3C25CCEE" w:rsidR="00995A20" w:rsidRDefault="00A96A81" w:rsidP="0027790B">
      <w:pPr>
        <w:ind w:left="284"/>
        <w:rPr>
          <w:shd w:val="clear" w:color="auto" w:fill="FFFFFF"/>
        </w:rPr>
      </w:pPr>
      <w:r>
        <w:rPr>
          <w:shd w:val="clear" w:color="auto" w:fill="FFFFFF"/>
        </w:rPr>
        <w:t xml:space="preserve">ACCI welcomes the opportunity to comment on the </w:t>
      </w:r>
      <w:r w:rsidR="00D727C4">
        <w:rPr>
          <w:shd w:val="clear" w:color="auto" w:fill="FFFFFF"/>
        </w:rPr>
        <w:t>RBA</w:t>
      </w:r>
      <w:r>
        <w:rPr>
          <w:shd w:val="clear" w:color="auto" w:fill="FFFFFF"/>
        </w:rPr>
        <w:t xml:space="preserve"> consultation paper </w:t>
      </w:r>
      <w:r w:rsidR="00787388">
        <w:rPr>
          <w:shd w:val="clear" w:color="auto" w:fill="FFFFFF"/>
        </w:rPr>
        <w:t xml:space="preserve">regarding </w:t>
      </w:r>
      <w:r w:rsidR="006210C4">
        <w:rPr>
          <w:shd w:val="clear" w:color="auto" w:fill="FFFFFF"/>
        </w:rPr>
        <w:t xml:space="preserve">the </w:t>
      </w:r>
      <w:r w:rsidR="00787388">
        <w:rPr>
          <w:shd w:val="clear" w:color="auto" w:fill="FFFFFF"/>
        </w:rPr>
        <w:t>retail payments regulation</w:t>
      </w:r>
      <w:r w:rsidR="006210C4">
        <w:rPr>
          <w:shd w:val="clear" w:color="auto" w:fill="FFFFFF"/>
        </w:rPr>
        <w:t xml:space="preserve"> landscape</w:t>
      </w:r>
      <w:r w:rsidR="00787388">
        <w:rPr>
          <w:shd w:val="clear" w:color="auto" w:fill="FFFFFF"/>
        </w:rPr>
        <w:t xml:space="preserve">. </w:t>
      </w:r>
      <w:r w:rsidR="00164643">
        <w:rPr>
          <w:shd w:val="clear" w:color="auto" w:fill="FFFFFF"/>
        </w:rPr>
        <w:t>ACCI</w:t>
      </w:r>
      <w:r w:rsidR="0063208A">
        <w:rPr>
          <w:shd w:val="clear" w:color="auto" w:fill="FFFFFF"/>
        </w:rPr>
        <w:t xml:space="preserve"> believe</w:t>
      </w:r>
      <w:r w:rsidR="00164643">
        <w:rPr>
          <w:shd w:val="clear" w:color="auto" w:fill="FFFFFF"/>
        </w:rPr>
        <w:t>s</w:t>
      </w:r>
      <w:r w:rsidR="0063208A">
        <w:rPr>
          <w:shd w:val="clear" w:color="auto" w:fill="FFFFFF"/>
        </w:rPr>
        <w:t xml:space="preserve"> </w:t>
      </w:r>
      <w:r w:rsidR="0061516D">
        <w:rPr>
          <w:shd w:val="clear" w:color="auto" w:fill="FFFFFF"/>
        </w:rPr>
        <w:t xml:space="preserve">in a fairer, more transparent and innovative payments system that allows user choice and places merchants </w:t>
      </w:r>
      <w:r w:rsidR="00CE3B14">
        <w:rPr>
          <w:shd w:val="clear" w:color="auto" w:fill="FFFFFF"/>
        </w:rPr>
        <w:t>and their customers</w:t>
      </w:r>
      <w:r w:rsidR="0061516D">
        <w:rPr>
          <w:shd w:val="clear" w:color="auto" w:fill="FFFFFF"/>
        </w:rPr>
        <w:t xml:space="preserve"> at the centre of the payment system. </w:t>
      </w:r>
      <w:r w:rsidR="00995A20">
        <w:rPr>
          <w:shd w:val="clear" w:color="auto" w:fill="FFFFFF"/>
        </w:rPr>
        <w:t xml:space="preserve">Our views on the retail payments regulation have been previously raised in </w:t>
      </w:r>
      <w:r w:rsidR="0073362E">
        <w:rPr>
          <w:shd w:val="clear" w:color="auto" w:fill="FFFFFF"/>
        </w:rPr>
        <w:t>our submission to the</w:t>
      </w:r>
      <w:r w:rsidR="00995A20">
        <w:rPr>
          <w:shd w:val="clear" w:color="auto" w:fill="FFFFFF"/>
        </w:rPr>
        <w:t xml:space="preserve"> </w:t>
      </w:r>
      <w:hyperlink r:id="rId9" w:history="1">
        <w:r w:rsidR="00995A20" w:rsidRPr="0073362E">
          <w:rPr>
            <w:rStyle w:val="Hyperlink"/>
            <w:shd w:val="clear" w:color="auto" w:fill="FFFFFF"/>
          </w:rPr>
          <w:t>Treasury</w:t>
        </w:r>
        <w:r w:rsidR="0073362E" w:rsidRPr="0073362E">
          <w:rPr>
            <w:rStyle w:val="Hyperlink"/>
            <w:shd w:val="clear" w:color="auto" w:fill="FFFFFF"/>
          </w:rPr>
          <w:t>’s</w:t>
        </w:r>
        <w:r w:rsidR="00995A20" w:rsidRPr="0073362E">
          <w:rPr>
            <w:rStyle w:val="Hyperlink"/>
            <w:shd w:val="clear" w:color="auto" w:fill="FFFFFF"/>
          </w:rPr>
          <w:t xml:space="preserve"> review of the Australian Payments system</w:t>
        </w:r>
      </w:hyperlink>
      <w:r w:rsidR="00995A20">
        <w:rPr>
          <w:shd w:val="clear" w:color="auto" w:fill="FFFFFF"/>
        </w:rPr>
        <w:t xml:space="preserve"> and in </w:t>
      </w:r>
      <w:hyperlink r:id="rId10" w:history="1">
        <w:r w:rsidR="00995A20" w:rsidRPr="0073362E">
          <w:rPr>
            <w:rStyle w:val="Hyperlink"/>
            <w:shd w:val="clear" w:color="auto" w:fill="FFFFFF"/>
          </w:rPr>
          <w:t xml:space="preserve">response to the ACCC in relation to the proposed amalgamation of BPAY, </w:t>
        </w:r>
        <w:proofErr w:type="spellStart"/>
        <w:r w:rsidR="00995A20" w:rsidRPr="0073362E">
          <w:rPr>
            <w:rStyle w:val="Hyperlink"/>
            <w:shd w:val="clear" w:color="auto" w:fill="FFFFFF"/>
          </w:rPr>
          <w:t>eftpos</w:t>
        </w:r>
        <w:proofErr w:type="spellEnd"/>
        <w:r w:rsidR="00995A20" w:rsidRPr="0073362E">
          <w:rPr>
            <w:rStyle w:val="Hyperlink"/>
            <w:shd w:val="clear" w:color="auto" w:fill="FFFFFF"/>
          </w:rPr>
          <w:t xml:space="preserve"> and NPPA</w:t>
        </w:r>
      </w:hyperlink>
      <w:r w:rsidR="00995A20">
        <w:rPr>
          <w:shd w:val="clear" w:color="auto" w:fill="FFFFFF"/>
        </w:rPr>
        <w:t xml:space="preserve">. Some of those views have been reiterated in this submission for emphasis. </w:t>
      </w:r>
    </w:p>
    <w:p w14:paraId="78869B8C" w14:textId="31AE5EBA" w:rsidR="0027790B" w:rsidRDefault="00BC42F3" w:rsidP="0027790B">
      <w:pPr>
        <w:ind w:left="284"/>
        <w:rPr>
          <w:shd w:val="clear" w:color="auto" w:fill="FFFFFF"/>
        </w:rPr>
      </w:pPr>
      <w:r>
        <w:rPr>
          <w:shd w:val="clear" w:color="auto" w:fill="FFFFFF"/>
        </w:rPr>
        <w:t>In general</w:t>
      </w:r>
      <w:r w:rsidR="00AF726C">
        <w:rPr>
          <w:shd w:val="clear" w:color="auto" w:fill="FFFFFF"/>
        </w:rPr>
        <w:t>,</w:t>
      </w:r>
      <w:r>
        <w:rPr>
          <w:shd w:val="clear" w:color="auto" w:fill="FFFFFF"/>
        </w:rPr>
        <w:t xml:space="preserve"> we share the concerns raised by the RBA Board in relation to dual-network debit cards (DNDC) and </w:t>
      </w:r>
      <w:r w:rsidR="00087E11">
        <w:rPr>
          <w:shd w:val="clear" w:color="auto" w:fill="FFFFFF"/>
        </w:rPr>
        <w:t>least cost routing (</w:t>
      </w:r>
      <w:r>
        <w:rPr>
          <w:shd w:val="clear" w:color="auto" w:fill="FFFFFF"/>
        </w:rPr>
        <w:t>LCR</w:t>
      </w:r>
      <w:r w:rsidR="00087E11">
        <w:rPr>
          <w:shd w:val="clear" w:color="auto" w:fill="FFFFFF"/>
        </w:rPr>
        <w:t>).</w:t>
      </w:r>
      <w:r>
        <w:rPr>
          <w:shd w:val="clear" w:color="auto" w:fill="FFFFFF"/>
        </w:rPr>
        <w:t xml:space="preserve"> </w:t>
      </w:r>
      <w:r w:rsidR="00087E11">
        <w:rPr>
          <w:shd w:val="clear" w:color="auto" w:fill="FFFFFF"/>
        </w:rPr>
        <w:t>However,</w:t>
      </w:r>
      <w:r>
        <w:rPr>
          <w:shd w:val="clear" w:color="auto" w:fill="FFFFFF"/>
        </w:rPr>
        <w:t xml:space="preserve"> we disagree with the</w:t>
      </w:r>
      <w:r w:rsidR="0073362E">
        <w:rPr>
          <w:shd w:val="clear" w:color="auto" w:fill="FFFFFF"/>
        </w:rPr>
        <w:t xml:space="preserve"> preliminary conclusions and</w:t>
      </w:r>
      <w:r>
        <w:rPr>
          <w:shd w:val="clear" w:color="auto" w:fill="FFFFFF"/>
        </w:rPr>
        <w:t xml:space="preserve"> recommendation for</w:t>
      </w:r>
      <w:r w:rsidR="00A958A2">
        <w:rPr>
          <w:shd w:val="clear" w:color="auto" w:fill="FFFFFF"/>
        </w:rPr>
        <w:t xml:space="preserve"> regulatory</w:t>
      </w:r>
      <w:r>
        <w:rPr>
          <w:shd w:val="clear" w:color="auto" w:fill="FFFFFF"/>
        </w:rPr>
        <w:t xml:space="preserve"> inaction</w:t>
      </w:r>
      <w:r w:rsidR="00A958A2">
        <w:rPr>
          <w:shd w:val="clear" w:color="auto" w:fill="FFFFFF"/>
        </w:rPr>
        <w:t xml:space="preserve"> on LCR and DNDC</w:t>
      </w:r>
      <w:r>
        <w:rPr>
          <w:shd w:val="clear" w:color="auto" w:fill="FFFFFF"/>
        </w:rPr>
        <w:t xml:space="preserve">. </w:t>
      </w:r>
      <w:r w:rsidR="00D727C4">
        <w:rPr>
          <w:shd w:val="clear" w:color="auto" w:fill="FFFFFF"/>
        </w:rPr>
        <w:t>While the RBA has done well</w:t>
      </w:r>
      <w:r w:rsidR="00A958A2">
        <w:rPr>
          <w:shd w:val="clear" w:color="auto" w:fill="FFFFFF"/>
        </w:rPr>
        <w:t xml:space="preserve"> to manage an escalation of card payment costs</w:t>
      </w:r>
      <w:r w:rsidR="00D727C4">
        <w:rPr>
          <w:shd w:val="clear" w:color="auto" w:fill="FFFFFF"/>
        </w:rPr>
        <w:t xml:space="preserve"> within the constraints of the </w:t>
      </w:r>
      <w:r w:rsidR="00D727C4" w:rsidRPr="00D727C4">
        <w:rPr>
          <w:i/>
          <w:shd w:val="clear" w:color="auto" w:fill="FFFFFF"/>
        </w:rPr>
        <w:t xml:space="preserve">Principles and the Payment Systems (Regulation) Act 1998 </w:t>
      </w:r>
      <w:r w:rsidR="00D727C4" w:rsidRPr="00D727C4">
        <w:rPr>
          <w:shd w:val="clear" w:color="auto" w:fill="FFFFFF"/>
        </w:rPr>
        <w:t>(PSRA</w:t>
      </w:r>
      <w:r w:rsidR="00D727C4">
        <w:rPr>
          <w:shd w:val="clear" w:color="auto" w:fill="FFFFFF"/>
        </w:rPr>
        <w:t>)</w:t>
      </w:r>
      <w:r w:rsidR="00850BD6">
        <w:rPr>
          <w:shd w:val="clear" w:color="auto" w:fill="FFFFFF"/>
        </w:rPr>
        <w:t xml:space="preserve">, the </w:t>
      </w:r>
      <w:r w:rsidR="00087E11">
        <w:rPr>
          <w:shd w:val="clear" w:color="auto" w:fill="FFFFFF"/>
        </w:rPr>
        <w:t>reliance on</w:t>
      </w:r>
      <w:r w:rsidR="00D727C4">
        <w:rPr>
          <w:shd w:val="clear" w:color="auto" w:fill="FFFFFF"/>
        </w:rPr>
        <w:t xml:space="preserve"> suasion</w:t>
      </w:r>
      <w:r w:rsidR="00087E11">
        <w:rPr>
          <w:shd w:val="clear" w:color="auto" w:fill="FFFFFF"/>
        </w:rPr>
        <w:t xml:space="preserve"> over regulation</w:t>
      </w:r>
      <w:r w:rsidR="00D727C4">
        <w:rPr>
          <w:shd w:val="clear" w:color="auto" w:fill="FFFFFF"/>
        </w:rPr>
        <w:t xml:space="preserve"> is leading to sub-optimal outcomes in </w:t>
      </w:r>
      <w:r w:rsidR="00A32112">
        <w:rPr>
          <w:shd w:val="clear" w:color="auto" w:fill="FFFFFF"/>
        </w:rPr>
        <w:t>the uptake of</w:t>
      </w:r>
      <w:r w:rsidR="00D727C4">
        <w:rPr>
          <w:shd w:val="clear" w:color="auto" w:fill="FFFFFF"/>
        </w:rPr>
        <w:t xml:space="preserve"> LCR</w:t>
      </w:r>
      <w:r w:rsidR="00087E11">
        <w:rPr>
          <w:shd w:val="clear" w:color="auto" w:fill="FFFFFF"/>
        </w:rPr>
        <w:t>.</w:t>
      </w:r>
      <w:r w:rsidR="00D727C4">
        <w:rPr>
          <w:shd w:val="clear" w:color="auto" w:fill="FFFFFF"/>
        </w:rPr>
        <w:t xml:space="preserve"> </w:t>
      </w:r>
      <w:r w:rsidR="00087E11">
        <w:rPr>
          <w:shd w:val="clear" w:color="auto" w:fill="FFFFFF"/>
        </w:rPr>
        <w:t>These concerns are</w:t>
      </w:r>
      <w:r w:rsidR="00850BD6">
        <w:rPr>
          <w:shd w:val="clear" w:color="auto" w:fill="FFFFFF"/>
        </w:rPr>
        <w:t xml:space="preserve"> being</w:t>
      </w:r>
      <w:r>
        <w:rPr>
          <w:shd w:val="clear" w:color="auto" w:fill="FFFFFF"/>
        </w:rPr>
        <w:t xml:space="preserve"> compounded by the </w:t>
      </w:r>
      <w:r w:rsidR="0027790B">
        <w:rPr>
          <w:shd w:val="clear" w:color="auto" w:fill="FFFFFF"/>
        </w:rPr>
        <w:t>poten</w:t>
      </w:r>
      <w:r w:rsidR="0073362E">
        <w:rPr>
          <w:shd w:val="clear" w:color="auto" w:fill="FFFFFF"/>
        </w:rPr>
        <w:t>tial for broad</w:t>
      </w:r>
      <w:r w:rsidR="00850BD6">
        <w:rPr>
          <w:shd w:val="clear" w:color="auto" w:fill="FFFFFF"/>
        </w:rPr>
        <w:t>er</w:t>
      </w:r>
      <w:r w:rsidR="0073362E">
        <w:rPr>
          <w:shd w:val="clear" w:color="auto" w:fill="FFFFFF"/>
        </w:rPr>
        <w:t xml:space="preserve"> </w:t>
      </w:r>
      <w:r w:rsidR="0027790B">
        <w:rPr>
          <w:shd w:val="clear" w:color="auto" w:fill="FFFFFF"/>
        </w:rPr>
        <w:t>uptake</w:t>
      </w:r>
      <w:r>
        <w:rPr>
          <w:shd w:val="clear" w:color="auto" w:fill="FFFFFF"/>
        </w:rPr>
        <w:t xml:space="preserve"> of single-network debit cards (SNDC)</w:t>
      </w:r>
      <w:r w:rsidR="00087E11">
        <w:rPr>
          <w:shd w:val="clear" w:color="auto" w:fill="FFFFFF"/>
        </w:rPr>
        <w:t>,</w:t>
      </w:r>
      <w:r>
        <w:rPr>
          <w:shd w:val="clear" w:color="auto" w:fill="FFFFFF"/>
        </w:rPr>
        <w:t xml:space="preserve"> that will reduce </w:t>
      </w:r>
      <w:r w:rsidR="00850BD6">
        <w:rPr>
          <w:shd w:val="clear" w:color="auto" w:fill="FFFFFF"/>
        </w:rPr>
        <w:t xml:space="preserve">payment </w:t>
      </w:r>
      <w:r>
        <w:rPr>
          <w:shd w:val="clear" w:color="auto" w:fill="FFFFFF"/>
        </w:rPr>
        <w:t>competition and drive up</w:t>
      </w:r>
      <w:r w:rsidR="0027790B">
        <w:rPr>
          <w:shd w:val="clear" w:color="auto" w:fill="FFFFFF"/>
        </w:rPr>
        <w:t xml:space="preserve"> costs</w:t>
      </w:r>
      <w:r>
        <w:rPr>
          <w:shd w:val="clear" w:color="auto" w:fill="FFFFFF"/>
        </w:rPr>
        <w:t xml:space="preserve">. There is also significant concern with the lack of LCR and competitive tension in the growing </w:t>
      </w:r>
      <w:r w:rsidR="00D21C29">
        <w:rPr>
          <w:shd w:val="clear" w:color="auto" w:fill="FFFFFF"/>
        </w:rPr>
        <w:t xml:space="preserve">mobile wallets and </w:t>
      </w:r>
      <w:r>
        <w:rPr>
          <w:shd w:val="clear" w:color="auto" w:fill="FFFFFF"/>
        </w:rPr>
        <w:t xml:space="preserve">online payments market. </w:t>
      </w:r>
    </w:p>
    <w:p w14:paraId="5F0A36A7" w14:textId="547BF286" w:rsidR="00BC42F3" w:rsidRDefault="00087E11" w:rsidP="00BC42F3">
      <w:pPr>
        <w:ind w:left="284"/>
        <w:rPr>
          <w:shd w:val="clear" w:color="auto" w:fill="FFFFFF"/>
        </w:rPr>
      </w:pPr>
      <w:r>
        <w:rPr>
          <w:shd w:val="clear" w:color="auto" w:fill="FFFFFF"/>
        </w:rPr>
        <w:t xml:space="preserve">The </w:t>
      </w:r>
      <w:r w:rsidR="00850BD6">
        <w:rPr>
          <w:shd w:val="clear" w:color="auto" w:fill="FFFFFF"/>
        </w:rPr>
        <w:t>unattainability</w:t>
      </w:r>
      <w:r>
        <w:rPr>
          <w:shd w:val="clear" w:color="auto" w:fill="FFFFFF"/>
        </w:rPr>
        <w:t xml:space="preserve"> of LCR is resulting in s</w:t>
      </w:r>
      <w:r w:rsidR="00AF726C">
        <w:rPr>
          <w:shd w:val="clear" w:color="auto" w:fill="FFFFFF"/>
        </w:rPr>
        <w:t>mall businesses</w:t>
      </w:r>
      <w:r w:rsidR="00BC42F3">
        <w:rPr>
          <w:shd w:val="clear" w:color="auto" w:fill="FFFFFF"/>
        </w:rPr>
        <w:t xml:space="preserve"> absorbing higher than necessary merchant fees</w:t>
      </w:r>
      <w:r>
        <w:rPr>
          <w:shd w:val="clear" w:color="auto" w:fill="FFFFFF"/>
        </w:rPr>
        <w:t>.</w:t>
      </w:r>
      <w:r w:rsidR="00BC42F3">
        <w:rPr>
          <w:shd w:val="clear" w:color="auto" w:fill="FFFFFF"/>
        </w:rPr>
        <w:t xml:space="preserve"> </w:t>
      </w:r>
      <w:r>
        <w:rPr>
          <w:shd w:val="clear" w:color="auto" w:fill="FFFFFF"/>
        </w:rPr>
        <w:t>R</w:t>
      </w:r>
      <w:r w:rsidR="00BC42F3">
        <w:rPr>
          <w:shd w:val="clear" w:color="auto" w:fill="FFFFFF"/>
        </w:rPr>
        <w:t>egulatory inaction</w:t>
      </w:r>
      <w:r w:rsidR="00850BD6">
        <w:rPr>
          <w:shd w:val="clear" w:color="auto" w:fill="FFFFFF"/>
        </w:rPr>
        <w:t xml:space="preserve"> as indicated</w:t>
      </w:r>
      <w:r w:rsidR="00BC42F3">
        <w:rPr>
          <w:shd w:val="clear" w:color="auto" w:fill="FFFFFF"/>
        </w:rPr>
        <w:t xml:space="preserve"> at this stage </w:t>
      </w:r>
      <w:r>
        <w:rPr>
          <w:shd w:val="clear" w:color="auto" w:fill="FFFFFF"/>
        </w:rPr>
        <w:t xml:space="preserve">is </w:t>
      </w:r>
      <w:r w:rsidR="00BC42F3">
        <w:rPr>
          <w:shd w:val="clear" w:color="auto" w:fill="FFFFFF"/>
        </w:rPr>
        <w:t>likely</w:t>
      </w:r>
      <w:r>
        <w:rPr>
          <w:shd w:val="clear" w:color="auto" w:fill="FFFFFF"/>
        </w:rPr>
        <w:t xml:space="preserve"> to</w:t>
      </w:r>
      <w:r w:rsidR="00BC42F3">
        <w:rPr>
          <w:shd w:val="clear" w:color="auto" w:fill="FFFFFF"/>
        </w:rPr>
        <w:t xml:space="preserve"> lead to greater costs and further uncertainty. Urgent regulatory action is required in three </w:t>
      </w:r>
      <w:r w:rsidR="00850BD6">
        <w:rPr>
          <w:shd w:val="clear" w:color="auto" w:fill="FFFFFF"/>
        </w:rPr>
        <w:t xml:space="preserve">key </w:t>
      </w:r>
      <w:r w:rsidR="00BC42F3">
        <w:rPr>
          <w:shd w:val="clear" w:color="auto" w:fill="FFFFFF"/>
        </w:rPr>
        <w:t>areas:</w:t>
      </w:r>
    </w:p>
    <w:p w14:paraId="25DF9AFB" w14:textId="3D70DB12" w:rsidR="00BC42F3" w:rsidRPr="0073362E" w:rsidRDefault="00BC42F3" w:rsidP="00BC42F3">
      <w:pPr>
        <w:pStyle w:val="ListParagraph"/>
        <w:numPr>
          <w:ilvl w:val="0"/>
          <w:numId w:val="30"/>
        </w:numPr>
        <w:rPr>
          <w:b/>
          <w:shd w:val="clear" w:color="auto" w:fill="FFFFFF"/>
        </w:rPr>
      </w:pPr>
      <w:r w:rsidRPr="0073362E">
        <w:rPr>
          <w:b/>
          <w:shd w:val="clear" w:color="auto" w:fill="FFFFFF"/>
        </w:rPr>
        <w:t>Multi</w:t>
      </w:r>
      <w:r w:rsidR="00A975B6" w:rsidRPr="0073362E">
        <w:rPr>
          <w:b/>
          <w:shd w:val="clear" w:color="auto" w:fill="FFFFFF"/>
        </w:rPr>
        <w:t>-</w:t>
      </w:r>
      <w:r w:rsidRPr="0073362E">
        <w:rPr>
          <w:b/>
          <w:shd w:val="clear" w:color="auto" w:fill="FFFFFF"/>
        </w:rPr>
        <w:t xml:space="preserve">Network Debit Cards (MNDCs) </w:t>
      </w:r>
      <w:r w:rsidR="004D6FB9">
        <w:rPr>
          <w:b/>
          <w:shd w:val="clear" w:color="auto" w:fill="FFFFFF"/>
        </w:rPr>
        <w:t>should</w:t>
      </w:r>
      <w:r w:rsidR="00A975B6" w:rsidRPr="0073362E">
        <w:rPr>
          <w:b/>
          <w:shd w:val="clear" w:color="auto" w:fill="FFFFFF"/>
        </w:rPr>
        <w:t xml:space="preserve"> be made</w:t>
      </w:r>
      <w:r w:rsidRPr="0073362E">
        <w:rPr>
          <w:b/>
          <w:shd w:val="clear" w:color="auto" w:fill="FFFFFF"/>
        </w:rPr>
        <w:t xml:space="preserve"> mandatory as part of every </w:t>
      </w:r>
      <w:r w:rsidR="00A975B6" w:rsidRPr="0073362E">
        <w:rPr>
          <w:b/>
          <w:shd w:val="clear" w:color="auto" w:fill="FFFFFF"/>
        </w:rPr>
        <w:t>Australian Deposit taking institution’s (ADI)</w:t>
      </w:r>
      <w:r w:rsidRPr="0073362E">
        <w:rPr>
          <w:b/>
          <w:shd w:val="clear" w:color="auto" w:fill="FFFFFF"/>
        </w:rPr>
        <w:t xml:space="preserve"> obligation to promote competition in</w:t>
      </w:r>
      <w:r w:rsidR="00A975B6" w:rsidRPr="0073362E">
        <w:rPr>
          <w:b/>
          <w:shd w:val="clear" w:color="auto" w:fill="FFFFFF"/>
        </w:rPr>
        <w:t xml:space="preserve"> digital payments in</w:t>
      </w:r>
      <w:r w:rsidRPr="0073362E">
        <w:rPr>
          <w:b/>
          <w:shd w:val="clear" w:color="auto" w:fill="FFFFFF"/>
        </w:rPr>
        <w:t xml:space="preserve"> Australia.</w:t>
      </w:r>
      <w:r w:rsidR="004D6FB9" w:rsidRPr="004D6FB9">
        <w:rPr>
          <w:b/>
          <w:shd w:val="clear" w:color="auto" w:fill="FFFFFF"/>
        </w:rPr>
        <w:t xml:space="preserve"> </w:t>
      </w:r>
      <w:r w:rsidR="004D6FB9">
        <w:rPr>
          <w:b/>
          <w:shd w:val="clear" w:color="auto" w:fill="FFFFFF"/>
        </w:rPr>
        <w:t>This</w:t>
      </w:r>
      <w:r w:rsidR="004D6FB9" w:rsidRPr="0073362E">
        <w:rPr>
          <w:b/>
          <w:shd w:val="clear" w:color="auto" w:fill="FFFFFF"/>
        </w:rPr>
        <w:t xml:space="preserve"> has been implemented </w:t>
      </w:r>
      <w:r w:rsidR="004D6FB9">
        <w:rPr>
          <w:b/>
          <w:shd w:val="clear" w:color="auto" w:fill="FFFFFF"/>
        </w:rPr>
        <w:t xml:space="preserve">with success </w:t>
      </w:r>
      <w:r w:rsidR="004D6FB9" w:rsidRPr="0073362E">
        <w:rPr>
          <w:b/>
          <w:shd w:val="clear" w:color="auto" w:fill="FFFFFF"/>
        </w:rPr>
        <w:t>in the United States through the Durbin Act,</w:t>
      </w:r>
    </w:p>
    <w:p w14:paraId="0E4961C2" w14:textId="77777777" w:rsidR="00BC42F3" w:rsidRPr="0073362E" w:rsidRDefault="00BC42F3" w:rsidP="00BC42F3">
      <w:pPr>
        <w:pStyle w:val="ListParagraph"/>
        <w:ind w:left="1004"/>
        <w:rPr>
          <w:b/>
          <w:shd w:val="clear" w:color="auto" w:fill="FFFFFF"/>
        </w:rPr>
      </w:pPr>
    </w:p>
    <w:p w14:paraId="30380966" w14:textId="67B0087D" w:rsidR="00BC42F3" w:rsidRPr="0073362E" w:rsidRDefault="00BC42F3" w:rsidP="00BC42F3">
      <w:pPr>
        <w:pStyle w:val="ListParagraph"/>
        <w:numPr>
          <w:ilvl w:val="0"/>
          <w:numId w:val="30"/>
        </w:numPr>
        <w:rPr>
          <w:b/>
          <w:shd w:val="clear" w:color="auto" w:fill="FFFFFF"/>
        </w:rPr>
      </w:pPr>
      <w:r w:rsidRPr="0073362E">
        <w:rPr>
          <w:b/>
          <w:shd w:val="clear" w:color="auto" w:fill="FFFFFF"/>
        </w:rPr>
        <w:t xml:space="preserve">Least Cost Routing (LCR) </w:t>
      </w:r>
      <w:r w:rsidR="004D6FB9">
        <w:rPr>
          <w:b/>
          <w:shd w:val="clear" w:color="auto" w:fill="FFFFFF"/>
        </w:rPr>
        <w:t>should be</w:t>
      </w:r>
      <w:r w:rsidR="004D6FB9" w:rsidRPr="0073362E">
        <w:rPr>
          <w:b/>
          <w:shd w:val="clear" w:color="auto" w:fill="FFFFFF"/>
        </w:rPr>
        <w:t xml:space="preserve"> </w:t>
      </w:r>
      <w:r w:rsidRPr="0073362E">
        <w:rPr>
          <w:b/>
          <w:shd w:val="clear" w:color="auto" w:fill="FFFFFF"/>
        </w:rPr>
        <w:t>the default option for all merchants in all payment channels, including tap-and-go, mobile wallets and online transactions</w:t>
      </w:r>
      <w:r w:rsidR="00850BD6">
        <w:rPr>
          <w:b/>
          <w:shd w:val="clear" w:color="auto" w:fill="FFFFFF"/>
        </w:rPr>
        <w:t xml:space="preserve"> and, </w:t>
      </w:r>
    </w:p>
    <w:p w14:paraId="70CD5130" w14:textId="77777777" w:rsidR="00BC42F3" w:rsidRPr="0073362E" w:rsidRDefault="00BC42F3" w:rsidP="00BC42F3">
      <w:pPr>
        <w:pStyle w:val="ListParagraph"/>
        <w:ind w:left="1004"/>
        <w:rPr>
          <w:b/>
          <w:shd w:val="clear" w:color="auto" w:fill="FFFFFF"/>
        </w:rPr>
      </w:pPr>
    </w:p>
    <w:p w14:paraId="0FB0950D" w14:textId="5704A80E" w:rsidR="00505F08" w:rsidRPr="0073362E" w:rsidRDefault="004D6FB9" w:rsidP="00505F08">
      <w:pPr>
        <w:pStyle w:val="ListParagraph"/>
        <w:numPr>
          <w:ilvl w:val="0"/>
          <w:numId w:val="30"/>
        </w:numPr>
        <w:rPr>
          <w:b/>
          <w:shd w:val="clear" w:color="auto" w:fill="FFFFFF"/>
        </w:rPr>
      </w:pPr>
      <w:r>
        <w:rPr>
          <w:b/>
          <w:shd w:val="clear" w:color="auto" w:fill="FFFFFF"/>
        </w:rPr>
        <w:lastRenderedPageBreak/>
        <w:t>M</w:t>
      </w:r>
      <w:r w:rsidRPr="0073362E">
        <w:rPr>
          <w:b/>
          <w:shd w:val="clear" w:color="auto" w:fill="FFFFFF"/>
        </w:rPr>
        <w:t xml:space="preserve">erchant </w:t>
      </w:r>
      <w:r w:rsidR="00BC42F3" w:rsidRPr="0073362E">
        <w:rPr>
          <w:b/>
          <w:shd w:val="clear" w:color="auto" w:fill="FFFFFF"/>
        </w:rPr>
        <w:t>fees data</w:t>
      </w:r>
      <w:r w:rsidR="007142E2" w:rsidRPr="0073362E">
        <w:rPr>
          <w:b/>
          <w:shd w:val="clear" w:color="auto" w:fill="FFFFFF"/>
        </w:rPr>
        <w:t xml:space="preserve"> </w:t>
      </w:r>
      <w:r>
        <w:rPr>
          <w:b/>
          <w:shd w:val="clear" w:color="auto" w:fill="FFFFFF"/>
        </w:rPr>
        <w:t xml:space="preserve">should </w:t>
      </w:r>
      <w:r w:rsidR="0073362E">
        <w:rPr>
          <w:b/>
          <w:shd w:val="clear" w:color="auto" w:fill="FFFFFF"/>
        </w:rPr>
        <w:t xml:space="preserve">be regulated </w:t>
      </w:r>
      <w:r w:rsidR="007142E2" w:rsidRPr="0073362E">
        <w:rPr>
          <w:b/>
          <w:shd w:val="clear" w:color="auto" w:fill="FFFFFF"/>
        </w:rPr>
        <w:t>with the expansion of consumer data rights (CDR) and open banking</w:t>
      </w:r>
      <w:r>
        <w:rPr>
          <w:b/>
          <w:shd w:val="clear" w:color="auto" w:fill="FFFFFF"/>
        </w:rPr>
        <w:t xml:space="preserve">, </w:t>
      </w:r>
      <w:r w:rsidR="0073362E">
        <w:rPr>
          <w:b/>
          <w:shd w:val="clear" w:color="auto" w:fill="FFFFFF"/>
        </w:rPr>
        <w:t>explicitly</w:t>
      </w:r>
      <w:r w:rsidR="00182FF3" w:rsidRPr="0073362E">
        <w:rPr>
          <w:b/>
          <w:shd w:val="clear" w:color="auto" w:fill="FFFFFF"/>
        </w:rPr>
        <w:t xml:space="preserve"> </w:t>
      </w:r>
      <w:r w:rsidRPr="0073362E">
        <w:rPr>
          <w:b/>
          <w:shd w:val="clear" w:color="auto" w:fill="FFFFFF"/>
        </w:rPr>
        <w:t>incorporat</w:t>
      </w:r>
      <w:r>
        <w:rPr>
          <w:b/>
          <w:shd w:val="clear" w:color="auto" w:fill="FFFFFF"/>
        </w:rPr>
        <w:t>ing</w:t>
      </w:r>
      <w:r w:rsidRPr="0073362E">
        <w:rPr>
          <w:b/>
          <w:shd w:val="clear" w:color="auto" w:fill="FFFFFF"/>
        </w:rPr>
        <w:t xml:space="preserve"> </w:t>
      </w:r>
      <w:r w:rsidR="007142E2" w:rsidRPr="0073362E">
        <w:rPr>
          <w:b/>
          <w:shd w:val="clear" w:color="auto" w:fill="FFFFFF"/>
        </w:rPr>
        <w:t xml:space="preserve">small </w:t>
      </w:r>
      <w:r w:rsidR="00182FF3" w:rsidRPr="0073362E">
        <w:rPr>
          <w:b/>
          <w:shd w:val="clear" w:color="auto" w:fill="FFFFFF"/>
        </w:rPr>
        <w:t xml:space="preserve">merchant </w:t>
      </w:r>
      <w:r w:rsidR="0073362E">
        <w:rPr>
          <w:b/>
          <w:shd w:val="clear" w:color="auto" w:fill="FFFFFF"/>
        </w:rPr>
        <w:t xml:space="preserve">fee </w:t>
      </w:r>
      <w:r w:rsidR="00182FF3" w:rsidRPr="0073362E">
        <w:rPr>
          <w:b/>
          <w:shd w:val="clear" w:color="auto" w:fill="FFFFFF"/>
        </w:rPr>
        <w:t>data</w:t>
      </w:r>
      <w:r>
        <w:rPr>
          <w:b/>
          <w:shd w:val="clear" w:color="auto" w:fill="FFFFFF"/>
        </w:rPr>
        <w:t>, to ensure</w:t>
      </w:r>
      <w:r w:rsidRPr="004D6FB9">
        <w:rPr>
          <w:b/>
          <w:shd w:val="clear" w:color="auto" w:fill="FFFFFF"/>
        </w:rPr>
        <w:t xml:space="preserve"> </w:t>
      </w:r>
      <w:r>
        <w:rPr>
          <w:b/>
          <w:shd w:val="clear" w:color="auto" w:fill="FFFFFF"/>
        </w:rPr>
        <w:t>f</w:t>
      </w:r>
      <w:r w:rsidRPr="0073362E">
        <w:rPr>
          <w:b/>
          <w:shd w:val="clear" w:color="auto" w:fill="FFFFFF"/>
        </w:rPr>
        <w:t xml:space="preserve">ull transparency, </w:t>
      </w:r>
      <w:proofErr w:type="spellStart"/>
      <w:r w:rsidRPr="0073362E">
        <w:rPr>
          <w:b/>
          <w:shd w:val="clear" w:color="auto" w:fill="FFFFFF"/>
        </w:rPr>
        <w:t>explainability</w:t>
      </w:r>
      <w:proofErr w:type="spellEnd"/>
      <w:r w:rsidRPr="0073362E">
        <w:rPr>
          <w:b/>
          <w:shd w:val="clear" w:color="auto" w:fill="FFFFFF"/>
        </w:rPr>
        <w:t>, useability and interoperability</w:t>
      </w:r>
      <w:r>
        <w:rPr>
          <w:b/>
          <w:shd w:val="clear" w:color="auto" w:fill="FFFFFF"/>
        </w:rPr>
        <w:t>.</w:t>
      </w:r>
      <w:r w:rsidRPr="0073362E">
        <w:rPr>
          <w:b/>
          <w:shd w:val="clear" w:color="auto" w:fill="FFFFFF"/>
        </w:rPr>
        <w:t xml:space="preserve"> </w:t>
      </w:r>
    </w:p>
    <w:p w14:paraId="0452DBE2" w14:textId="4E551FAA" w:rsidR="00505F08" w:rsidRPr="00505F08" w:rsidRDefault="00505F08" w:rsidP="00505F08">
      <w:pPr>
        <w:ind w:left="284"/>
        <w:rPr>
          <w:shd w:val="clear" w:color="auto" w:fill="FFFFFF"/>
        </w:rPr>
      </w:pPr>
      <w:r>
        <w:rPr>
          <w:shd w:val="clear" w:color="auto" w:fill="FFFFFF"/>
        </w:rPr>
        <w:t>We commend the US administration for the implementation of the Durbin Act that requires DNDC be applied to even the smallest financial institutions through issuers. ACCI</w:t>
      </w:r>
      <w:r w:rsidR="00A975B6">
        <w:rPr>
          <w:shd w:val="clear" w:color="auto" w:fill="FFFFFF"/>
        </w:rPr>
        <w:t xml:space="preserve"> </w:t>
      </w:r>
      <w:r w:rsidR="00D21C29">
        <w:rPr>
          <w:shd w:val="clear" w:color="auto" w:fill="FFFFFF"/>
        </w:rPr>
        <w:t>consider</w:t>
      </w:r>
      <w:r w:rsidR="007142E2">
        <w:rPr>
          <w:shd w:val="clear" w:color="auto" w:fill="FFFFFF"/>
        </w:rPr>
        <w:t>s the forgone revenue of financial intermediaries</w:t>
      </w:r>
      <w:r w:rsidR="00D21C29">
        <w:rPr>
          <w:shd w:val="clear" w:color="auto" w:fill="FFFFFF"/>
        </w:rPr>
        <w:t xml:space="preserve"> to be</w:t>
      </w:r>
      <w:r w:rsidR="00A975B6">
        <w:rPr>
          <w:shd w:val="clear" w:color="auto" w:fill="FFFFFF"/>
        </w:rPr>
        <w:t xml:space="preserve"> a matter of corporate social responsibility</w:t>
      </w:r>
      <w:r w:rsidR="007142E2">
        <w:rPr>
          <w:shd w:val="clear" w:color="auto" w:fill="FFFFFF"/>
        </w:rPr>
        <w:t xml:space="preserve"> and good faith in driving competition</w:t>
      </w:r>
      <w:r w:rsidR="004D6FB9">
        <w:rPr>
          <w:shd w:val="clear" w:color="auto" w:fill="FFFFFF"/>
        </w:rPr>
        <w:t>.</w:t>
      </w:r>
      <w:r w:rsidR="007142E2">
        <w:rPr>
          <w:shd w:val="clear" w:color="auto" w:fill="FFFFFF"/>
        </w:rPr>
        <w:t xml:space="preserve"> </w:t>
      </w:r>
      <w:r w:rsidR="00A975B6">
        <w:rPr>
          <w:shd w:val="clear" w:color="auto" w:fill="FFFFFF"/>
        </w:rPr>
        <w:t xml:space="preserve"> </w:t>
      </w:r>
    </w:p>
    <w:p w14:paraId="79CA1D81" w14:textId="39BF191F" w:rsidR="00BC42F3" w:rsidRDefault="00BC42F3" w:rsidP="00BC42F3">
      <w:pPr>
        <w:pStyle w:val="Heading1"/>
        <w:rPr>
          <w:shd w:val="clear" w:color="auto" w:fill="FFFFFF"/>
        </w:rPr>
      </w:pPr>
      <w:r>
        <w:rPr>
          <w:shd w:val="clear" w:color="auto" w:fill="FFFFFF"/>
        </w:rPr>
        <w:t xml:space="preserve">Small </w:t>
      </w:r>
      <w:r w:rsidR="00850BD6">
        <w:rPr>
          <w:shd w:val="clear" w:color="auto" w:fill="FFFFFF"/>
        </w:rPr>
        <w:t>merchants</w:t>
      </w:r>
      <w:r w:rsidR="00A975B6">
        <w:rPr>
          <w:shd w:val="clear" w:color="auto" w:fill="FFFFFF"/>
        </w:rPr>
        <w:t xml:space="preserve"> and LCR</w:t>
      </w:r>
      <w:r w:rsidR="00C40A84">
        <w:rPr>
          <w:shd w:val="clear" w:color="auto" w:fill="FFFFFF"/>
        </w:rPr>
        <w:t xml:space="preserve"> uptake</w:t>
      </w:r>
    </w:p>
    <w:p w14:paraId="59DAC4BD" w14:textId="4E0DBED0" w:rsidR="00BC42F3" w:rsidRDefault="00A32112" w:rsidP="00A32112">
      <w:pPr>
        <w:ind w:left="284"/>
        <w:rPr>
          <w:shd w:val="clear" w:color="auto" w:fill="FFFFFF"/>
        </w:rPr>
      </w:pPr>
      <w:r>
        <w:rPr>
          <w:shd w:val="clear" w:color="auto" w:fill="FFFFFF"/>
        </w:rPr>
        <w:t>It is</w:t>
      </w:r>
      <w:r w:rsidR="00AF726C">
        <w:rPr>
          <w:shd w:val="clear" w:color="auto" w:fill="FFFFFF"/>
        </w:rPr>
        <w:t xml:space="preserve"> critical</w:t>
      </w:r>
      <w:r>
        <w:rPr>
          <w:shd w:val="clear" w:color="auto" w:fill="FFFFFF"/>
        </w:rPr>
        <w:t xml:space="preserve"> that </w:t>
      </w:r>
      <w:r w:rsidR="00DD35EA">
        <w:rPr>
          <w:shd w:val="clear" w:color="auto" w:fill="FFFFFF"/>
        </w:rPr>
        <w:t>we</w:t>
      </w:r>
      <w:r w:rsidR="001C4EA0">
        <w:rPr>
          <w:shd w:val="clear" w:color="auto" w:fill="FFFFFF"/>
        </w:rPr>
        <w:t xml:space="preserve"> make it easier for</w:t>
      </w:r>
      <w:r w:rsidR="00BC42F3">
        <w:rPr>
          <w:shd w:val="clear" w:color="auto" w:fill="FFFFFF"/>
        </w:rPr>
        <w:t xml:space="preserve"> small</w:t>
      </w:r>
      <w:r w:rsidR="001C4EA0">
        <w:rPr>
          <w:shd w:val="clear" w:color="auto" w:fill="FFFFFF"/>
        </w:rPr>
        <w:t xml:space="preserve"> merchants</w:t>
      </w:r>
      <w:r w:rsidR="00AF726C">
        <w:rPr>
          <w:shd w:val="clear" w:color="auto" w:fill="FFFFFF"/>
        </w:rPr>
        <w:t xml:space="preserve"> (as end-users)</w:t>
      </w:r>
      <w:r w:rsidR="001C4EA0">
        <w:rPr>
          <w:shd w:val="clear" w:color="auto" w:fill="FFFFFF"/>
        </w:rPr>
        <w:t xml:space="preserve"> to</w:t>
      </w:r>
      <w:r w:rsidR="00AF726C">
        <w:rPr>
          <w:shd w:val="clear" w:color="auto" w:fill="FFFFFF"/>
        </w:rPr>
        <w:t xml:space="preserve"> seamlessly</w:t>
      </w:r>
      <w:r w:rsidR="001C4EA0">
        <w:rPr>
          <w:shd w:val="clear" w:color="auto" w:fill="FFFFFF"/>
        </w:rPr>
        <w:t xml:space="preserve"> navigate</w:t>
      </w:r>
      <w:r w:rsidR="00BC42F3">
        <w:rPr>
          <w:shd w:val="clear" w:color="auto" w:fill="FFFFFF"/>
        </w:rPr>
        <w:t xml:space="preserve"> low cost</w:t>
      </w:r>
      <w:r w:rsidR="001C4EA0">
        <w:rPr>
          <w:shd w:val="clear" w:color="auto" w:fill="FFFFFF"/>
        </w:rPr>
        <w:t xml:space="preserve"> options</w:t>
      </w:r>
      <w:r w:rsidR="00D21C29">
        <w:rPr>
          <w:shd w:val="clear" w:color="auto" w:fill="FFFFFF"/>
        </w:rPr>
        <w:t xml:space="preserve"> </w:t>
      </w:r>
      <w:r w:rsidR="00BC42F3">
        <w:rPr>
          <w:shd w:val="clear" w:color="auto" w:fill="FFFFFF"/>
        </w:rPr>
        <w:t>in the debit and online card payments space</w:t>
      </w:r>
      <w:r>
        <w:rPr>
          <w:shd w:val="clear" w:color="auto" w:fill="FFFFFF"/>
        </w:rPr>
        <w:t>. T</w:t>
      </w:r>
      <w:r w:rsidR="00AF726C">
        <w:rPr>
          <w:shd w:val="clear" w:color="auto" w:fill="FFFFFF"/>
        </w:rPr>
        <w:t>o achieve t</w:t>
      </w:r>
      <w:r>
        <w:rPr>
          <w:shd w:val="clear" w:color="auto" w:fill="FFFFFF"/>
        </w:rPr>
        <w:t>his</w:t>
      </w:r>
      <w:r w:rsidR="001C4EA0">
        <w:rPr>
          <w:shd w:val="clear" w:color="auto" w:fill="FFFFFF"/>
        </w:rPr>
        <w:t xml:space="preserve"> will require a regulatory framework that </w:t>
      </w:r>
      <w:r w:rsidR="00221676">
        <w:rPr>
          <w:shd w:val="clear" w:color="auto" w:fill="FFFFFF"/>
        </w:rPr>
        <w:t xml:space="preserve">drives </w:t>
      </w:r>
      <w:r w:rsidR="001C4EA0">
        <w:rPr>
          <w:shd w:val="clear" w:color="auto" w:fill="FFFFFF"/>
        </w:rPr>
        <w:t xml:space="preserve">competition, transparency and delivers </w:t>
      </w:r>
      <w:r w:rsidR="00C8021A">
        <w:rPr>
          <w:shd w:val="clear" w:color="auto" w:fill="FFFFFF"/>
        </w:rPr>
        <w:t>end-</w:t>
      </w:r>
      <w:r w:rsidR="001C4EA0">
        <w:rPr>
          <w:shd w:val="clear" w:color="auto" w:fill="FFFFFF"/>
        </w:rPr>
        <w:t xml:space="preserve">user choice. </w:t>
      </w:r>
    </w:p>
    <w:p w14:paraId="38BA6FA3" w14:textId="0A1E2802" w:rsidR="00BC42F3" w:rsidRDefault="00BC42F3" w:rsidP="00A32112">
      <w:pPr>
        <w:ind w:left="284"/>
        <w:rPr>
          <w:shd w:val="clear" w:color="auto" w:fill="FFFFFF"/>
        </w:rPr>
      </w:pPr>
      <w:r>
        <w:rPr>
          <w:shd w:val="clear" w:color="auto" w:fill="FFFFFF"/>
        </w:rPr>
        <w:t>Small m</w:t>
      </w:r>
      <w:r w:rsidR="001C4EA0">
        <w:rPr>
          <w:shd w:val="clear" w:color="auto" w:fill="FFFFFF"/>
        </w:rPr>
        <w:t>erchant costs have increased</w:t>
      </w:r>
      <w:r w:rsidR="00A32112">
        <w:rPr>
          <w:shd w:val="clear" w:color="auto" w:fill="FFFFFF"/>
        </w:rPr>
        <w:t xml:space="preserve"> or remain stubbornly high</w:t>
      </w:r>
      <w:r w:rsidR="001C4EA0">
        <w:rPr>
          <w:shd w:val="clear" w:color="auto" w:fill="FFFFFF"/>
        </w:rPr>
        <w:t xml:space="preserve"> </w:t>
      </w:r>
      <w:r>
        <w:rPr>
          <w:shd w:val="clear" w:color="auto" w:fill="FFFFFF"/>
        </w:rPr>
        <w:t xml:space="preserve">for the </w:t>
      </w:r>
      <w:r w:rsidR="00AF726C">
        <w:rPr>
          <w:shd w:val="clear" w:color="auto" w:fill="FFFFFF"/>
        </w:rPr>
        <w:t xml:space="preserve">vast </w:t>
      </w:r>
      <w:r w:rsidR="00221676">
        <w:rPr>
          <w:shd w:val="clear" w:color="auto" w:fill="FFFFFF"/>
        </w:rPr>
        <w:t>bulk</w:t>
      </w:r>
      <w:r>
        <w:rPr>
          <w:shd w:val="clear" w:color="auto" w:fill="FFFFFF"/>
        </w:rPr>
        <w:t xml:space="preserve"> of transactions</w:t>
      </w:r>
      <w:r w:rsidR="00221676">
        <w:rPr>
          <w:shd w:val="clear" w:color="auto" w:fill="FFFFFF"/>
        </w:rPr>
        <w:t xml:space="preserve"> made</w:t>
      </w:r>
      <w:r w:rsidR="00A32112">
        <w:rPr>
          <w:shd w:val="clear" w:color="auto" w:fill="FFFFFF"/>
        </w:rPr>
        <w:t>. This</w:t>
      </w:r>
      <w:r w:rsidR="001C4EA0">
        <w:rPr>
          <w:shd w:val="clear" w:color="auto" w:fill="FFFFFF"/>
        </w:rPr>
        <w:t xml:space="preserve"> </w:t>
      </w:r>
      <w:r w:rsidR="00A32112">
        <w:rPr>
          <w:shd w:val="clear" w:color="auto" w:fill="FFFFFF"/>
        </w:rPr>
        <w:t>is</w:t>
      </w:r>
      <w:r w:rsidR="001C4EA0">
        <w:rPr>
          <w:shd w:val="clear" w:color="auto" w:fill="FFFFFF"/>
        </w:rPr>
        <w:t xml:space="preserve"> having a direct impact</w:t>
      </w:r>
      <w:r w:rsidR="00221676">
        <w:rPr>
          <w:shd w:val="clear" w:color="auto" w:fill="FFFFFF"/>
        </w:rPr>
        <w:t xml:space="preserve"> on</w:t>
      </w:r>
      <w:r w:rsidR="001C4EA0">
        <w:rPr>
          <w:shd w:val="clear" w:color="auto" w:fill="FFFFFF"/>
        </w:rPr>
        <w:t xml:space="preserve"> </w:t>
      </w:r>
      <w:r w:rsidR="00A74CDA">
        <w:rPr>
          <w:shd w:val="clear" w:color="auto" w:fill="FFFFFF"/>
        </w:rPr>
        <w:t>the</w:t>
      </w:r>
      <w:r w:rsidR="00AF726C">
        <w:rPr>
          <w:shd w:val="clear" w:color="auto" w:fill="FFFFFF"/>
        </w:rPr>
        <w:t xml:space="preserve"> cost o</w:t>
      </w:r>
      <w:r w:rsidR="00A74CDA">
        <w:rPr>
          <w:shd w:val="clear" w:color="auto" w:fill="FFFFFF"/>
        </w:rPr>
        <w:t>f</w:t>
      </w:r>
      <w:r w:rsidR="00AF726C">
        <w:rPr>
          <w:shd w:val="clear" w:color="auto" w:fill="FFFFFF"/>
        </w:rPr>
        <w:t xml:space="preserve"> doing business in Australia</w:t>
      </w:r>
      <w:r w:rsidR="00D727C4">
        <w:rPr>
          <w:shd w:val="clear" w:color="auto" w:fill="FFFFFF"/>
        </w:rPr>
        <w:t>.</w:t>
      </w:r>
      <w:r w:rsidR="001C4EA0">
        <w:rPr>
          <w:shd w:val="clear" w:color="auto" w:fill="FFFFFF"/>
        </w:rPr>
        <w:t xml:space="preserve"> </w:t>
      </w:r>
      <w:r w:rsidR="00D727C4">
        <w:rPr>
          <w:shd w:val="clear" w:color="auto" w:fill="FFFFFF"/>
        </w:rPr>
        <w:t>In some instances</w:t>
      </w:r>
      <w:r w:rsidR="00BC48AC">
        <w:rPr>
          <w:shd w:val="clear" w:color="auto" w:fill="FFFFFF"/>
        </w:rPr>
        <w:t>,</w:t>
      </w:r>
      <w:r w:rsidR="00D727C4">
        <w:rPr>
          <w:shd w:val="clear" w:color="auto" w:fill="FFFFFF"/>
        </w:rPr>
        <w:t xml:space="preserve"> these costs are</w:t>
      </w:r>
      <w:r w:rsidR="001C4EA0">
        <w:rPr>
          <w:shd w:val="clear" w:color="auto" w:fill="FFFFFF"/>
        </w:rPr>
        <w:t xml:space="preserve"> passed </w:t>
      </w:r>
      <w:r>
        <w:rPr>
          <w:shd w:val="clear" w:color="auto" w:fill="FFFFFF"/>
        </w:rPr>
        <w:t>on</w:t>
      </w:r>
      <w:r w:rsidR="008C0BCD">
        <w:rPr>
          <w:shd w:val="clear" w:color="auto" w:fill="FFFFFF"/>
        </w:rPr>
        <w:t xml:space="preserve"> directly</w:t>
      </w:r>
      <w:r w:rsidR="00D727C4">
        <w:rPr>
          <w:shd w:val="clear" w:color="auto" w:fill="FFFFFF"/>
        </w:rPr>
        <w:t xml:space="preserve"> to consumers</w:t>
      </w:r>
      <w:r w:rsidR="00AF726C">
        <w:rPr>
          <w:shd w:val="clear" w:color="auto" w:fill="FFFFFF"/>
        </w:rPr>
        <w:t xml:space="preserve"> and f</w:t>
      </w:r>
      <w:r w:rsidR="00A32112">
        <w:rPr>
          <w:shd w:val="clear" w:color="auto" w:fill="FFFFFF"/>
        </w:rPr>
        <w:t>or some industries,</w:t>
      </w:r>
      <w:r w:rsidR="00AF726C">
        <w:rPr>
          <w:shd w:val="clear" w:color="auto" w:fill="FFFFFF"/>
        </w:rPr>
        <w:t xml:space="preserve"> particularly food and retail,</w:t>
      </w:r>
      <w:r w:rsidR="00A32112">
        <w:rPr>
          <w:shd w:val="clear" w:color="auto" w:fill="FFFFFF"/>
        </w:rPr>
        <w:t xml:space="preserve"> th</w:t>
      </w:r>
      <w:r>
        <w:rPr>
          <w:shd w:val="clear" w:color="auto" w:fill="FFFFFF"/>
        </w:rPr>
        <w:t xml:space="preserve">ese </w:t>
      </w:r>
      <w:r w:rsidR="00A74CDA">
        <w:rPr>
          <w:shd w:val="clear" w:color="auto" w:fill="FFFFFF"/>
        </w:rPr>
        <w:t>on-</w:t>
      </w:r>
      <w:r>
        <w:rPr>
          <w:shd w:val="clear" w:color="auto" w:fill="FFFFFF"/>
        </w:rPr>
        <w:t>costs</w:t>
      </w:r>
      <w:r w:rsidR="00A32112">
        <w:rPr>
          <w:shd w:val="clear" w:color="auto" w:fill="FFFFFF"/>
        </w:rPr>
        <w:t xml:space="preserve"> exacerbate </w:t>
      </w:r>
      <w:r w:rsidR="00AF726C">
        <w:rPr>
          <w:shd w:val="clear" w:color="auto" w:fill="FFFFFF"/>
        </w:rPr>
        <w:t xml:space="preserve">existing </w:t>
      </w:r>
      <w:r>
        <w:rPr>
          <w:shd w:val="clear" w:color="auto" w:fill="FFFFFF"/>
        </w:rPr>
        <w:t>competition issues</w:t>
      </w:r>
      <w:r w:rsidR="00A32112">
        <w:rPr>
          <w:shd w:val="clear" w:color="auto" w:fill="FFFFFF"/>
        </w:rPr>
        <w:t xml:space="preserve"> </w:t>
      </w:r>
      <w:r>
        <w:rPr>
          <w:shd w:val="clear" w:color="auto" w:fill="FFFFFF"/>
        </w:rPr>
        <w:t>amongst market participants</w:t>
      </w:r>
      <w:r w:rsidR="00A32112">
        <w:rPr>
          <w:shd w:val="clear" w:color="auto" w:fill="FFFFFF"/>
        </w:rPr>
        <w:t>.</w:t>
      </w:r>
      <w:r w:rsidR="00BC48AC">
        <w:rPr>
          <w:shd w:val="clear" w:color="auto" w:fill="FFFFFF"/>
        </w:rPr>
        <w:t xml:space="preserve"> </w:t>
      </w:r>
    </w:p>
    <w:p w14:paraId="75116B1C" w14:textId="552D191C" w:rsidR="00221676" w:rsidRDefault="00BC48AC" w:rsidP="008C0BCD">
      <w:pPr>
        <w:ind w:left="284"/>
        <w:rPr>
          <w:shd w:val="clear" w:color="auto" w:fill="FFFFFF"/>
        </w:rPr>
      </w:pPr>
      <w:r>
        <w:rPr>
          <w:shd w:val="clear" w:color="auto" w:fill="FFFFFF"/>
        </w:rPr>
        <w:t>R</w:t>
      </w:r>
      <w:r w:rsidR="00D727C4">
        <w:rPr>
          <w:shd w:val="clear" w:color="auto" w:fill="FFFFFF"/>
        </w:rPr>
        <w:t>ecent efforts</w:t>
      </w:r>
      <w:r w:rsidR="008C0BCD">
        <w:rPr>
          <w:shd w:val="clear" w:color="auto" w:fill="FFFFFF"/>
        </w:rPr>
        <w:t xml:space="preserve"> made</w:t>
      </w:r>
      <w:r>
        <w:rPr>
          <w:shd w:val="clear" w:color="auto" w:fill="FFFFFF"/>
        </w:rPr>
        <w:t xml:space="preserve"> </w:t>
      </w:r>
      <w:r w:rsidR="00D727C4">
        <w:rPr>
          <w:shd w:val="clear" w:color="auto" w:fill="FFFFFF"/>
        </w:rPr>
        <w:t>by financial intermediaries to adv</w:t>
      </w:r>
      <w:r>
        <w:rPr>
          <w:shd w:val="clear" w:color="auto" w:fill="FFFFFF"/>
        </w:rPr>
        <w:t>ertise</w:t>
      </w:r>
      <w:r w:rsidR="008C0BCD">
        <w:rPr>
          <w:shd w:val="clear" w:color="auto" w:fill="FFFFFF"/>
        </w:rPr>
        <w:t xml:space="preserve"> and educate small merchants of</w:t>
      </w:r>
      <w:r w:rsidR="00D727C4">
        <w:rPr>
          <w:shd w:val="clear" w:color="auto" w:fill="FFFFFF"/>
        </w:rPr>
        <w:t xml:space="preserve"> the benefits of LCR</w:t>
      </w:r>
      <w:r>
        <w:rPr>
          <w:shd w:val="clear" w:color="auto" w:fill="FFFFFF"/>
        </w:rPr>
        <w:t xml:space="preserve"> have not led to</w:t>
      </w:r>
      <w:r w:rsidR="006147F4">
        <w:rPr>
          <w:shd w:val="clear" w:color="auto" w:fill="FFFFFF"/>
        </w:rPr>
        <w:t xml:space="preserve"> the</w:t>
      </w:r>
      <w:r w:rsidR="00221676">
        <w:rPr>
          <w:shd w:val="clear" w:color="auto" w:fill="FFFFFF"/>
        </w:rPr>
        <w:t xml:space="preserve"> </w:t>
      </w:r>
      <w:r w:rsidR="008C0BCD">
        <w:rPr>
          <w:shd w:val="clear" w:color="auto" w:fill="FFFFFF"/>
        </w:rPr>
        <w:t xml:space="preserve">outcomes we have expected. The speed and scale of LCR uptake amongst small merchants is simply too slow and inadequate to justify non-intervention. </w:t>
      </w:r>
      <w:r w:rsidR="00A32112">
        <w:rPr>
          <w:shd w:val="clear" w:color="auto" w:fill="FFFFFF"/>
        </w:rPr>
        <w:t>Th</w:t>
      </w:r>
      <w:r w:rsidR="008C0BCD">
        <w:rPr>
          <w:shd w:val="clear" w:color="auto" w:fill="FFFFFF"/>
        </w:rPr>
        <w:t>e anaemic uptake of LCR</w:t>
      </w:r>
      <w:r w:rsidR="00A32112">
        <w:rPr>
          <w:shd w:val="clear" w:color="auto" w:fill="FFFFFF"/>
        </w:rPr>
        <w:t xml:space="preserve"> is </w:t>
      </w:r>
      <w:r w:rsidR="00BC42F3">
        <w:rPr>
          <w:shd w:val="clear" w:color="auto" w:fill="FFFFFF"/>
        </w:rPr>
        <w:t>largely a result of</w:t>
      </w:r>
      <w:r w:rsidR="00A74CDA">
        <w:rPr>
          <w:shd w:val="clear" w:color="auto" w:fill="FFFFFF"/>
        </w:rPr>
        <w:t xml:space="preserve"> the lack of regulation and standards </w:t>
      </w:r>
      <w:r w:rsidR="00221676">
        <w:rPr>
          <w:shd w:val="clear" w:color="auto" w:fill="FFFFFF"/>
        </w:rPr>
        <w:t>guiding</w:t>
      </w:r>
      <w:r w:rsidR="00BC42F3">
        <w:rPr>
          <w:shd w:val="clear" w:color="auto" w:fill="FFFFFF"/>
        </w:rPr>
        <w:t xml:space="preserve"> data </w:t>
      </w:r>
      <w:r w:rsidR="00AF726C">
        <w:rPr>
          <w:shd w:val="clear" w:color="auto" w:fill="FFFFFF"/>
        </w:rPr>
        <w:t>governance</w:t>
      </w:r>
      <w:r w:rsidR="008C0BCD">
        <w:rPr>
          <w:shd w:val="clear" w:color="auto" w:fill="FFFFFF"/>
        </w:rPr>
        <w:t xml:space="preserve"> arrangements</w:t>
      </w:r>
      <w:r w:rsidR="00221676">
        <w:rPr>
          <w:shd w:val="clear" w:color="auto" w:fill="FFFFFF"/>
        </w:rPr>
        <w:t xml:space="preserve"> in merchant fees</w:t>
      </w:r>
      <w:r w:rsidR="004D6FB9">
        <w:rPr>
          <w:shd w:val="clear" w:color="auto" w:fill="FFFFFF"/>
        </w:rPr>
        <w:t>.</w:t>
      </w:r>
      <w:r w:rsidR="00221676">
        <w:rPr>
          <w:shd w:val="clear" w:color="auto" w:fill="FFFFFF"/>
        </w:rPr>
        <w:t xml:space="preserve"> Small businesses continue to experience opacity and implementation issues</w:t>
      </w:r>
      <w:r w:rsidR="008C0BCD">
        <w:rPr>
          <w:shd w:val="clear" w:color="auto" w:fill="FFFFFF"/>
        </w:rPr>
        <w:t xml:space="preserve"> and are falling through the cracks of lower cost payment solutions</w:t>
      </w:r>
      <w:r w:rsidR="00221676">
        <w:rPr>
          <w:shd w:val="clear" w:color="auto" w:fill="FFFFFF"/>
        </w:rPr>
        <w:t xml:space="preserve">. </w:t>
      </w:r>
      <w:r w:rsidR="008C0BCD">
        <w:rPr>
          <w:shd w:val="clear" w:color="auto" w:fill="FFFFFF"/>
        </w:rPr>
        <w:t>The</w:t>
      </w:r>
      <w:r w:rsidR="00221676">
        <w:rPr>
          <w:shd w:val="clear" w:color="auto" w:fill="FFFFFF"/>
        </w:rPr>
        <w:t xml:space="preserve"> lack of regulatory responsibility and enforceability of data governance arrangements in relation to merchant fees</w:t>
      </w:r>
      <w:r w:rsidR="008C0BCD">
        <w:rPr>
          <w:shd w:val="clear" w:color="auto" w:fill="FFFFFF"/>
        </w:rPr>
        <w:t xml:space="preserve"> will continue to see an inadequate uptake of LCR amongst small merchants.</w:t>
      </w:r>
    </w:p>
    <w:p w14:paraId="6359860C" w14:textId="54682046" w:rsidR="00505F08" w:rsidRDefault="00BC48AC" w:rsidP="00D65BCC">
      <w:pPr>
        <w:ind w:left="284"/>
        <w:rPr>
          <w:shd w:val="clear" w:color="auto" w:fill="FFFFFF"/>
        </w:rPr>
      </w:pPr>
      <w:r>
        <w:rPr>
          <w:shd w:val="clear" w:color="auto" w:fill="FFFFFF"/>
        </w:rPr>
        <w:t xml:space="preserve">Feedback </w:t>
      </w:r>
      <w:r w:rsidR="00BC42F3">
        <w:rPr>
          <w:shd w:val="clear" w:color="auto" w:fill="FFFFFF"/>
        </w:rPr>
        <w:t>from the</w:t>
      </w:r>
      <w:r>
        <w:rPr>
          <w:shd w:val="clear" w:color="auto" w:fill="FFFFFF"/>
        </w:rPr>
        <w:t xml:space="preserve"> </w:t>
      </w:r>
      <w:r w:rsidR="00A32112">
        <w:rPr>
          <w:shd w:val="clear" w:color="auto" w:fill="FFFFFF"/>
        </w:rPr>
        <w:t xml:space="preserve">small business </w:t>
      </w:r>
      <w:r w:rsidR="00BC42F3">
        <w:rPr>
          <w:shd w:val="clear" w:color="auto" w:fill="FFFFFF"/>
        </w:rPr>
        <w:t>community</w:t>
      </w:r>
      <w:r>
        <w:rPr>
          <w:shd w:val="clear" w:color="auto" w:fill="FFFFFF"/>
        </w:rPr>
        <w:t xml:space="preserve"> suggest</w:t>
      </w:r>
      <w:r w:rsidR="00BC42F3">
        <w:rPr>
          <w:shd w:val="clear" w:color="auto" w:fill="FFFFFF"/>
        </w:rPr>
        <w:t>s</w:t>
      </w:r>
      <w:r w:rsidR="00505F08">
        <w:rPr>
          <w:shd w:val="clear" w:color="auto" w:fill="FFFFFF"/>
        </w:rPr>
        <w:t xml:space="preserve"> that</w:t>
      </w:r>
      <w:r w:rsidR="00AF726C">
        <w:rPr>
          <w:shd w:val="clear" w:color="auto" w:fill="FFFFFF"/>
        </w:rPr>
        <w:t xml:space="preserve"> while</w:t>
      </w:r>
      <w:r w:rsidR="00505F08">
        <w:rPr>
          <w:shd w:val="clear" w:color="auto" w:fill="FFFFFF"/>
        </w:rPr>
        <w:t xml:space="preserve"> some financial intermediaries are doing better than others, there are significant laggards</w:t>
      </w:r>
      <w:r w:rsidR="00A74CDA">
        <w:rPr>
          <w:shd w:val="clear" w:color="auto" w:fill="FFFFFF"/>
        </w:rPr>
        <w:t xml:space="preserve"> in providing and assisting small businesses in their journey to lower cost payment options. I</w:t>
      </w:r>
      <w:r w:rsidR="00505F08">
        <w:rPr>
          <w:shd w:val="clear" w:color="auto" w:fill="FFFFFF"/>
        </w:rPr>
        <w:t>n general,</w:t>
      </w:r>
      <w:r>
        <w:rPr>
          <w:shd w:val="clear" w:color="auto" w:fill="FFFFFF"/>
        </w:rPr>
        <w:t xml:space="preserve"> inquiries </w:t>
      </w:r>
      <w:r w:rsidR="00505F08">
        <w:rPr>
          <w:shd w:val="clear" w:color="auto" w:fill="FFFFFF"/>
        </w:rPr>
        <w:t xml:space="preserve">that were </w:t>
      </w:r>
      <w:r>
        <w:rPr>
          <w:shd w:val="clear" w:color="auto" w:fill="FFFFFF"/>
        </w:rPr>
        <w:t>made by small businesses</w:t>
      </w:r>
      <w:r w:rsidR="00A32112">
        <w:rPr>
          <w:shd w:val="clear" w:color="auto" w:fill="FFFFFF"/>
        </w:rPr>
        <w:t xml:space="preserve"> regarding LCR have</w:t>
      </w:r>
      <w:r>
        <w:rPr>
          <w:shd w:val="clear" w:color="auto" w:fill="FFFFFF"/>
        </w:rPr>
        <w:t xml:space="preserve"> led to </w:t>
      </w:r>
      <w:r w:rsidR="00A74CDA">
        <w:rPr>
          <w:shd w:val="clear" w:color="auto" w:fill="FFFFFF"/>
        </w:rPr>
        <w:t>information saturation,</w:t>
      </w:r>
      <w:r w:rsidR="008C0BCD">
        <w:rPr>
          <w:shd w:val="clear" w:color="auto" w:fill="FFFFFF"/>
        </w:rPr>
        <w:t xml:space="preserve"> additional administrative responsibility, inadequate time, support and advice and persistent opacity. </w:t>
      </w:r>
      <w:r w:rsidR="00D65BCC">
        <w:rPr>
          <w:shd w:val="clear" w:color="auto" w:fill="FFFFFF"/>
        </w:rPr>
        <w:t>Small merchants are simply throwing LCR into the “too hard” basket and forgoing further inquiries and uptake. This is unconscionable and should not be a feature of a modern digital economy.</w:t>
      </w:r>
    </w:p>
    <w:p w14:paraId="66F5D8D1" w14:textId="49DA4E2C" w:rsidR="00182FF3" w:rsidRDefault="00A32112" w:rsidP="00C40A84">
      <w:pPr>
        <w:ind w:left="284"/>
        <w:rPr>
          <w:shd w:val="clear" w:color="auto" w:fill="FFFFFF"/>
        </w:rPr>
      </w:pPr>
      <w:r>
        <w:rPr>
          <w:shd w:val="clear" w:color="auto" w:fill="FFFFFF"/>
        </w:rPr>
        <w:t>To circumvent the anaemic uptake of LCR</w:t>
      </w:r>
      <w:r w:rsidR="00D21C29">
        <w:rPr>
          <w:shd w:val="clear" w:color="auto" w:fill="FFFFFF"/>
        </w:rPr>
        <w:t>,</w:t>
      </w:r>
      <w:r>
        <w:rPr>
          <w:shd w:val="clear" w:color="auto" w:fill="FFFFFF"/>
        </w:rPr>
        <w:t xml:space="preserve"> merchants require </w:t>
      </w:r>
      <w:r w:rsidR="00505F08">
        <w:rPr>
          <w:shd w:val="clear" w:color="auto" w:fill="FFFFFF"/>
        </w:rPr>
        <w:t>f</w:t>
      </w:r>
      <w:r w:rsidR="00505F08" w:rsidRPr="00505F08">
        <w:rPr>
          <w:shd w:val="clear" w:color="auto" w:fill="FFFFFF"/>
        </w:rPr>
        <w:t xml:space="preserve">ull transparency, </w:t>
      </w:r>
      <w:proofErr w:type="spellStart"/>
      <w:r w:rsidR="00505F08" w:rsidRPr="00505F08">
        <w:rPr>
          <w:shd w:val="clear" w:color="auto" w:fill="FFFFFF"/>
        </w:rPr>
        <w:t>explainability</w:t>
      </w:r>
      <w:proofErr w:type="spellEnd"/>
      <w:r w:rsidR="00505F08" w:rsidRPr="00505F08">
        <w:rPr>
          <w:shd w:val="clear" w:color="auto" w:fill="FFFFFF"/>
        </w:rPr>
        <w:t xml:space="preserve">, useability and </w:t>
      </w:r>
      <w:r w:rsidR="00505F08">
        <w:rPr>
          <w:shd w:val="clear" w:color="auto" w:fill="FFFFFF"/>
        </w:rPr>
        <w:t>interoperability</w:t>
      </w:r>
      <w:r w:rsidR="00505F08" w:rsidRPr="00505F08">
        <w:rPr>
          <w:shd w:val="clear" w:color="auto" w:fill="FFFFFF"/>
        </w:rPr>
        <w:t xml:space="preserve"> of merchant fees data.</w:t>
      </w:r>
      <w:r w:rsidR="00BD3A54">
        <w:rPr>
          <w:shd w:val="clear" w:color="auto" w:fill="FFFFFF"/>
        </w:rPr>
        <w:t xml:space="preserve"> </w:t>
      </w:r>
      <w:r w:rsidR="00C40A84">
        <w:rPr>
          <w:shd w:val="clear" w:color="auto" w:fill="FFFFFF"/>
        </w:rPr>
        <w:t xml:space="preserve">These principles </w:t>
      </w:r>
      <w:r w:rsidR="00C217D5">
        <w:rPr>
          <w:shd w:val="clear" w:color="auto" w:fill="FFFFFF"/>
        </w:rPr>
        <w:t xml:space="preserve">underpin the </w:t>
      </w:r>
      <w:r w:rsidR="00C40A84">
        <w:rPr>
          <w:shd w:val="clear" w:color="auto" w:fill="FFFFFF"/>
        </w:rPr>
        <w:t>CDR and open-banking</w:t>
      </w:r>
      <w:r w:rsidR="00C217D5">
        <w:rPr>
          <w:shd w:val="clear" w:color="auto" w:fill="FFFFFF"/>
        </w:rPr>
        <w:t xml:space="preserve"> framework </w:t>
      </w:r>
      <w:r w:rsidR="00182FF3">
        <w:rPr>
          <w:shd w:val="clear" w:color="auto" w:fill="FFFFFF"/>
        </w:rPr>
        <w:t>currently rolling out. C</w:t>
      </w:r>
      <w:r w:rsidR="00C217D5">
        <w:rPr>
          <w:shd w:val="clear" w:color="auto" w:fill="FFFFFF"/>
        </w:rPr>
        <w:t>urren</w:t>
      </w:r>
      <w:r w:rsidR="00182FF3">
        <w:rPr>
          <w:shd w:val="clear" w:color="auto" w:fill="FFFFFF"/>
        </w:rPr>
        <w:t>t arrangements and timelines outlined however</w:t>
      </w:r>
      <w:r w:rsidR="00C217D5">
        <w:rPr>
          <w:shd w:val="clear" w:color="auto" w:fill="FFFFFF"/>
        </w:rPr>
        <w:t xml:space="preserve"> </w:t>
      </w:r>
      <w:r w:rsidR="00182FF3">
        <w:rPr>
          <w:shd w:val="clear" w:color="auto" w:fill="FFFFFF"/>
        </w:rPr>
        <w:t>do not explicitly incorporate merchant fees</w:t>
      </w:r>
      <w:r w:rsidR="00C40A84">
        <w:rPr>
          <w:shd w:val="clear" w:color="auto" w:fill="FFFFFF"/>
        </w:rPr>
        <w:t>.</w:t>
      </w:r>
      <w:r w:rsidR="00182FF3">
        <w:rPr>
          <w:shd w:val="clear" w:color="auto" w:fill="FFFFFF"/>
        </w:rPr>
        <w:t xml:space="preserve"> And whilst business finance</w:t>
      </w:r>
      <w:r w:rsidR="00C40A84">
        <w:rPr>
          <w:shd w:val="clear" w:color="auto" w:fill="FFFFFF"/>
        </w:rPr>
        <w:t xml:space="preserve"> </w:t>
      </w:r>
      <w:r w:rsidR="00182FF3">
        <w:rPr>
          <w:shd w:val="clear" w:color="auto" w:fill="FFFFFF"/>
        </w:rPr>
        <w:t>d</w:t>
      </w:r>
      <w:r w:rsidR="00C40A84">
        <w:rPr>
          <w:shd w:val="clear" w:color="auto" w:fill="FFFFFF"/>
        </w:rPr>
        <w:t>ata</w:t>
      </w:r>
      <w:r w:rsidR="00182FF3">
        <w:rPr>
          <w:shd w:val="clear" w:color="auto" w:fill="FFFFFF"/>
        </w:rPr>
        <w:t xml:space="preserve"> is being made available through open banking, the rollout of this scheme </w:t>
      </w:r>
      <w:r w:rsidR="004D6FB9">
        <w:rPr>
          <w:shd w:val="clear" w:color="auto" w:fill="FFFFFF"/>
        </w:rPr>
        <w:t xml:space="preserve">will </w:t>
      </w:r>
      <w:r w:rsidR="00182FF3">
        <w:rPr>
          <w:shd w:val="clear" w:color="auto" w:fill="FFFFFF"/>
        </w:rPr>
        <w:t xml:space="preserve">not be fully realised </w:t>
      </w:r>
      <w:r w:rsidR="004D6FB9">
        <w:rPr>
          <w:shd w:val="clear" w:color="auto" w:fill="FFFFFF"/>
        </w:rPr>
        <w:t xml:space="preserve">until </w:t>
      </w:r>
      <w:r w:rsidR="00182FF3">
        <w:rPr>
          <w:shd w:val="clear" w:color="auto" w:fill="FFFFFF"/>
        </w:rPr>
        <w:t>2022.</w:t>
      </w:r>
      <w:r w:rsidR="00D65BCC" w:rsidRPr="00D65BCC">
        <w:rPr>
          <w:rStyle w:val="FootnoteReference"/>
          <w:shd w:val="clear" w:color="auto" w:fill="FFFFFF"/>
        </w:rPr>
        <w:t xml:space="preserve"> </w:t>
      </w:r>
      <w:r w:rsidR="00D65BCC">
        <w:rPr>
          <w:rStyle w:val="FootnoteReference"/>
          <w:shd w:val="clear" w:color="auto" w:fill="FFFFFF"/>
        </w:rPr>
        <w:footnoteReference w:id="1"/>
      </w:r>
      <w:r w:rsidR="00D65BCC">
        <w:rPr>
          <w:shd w:val="clear" w:color="auto" w:fill="FFFFFF"/>
        </w:rPr>
        <w:t xml:space="preserve"> Merchant fee data must be held to the same standard as other banking products and services to ensure business customers can be informed and make quick and easy decisions to best suit their needs.</w:t>
      </w:r>
    </w:p>
    <w:p w14:paraId="0ACC77AE" w14:textId="67CC0EB8" w:rsidR="00C40A84" w:rsidRDefault="00D65BCC" w:rsidP="00C40A84">
      <w:pPr>
        <w:ind w:left="284"/>
        <w:rPr>
          <w:shd w:val="clear" w:color="auto" w:fill="FFFFFF"/>
        </w:rPr>
      </w:pPr>
      <w:r>
        <w:rPr>
          <w:shd w:val="clear" w:color="auto" w:fill="FFFFFF"/>
        </w:rPr>
        <w:t>Merchant fee d</w:t>
      </w:r>
      <w:r w:rsidR="00182FF3">
        <w:rPr>
          <w:shd w:val="clear" w:color="auto" w:fill="FFFFFF"/>
        </w:rPr>
        <w:t>ata</w:t>
      </w:r>
      <w:r w:rsidR="00C40A84">
        <w:rPr>
          <w:shd w:val="clear" w:color="auto" w:fill="FFFFFF"/>
        </w:rPr>
        <w:t xml:space="preserve"> </w:t>
      </w:r>
      <w:r w:rsidR="00C40A84" w:rsidRPr="00D65BCC">
        <w:rPr>
          <w:u w:val="single"/>
          <w:shd w:val="clear" w:color="auto" w:fill="FFFFFF"/>
        </w:rPr>
        <w:t>must</w:t>
      </w:r>
      <w:r w:rsidR="00C40A84">
        <w:rPr>
          <w:shd w:val="clear" w:color="auto" w:fill="FFFFFF"/>
        </w:rPr>
        <w:t xml:space="preserve"> be provided in a way that is</w:t>
      </w:r>
      <w:r w:rsidR="00A32112">
        <w:rPr>
          <w:shd w:val="clear" w:color="auto" w:fill="FFFFFF"/>
        </w:rPr>
        <w:t xml:space="preserve"> useable</w:t>
      </w:r>
      <w:r>
        <w:rPr>
          <w:shd w:val="clear" w:color="auto" w:fill="FFFFFF"/>
        </w:rPr>
        <w:t xml:space="preserve"> and</w:t>
      </w:r>
      <w:r w:rsidR="00A32112">
        <w:rPr>
          <w:shd w:val="clear" w:color="auto" w:fill="FFFFFF"/>
        </w:rPr>
        <w:t xml:space="preserve"> explainable to drive </w:t>
      </w:r>
      <w:r>
        <w:rPr>
          <w:shd w:val="clear" w:color="auto" w:fill="FFFFFF"/>
        </w:rPr>
        <w:t xml:space="preserve">genuine </w:t>
      </w:r>
      <w:r w:rsidR="00A32112">
        <w:rPr>
          <w:shd w:val="clear" w:color="auto" w:fill="FFFFFF"/>
        </w:rPr>
        <w:t>competition</w:t>
      </w:r>
      <w:r w:rsidR="00505F08">
        <w:rPr>
          <w:shd w:val="clear" w:color="auto" w:fill="FFFFFF"/>
        </w:rPr>
        <w:t xml:space="preserve"> and LCR uptake</w:t>
      </w:r>
      <w:r w:rsidR="00A32112">
        <w:rPr>
          <w:shd w:val="clear" w:color="auto" w:fill="FFFFFF"/>
        </w:rPr>
        <w:t xml:space="preserve"> across the </w:t>
      </w:r>
      <w:r w:rsidR="00505F08">
        <w:rPr>
          <w:shd w:val="clear" w:color="auto" w:fill="FFFFFF"/>
        </w:rPr>
        <w:t xml:space="preserve">digital payments </w:t>
      </w:r>
      <w:r w:rsidR="00A32112">
        <w:rPr>
          <w:shd w:val="clear" w:color="auto" w:fill="FFFFFF"/>
        </w:rPr>
        <w:t>market.</w:t>
      </w:r>
      <w:r w:rsidR="00505F08">
        <w:rPr>
          <w:shd w:val="clear" w:color="auto" w:fill="FFFFFF"/>
        </w:rPr>
        <w:t xml:space="preserve"> We strongly recommend regulatory actions be taken to prevent further escalation and uncertainty in</w:t>
      </w:r>
      <w:r w:rsidR="00C40A84">
        <w:rPr>
          <w:shd w:val="clear" w:color="auto" w:fill="FFFFFF"/>
        </w:rPr>
        <w:t xml:space="preserve"> </w:t>
      </w:r>
      <w:r w:rsidR="00505F08">
        <w:rPr>
          <w:shd w:val="clear" w:color="auto" w:fill="FFFFFF"/>
        </w:rPr>
        <w:t>costs of digital payments</w:t>
      </w:r>
      <w:r w:rsidR="00C217D5">
        <w:rPr>
          <w:shd w:val="clear" w:color="auto" w:fill="FFFFFF"/>
        </w:rPr>
        <w:t xml:space="preserve"> and/or </w:t>
      </w:r>
      <w:r w:rsidR="00182FF3">
        <w:rPr>
          <w:shd w:val="clear" w:color="auto" w:fill="FFFFFF"/>
        </w:rPr>
        <w:t xml:space="preserve">the </w:t>
      </w:r>
      <w:r w:rsidR="00C217D5">
        <w:rPr>
          <w:shd w:val="clear" w:color="auto" w:fill="FFFFFF"/>
        </w:rPr>
        <w:t xml:space="preserve">CDR </w:t>
      </w:r>
      <w:r w:rsidR="00182FF3">
        <w:rPr>
          <w:shd w:val="clear" w:color="auto" w:fill="FFFFFF"/>
        </w:rPr>
        <w:t>be expanded to explicitly incorporate merchant fee</w:t>
      </w:r>
      <w:r>
        <w:rPr>
          <w:shd w:val="clear" w:color="auto" w:fill="FFFFFF"/>
        </w:rPr>
        <w:t>s data.</w:t>
      </w:r>
    </w:p>
    <w:p w14:paraId="45E4D42F" w14:textId="3544A2F7" w:rsidR="00D65BCC" w:rsidRDefault="00D65BCC" w:rsidP="00C40A84">
      <w:pPr>
        <w:ind w:left="284"/>
        <w:rPr>
          <w:shd w:val="clear" w:color="auto" w:fill="FFFFFF"/>
        </w:rPr>
      </w:pPr>
      <w:r>
        <w:rPr>
          <w:shd w:val="clear" w:color="auto" w:fill="FFFFFF"/>
        </w:rPr>
        <w:lastRenderedPageBreak/>
        <w:t>T</w:t>
      </w:r>
      <w:r>
        <w:rPr>
          <w:shd w:val="clear" w:color="auto" w:fill="FFFFFF"/>
        </w:rPr>
        <w:t xml:space="preserve">he use of suasion has netted sub-optimal results that </w:t>
      </w:r>
      <w:r>
        <w:rPr>
          <w:shd w:val="clear" w:color="auto" w:fill="FFFFFF"/>
        </w:rPr>
        <w:t>are</w:t>
      </w:r>
      <w:r>
        <w:rPr>
          <w:shd w:val="clear" w:color="auto" w:fill="FFFFFF"/>
        </w:rPr>
        <w:t xml:space="preserve"> cost</w:t>
      </w:r>
      <w:r>
        <w:rPr>
          <w:shd w:val="clear" w:color="auto" w:fill="FFFFFF"/>
        </w:rPr>
        <w:t>ing</w:t>
      </w:r>
      <w:r>
        <w:rPr>
          <w:shd w:val="clear" w:color="auto" w:fill="FFFFFF"/>
        </w:rPr>
        <w:t xml:space="preserve"> small merchants higher than necessary fees. E</w:t>
      </w:r>
      <w:r w:rsidRPr="00005FBA">
        <w:rPr>
          <w:shd w:val="clear" w:color="auto" w:fill="FFFFFF"/>
        </w:rPr>
        <w:t>stimates</w:t>
      </w:r>
      <w:r>
        <w:rPr>
          <w:shd w:val="clear" w:color="auto" w:fill="FFFFFF"/>
        </w:rPr>
        <w:t xml:space="preserve"> indicate that only</w:t>
      </w:r>
      <w:r w:rsidRPr="00005FBA">
        <w:rPr>
          <w:shd w:val="clear" w:color="auto" w:fill="FFFFFF"/>
        </w:rPr>
        <w:t xml:space="preserve"> 7-10 per cent of the market currently </w:t>
      </w:r>
      <w:r>
        <w:rPr>
          <w:shd w:val="clear" w:color="auto" w:fill="FFFFFF"/>
        </w:rPr>
        <w:t xml:space="preserve">use LCR. These fees are on average several thousands of dollars per year depending on the size and number of payments made. For example, </w:t>
      </w:r>
      <w:proofErr w:type="spellStart"/>
      <w:r>
        <w:rPr>
          <w:shd w:val="clear" w:color="auto" w:fill="FFFFFF"/>
        </w:rPr>
        <w:t>eftpos</w:t>
      </w:r>
      <w:proofErr w:type="spellEnd"/>
      <w:r>
        <w:rPr>
          <w:shd w:val="clear" w:color="auto" w:fill="FFFFFF"/>
        </w:rPr>
        <w:t xml:space="preserve"> </w:t>
      </w:r>
      <w:r w:rsidR="002749C5">
        <w:rPr>
          <w:shd w:val="clear" w:color="auto" w:fill="FFFFFF"/>
        </w:rPr>
        <w:t>estimates</w:t>
      </w:r>
      <w:r>
        <w:rPr>
          <w:shd w:val="clear" w:color="auto" w:fill="FFFFFF"/>
        </w:rPr>
        <w:t xml:space="preserve"> that an independent supermarket may be approximately $25,000 worse-off per year without LCR while a small</w:t>
      </w:r>
      <w:r w:rsidR="002749C5">
        <w:rPr>
          <w:shd w:val="clear" w:color="auto" w:fill="FFFFFF"/>
        </w:rPr>
        <w:t>-scale</w:t>
      </w:r>
      <w:r>
        <w:rPr>
          <w:shd w:val="clear" w:color="auto" w:fill="FFFFFF"/>
        </w:rPr>
        <w:t xml:space="preserve"> retailer is approximately $3,000 worse off. Further economic analysis by CMSPI indicates that if LCR were made available on all card transaction types including credit, online, debit and digital wallet, Australian merchants could save over $2 billion in merchants fees annually and approximately $1.3 billion if only debit transactions are considered alone.</w:t>
      </w:r>
      <w:r w:rsidRPr="00BD3A54">
        <w:rPr>
          <w:shd w:val="clear" w:color="auto" w:fill="FFFFFF"/>
          <w:vertAlign w:val="superscript"/>
        </w:rPr>
        <w:footnoteReference w:id="2"/>
      </w:r>
      <w:r>
        <w:rPr>
          <w:shd w:val="clear" w:color="auto" w:fill="FFFFFF"/>
        </w:rPr>
        <w:t xml:space="preserve"> On balance, ACCI considers this a disproportionate and significant cost impact that is largely and unnecessarily absorbed by the small business community.</w:t>
      </w:r>
    </w:p>
    <w:p w14:paraId="7C785F49" w14:textId="0359906D" w:rsidR="00BC48AC" w:rsidRDefault="00C40A84" w:rsidP="00C40A84">
      <w:pPr>
        <w:ind w:left="284"/>
        <w:rPr>
          <w:shd w:val="clear" w:color="auto" w:fill="FFFFFF"/>
        </w:rPr>
      </w:pPr>
      <w:r>
        <w:rPr>
          <w:shd w:val="clear" w:color="auto" w:fill="FFFFFF"/>
        </w:rPr>
        <w:t>General awareness and understanding of the impacts of LCR on business is</w:t>
      </w:r>
      <w:r w:rsidR="00182FF3">
        <w:rPr>
          <w:shd w:val="clear" w:color="auto" w:fill="FFFFFF"/>
        </w:rPr>
        <w:t xml:space="preserve"> currently</w:t>
      </w:r>
      <w:r>
        <w:rPr>
          <w:shd w:val="clear" w:color="auto" w:fill="FFFFFF"/>
        </w:rPr>
        <w:t xml:space="preserve"> an insufficient condition for uptake</w:t>
      </w:r>
      <w:r w:rsidR="00D65BCC">
        <w:rPr>
          <w:shd w:val="clear" w:color="auto" w:fill="FFFFFF"/>
        </w:rPr>
        <w:t xml:space="preserve"> (emphasis added)</w:t>
      </w:r>
      <w:r>
        <w:rPr>
          <w:shd w:val="clear" w:color="auto" w:fill="FFFFFF"/>
        </w:rPr>
        <w:t>. The lack of regulat</w:t>
      </w:r>
      <w:r w:rsidR="002337DE">
        <w:rPr>
          <w:shd w:val="clear" w:color="auto" w:fill="FFFFFF"/>
        </w:rPr>
        <w:t>ory parameters</w:t>
      </w:r>
      <w:r>
        <w:rPr>
          <w:shd w:val="clear" w:color="auto" w:fill="FFFFFF"/>
        </w:rPr>
        <w:t xml:space="preserve"> and standards underpinning data governance arrangements in </w:t>
      </w:r>
      <w:r w:rsidR="002337DE">
        <w:rPr>
          <w:shd w:val="clear" w:color="auto" w:fill="FFFFFF"/>
        </w:rPr>
        <w:t>relation to merchant fees and digital payments more generally</w:t>
      </w:r>
      <w:r>
        <w:rPr>
          <w:shd w:val="clear" w:color="auto" w:fill="FFFFFF"/>
        </w:rPr>
        <w:t xml:space="preserve"> is a central cause for concern</w:t>
      </w:r>
      <w:r w:rsidR="002337DE">
        <w:rPr>
          <w:shd w:val="clear" w:color="auto" w:fill="FFFFFF"/>
        </w:rPr>
        <w:t xml:space="preserve"> driving the issues experienced on the ground by small merchants</w:t>
      </w:r>
      <w:r>
        <w:rPr>
          <w:shd w:val="clear" w:color="auto" w:fill="FFFFFF"/>
        </w:rPr>
        <w:t>.</w:t>
      </w:r>
      <w:r w:rsidR="002337DE">
        <w:rPr>
          <w:shd w:val="clear" w:color="auto" w:fill="FFFFFF"/>
        </w:rPr>
        <w:t xml:space="preserve"> Despite recent efforts,</w:t>
      </w:r>
      <w:r>
        <w:rPr>
          <w:shd w:val="clear" w:color="auto" w:fill="FFFFFF"/>
        </w:rPr>
        <w:t xml:space="preserve"> </w:t>
      </w:r>
      <w:r w:rsidR="002337DE">
        <w:rPr>
          <w:shd w:val="clear" w:color="auto" w:fill="FFFFFF"/>
        </w:rPr>
        <w:t>we have not observed any substantive or impartial evidence that suggests “significant progress” has been made in LCR uptake.</w:t>
      </w:r>
      <w:r w:rsidR="00182FF3">
        <w:rPr>
          <w:shd w:val="clear" w:color="auto" w:fill="FFFFFF"/>
        </w:rPr>
        <w:t xml:space="preserve"> </w:t>
      </w:r>
      <w:r w:rsidR="00D65BCC">
        <w:rPr>
          <w:shd w:val="clear" w:color="auto" w:fill="FFFFFF"/>
        </w:rPr>
        <w:t xml:space="preserve">As the regulator in this space, the RBA </w:t>
      </w:r>
      <w:r w:rsidR="00244EBC">
        <w:rPr>
          <w:shd w:val="clear" w:color="auto" w:fill="FFFFFF"/>
        </w:rPr>
        <w:t>has the responsibility to</w:t>
      </w:r>
      <w:r w:rsidR="00D65BCC">
        <w:rPr>
          <w:shd w:val="clear" w:color="auto" w:fill="FFFFFF"/>
        </w:rPr>
        <w:t xml:space="preserve"> act on this issue as a priority.</w:t>
      </w:r>
    </w:p>
    <w:p w14:paraId="30EC670F" w14:textId="77777777" w:rsidR="001C4EA0" w:rsidRDefault="001C4EA0" w:rsidP="001C4EA0">
      <w:pPr>
        <w:pStyle w:val="Heading1"/>
        <w:rPr>
          <w:shd w:val="clear" w:color="auto" w:fill="FFFFFF"/>
        </w:rPr>
      </w:pPr>
      <w:r>
        <w:rPr>
          <w:shd w:val="clear" w:color="auto" w:fill="FFFFFF"/>
        </w:rPr>
        <w:t>Emerging threats on the viability of LCR</w:t>
      </w:r>
    </w:p>
    <w:p w14:paraId="6448FC36" w14:textId="235D5F2E" w:rsidR="00BD3A54" w:rsidRDefault="00005FBA" w:rsidP="00D65BCC">
      <w:pPr>
        <w:ind w:left="284"/>
        <w:rPr>
          <w:shd w:val="clear" w:color="auto" w:fill="FFFFFF"/>
        </w:rPr>
      </w:pPr>
      <w:r>
        <w:rPr>
          <w:shd w:val="clear" w:color="auto" w:fill="FFFFFF"/>
        </w:rPr>
        <w:t>The</w:t>
      </w:r>
      <w:r w:rsidR="006210C4">
        <w:rPr>
          <w:shd w:val="clear" w:color="auto" w:fill="FFFFFF"/>
        </w:rPr>
        <w:t xml:space="preserve"> RBA has done </w:t>
      </w:r>
      <w:r w:rsidR="00D65BCC">
        <w:rPr>
          <w:shd w:val="clear" w:color="auto" w:fill="FFFFFF"/>
        </w:rPr>
        <w:t xml:space="preserve">mostly </w:t>
      </w:r>
      <w:r w:rsidR="006210C4">
        <w:rPr>
          <w:shd w:val="clear" w:color="auto" w:fill="FFFFFF"/>
        </w:rPr>
        <w:t xml:space="preserve">well within the constraints of the </w:t>
      </w:r>
      <w:r w:rsidR="006210C4" w:rsidRPr="006210C4">
        <w:rPr>
          <w:i/>
          <w:shd w:val="clear" w:color="auto" w:fill="FFFFFF"/>
        </w:rPr>
        <w:t>Principles and the Payment Systems (Regulation) Act 1998</w:t>
      </w:r>
      <w:r w:rsidR="006210C4">
        <w:rPr>
          <w:i/>
          <w:shd w:val="clear" w:color="auto" w:fill="FFFFFF"/>
        </w:rPr>
        <w:t xml:space="preserve"> </w:t>
      </w:r>
      <w:r w:rsidR="006210C4" w:rsidRPr="000E1568">
        <w:rPr>
          <w:shd w:val="clear" w:color="auto" w:fill="FFFFFF"/>
        </w:rPr>
        <w:t>(PSRA).</w:t>
      </w:r>
      <w:r w:rsidR="006210C4">
        <w:rPr>
          <w:shd w:val="clear" w:color="auto" w:fill="FFFFFF"/>
        </w:rPr>
        <w:t xml:space="preserve"> The </w:t>
      </w:r>
      <w:r w:rsidR="006210C4" w:rsidRPr="000E1568">
        <w:rPr>
          <w:shd w:val="clear" w:color="auto" w:fill="FFFFFF"/>
        </w:rPr>
        <w:t xml:space="preserve">PSRA </w:t>
      </w:r>
      <w:r w:rsidR="006210C4">
        <w:rPr>
          <w:shd w:val="clear" w:color="auto" w:fill="FFFFFF"/>
        </w:rPr>
        <w:t xml:space="preserve">encourages a co-operative approach to achieving core outcomes and the RBA’s use of suasion to achieve outcomes has been </w:t>
      </w:r>
      <w:r w:rsidR="000E1568">
        <w:rPr>
          <w:shd w:val="clear" w:color="auto" w:fill="FFFFFF"/>
        </w:rPr>
        <w:t xml:space="preserve">mostly </w:t>
      </w:r>
      <w:r w:rsidR="006210C4">
        <w:rPr>
          <w:shd w:val="clear" w:color="auto" w:fill="FFFFFF"/>
        </w:rPr>
        <w:t xml:space="preserve">useful in avoiding protracted litigation.  </w:t>
      </w:r>
    </w:p>
    <w:p w14:paraId="0157C2A5" w14:textId="6B5D6F7A" w:rsidR="007142E2" w:rsidRDefault="00505F08" w:rsidP="00A34CF2">
      <w:pPr>
        <w:ind w:left="284"/>
        <w:rPr>
          <w:shd w:val="clear" w:color="auto" w:fill="FFFFFF"/>
        </w:rPr>
      </w:pPr>
      <w:r>
        <w:rPr>
          <w:shd w:val="clear" w:color="auto" w:fill="FFFFFF"/>
        </w:rPr>
        <w:t>The</w:t>
      </w:r>
      <w:r w:rsidR="00005FBA">
        <w:rPr>
          <w:shd w:val="clear" w:color="auto" w:fill="FFFFFF"/>
        </w:rPr>
        <w:t>re are indications that SNDC</w:t>
      </w:r>
      <w:r w:rsidR="004D6FB9">
        <w:rPr>
          <w:shd w:val="clear" w:color="auto" w:fill="FFFFFF"/>
        </w:rPr>
        <w:t>s</w:t>
      </w:r>
      <w:r w:rsidR="00005FBA">
        <w:rPr>
          <w:shd w:val="clear" w:color="auto" w:fill="FFFFFF"/>
        </w:rPr>
        <w:t xml:space="preserve"> </w:t>
      </w:r>
      <w:r w:rsidR="004D6FB9">
        <w:rPr>
          <w:shd w:val="clear" w:color="auto" w:fill="FFFFFF"/>
        </w:rPr>
        <w:t xml:space="preserve">are </w:t>
      </w:r>
      <w:r w:rsidR="00005FBA">
        <w:rPr>
          <w:shd w:val="clear" w:color="auto" w:fill="FFFFFF"/>
        </w:rPr>
        <w:t>being encouraged to drive innovation in the digital payments market. This is of concern as the</w:t>
      </w:r>
      <w:r w:rsidR="00995A20">
        <w:rPr>
          <w:shd w:val="clear" w:color="auto" w:fill="FFFFFF"/>
        </w:rPr>
        <w:t xml:space="preserve"> RBA</w:t>
      </w:r>
      <w:r>
        <w:rPr>
          <w:shd w:val="clear" w:color="auto" w:fill="FFFFFF"/>
        </w:rPr>
        <w:t xml:space="preserve"> </w:t>
      </w:r>
      <w:r w:rsidR="00995A20">
        <w:rPr>
          <w:shd w:val="clear" w:color="auto" w:fill="FFFFFF"/>
        </w:rPr>
        <w:t xml:space="preserve">consultation paper </w:t>
      </w:r>
      <w:r>
        <w:rPr>
          <w:shd w:val="clear" w:color="auto" w:fill="FFFFFF"/>
        </w:rPr>
        <w:t xml:space="preserve">makes clear that </w:t>
      </w:r>
      <w:r w:rsidRPr="00505F08">
        <w:rPr>
          <w:i/>
          <w:iCs/>
          <w:shd w:val="clear" w:color="auto" w:fill="FFFFFF"/>
        </w:rPr>
        <w:t>“a widespread shift towards SNDCs could threaten the viability of LCR</w:t>
      </w:r>
      <w:r w:rsidRPr="00505F08">
        <w:rPr>
          <w:shd w:val="clear" w:color="auto" w:fill="FFFFFF"/>
        </w:rPr>
        <w:t xml:space="preserve">” and that if </w:t>
      </w:r>
      <w:proofErr w:type="spellStart"/>
      <w:r w:rsidRPr="00505F08">
        <w:rPr>
          <w:shd w:val="clear" w:color="auto" w:fill="FFFFFF"/>
        </w:rPr>
        <w:t>eftpos</w:t>
      </w:r>
      <w:proofErr w:type="spellEnd"/>
      <w:r w:rsidRPr="00505F08">
        <w:rPr>
          <w:shd w:val="clear" w:color="auto" w:fill="FFFFFF"/>
        </w:rPr>
        <w:t xml:space="preserve"> cannot compete and potentially has to exit the market, this “</w:t>
      </w:r>
      <w:r w:rsidRPr="00505F08">
        <w:rPr>
          <w:i/>
          <w:iCs/>
          <w:shd w:val="clear" w:color="auto" w:fill="FFFFFF"/>
        </w:rPr>
        <w:t>would result in a significant lessening of competitive pressure in the debit market and would likely result in an increase in both interchange rates and scheme fees, impacting all merchants”</w:t>
      </w:r>
      <w:r w:rsidR="00005FBA">
        <w:rPr>
          <w:shd w:val="clear" w:color="auto" w:fill="FFFFFF"/>
        </w:rPr>
        <w:t xml:space="preserve">. </w:t>
      </w:r>
      <w:r w:rsidR="00995A20">
        <w:rPr>
          <w:rStyle w:val="FootnoteReference"/>
          <w:shd w:val="clear" w:color="auto" w:fill="FFFFFF"/>
        </w:rPr>
        <w:footnoteReference w:id="3"/>
      </w:r>
      <w:r w:rsidR="00995A20" w:rsidRPr="00995A20">
        <w:rPr>
          <w:shd w:val="clear" w:color="auto" w:fill="FFFFFF"/>
        </w:rPr>
        <w:t xml:space="preserve"> The payment system must continue to support dual network debit cards and</w:t>
      </w:r>
      <w:r w:rsidR="00995A20">
        <w:rPr>
          <w:shd w:val="clear" w:color="auto" w:fill="FFFFFF"/>
        </w:rPr>
        <w:t xml:space="preserve"> </w:t>
      </w:r>
      <w:r w:rsidR="00995A20" w:rsidRPr="00995A20">
        <w:rPr>
          <w:shd w:val="clear" w:color="auto" w:fill="FFFFFF"/>
        </w:rPr>
        <w:t xml:space="preserve">we expect the RBA to </w:t>
      </w:r>
      <w:r w:rsidR="00995A20">
        <w:rPr>
          <w:shd w:val="clear" w:color="auto" w:fill="FFFFFF"/>
        </w:rPr>
        <w:t>further consider their preliminary conclusions on this matter.</w:t>
      </w:r>
    </w:p>
    <w:p w14:paraId="1D8A674D" w14:textId="1E0666DD" w:rsidR="00BD3A54" w:rsidRDefault="00995A20" w:rsidP="00E662A5">
      <w:pPr>
        <w:ind w:left="284"/>
        <w:rPr>
          <w:shd w:val="clear" w:color="auto" w:fill="FFFFFF"/>
        </w:rPr>
      </w:pPr>
      <w:r>
        <w:rPr>
          <w:shd w:val="clear" w:color="auto" w:fill="FFFFFF"/>
        </w:rPr>
        <w:t>Global m</w:t>
      </w:r>
      <w:r w:rsidR="00505F08">
        <w:rPr>
          <w:shd w:val="clear" w:color="auto" w:fill="FFFFFF"/>
        </w:rPr>
        <w:t>arkets</w:t>
      </w:r>
      <w:r w:rsidR="00A958A2">
        <w:rPr>
          <w:shd w:val="clear" w:color="auto" w:fill="FFFFFF"/>
        </w:rPr>
        <w:t xml:space="preserve"> </w:t>
      </w:r>
      <w:r w:rsidR="00505F08">
        <w:rPr>
          <w:shd w:val="clear" w:color="auto" w:fill="FFFFFF"/>
        </w:rPr>
        <w:t xml:space="preserve">that have moved to SNDC have experienced a </w:t>
      </w:r>
      <w:r>
        <w:rPr>
          <w:shd w:val="clear" w:color="auto" w:fill="FFFFFF"/>
        </w:rPr>
        <w:t xml:space="preserve">significant </w:t>
      </w:r>
      <w:r w:rsidR="00505F08">
        <w:rPr>
          <w:shd w:val="clear" w:color="auto" w:fill="FFFFFF"/>
        </w:rPr>
        <w:t>spike in merchant fees</w:t>
      </w:r>
      <w:r w:rsidR="00A958A2">
        <w:rPr>
          <w:shd w:val="clear" w:color="auto" w:fill="FFFFFF"/>
        </w:rPr>
        <w:t xml:space="preserve"> </w:t>
      </w:r>
      <w:r w:rsidR="00505F08">
        <w:rPr>
          <w:shd w:val="clear" w:color="auto" w:fill="FFFFFF"/>
        </w:rPr>
        <w:t xml:space="preserve">and we </w:t>
      </w:r>
      <w:r w:rsidR="00D21C29">
        <w:rPr>
          <w:shd w:val="clear" w:color="auto" w:fill="FFFFFF"/>
        </w:rPr>
        <w:t xml:space="preserve">should </w:t>
      </w:r>
      <w:r w:rsidR="007A4168">
        <w:rPr>
          <w:shd w:val="clear" w:color="auto" w:fill="FFFFFF"/>
        </w:rPr>
        <w:t>pay</w:t>
      </w:r>
      <w:r w:rsidR="00D21C29">
        <w:rPr>
          <w:shd w:val="clear" w:color="auto" w:fill="FFFFFF"/>
        </w:rPr>
        <w:t xml:space="preserve"> heed of these precedents</w:t>
      </w:r>
      <w:r w:rsidR="00A958A2">
        <w:rPr>
          <w:shd w:val="clear" w:color="auto" w:fill="FFFFFF"/>
        </w:rPr>
        <w:t>.</w:t>
      </w:r>
      <w:r w:rsidR="00A958A2">
        <w:rPr>
          <w:rStyle w:val="FootnoteReference"/>
          <w:shd w:val="clear" w:color="auto" w:fill="FFFFFF"/>
        </w:rPr>
        <w:footnoteReference w:id="4"/>
      </w:r>
      <w:r w:rsidR="00A958A2">
        <w:rPr>
          <w:shd w:val="clear" w:color="auto" w:fill="FFFFFF"/>
        </w:rPr>
        <w:t xml:space="preserve"> </w:t>
      </w:r>
      <w:r w:rsidR="007A4168">
        <w:rPr>
          <w:shd w:val="clear" w:color="auto" w:fill="FFFFFF"/>
        </w:rPr>
        <w:t xml:space="preserve"> Equally it is important that we learn from the experience in the car</w:t>
      </w:r>
      <w:r w:rsidR="00E662A5">
        <w:rPr>
          <w:shd w:val="clear" w:color="auto" w:fill="FFFFFF"/>
        </w:rPr>
        <w:t>d</w:t>
      </w:r>
      <w:r w:rsidR="007A4168">
        <w:rPr>
          <w:shd w:val="clear" w:color="auto" w:fill="FFFFFF"/>
        </w:rPr>
        <w:t>-present environment and ensure that there is competition and choice when consumers choose to use their mobile devices to make transactions or pay for products and services online. Without principles-based regulation</w:t>
      </w:r>
      <w:r w:rsidR="00E662A5">
        <w:rPr>
          <w:shd w:val="clear" w:color="auto" w:fill="FFFFFF"/>
        </w:rPr>
        <w:t xml:space="preserve"> underpinned with clear guidelines of responsibility and enforceability</w:t>
      </w:r>
      <w:r w:rsidR="007A4168">
        <w:rPr>
          <w:shd w:val="clear" w:color="auto" w:fill="FFFFFF"/>
        </w:rPr>
        <w:t>, there is a real risk that merchants will pay higher fees for the rapidly growing number of transactions that utilise these devices or occur in these online marketplaces.</w:t>
      </w:r>
    </w:p>
    <w:p w14:paraId="41DAE7E1" w14:textId="77777777" w:rsidR="00A975B6" w:rsidRDefault="00A975B6" w:rsidP="00A975B6">
      <w:pPr>
        <w:pStyle w:val="Heading1"/>
        <w:rPr>
          <w:shd w:val="clear" w:color="auto" w:fill="FFFFFF"/>
        </w:rPr>
      </w:pPr>
      <w:r w:rsidRPr="00A975B6">
        <w:rPr>
          <w:shd w:val="clear" w:color="auto" w:fill="FFFFFF"/>
        </w:rPr>
        <w:t>Provide clear guidance on regulatory decisions</w:t>
      </w:r>
    </w:p>
    <w:p w14:paraId="0C4C2A7B" w14:textId="6B3C87B1" w:rsidR="00164643" w:rsidRDefault="00505F08" w:rsidP="00E662A5">
      <w:pPr>
        <w:ind w:left="284"/>
        <w:rPr>
          <w:shd w:val="clear" w:color="auto" w:fill="FFFFFF"/>
        </w:rPr>
      </w:pPr>
      <w:r>
        <w:rPr>
          <w:shd w:val="clear" w:color="auto" w:fill="FFFFFF"/>
        </w:rPr>
        <w:t>The r</w:t>
      </w:r>
      <w:r w:rsidR="000E1568">
        <w:rPr>
          <w:shd w:val="clear" w:color="auto" w:fill="FFFFFF"/>
        </w:rPr>
        <w:t xml:space="preserve">egulatory decisions </w:t>
      </w:r>
      <w:r>
        <w:rPr>
          <w:shd w:val="clear" w:color="auto" w:fill="FFFFFF"/>
        </w:rPr>
        <w:t>made by the RBA</w:t>
      </w:r>
      <w:r w:rsidR="000E1568">
        <w:rPr>
          <w:shd w:val="clear" w:color="auto" w:fill="FFFFFF"/>
        </w:rPr>
        <w:t xml:space="preserve"> need to be made with full transparency and clarity. The regulatory architecture must provide clarity regarding regulatory responsibilities and ensure that regulators are working together with a thorough understanding of payment technologies. </w:t>
      </w:r>
      <w:r w:rsidR="00A975B6" w:rsidRPr="00A975B6">
        <w:rPr>
          <w:shd w:val="clear" w:color="auto" w:fill="FFFFFF"/>
        </w:rPr>
        <w:t xml:space="preserve">The </w:t>
      </w:r>
      <w:r w:rsidR="00A975B6" w:rsidRPr="00A975B6">
        <w:rPr>
          <w:shd w:val="clear" w:color="auto" w:fill="FFFFFF"/>
        </w:rPr>
        <w:lastRenderedPageBreak/>
        <w:t>regulatory system requires further transparency and clarity. Regulatory decisions should be</w:t>
      </w:r>
      <w:r w:rsidR="00A975B6">
        <w:rPr>
          <w:shd w:val="clear" w:color="auto" w:fill="FFFFFF"/>
        </w:rPr>
        <w:t xml:space="preserve"> </w:t>
      </w:r>
      <w:r w:rsidR="00A975B6" w:rsidRPr="00A975B6">
        <w:rPr>
          <w:shd w:val="clear" w:color="auto" w:fill="FFFFFF"/>
        </w:rPr>
        <w:t xml:space="preserve">publicly announced and made in plain English so that merchants can understand how it </w:t>
      </w:r>
      <w:r w:rsidR="007A4168">
        <w:rPr>
          <w:shd w:val="clear" w:color="auto" w:fill="FFFFFF"/>
        </w:rPr>
        <w:t>a</w:t>
      </w:r>
      <w:r w:rsidR="00A975B6" w:rsidRPr="00A975B6">
        <w:rPr>
          <w:shd w:val="clear" w:color="auto" w:fill="FFFFFF"/>
        </w:rPr>
        <w:t>ffects their</w:t>
      </w:r>
      <w:r w:rsidR="00E662A5">
        <w:rPr>
          <w:shd w:val="clear" w:color="auto" w:fill="FFFFFF"/>
        </w:rPr>
        <w:t xml:space="preserve"> </w:t>
      </w:r>
      <w:r w:rsidR="00A975B6" w:rsidRPr="00A975B6">
        <w:rPr>
          <w:shd w:val="clear" w:color="auto" w:fill="FFFFFF"/>
        </w:rPr>
        <w:t>business. The regulatory architecture should provide clarity regarding regulatory responsibilities and</w:t>
      </w:r>
      <w:r w:rsidR="00A975B6">
        <w:rPr>
          <w:shd w:val="clear" w:color="auto" w:fill="FFFFFF"/>
        </w:rPr>
        <w:t xml:space="preserve"> </w:t>
      </w:r>
      <w:r w:rsidR="00A975B6" w:rsidRPr="00A975B6">
        <w:rPr>
          <w:shd w:val="clear" w:color="auto" w:fill="FFFFFF"/>
        </w:rPr>
        <w:t>ensure that regulators are working together with a thorough understanding of payment technologies.</w:t>
      </w:r>
      <w:r w:rsidR="00A975B6">
        <w:rPr>
          <w:shd w:val="clear" w:color="auto" w:fill="FFFFFF"/>
        </w:rPr>
        <w:t xml:space="preserve"> </w:t>
      </w:r>
      <w:r w:rsidR="00A975B6" w:rsidRPr="00A975B6">
        <w:rPr>
          <w:shd w:val="clear" w:color="auto" w:fill="FFFFFF"/>
        </w:rPr>
        <w:t>Greater clarity in terms of regulatory responsibility and the scope of their regulatory decisions and</w:t>
      </w:r>
      <w:r w:rsidR="00A975B6">
        <w:rPr>
          <w:shd w:val="clear" w:color="auto" w:fill="FFFFFF"/>
        </w:rPr>
        <w:t xml:space="preserve"> </w:t>
      </w:r>
      <w:r w:rsidR="00A975B6" w:rsidRPr="00A975B6">
        <w:rPr>
          <w:shd w:val="clear" w:color="auto" w:fill="FFFFFF"/>
        </w:rPr>
        <w:t>activities is required.</w:t>
      </w:r>
    </w:p>
    <w:p w14:paraId="6D4DA3D3" w14:textId="77777777" w:rsidR="0073362E" w:rsidRPr="0073362E" w:rsidRDefault="0073362E" w:rsidP="0073362E">
      <w:pPr>
        <w:pStyle w:val="Heading1"/>
        <w:rPr>
          <w:shd w:val="clear" w:color="auto" w:fill="FFFFFF"/>
        </w:rPr>
      </w:pPr>
      <w:r w:rsidRPr="0073362E">
        <w:rPr>
          <w:shd w:val="clear" w:color="auto" w:fill="FFFFFF"/>
        </w:rPr>
        <w:t>Place merchants at the centre of the regulatory system</w:t>
      </w:r>
    </w:p>
    <w:p w14:paraId="0C2E7CE7" w14:textId="076CA936" w:rsidR="0073362E" w:rsidRDefault="0073362E" w:rsidP="0073362E">
      <w:pPr>
        <w:ind w:left="284"/>
        <w:rPr>
          <w:shd w:val="clear" w:color="auto" w:fill="FFFFFF"/>
        </w:rPr>
      </w:pPr>
      <w:r w:rsidRPr="0073362E">
        <w:rPr>
          <w:shd w:val="clear" w:color="auto" w:fill="FFFFFF"/>
        </w:rPr>
        <w:t>The regulatory architecture should place the interests of merchants and customers front and centre.</w:t>
      </w:r>
      <w:r>
        <w:rPr>
          <w:shd w:val="clear" w:color="auto" w:fill="FFFFFF"/>
        </w:rPr>
        <w:t xml:space="preserve"> </w:t>
      </w:r>
      <w:r w:rsidRPr="0073362E">
        <w:rPr>
          <w:shd w:val="clear" w:color="auto" w:fill="FFFFFF"/>
        </w:rPr>
        <w:t>This should be driven through payment systems policy including legislative instruments and</w:t>
      </w:r>
      <w:r>
        <w:rPr>
          <w:shd w:val="clear" w:color="auto" w:fill="FFFFFF"/>
        </w:rPr>
        <w:t xml:space="preserve"> </w:t>
      </w:r>
      <w:r w:rsidRPr="0073362E">
        <w:rPr>
          <w:shd w:val="clear" w:color="auto" w:fill="FFFFFF"/>
        </w:rPr>
        <w:t>regulations including industry self-regulation and regulatory behaviour and decision making. It is</w:t>
      </w:r>
      <w:r>
        <w:rPr>
          <w:shd w:val="clear" w:color="auto" w:fill="FFFFFF"/>
        </w:rPr>
        <w:t xml:space="preserve"> </w:t>
      </w:r>
      <w:r w:rsidRPr="0073362E">
        <w:rPr>
          <w:shd w:val="clear" w:color="auto" w:fill="FFFFFF"/>
        </w:rPr>
        <w:t>worth making the importance of low payment costs and innovative products for merchants explicit in</w:t>
      </w:r>
      <w:r>
        <w:rPr>
          <w:shd w:val="clear" w:color="auto" w:fill="FFFFFF"/>
        </w:rPr>
        <w:t xml:space="preserve"> </w:t>
      </w:r>
      <w:r w:rsidRPr="0073362E">
        <w:rPr>
          <w:shd w:val="clear" w:color="auto" w:fill="FFFFFF"/>
        </w:rPr>
        <w:t>the PSRA. The central intent of legislative and regulatory</w:t>
      </w:r>
      <w:r>
        <w:rPr>
          <w:shd w:val="clear" w:color="auto" w:fill="FFFFFF"/>
        </w:rPr>
        <w:t xml:space="preserve"> </w:t>
      </w:r>
      <w:r w:rsidRPr="0073362E">
        <w:rPr>
          <w:shd w:val="clear" w:color="auto" w:fill="FFFFFF"/>
        </w:rPr>
        <w:t>frameworks and the regulators that are charged with administering should be based on principles</w:t>
      </w:r>
      <w:r>
        <w:rPr>
          <w:shd w:val="clear" w:color="auto" w:fill="FFFFFF"/>
        </w:rPr>
        <w:t xml:space="preserve"> </w:t>
      </w:r>
      <w:r w:rsidRPr="0073362E">
        <w:rPr>
          <w:shd w:val="clear" w:color="auto" w:fill="FFFFFF"/>
        </w:rPr>
        <w:t>that deliver the best payment services, methods and outcomes for merchant and consumers in</w:t>
      </w:r>
      <w:r>
        <w:rPr>
          <w:shd w:val="clear" w:color="auto" w:fill="FFFFFF"/>
        </w:rPr>
        <w:t xml:space="preserve"> </w:t>
      </w:r>
      <w:r w:rsidRPr="0073362E">
        <w:rPr>
          <w:shd w:val="clear" w:color="auto" w:fill="FFFFFF"/>
        </w:rPr>
        <w:t>terms of price and functionality.</w:t>
      </w:r>
    </w:p>
    <w:p w14:paraId="6EA423A7" w14:textId="5D9B6031" w:rsidR="0073362E" w:rsidRDefault="0073362E" w:rsidP="0073362E">
      <w:pPr>
        <w:ind w:left="284"/>
        <w:rPr>
          <w:shd w:val="clear" w:color="auto" w:fill="FFFFFF"/>
        </w:rPr>
      </w:pPr>
      <w:r w:rsidRPr="0073362E">
        <w:rPr>
          <w:shd w:val="clear" w:color="auto" w:fill="FFFFFF"/>
        </w:rPr>
        <w:t>Regulations</w:t>
      </w:r>
      <w:r>
        <w:rPr>
          <w:shd w:val="clear" w:color="auto" w:fill="FFFFFF"/>
        </w:rPr>
        <w:t xml:space="preserve"> </w:t>
      </w:r>
      <w:r w:rsidRPr="0073362E">
        <w:rPr>
          <w:shd w:val="clear" w:color="auto" w:fill="FFFFFF"/>
        </w:rPr>
        <w:t>should ensure an even-playing field between large and small business in terms of payment choices,</w:t>
      </w:r>
      <w:r>
        <w:rPr>
          <w:shd w:val="clear" w:color="auto" w:fill="FFFFFF"/>
        </w:rPr>
        <w:t xml:space="preserve"> </w:t>
      </w:r>
      <w:r w:rsidRPr="0073362E">
        <w:rPr>
          <w:shd w:val="clear" w:color="auto" w:fill="FFFFFF"/>
        </w:rPr>
        <w:t xml:space="preserve">terms and functionality. Least cost routing has been made available to </w:t>
      </w:r>
      <w:proofErr w:type="gramStart"/>
      <w:r w:rsidRPr="0073362E">
        <w:rPr>
          <w:shd w:val="clear" w:color="auto" w:fill="FFFFFF"/>
        </w:rPr>
        <w:t>a number of</w:t>
      </w:r>
      <w:proofErr w:type="gramEnd"/>
      <w:r w:rsidRPr="0073362E">
        <w:rPr>
          <w:shd w:val="clear" w:color="auto" w:fill="FFFFFF"/>
        </w:rPr>
        <w:t xml:space="preserve"> larger</w:t>
      </w:r>
      <w:r>
        <w:rPr>
          <w:shd w:val="clear" w:color="auto" w:fill="FFFFFF"/>
        </w:rPr>
        <w:t xml:space="preserve"> </w:t>
      </w:r>
      <w:r w:rsidRPr="0073362E">
        <w:rPr>
          <w:shd w:val="clear" w:color="auto" w:fill="FFFFFF"/>
        </w:rPr>
        <w:t>businesses, while their small business counterparts are left to contend with complex and opaque</w:t>
      </w:r>
      <w:r>
        <w:rPr>
          <w:shd w:val="clear" w:color="auto" w:fill="FFFFFF"/>
        </w:rPr>
        <w:t xml:space="preserve"> </w:t>
      </w:r>
      <w:r w:rsidRPr="0073362E">
        <w:rPr>
          <w:shd w:val="clear" w:color="auto" w:fill="FFFFFF"/>
        </w:rPr>
        <w:t>advice. This legacy issue should not be a feature of a modern digital economy.</w:t>
      </w:r>
    </w:p>
    <w:p w14:paraId="6F97751B" w14:textId="77777777" w:rsidR="00995A20" w:rsidRPr="00995A20" w:rsidRDefault="00995A20" w:rsidP="00995A20">
      <w:pPr>
        <w:pStyle w:val="Heading1"/>
        <w:rPr>
          <w:shd w:val="clear" w:color="auto" w:fill="FFFFFF"/>
        </w:rPr>
      </w:pPr>
      <w:r w:rsidRPr="00995A20">
        <w:rPr>
          <w:shd w:val="clear" w:color="auto" w:fill="FFFFFF"/>
        </w:rPr>
        <w:t>Enable entrants that deliver for merchants</w:t>
      </w:r>
    </w:p>
    <w:p w14:paraId="1C6770BE" w14:textId="217D1089" w:rsidR="00995A20" w:rsidRPr="00995A20" w:rsidRDefault="00995A20" w:rsidP="00995A20">
      <w:pPr>
        <w:ind w:left="284"/>
        <w:rPr>
          <w:shd w:val="clear" w:color="auto" w:fill="FFFFFF"/>
        </w:rPr>
      </w:pPr>
      <w:r w:rsidRPr="00995A20">
        <w:rPr>
          <w:shd w:val="clear" w:color="auto" w:fill="FFFFFF"/>
        </w:rPr>
        <w:t>The regulatory environment should be designed in a way t</w:t>
      </w:r>
      <w:r w:rsidR="00244EBC">
        <w:rPr>
          <w:shd w:val="clear" w:color="auto" w:fill="FFFFFF"/>
        </w:rPr>
        <w:t>hat</w:t>
      </w:r>
      <w:r w:rsidRPr="00995A20">
        <w:rPr>
          <w:shd w:val="clear" w:color="auto" w:fill="FFFFFF"/>
        </w:rPr>
        <w:t xml:space="preserve"> drive</w:t>
      </w:r>
      <w:r w:rsidR="00244EBC">
        <w:rPr>
          <w:shd w:val="clear" w:color="auto" w:fill="FFFFFF"/>
        </w:rPr>
        <w:t>s</w:t>
      </w:r>
      <w:r w:rsidRPr="00995A20">
        <w:rPr>
          <w:shd w:val="clear" w:color="auto" w:fill="FFFFFF"/>
        </w:rPr>
        <w:t xml:space="preserve"> competition and innovation from</w:t>
      </w:r>
      <w:r>
        <w:rPr>
          <w:shd w:val="clear" w:color="auto" w:fill="FFFFFF"/>
        </w:rPr>
        <w:t xml:space="preserve"> </w:t>
      </w:r>
      <w:r w:rsidRPr="00995A20">
        <w:rPr>
          <w:shd w:val="clear" w:color="auto" w:fill="FFFFFF"/>
        </w:rPr>
        <w:t xml:space="preserve">new entrants. </w:t>
      </w:r>
      <w:proofErr w:type="spellStart"/>
      <w:r w:rsidRPr="00995A20">
        <w:rPr>
          <w:shd w:val="clear" w:color="auto" w:fill="FFFFFF"/>
        </w:rPr>
        <w:t>Fintechs</w:t>
      </w:r>
      <w:proofErr w:type="spellEnd"/>
      <w:r w:rsidRPr="00995A20">
        <w:rPr>
          <w:shd w:val="clear" w:color="auto" w:fill="FFFFFF"/>
        </w:rPr>
        <w:t xml:space="preserve"> need the opportunity to introduce smart payment apps, that are focused </w:t>
      </w:r>
      <w:r w:rsidR="00BD3311">
        <w:rPr>
          <w:shd w:val="clear" w:color="auto" w:fill="FFFFFF"/>
        </w:rPr>
        <w:t>on driving value for</w:t>
      </w:r>
      <w:r w:rsidRPr="00995A20">
        <w:rPr>
          <w:shd w:val="clear" w:color="auto" w:fill="FFFFFF"/>
        </w:rPr>
        <w:t xml:space="preserve"> merchants</w:t>
      </w:r>
      <w:r w:rsidR="00BD3311">
        <w:rPr>
          <w:shd w:val="clear" w:color="auto" w:fill="FFFFFF"/>
        </w:rPr>
        <w:t xml:space="preserve"> and their customers</w:t>
      </w:r>
      <w:r w:rsidRPr="00995A20">
        <w:rPr>
          <w:shd w:val="clear" w:color="auto" w:fill="FFFFFF"/>
        </w:rPr>
        <w:t>, in a way that integrates with existing paymen</w:t>
      </w:r>
      <w:r>
        <w:rPr>
          <w:shd w:val="clear" w:color="auto" w:fill="FFFFFF"/>
        </w:rPr>
        <w:t xml:space="preserve">t </w:t>
      </w:r>
      <w:r w:rsidRPr="00995A20">
        <w:rPr>
          <w:shd w:val="clear" w:color="auto" w:fill="FFFFFF"/>
        </w:rPr>
        <w:t>platforms. This will enable them access to platforms on fair commercial terms and in a way that does</w:t>
      </w:r>
      <w:r>
        <w:rPr>
          <w:shd w:val="clear" w:color="auto" w:fill="FFFFFF"/>
        </w:rPr>
        <w:t xml:space="preserve"> </w:t>
      </w:r>
      <w:r w:rsidRPr="00995A20">
        <w:rPr>
          <w:shd w:val="clear" w:color="auto" w:fill="FFFFFF"/>
        </w:rPr>
        <w:t xml:space="preserve">not deter </w:t>
      </w:r>
      <w:proofErr w:type="spellStart"/>
      <w:r w:rsidRPr="00995A20">
        <w:rPr>
          <w:shd w:val="clear" w:color="auto" w:fill="FFFFFF"/>
        </w:rPr>
        <w:t>fintechs</w:t>
      </w:r>
      <w:proofErr w:type="spellEnd"/>
      <w:r w:rsidRPr="00995A20">
        <w:rPr>
          <w:shd w:val="clear" w:color="auto" w:fill="FFFFFF"/>
        </w:rPr>
        <w:t xml:space="preserve"> from entering the market due to unreasonable rules or technical constraints.</w:t>
      </w:r>
    </w:p>
    <w:p w14:paraId="58AB1C35" w14:textId="77777777" w:rsidR="00AC35D8" w:rsidRDefault="00995A20" w:rsidP="00CB6DB6">
      <w:pPr>
        <w:ind w:left="284"/>
        <w:rPr>
          <w:shd w:val="clear" w:color="auto" w:fill="FFFFFF"/>
        </w:rPr>
      </w:pPr>
      <w:r w:rsidRPr="00995A20">
        <w:rPr>
          <w:shd w:val="clear" w:color="auto" w:fill="FFFFFF"/>
        </w:rPr>
        <w:t xml:space="preserve">Financial innovations must balance the interests of merchants and their customers. </w:t>
      </w:r>
      <w:r w:rsidR="00244EBC">
        <w:rPr>
          <w:shd w:val="clear" w:color="auto" w:fill="FFFFFF"/>
        </w:rPr>
        <w:t>For instance, while innovative</w:t>
      </w:r>
      <w:r w:rsidRPr="00995A20">
        <w:rPr>
          <w:shd w:val="clear" w:color="auto" w:fill="FFFFFF"/>
        </w:rPr>
        <w:t xml:space="preserve"> buy-now</w:t>
      </w:r>
      <w:r>
        <w:rPr>
          <w:shd w:val="clear" w:color="auto" w:fill="FFFFFF"/>
        </w:rPr>
        <w:t xml:space="preserve"> </w:t>
      </w:r>
      <w:r w:rsidRPr="00995A20">
        <w:rPr>
          <w:shd w:val="clear" w:color="auto" w:fill="FFFFFF"/>
        </w:rPr>
        <w:t>pay-later (BNPL) solutions have attracted increased popularity</w:t>
      </w:r>
      <w:r w:rsidR="00BD3311">
        <w:rPr>
          <w:shd w:val="clear" w:color="auto" w:fill="FFFFFF"/>
        </w:rPr>
        <w:t xml:space="preserve"> by Australian consumers, they have a relatively mixed impact </w:t>
      </w:r>
      <w:r w:rsidR="00CB6DB6">
        <w:rPr>
          <w:shd w:val="clear" w:color="auto" w:fill="FFFFFF"/>
        </w:rPr>
        <w:t>on merchants</w:t>
      </w:r>
      <w:r w:rsidR="00AC35D8">
        <w:rPr>
          <w:shd w:val="clear" w:color="auto" w:fill="FFFFFF"/>
        </w:rPr>
        <w:t>, that is</w:t>
      </w:r>
      <w:r w:rsidR="00CB6DB6">
        <w:rPr>
          <w:shd w:val="clear" w:color="auto" w:fill="FFFFFF"/>
        </w:rPr>
        <w:t xml:space="preserve"> </w:t>
      </w:r>
      <w:r w:rsidR="00AC35D8">
        <w:rPr>
          <w:shd w:val="clear" w:color="auto" w:fill="FFFFFF"/>
        </w:rPr>
        <w:t>contingent on firm</w:t>
      </w:r>
      <w:r w:rsidR="00CB6DB6">
        <w:rPr>
          <w:shd w:val="clear" w:color="auto" w:fill="FFFFFF"/>
        </w:rPr>
        <w:t xml:space="preserve"> size, product margins and industry profile.</w:t>
      </w:r>
      <w:r w:rsidR="00BD3311">
        <w:rPr>
          <w:shd w:val="clear" w:color="auto" w:fill="FFFFFF"/>
        </w:rPr>
        <w:t xml:space="preserve"> BNPL</w:t>
      </w:r>
      <w:r w:rsidR="00AC35D8">
        <w:rPr>
          <w:shd w:val="clear" w:color="auto" w:fill="FFFFFF"/>
        </w:rPr>
        <w:t xml:space="preserve"> solutions</w:t>
      </w:r>
      <w:r w:rsidR="00BD3311">
        <w:rPr>
          <w:shd w:val="clear" w:color="auto" w:fill="FFFFFF"/>
        </w:rPr>
        <w:t xml:space="preserve"> </w:t>
      </w:r>
      <w:r w:rsidR="00AC35D8">
        <w:rPr>
          <w:shd w:val="clear" w:color="auto" w:fill="FFFFFF"/>
        </w:rPr>
        <w:t>deliver</w:t>
      </w:r>
      <w:r w:rsidR="00BD3311">
        <w:rPr>
          <w:shd w:val="clear" w:color="auto" w:fill="FFFFFF"/>
        </w:rPr>
        <w:t xml:space="preserve"> forward revenue</w:t>
      </w:r>
      <w:r w:rsidR="00AC35D8">
        <w:rPr>
          <w:shd w:val="clear" w:color="auto" w:fill="FFFFFF"/>
        </w:rPr>
        <w:t xml:space="preserve"> for business</w:t>
      </w:r>
      <w:r w:rsidR="00BD3311">
        <w:rPr>
          <w:shd w:val="clear" w:color="auto" w:fill="FFFFFF"/>
        </w:rPr>
        <w:t xml:space="preserve"> and </w:t>
      </w:r>
      <w:r w:rsidR="00AC35D8">
        <w:rPr>
          <w:shd w:val="clear" w:color="auto" w:fill="FFFFFF"/>
        </w:rPr>
        <w:t xml:space="preserve">it </w:t>
      </w:r>
      <w:r w:rsidR="00BD3311">
        <w:rPr>
          <w:shd w:val="clear" w:color="auto" w:fill="FFFFFF"/>
        </w:rPr>
        <w:t xml:space="preserve">encourages purchases </w:t>
      </w:r>
      <w:r w:rsidR="00CB6DB6">
        <w:rPr>
          <w:shd w:val="clear" w:color="auto" w:fill="FFFFFF"/>
        </w:rPr>
        <w:t xml:space="preserve">to be </w:t>
      </w:r>
      <w:r w:rsidR="00BD3311">
        <w:rPr>
          <w:shd w:val="clear" w:color="auto" w:fill="FFFFFF"/>
        </w:rPr>
        <w:t>made by customers</w:t>
      </w:r>
      <w:r w:rsidR="00AC35D8">
        <w:rPr>
          <w:shd w:val="clear" w:color="auto" w:fill="FFFFFF"/>
        </w:rPr>
        <w:t>. However,</w:t>
      </w:r>
      <w:r w:rsidR="00BD3311">
        <w:rPr>
          <w:shd w:val="clear" w:color="auto" w:fill="FFFFFF"/>
        </w:rPr>
        <w:t xml:space="preserve"> the high service fees of between 3-7 per cent of the sales value drives a substantial increase in merchant fees,</w:t>
      </w:r>
      <w:r w:rsidR="00AC35D8">
        <w:rPr>
          <w:shd w:val="clear" w:color="auto" w:fill="FFFFFF"/>
        </w:rPr>
        <w:t xml:space="preserve"> that</w:t>
      </w:r>
      <w:r w:rsidR="00BD3311">
        <w:rPr>
          <w:shd w:val="clear" w:color="auto" w:fill="FFFFFF"/>
        </w:rPr>
        <w:t xml:space="preserve"> </w:t>
      </w:r>
      <w:r w:rsidR="00AC35D8">
        <w:rPr>
          <w:shd w:val="clear" w:color="auto" w:fill="FFFFFF"/>
        </w:rPr>
        <w:t>overall negate</w:t>
      </w:r>
      <w:r w:rsidR="00CB6DB6">
        <w:rPr>
          <w:shd w:val="clear" w:color="auto" w:fill="FFFFFF"/>
        </w:rPr>
        <w:t xml:space="preserve"> the benefits for retailers competing on small product margins. </w:t>
      </w:r>
    </w:p>
    <w:p w14:paraId="68A95169" w14:textId="54F9092A" w:rsidR="00BD3311" w:rsidRDefault="00AC35D8" w:rsidP="00CB6DB6">
      <w:pPr>
        <w:ind w:left="284"/>
        <w:rPr>
          <w:shd w:val="clear" w:color="auto" w:fill="FFFFFF"/>
        </w:rPr>
      </w:pPr>
      <w:r>
        <w:rPr>
          <w:shd w:val="clear" w:color="auto" w:fill="FFFFFF"/>
          <w:lang w:val="en-GB"/>
        </w:rPr>
        <w:t>Further c</w:t>
      </w:r>
      <w:r w:rsidR="00BD3311">
        <w:rPr>
          <w:shd w:val="clear" w:color="auto" w:fill="FFFFFF"/>
          <w:lang w:val="en-GB"/>
        </w:rPr>
        <w:t>ompetition</w:t>
      </w:r>
      <w:r w:rsidR="00BD3311" w:rsidRPr="00BD3311">
        <w:rPr>
          <w:shd w:val="clear" w:color="auto" w:fill="FFFFFF"/>
          <w:lang w:val="en-GB"/>
        </w:rPr>
        <w:t xml:space="preserve"> between BNPL </w:t>
      </w:r>
      <w:r w:rsidR="00BD3311">
        <w:rPr>
          <w:shd w:val="clear" w:color="auto" w:fill="FFFFFF"/>
          <w:lang w:val="en-GB"/>
        </w:rPr>
        <w:t>products</w:t>
      </w:r>
      <w:r w:rsidR="00BD3311" w:rsidRPr="00BD3311">
        <w:rPr>
          <w:shd w:val="clear" w:color="auto" w:fill="FFFFFF"/>
          <w:lang w:val="en-GB"/>
        </w:rPr>
        <w:t xml:space="preserve"> </w:t>
      </w:r>
      <w:r w:rsidR="00CB6DB6">
        <w:rPr>
          <w:shd w:val="clear" w:color="auto" w:fill="FFFFFF"/>
          <w:lang w:val="en-GB"/>
        </w:rPr>
        <w:t>may</w:t>
      </w:r>
      <w:r w:rsidR="00BD3311" w:rsidRPr="00BD3311">
        <w:rPr>
          <w:shd w:val="clear" w:color="auto" w:fill="FFFFFF"/>
          <w:lang w:val="en-GB"/>
        </w:rPr>
        <w:t xml:space="preserve"> increase </w:t>
      </w:r>
      <w:r w:rsidR="00CB6DB6">
        <w:rPr>
          <w:shd w:val="clear" w:color="auto" w:fill="FFFFFF"/>
          <w:lang w:val="en-GB"/>
        </w:rPr>
        <w:t xml:space="preserve">if </w:t>
      </w:r>
      <w:r w:rsidR="00BD3311" w:rsidRPr="00BD3311">
        <w:rPr>
          <w:shd w:val="clear" w:color="auto" w:fill="FFFFFF"/>
          <w:lang w:val="en-GB"/>
        </w:rPr>
        <w:t>merchants at least have the option to surcharge. Retailers increasingly regard BNPL as a must have offering, with BNPL use very high among online transactions, which continue to increase as a percentage of all retail transactions.</w:t>
      </w:r>
      <w:r w:rsidR="00CB6DB6">
        <w:rPr>
          <w:shd w:val="clear" w:color="auto" w:fill="FFFFFF"/>
          <w:lang w:val="en-GB"/>
        </w:rPr>
        <w:t xml:space="preserve"> A potential option for surcharging may further increase the uptake and viability of this innovative product offering to businesses competing on small margins.</w:t>
      </w:r>
    </w:p>
    <w:p w14:paraId="3E5A89FF" w14:textId="77F45773" w:rsidR="00CB6DB6" w:rsidRDefault="00284F0E" w:rsidP="00244EBC">
      <w:pPr>
        <w:ind w:left="284"/>
        <w:rPr>
          <w:shd w:val="clear" w:color="auto" w:fill="FFFFFF"/>
        </w:rPr>
      </w:pPr>
      <w:r w:rsidRPr="00284F0E">
        <w:rPr>
          <w:shd w:val="clear" w:color="auto" w:fill="FFFFFF"/>
        </w:rPr>
        <w:t xml:space="preserve">As end-users who pay the transaction costs at the point of sale, merchants should have the highest priority in terms of choosing their preferred payments scheme to reduce their transaction costs and access the functionality that best suited to their business. </w:t>
      </w:r>
      <w:r w:rsidR="00995A20" w:rsidRPr="00995A20">
        <w:rPr>
          <w:shd w:val="clear" w:color="auto" w:fill="FFFFFF"/>
        </w:rPr>
        <w:t>A</w:t>
      </w:r>
      <w:r w:rsidR="00995A20">
        <w:rPr>
          <w:shd w:val="clear" w:color="auto" w:fill="FFFFFF"/>
        </w:rPr>
        <w:t xml:space="preserve"> </w:t>
      </w:r>
      <w:r w:rsidR="00995A20" w:rsidRPr="00995A20">
        <w:rPr>
          <w:shd w:val="clear" w:color="auto" w:fill="FFFFFF"/>
        </w:rPr>
        <w:t>regulatory system that places merchants</w:t>
      </w:r>
      <w:r w:rsidR="00CB6DB6">
        <w:rPr>
          <w:shd w:val="clear" w:color="auto" w:fill="FFFFFF"/>
        </w:rPr>
        <w:t xml:space="preserve"> (as end-users)</w:t>
      </w:r>
      <w:r w:rsidR="00995A20" w:rsidRPr="00995A20">
        <w:rPr>
          <w:shd w:val="clear" w:color="auto" w:fill="FFFFFF"/>
        </w:rPr>
        <w:t xml:space="preserve"> at the heart of the regulatory system </w:t>
      </w:r>
      <w:r w:rsidR="00CB6DB6">
        <w:rPr>
          <w:shd w:val="clear" w:color="auto" w:fill="FFFFFF"/>
        </w:rPr>
        <w:t>can be achieved by</w:t>
      </w:r>
      <w:r>
        <w:rPr>
          <w:shd w:val="clear" w:color="auto" w:fill="FFFFFF"/>
        </w:rPr>
        <w:t xml:space="preserve"> incorporating the</w:t>
      </w:r>
      <w:r w:rsidR="00AC35D8">
        <w:rPr>
          <w:shd w:val="clear" w:color="auto" w:fill="FFFFFF"/>
        </w:rPr>
        <w:t xml:space="preserve"> centrality of merchants in the</w:t>
      </w:r>
      <w:r w:rsidR="00CB6DB6">
        <w:rPr>
          <w:shd w:val="clear" w:color="auto" w:fill="FFFFFF"/>
        </w:rPr>
        <w:t xml:space="preserve"> PSRA.</w:t>
      </w:r>
      <w:r>
        <w:rPr>
          <w:shd w:val="clear" w:color="auto" w:fill="FFFFFF"/>
        </w:rPr>
        <w:t xml:space="preserve"> </w:t>
      </w:r>
    </w:p>
    <w:p w14:paraId="7EC91166" w14:textId="04D153A5" w:rsidR="00995A20" w:rsidRDefault="00995A20" w:rsidP="00995A20">
      <w:pPr>
        <w:pStyle w:val="Heading1"/>
        <w:rPr>
          <w:shd w:val="clear" w:color="auto" w:fill="FFFFFF"/>
        </w:rPr>
      </w:pPr>
      <w:r>
        <w:rPr>
          <w:shd w:val="clear" w:color="auto" w:fill="FFFFFF"/>
        </w:rPr>
        <w:lastRenderedPageBreak/>
        <w:t xml:space="preserve">Competition </w:t>
      </w:r>
      <w:r w:rsidR="00284F0E">
        <w:rPr>
          <w:shd w:val="clear" w:color="auto" w:fill="FFFFFF"/>
        </w:rPr>
        <w:t>across infrastructure</w:t>
      </w:r>
    </w:p>
    <w:p w14:paraId="611CB808" w14:textId="77777777" w:rsidR="00995A20" w:rsidRPr="00995A20" w:rsidRDefault="00995A20" w:rsidP="00995A20">
      <w:pPr>
        <w:spacing w:after="0"/>
        <w:ind w:left="284"/>
        <w:rPr>
          <w:shd w:val="clear" w:color="auto" w:fill="FFFFFF"/>
        </w:rPr>
      </w:pPr>
      <w:r w:rsidRPr="00995A20">
        <w:rPr>
          <w:shd w:val="clear" w:color="auto" w:fill="FFFFFF"/>
        </w:rPr>
        <w:t>Competition should be actively encouraged at all levels of the payments systems supply chain.</w:t>
      </w:r>
    </w:p>
    <w:p w14:paraId="25CCF621" w14:textId="77777777" w:rsidR="00995A20" w:rsidRPr="00995A20" w:rsidRDefault="00995A20" w:rsidP="00995A20">
      <w:pPr>
        <w:spacing w:after="0"/>
        <w:ind w:left="284"/>
        <w:rPr>
          <w:shd w:val="clear" w:color="auto" w:fill="FFFFFF"/>
        </w:rPr>
      </w:pPr>
      <w:r w:rsidRPr="00995A20">
        <w:rPr>
          <w:shd w:val="clear" w:color="auto" w:fill="FFFFFF"/>
        </w:rPr>
        <w:t>Including competition via the maintenance of multiple payment platforms that include a balance</w:t>
      </w:r>
    </w:p>
    <w:p w14:paraId="430B270E" w14:textId="77777777" w:rsidR="00995A20" w:rsidRPr="00995A20" w:rsidRDefault="00995A20" w:rsidP="00995A20">
      <w:pPr>
        <w:spacing w:after="0"/>
        <w:ind w:left="284"/>
        <w:rPr>
          <w:shd w:val="clear" w:color="auto" w:fill="FFFFFF"/>
        </w:rPr>
      </w:pPr>
      <w:r w:rsidRPr="00995A20">
        <w:rPr>
          <w:shd w:val="clear" w:color="auto" w:fill="FFFFFF"/>
        </w:rPr>
        <w:t>between domestic and international card schemes, competition between payment rails including</w:t>
      </w:r>
    </w:p>
    <w:p w14:paraId="1DE6207A" w14:textId="77777777" w:rsidR="00995A20" w:rsidRPr="00995A20" w:rsidRDefault="00995A20" w:rsidP="00995A20">
      <w:pPr>
        <w:spacing w:after="0"/>
        <w:ind w:left="284"/>
        <w:rPr>
          <w:shd w:val="clear" w:color="auto" w:fill="FFFFFF"/>
        </w:rPr>
      </w:pPr>
      <w:r w:rsidRPr="00995A20">
        <w:rPr>
          <w:shd w:val="clear" w:color="auto" w:fill="FFFFFF"/>
        </w:rPr>
        <w:t>between cards and accounts and competition in products, services and applications that exist on top</w:t>
      </w:r>
    </w:p>
    <w:p w14:paraId="20789A60" w14:textId="55BABAAC" w:rsidR="00995A20" w:rsidRDefault="00995A20" w:rsidP="00995A20">
      <w:pPr>
        <w:spacing w:after="0"/>
        <w:ind w:left="284"/>
        <w:rPr>
          <w:shd w:val="clear" w:color="auto" w:fill="FFFFFF"/>
        </w:rPr>
      </w:pPr>
      <w:r w:rsidRPr="00995A20">
        <w:rPr>
          <w:shd w:val="clear" w:color="auto" w:fill="FFFFFF"/>
        </w:rPr>
        <w:t xml:space="preserve">of payment rails such as through the offerings of </w:t>
      </w:r>
      <w:proofErr w:type="spellStart"/>
      <w:r w:rsidRPr="00995A20">
        <w:rPr>
          <w:shd w:val="clear" w:color="auto" w:fill="FFFFFF"/>
        </w:rPr>
        <w:t>fintechs</w:t>
      </w:r>
      <w:proofErr w:type="spellEnd"/>
      <w:r w:rsidRPr="00995A20">
        <w:rPr>
          <w:shd w:val="clear" w:color="auto" w:fill="FFFFFF"/>
        </w:rPr>
        <w:t xml:space="preserve"> and the incumbent banks.</w:t>
      </w:r>
    </w:p>
    <w:p w14:paraId="7798383D" w14:textId="77777777" w:rsidR="00AC35D8" w:rsidRPr="00995A20" w:rsidRDefault="00AC35D8" w:rsidP="00995A20">
      <w:pPr>
        <w:spacing w:after="0"/>
        <w:ind w:left="284"/>
        <w:rPr>
          <w:shd w:val="clear" w:color="auto" w:fill="FFFFFF"/>
        </w:rPr>
      </w:pPr>
    </w:p>
    <w:p w14:paraId="4DC7153D" w14:textId="77777777" w:rsidR="00995A20" w:rsidRPr="00995A20" w:rsidRDefault="00995A20" w:rsidP="00995A20">
      <w:pPr>
        <w:spacing w:after="0"/>
        <w:ind w:left="284"/>
        <w:rPr>
          <w:shd w:val="clear" w:color="auto" w:fill="FFFFFF"/>
        </w:rPr>
      </w:pPr>
      <w:r w:rsidRPr="00995A20">
        <w:rPr>
          <w:shd w:val="clear" w:color="auto" w:fill="FFFFFF"/>
        </w:rPr>
        <w:t>Based on our observation of payment systems globally, the best outcomes are achieved by</w:t>
      </w:r>
    </w:p>
    <w:p w14:paraId="6986A01F" w14:textId="77777777" w:rsidR="00995A20" w:rsidRPr="00995A20" w:rsidRDefault="00995A20" w:rsidP="00995A20">
      <w:pPr>
        <w:spacing w:after="0"/>
        <w:ind w:left="284"/>
        <w:rPr>
          <w:shd w:val="clear" w:color="auto" w:fill="FFFFFF"/>
        </w:rPr>
      </w:pPr>
      <w:r w:rsidRPr="00995A20">
        <w:rPr>
          <w:shd w:val="clear" w:color="auto" w:fill="FFFFFF"/>
        </w:rPr>
        <w:t>infrastructure that competes with other infrastructure, and a healthy diverse set of schemes that</w:t>
      </w:r>
    </w:p>
    <w:p w14:paraId="3A6783BF" w14:textId="5209F655" w:rsidR="00995A20" w:rsidRDefault="00995A20" w:rsidP="00995A20">
      <w:pPr>
        <w:spacing w:after="0"/>
        <w:ind w:left="284"/>
        <w:rPr>
          <w:shd w:val="clear" w:color="auto" w:fill="FFFFFF"/>
        </w:rPr>
      </w:pPr>
      <w:r w:rsidRPr="00995A20">
        <w:rPr>
          <w:shd w:val="clear" w:color="auto" w:fill="FFFFFF"/>
        </w:rPr>
        <w:t>compete on top of that infrastructure.</w:t>
      </w:r>
      <w:r>
        <w:rPr>
          <w:shd w:val="clear" w:color="auto" w:fill="FFFFFF"/>
        </w:rPr>
        <w:t xml:space="preserve"> </w:t>
      </w:r>
      <w:r w:rsidRPr="00995A20">
        <w:rPr>
          <w:shd w:val="clear" w:color="auto" w:fill="FFFFFF"/>
        </w:rPr>
        <w:t>As end-users who pay the transaction costs at the point of sale, merchants should have the highest</w:t>
      </w:r>
      <w:r>
        <w:rPr>
          <w:shd w:val="clear" w:color="auto" w:fill="FFFFFF"/>
        </w:rPr>
        <w:t xml:space="preserve"> </w:t>
      </w:r>
      <w:r w:rsidRPr="00995A20">
        <w:rPr>
          <w:shd w:val="clear" w:color="auto" w:fill="FFFFFF"/>
        </w:rPr>
        <w:t>priority in terms of choosing their preferred payments scheme to reduce their transaction costs and</w:t>
      </w:r>
      <w:r>
        <w:rPr>
          <w:shd w:val="clear" w:color="auto" w:fill="FFFFFF"/>
        </w:rPr>
        <w:t xml:space="preserve"> </w:t>
      </w:r>
      <w:r w:rsidRPr="00995A20">
        <w:rPr>
          <w:shd w:val="clear" w:color="auto" w:fill="FFFFFF"/>
        </w:rPr>
        <w:t>access the functionality that best suited to their business</w:t>
      </w:r>
      <w:r>
        <w:rPr>
          <w:shd w:val="clear" w:color="auto" w:fill="FFFFFF"/>
        </w:rPr>
        <w:t>.</w:t>
      </w:r>
    </w:p>
    <w:p w14:paraId="633C02BA" w14:textId="10419056" w:rsidR="0073362E" w:rsidRDefault="0073362E" w:rsidP="00995A20">
      <w:pPr>
        <w:spacing w:after="0"/>
        <w:ind w:left="284"/>
        <w:rPr>
          <w:shd w:val="clear" w:color="auto" w:fill="FFFFFF"/>
        </w:rPr>
      </w:pPr>
    </w:p>
    <w:p w14:paraId="594ADCD0" w14:textId="1AF12090" w:rsidR="0073362E" w:rsidRPr="0073362E" w:rsidRDefault="0073362E" w:rsidP="0073362E">
      <w:pPr>
        <w:spacing w:after="0"/>
        <w:ind w:left="284"/>
        <w:rPr>
          <w:shd w:val="clear" w:color="auto" w:fill="FFFFFF"/>
        </w:rPr>
      </w:pPr>
      <w:r>
        <w:rPr>
          <w:shd w:val="clear" w:color="auto" w:fill="FFFFFF"/>
        </w:rPr>
        <w:t>Our small business members are</w:t>
      </w:r>
      <w:r w:rsidRPr="0073362E">
        <w:rPr>
          <w:shd w:val="clear" w:color="auto" w:fill="FFFFFF"/>
        </w:rPr>
        <w:t xml:space="preserve"> concerned about the consolidation of a single payments platform as</w:t>
      </w:r>
      <w:r>
        <w:rPr>
          <w:shd w:val="clear" w:color="auto" w:fill="FFFFFF"/>
        </w:rPr>
        <w:t xml:space="preserve"> </w:t>
      </w:r>
      <w:r w:rsidRPr="0073362E">
        <w:rPr>
          <w:shd w:val="clear" w:color="auto" w:fill="FFFFFF"/>
        </w:rPr>
        <w:t>scheduled to take effect by July 2022. There is risk that the new governance structure may provide</w:t>
      </w:r>
      <w:r>
        <w:rPr>
          <w:shd w:val="clear" w:color="auto" w:fill="FFFFFF"/>
        </w:rPr>
        <w:t xml:space="preserve"> </w:t>
      </w:r>
      <w:r w:rsidRPr="0073362E">
        <w:rPr>
          <w:shd w:val="clear" w:color="auto" w:fill="FFFFFF"/>
        </w:rPr>
        <w:t xml:space="preserve">a strong incentive to shift more payment costs onto merchants. </w:t>
      </w:r>
      <w:r>
        <w:rPr>
          <w:shd w:val="clear" w:color="auto" w:fill="FFFFFF"/>
        </w:rPr>
        <w:t>We commend the RBA</w:t>
      </w:r>
      <w:r w:rsidRPr="0073362E">
        <w:rPr>
          <w:shd w:val="clear" w:color="auto" w:fill="FFFFFF"/>
        </w:rPr>
        <w:t xml:space="preserve"> t</w:t>
      </w:r>
      <w:r>
        <w:rPr>
          <w:shd w:val="clear" w:color="auto" w:fill="FFFFFF"/>
        </w:rPr>
        <w:t xml:space="preserve">o </w:t>
      </w:r>
      <w:r w:rsidRPr="0073362E">
        <w:rPr>
          <w:shd w:val="clear" w:color="auto" w:fill="FFFFFF"/>
        </w:rPr>
        <w:t xml:space="preserve">constrain this over the years, however </w:t>
      </w:r>
      <w:r>
        <w:rPr>
          <w:shd w:val="clear" w:color="auto" w:fill="FFFFFF"/>
        </w:rPr>
        <w:t>this is largely only been possible</w:t>
      </w:r>
      <w:r w:rsidRPr="0073362E">
        <w:rPr>
          <w:shd w:val="clear" w:color="auto" w:fill="FFFFFF"/>
        </w:rPr>
        <w:t xml:space="preserve"> because </w:t>
      </w:r>
      <w:proofErr w:type="spellStart"/>
      <w:r w:rsidRPr="0073362E">
        <w:rPr>
          <w:shd w:val="clear" w:color="auto" w:fill="FFFFFF"/>
        </w:rPr>
        <w:t>eftpos</w:t>
      </w:r>
      <w:proofErr w:type="spellEnd"/>
      <w:r w:rsidRPr="0073362E">
        <w:rPr>
          <w:shd w:val="clear" w:color="auto" w:fill="FFFFFF"/>
        </w:rPr>
        <w:t xml:space="preserve"> has</w:t>
      </w:r>
      <w:r>
        <w:rPr>
          <w:shd w:val="clear" w:color="auto" w:fill="FFFFFF"/>
        </w:rPr>
        <w:t xml:space="preserve"> </w:t>
      </w:r>
      <w:r w:rsidRPr="0073362E">
        <w:rPr>
          <w:shd w:val="clear" w:color="auto" w:fill="FFFFFF"/>
        </w:rPr>
        <w:t xml:space="preserve">supported low merchant costs in the payments system. </w:t>
      </w:r>
      <w:proofErr w:type="spellStart"/>
      <w:r w:rsidRPr="0073362E">
        <w:rPr>
          <w:shd w:val="clear" w:color="auto" w:fill="FFFFFF"/>
        </w:rPr>
        <w:t>Eftpos</w:t>
      </w:r>
      <w:proofErr w:type="spellEnd"/>
      <w:r w:rsidRPr="0073362E">
        <w:rPr>
          <w:shd w:val="clear" w:color="auto" w:fill="FFFFFF"/>
        </w:rPr>
        <w:t xml:space="preserve"> is a low-cost, high take-up payment</w:t>
      </w:r>
      <w:r>
        <w:rPr>
          <w:shd w:val="clear" w:color="auto" w:fill="FFFFFF"/>
        </w:rPr>
        <w:t xml:space="preserve"> </w:t>
      </w:r>
      <w:r w:rsidRPr="0073362E">
        <w:rPr>
          <w:shd w:val="clear" w:color="auto" w:fill="FFFFFF"/>
        </w:rPr>
        <w:t>solution. If an amalgamation of payment platforms were to proceed, merchants risk a governance</w:t>
      </w:r>
    </w:p>
    <w:p w14:paraId="3E4AE2E6" w14:textId="680036A0" w:rsidR="0073362E" w:rsidRPr="00995A20" w:rsidRDefault="0073362E" w:rsidP="0073362E">
      <w:pPr>
        <w:spacing w:after="0"/>
        <w:ind w:left="284"/>
        <w:rPr>
          <w:shd w:val="clear" w:color="auto" w:fill="FFFFFF"/>
        </w:rPr>
      </w:pPr>
      <w:r w:rsidRPr="0073362E">
        <w:rPr>
          <w:shd w:val="clear" w:color="auto" w:fill="FFFFFF"/>
        </w:rPr>
        <w:t>structure that may result in similar circumstances that have arisen in</w:t>
      </w:r>
      <w:r>
        <w:rPr>
          <w:shd w:val="clear" w:color="auto" w:fill="FFFFFF"/>
        </w:rPr>
        <w:t xml:space="preserve"> other global markets.</w:t>
      </w:r>
    </w:p>
    <w:p w14:paraId="61065B51" w14:textId="77777777" w:rsidR="0083336E" w:rsidRDefault="00A975B6" w:rsidP="00A975B6">
      <w:pPr>
        <w:pStyle w:val="Heading1"/>
        <w:rPr>
          <w:shd w:val="clear" w:color="auto" w:fill="FFFFFF"/>
        </w:rPr>
      </w:pPr>
      <w:r>
        <w:rPr>
          <w:shd w:val="clear" w:color="auto" w:fill="FFFFFF"/>
        </w:rPr>
        <w:t>Conclusion</w:t>
      </w:r>
    </w:p>
    <w:p w14:paraId="4DEBDA1D" w14:textId="77777777" w:rsidR="00284F0E" w:rsidRDefault="002E0EFC" w:rsidP="00284F0E">
      <w:pPr>
        <w:ind w:left="284"/>
        <w:rPr>
          <w:shd w:val="clear" w:color="auto" w:fill="FFFFFF"/>
        </w:rPr>
      </w:pPr>
      <w:r>
        <w:rPr>
          <w:shd w:val="clear" w:color="auto" w:fill="FFFFFF"/>
        </w:rPr>
        <w:t>T</w:t>
      </w:r>
      <w:r w:rsidR="004E5015">
        <w:rPr>
          <w:shd w:val="clear" w:color="auto" w:fill="FFFFFF"/>
        </w:rPr>
        <w:t xml:space="preserve">ake-up </w:t>
      </w:r>
      <w:r w:rsidR="000C25E6">
        <w:rPr>
          <w:shd w:val="clear" w:color="auto" w:fill="FFFFFF"/>
        </w:rPr>
        <w:t xml:space="preserve">of LCR </w:t>
      </w:r>
      <w:r w:rsidR="004E5015">
        <w:rPr>
          <w:shd w:val="clear" w:color="auto" w:fill="FFFFFF"/>
        </w:rPr>
        <w:t>among</w:t>
      </w:r>
      <w:r w:rsidR="000C25E6">
        <w:rPr>
          <w:shd w:val="clear" w:color="auto" w:fill="FFFFFF"/>
        </w:rPr>
        <w:t>st</w:t>
      </w:r>
      <w:r>
        <w:rPr>
          <w:shd w:val="clear" w:color="auto" w:fill="FFFFFF"/>
        </w:rPr>
        <w:t xml:space="preserve"> small</w:t>
      </w:r>
      <w:r w:rsidR="004E5015">
        <w:rPr>
          <w:shd w:val="clear" w:color="auto" w:fill="FFFFFF"/>
        </w:rPr>
        <w:t xml:space="preserve"> merchants remains </w:t>
      </w:r>
      <w:r w:rsidR="00AC35D8">
        <w:rPr>
          <w:shd w:val="clear" w:color="auto" w:fill="FFFFFF"/>
        </w:rPr>
        <w:t>at unacceptable</w:t>
      </w:r>
      <w:r w:rsidR="004E5015">
        <w:rPr>
          <w:shd w:val="clear" w:color="auto" w:fill="FFFFFF"/>
        </w:rPr>
        <w:t xml:space="preserve"> </w:t>
      </w:r>
      <w:r w:rsidR="00AC35D8">
        <w:rPr>
          <w:shd w:val="clear" w:color="auto" w:fill="FFFFFF"/>
        </w:rPr>
        <w:t>levels</w:t>
      </w:r>
      <w:r w:rsidR="004E5015">
        <w:rPr>
          <w:shd w:val="clear" w:color="auto" w:fill="FFFFFF"/>
        </w:rPr>
        <w:t xml:space="preserve">. </w:t>
      </w:r>
      <w:r w:rsidR="001F77B4">
        <w:rPr>
          <w:shd w:val="clear" w:color="auto" w:fill="FFFFFF"/>
        </w:rPr>
        <w:t>As t</w:t>
      </w:r>
      <w:r w:rsidR="004E5015">
        <w:rPr>
          <w:shd w:val="clear" w:color="auto" w:fill="FFFFFF"/>
        </w:rPr>
        <w:t>he onus of responsibility remains on merchants to attain, understand and comprehend the benefits of LCR by requesting it from their acquirer</w:t>
      </w:r>
      <w:r w:rsidR="001F77B4">
        <w:rPr>
          <w:shd w:val="clear" w:color="auto" w:fill="FFFFFF"/>
        </w:rPr>
        <w:t xml:space="preserve">, this approach is </w:t>
      </w:r>
      <w:r w:rsidR="00A975B6">
        <w:rPr>
          <w:shd w:val="clear" w:color="auto" w:fill="FFFFFF"/>
        </w:rPr>
        <w:t>resulting in sub-optimal take up</w:t>
      </w:r>
      <w:r w:rsidR="000C25E6">
        <w:rPr>
          <w:shd w:val="clear" w:color="auto" w:fill="FFFFFF"/>
        </w:rPr>
        <w:t>. To circumvent this issue, regulation on data governance of merchant fees is required</w:t>
      </w:r>
      <w:r>
        <w:rPr>
          <w:shd w:val="clear" w:color="auto" w:fill="FFFFFF"/>
        </w:rPr>
        <w:t xml:space="preserve"> and/or we recommend </w:t>
      </w:r>
      <w:r w:rsidRPr="002E0EFC">
        <w:rPr>
          <w:shd w:val="clear" w:color="auto" w:fill="FFFFFF"/>
        </w:rPr>
        <w:t>the RBA support the expansion of consumer data rights (CDR) and open banking to be expedited as a matter of priority to explicitly incorporate small merchant fee data.</w:t>
      </w:r>
      <w:r>
        <w:rPr>
          <w:shd w:val="clear" w:color="auto" w:fill="FFFFFF"/>
        </w:rPr>
        <w:t xml:space="preserve"> Further, </w:t>
      </w:r>
      <w:r w:rsidR="000C25E6">
        <w:rPr>
          <w:shd w:val="clear" w:color="auto" w:fill="FFFFFF"/>
        </w:rPr>
        <w:t>LCR should be made the default option in the first instance</w:t>
      </w:r>
      <w:r w:rsidR="007A4168">
        <w:rPr>
          <w:shd w:val="clear" w:color="auto" w:fill="FFFFFF"/>
        </w:rPr>
        <w:t>, both in the card-present and the emerging mobile wallet and online payments markets</w:t>
      </w:r>
      <w:r w:rsidR="000C25E6">
        <w:rPr>
          <w:shd w:val="clear" w:color="auto" w:fill="FFFFFF"/>
        </w:rPr>
        <w:t xml:space="preserve">. </w:t>
      </w:r>
    </w:p>
    <w:p w14:paraId="60A9EB82" w14:textId="6C3527E9" w:rsidR="0073362E" w:rsidRDefault="000C25E6" w:rsidP="00284F0E">
      <w:pPr>
        <w:ind w:left="284"/>
        <w:rPr>
          <w:shd w:val="clear" w:color="auto" w:fill="FFFFFF"/>
        </w:rPr>
      </w:pPr>
      <w:r>
        <w:rPr>
          <w:shd w:val="clear" w:color="auto" w:fill="FFFFFF"/>
        </w:rPr>
        <w:t>In terms of the threats to LCR, we suggest mandating DNDC as in the United States to allow for the competitive tensions that drive and suppress merchant fees. The payment system should enable innovation and new entrants and be designed with end-users in mind.</w:t>
      </w:r>
      <w:r w:rsidR="00995A20">
        <w:rPr>
          <w:shd w:val="clear" w:color="auto" w:fill="FFFFFF"/>
        </w:rPr>
        <w:t xml:space="preserve"> </w:t>
      </w:r>
      <w:r w:rsidR="00995A20" w:rsidRPr="00995A20">
        <w:rPr>
          <w:shd w:val="clear" w:color="auto" w:fill="FFFFFF"/>
        </w:rPr>
        <w:t>As end-users who pay the transaction costs at the point of sale, merchants should have the highest</w:t>
      </w:r>
      <w:r w:rsidR="00995A20">
        <w:rPr>
          <w:shd w:val="clear" w:color="auto" w:fill="FFFFFF"/>
        </w:rPr>
        <w:t xml:space="preserve"> </w:t>
      </w:r>
      <w:r w:rsidR="00995A20" w:rsidRPr="00995A20">
        <w:rPr>
          <w:shd w:val="clear" w:color="auto" w:fill="FFFFFF"/>
        </w:rPr>
        <w:t>priority in terms of choosing their preferred payments scheme to reduce their transaction costs and</w:t>
      </w:r>
      <w:r w:rsidR="00995A20">
        <w:rPr>
          <w:shd w:val="clear" w:color="auto" w:fill="FFFFFF"/>
        </w:rPr>
        <w:t xml:space="preserve"> </w:t>
      </w:r>
      <w:r w:rsidR="00995A20" w:rsidRPr="00995A20">
        <w:rPr>
          <w:shd w:val="clear" w:color="auto" w:fill="FFFFFF"/>
        </w:rPr>
        <w:t>access the functionality that best suited to their business.</w:t>
      </w:r>
      <w:r w:rsidR="002E0EFC">
        <w:rPr>
          <w:shd w:val="clear" w:color="auto" w:fill="FFFFFF"/>
        </w:rPr>
        <w:t xml:space="preserve"> Clear regulatory guidance</w:t>
      </w:r>
      <w:r w:rsidR="00284F0E">
        <w:rPr>
          <w:shd w:val="clear" w:color="auto" w:fill="FFFFFF"/>
        </w:rPr>
        <w:t xml:space="preserve"> that</w:t>
      </w:r>
      <w:r w:rsidR="002E0EFC">
        <w:rPr>
          <w:shd w:val="clear" w:color="auto" w:fill="FFFFFF"/>
        </w:rPr>
        <w:t xml:space="preserve"> allow for the continuation of competitive tension between payment schemes and systems</w:t>
      </w:r>
      <w:r w:rsidR="004D6FB9">
        <w:rPr>
          <w:shd w:val="clear" w:color="auto" w:fill="FFFFFF"/>
        </w:rPr>
        <w:t>,</w:t>
      </w:r>
      <w:r w:rsidR="002E0EFC">
        <w:rPr>
          <w:shd w:val="clear" w:color="auto" w:fill="FFFFFF"/>
        </w:rPr>
        <w:t xml:space="preserve"> is critical in the dynamic and innovative payments market.</w:t>
      </w:r>
    </w:p>
    <w:p w14:paraId="325DE113" w14:textId="5690525E" w:rsidR="00AC35D8" w:rsidRDefault="00AC35D8" w:rsidP="00AC35D8">
      <w:pPr>
        <w:ind w:left="284"/>
        <w:rPr>
          <w:shd w:val="clear" w:color="auto" w:fill="FFFFFF"/>
        </w:rPr>
      </w:pPr>
    </w:p>
    <w:p w14:paraId="79B4D063" w14:textId="28AB69EA" w:rsidR="00AC35D8" w:rsidRDefault="00AC35D8" w:rsidP="00AC35D8">
      <w:pPr>
        <w:ind w:left="284"/>
        <w:rPr>
          <w:shd w:val="clear" w:color="auto" w:fill="FFFFFF"/>
        </w:rPr>
      </w:pPr>
    </w:p>
    <w:p w14:paraId="530B0AE7" w14:textId="69AE120A" w:rsidR="00AC35D8" w:rsidRDefault="00AC35D8" w:rsidP="00AC35D8">
      <w:pPr>
        <w:ind w:left="284"/>
        <w:rPr>
          <w:shd w:val="clear" w:color="auto" w:fill="FFFFFF"/>
        </w:rPr>
      </w:pPr>
    </w:p>
    <w:p w14:paraId="55F6E678" w14:textId="7BF46574" w:rsidR="00AC35D8" w:rsidRDefault="00AC35D8" w:rsidP="00AC35D8">
      <w:pPr>
        <w:ind w:left="284"/>
        <w:rPr>
          <w:shd w:val="clear" w:color="auto" w:fill="FFFFFF"/>
        </w:rPr>
      </w:pPr>
    </w:p>
    <w:p w14:paraId="69E50781" w14:textId="125DBD27" w:rsidR="00AC35D8" w:rsidRDefault="00AC35D8" w:rsidP="00AC35D8">
      <w:pPr>
        <w:ind w:left="284"/>
        <w:rPr>
          <w:shd w:val="clear" w:color="auto" w:fill="FFFFFF"/>
        </w:rPr>
      </w:pPr>
    </w:p>
    <w:p w14:paraId="312E3A1D" w14:textId="5578462C" w:rsidR="00AC35D8" w:rsidRDefault="00AC35D8" w:rsidP="00AC35D8">
      <w:pPr>
        <w:ind w:left="284"/>
        <w:rPr>
          <w:shd w:val="clear" w:color="auto" w:fill="FFFFFF"/>
        </w:rPr>
      </w:pPr>
    </w:p>
    <w:p w14:paraId="0228E572" w14:textId="75F7099F" w:rsidR="00AC35D8" w:rsidRDefault="00AC35D8" w:rsidP="00AC35D8">
      <w:pPr>
        <w:ind w:left="284"/>
        <w:rPr>
          <w:shd w:val="clear" w:color="auto" w:fill="FFFFFF"/>
        </w:rPr>
      </w:pPr>
    </w:p>
    <w:p w14:paraId="21391659" w14:textId="261B0902" w:rsidR="00AC35D8" w:rsidRDefault="00AC35D8" w:rsidP="00AC35D8">
      <w:pPr>
        <w:ind w:left="284"/>
        <w:rPr>
          <w:shd w:val="clear" w:color="auto" w:fill="FFFFFF"/>
        </w:rPr>
      </w:pPr>
    </w:p>
    <w:p w14:paraId="76355FCD" w14:textId="77777777" w:rsidR="00AC35D8" w:rsidRDefault="00AC35D8" w:rsidP="00AC35D8">
      <w:pPr>
        <w:ind w:left="284"/>
        <w:rPr>
          <w:shd w:val="clear" w:color="auto" w:fill="FFFFFF"/>
        </w:rPr>
      </w:pPr>
    </w:p>
    <w:p w14:paraId="7DD6DC64" w14:textId="5F31B836" w:rsidR="00AC35D8" w:rsidRDefault="00AC35D8" w:rsidP="00AC35D8">
      <w:pPr>
        <w:ind w:left="284"/>
        <w:rPr>
          <w:shd w:val="clear" w:color="auto" w:fill="FFFFFF"/>
        </w:rPr>
      </w:pPr>
    </w:p>
    <w:p w14:paraId="2E81A0E6" w14:textId="3E066375" w:rsidR="00AC35D8" w:rsidRDefault="00AC35D8" w:rsidP="00AC35D8">
      <w:pPr>
        <w:ind w:left="284"/>
        <w:rPr>
          <w:shd w:val="clear" w:color="auto" w:fill="FFFFFF"/>
        </w:rPr>
      </w:pPr>
    </w:p>
    <w:p w14:paraId="1622596C" w14:textId="3ECD3683" w:rsidR="00AC35D8" w:rsidRDefault="00AC35D8" w:rsidP="00AC35D8">
      <w:pPr>
        <w:ind w:left="284"/>
        <w:rPr>
          <w:shd w:val="clear" w:color="auto" w:fill="FFFFFF"/>
        </w:rPr>
      </w:pPr>
    </w:p>
    <w:p w14:paraId="61B114DB" w14:textId="617A0A85" w:rsidR="00AC35D8" w:rsidRDefault="00AC35D8" w:rsidP="00AC35D8">
      <w:pPr>
        <w:ind w:left="284"/>
        <w:rPr>
          <w:shd w:val="clear" w:color="auto" w:fill="FFFFFF"/>
        </w:rPr>
      </w:pPr>
    </w:p>
    <w:p w14:paraId="2D947158" w14:textId="25B2819C" w:rsidR="00AC35D8" w:rsidRDefault="00AC35D8" w:rsidP="00AC35D8">
      <w:pPr>
        <w:rPr>
          <w:shd w:val="clear" w:color="auto" w:fill="FFFFFF"/>
        </w:rPr>
      </w:pPr>
    </w:p>
    <w:p w14:paraId="4C23047B" w14:textId="766FAF1C" w:rsidR="00AC35D8" w:rsidRDefault="00AC35D8" w:rsidP="00AC35D8">
      <w:pPr>
        <w:rPr>
          <w:shd w:val="clear" w:color="auto" w:fill="FFFFFF"/>
        </w:rPr>
      </w:pPr>
    </w:p>
    <w:p w14:paraId="7E4A7363" w14:textId="403E4FF1" w:rsidR="00AC35D8" w:rsidRPr="00AC35D8" w:rsidRDefault="00AC35D8" w:rsidP="00284F0E">
      <w:pPr>
        <w:rPr>
          <w:shd w:val="clear" w:color="auto" w:fill="FFFFFF"/>
        </w:rPr>
      </w:pPr>
      <w:r>
        <w:rPr>
          <w:rFonts w:ascii="HelveticaNeueLT Std Lt Cn" w:hAnsi="HelveticaNeueLT Std Lt Cn" w:cs="Microsoft Sans Serif"/>
          <w:noProof/>
          <w:lang w:eastAsia="en-AU"/>
        </w:rPr>
        <mc:AlternateContent>
          <mc:Choice Requires="wpg">
            <w:drawing>
              <wp:anchor distT="0" distB="0" distL="114300" distR="114300" simplePos="0" relativeHeight="251674624" behindDoc="0" locked="1" layoutInCell="1" allowOverlap="1" wp14:anchorId="318DB661" wp14:editId="4081FC59">
                <wp:simplePos x="0" y="0"/>
                <wp:positionH relativeFrom="margin">
                  <wp:align>center</wp:align>
                </wp:positionH>
                <wp:positionV relativeFrom="paragraph">
                  <wp:posOffset>2818130</wp:posOffset>
                </wp:positionV>
                <wp:extent cx="7847965" cy="3192145"/>
                <wp:effectExtent l="0" t="0" r="635" b="8255"/>
                <wp:wrapNone/>
                <wp:docPr id="1" name="Group 1"/>
                <wp:cNvGraphicFramePr/>
                <a:graphic xmlns:a="http://schemas.openxmlformats.org/drawingml/2006/main">
                  <a:graphicData uri="http://schemas.microsoft.com/office/word/2010/wordprocessingGroup">
                    <wpg:wgp>
                      <wpg:cNvGrpSpPr/>
                      <wpg:grpSpPr>
                        <a:xfrm>
                          <a:off x="0" y="0"/>
                          <a:ext cx="7847965" cy="3192145"/>
                          <a:chOff x="0" y="393832"/>
                          <a:chExt cx="7848600" cy="3195126"/>
                        </a:xfrm>
                      </wpg:grpSpPr>
                      <wps:wsp>
                        <wps:cNvPr id="6" name="Rectangle 6"/>
                        <wps:cNvSpPr/>
                        <wps:spPr>
                          <a:xfrm>
                            <a:off x="0" y="393832"/>
                            <a:ext cx="7848600" cy="3195126"/>
                          </a:xfrm>
                          <a:prstGeom prst="rect">
                            <a:avLst/>
                          </a:prstGeom>
                          <a:solidFill>
                            <a:srgbClr val="01216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2"/>
                        <wps:cNvSpPr txBox="1">
                          <a:spLocks noChangeArrowheads="1"/>
                        </wps:cNvSpPr>
                        <wps:spPr bwMode="auto">
                          <a:xfrm>
                            <a:off x="123835" y="662851"/>
                            <a:ext cx="7477730" cy="381000"/>
                          </a:xfrm>
                          <a:prstGeom prst="rect">
                            <a:avLst/>
                          </a:prstGeom>
                          <a:noFill/>
                          <a:ln w="9525">
                            <a:noFill/>
                            <a:miter lim="800000"/>
                            <a:headEnd/>
                            <a:tailEnd/>
                          </a:ln>
                        </wps:spPr>
                        <wps:txbx>
                          <w:txbxContent>
                            <w:p w14:paraId="42B52F16" w14:textId="77777777" w:rsidR="00AC35D8" w:rsidRPr="00A44BD8" w:rsidRDefault="00AC35D8" w:rsidP="00AC35D8">
                              <w:pPr>
                                <w:jc w:val="center"/>
                                <w:rPr>
                                  <w:b/>
                                  <w:color w:val="D3BC8D"/>
                                  <w:sz w:val="36"/>
                                </w:rPr>
                              </w:pPr>
                              <w:r w:rsidRPr="00A44BD8">
                                <w:rPr>
                                  <w:b/>
                                  <w:color w:val="D3BC8D"/>
                                  <w:sz w:val="36"/>
                                </w:rPr>
                                <w:t>About the Australian Chamber</w:t>
                              </w:r>
                              <w:r>
                                <w:rPr>
                                  <w:b/>
                                  <w:color w:val="D3BC8D"/>
                                  <w:sz w:val="36"/>
                                </w:rPr>
                                <w:t xml:space="preserve"> </w:t>
                              </w:r>
                            </w:p>
                          </w:txbxContent>
                        </wps:txbx>
                        <wps:bodyPr rot="0" vert="horz" wrap="square" lIns="91440" tIns="45720" rIns="91440" bIns="45720" anchor="t" anchorCtr="0">
                          <a:noAutofit/>
                        </wps:bodyPr>
                      </wps:wsp>
                      <wps:wsp>
                        <wps:cNvPr id="17" name="Text Box 2"/>
                        <wps:cNvSpPr txBox="1">
                          <a:spLocks noChangeArrowheads="1"/>
                        </wps:cNvSpPr>
                        <wps:spPr bwMode="auto">
                          <a:xfrm>
                            <a:off x="476289" y="1078328"/>
                            <a:ext cx="6944287" cy="1116418"/>
                          </a:xfrm>
                          <a:prstGeom prst="rect">
                            <a:avLst/>
                          </a:prstGeom>
                          <a:noFill/>
                          <a:ln w="9525">
                            <a:noFill/>
                            <a:miter lim="800000"/>
                            <a:headEnd/>
                            <a:tailEnd/>
                          </a:ln>
                        </wps:spPr>
                        <wps:txbx>
                          <w:txbxContent>
                            <w:p w14:paraId="3BDC2CEB" w14:textId="77777777" w:rsidR="00AC35D8" w:rsidRPr="00BB4007" w:rsidRDefault="00AC35D8" w:rsidP="00AC35D8">
                              <w:pPr>
                                <w:rPr>
                                  <w:color w:val="FFFFFF" w:themeColor="background1"/>
                                  <w:szCs w:val="24"/>
                                </w:rPr>
                              </w:pPr>
                              <w:r w:rsidRPr="00BB4007">
                                <w:rPr>
                                  <w:color w:val="FFFFFF" w:themeColor="background1"/>
                                  <w:szCs w:val="24"/>
                                </w:rPr>
                                <w:t xml:space="preserve">The Australian Chamber of Commerce and Industry speaks on behalf of Australian Businesses at home and abroad. </w:t>
                              </w:r>
                              <w:r>
                                <w:rPr>
                                  <w:color w:val="FFFFFF" w:themeColor="background1"/>
                                  <w:szCs w:val="24"/>
                                </w:rPr>
                                <w:t xml:space="preserve">The Australian Chamber represents hundreds and thousands of businesses in every state and territory and across all industries. Ranging from small and medium enterprises to the largest companies, our network employs millions of people. </w:t>
                              </w:r>
                              <w:r>
                                <w:rPr>
                                  <w:color w:val="FFFFFF" w:themeColor="background1"/>
                                  <w:szCs w:val="24"/>
                                </w:rPr>
                                <w:br/>
                                <w:t>The Australian Chamber membership list can be viewed at www.australianchamber.com.au/membership/current-members/</w:t>
                              </w:r>
                            </w:p>
                          </w:txbxContent>
                        </wps:txbx>
                        <wps:bodyPr rot="0" vert="horz" wrap="square" lIns="91440" tIns="45720" rIns="91440" bIns="45720" anchor="t" anchorCtr="0">
                          <a:noAutofit/>
                        </wps:bodyPr>
                      </wps:wsp>
                      <wps:wsp>
                        <wps:cNvPr id="19" name="Text Box 2"/>
                        <wps:cNvSpPr txBox="1">
                          <a:spLocks noChangeArrowheads="1"/>
                        </wps:cNvSpPr>
                        <wps:spPr bwMode="auto">
                          <a:xfrm>
                            <a:off x="457237" y="2250393"/>
                            <a:ext cx="6982390" cy="1156132"/>
                          </a:xfrm>
                          <a:prstGeom prst="rect">
                            <a:avLst/>
                          </a:prstGeom>
                          <a:noFill/>
                          <a:ln w="9525">
                            <a:noFill/>
                            <a:miter lim="800000"/>
                            <a:headEnd/>
                            <a:tailEnd/>
                          </a:ln>
                        </wps:spPr>
                        <wps:txbx>
                          <w:txbxContent>
                            <w:p w14:paraId="08B4099E" w14:textId="77777777" w:rsidR="00AC35D8" w:rsidRPr="002D425E" w:rsidRDefault="00AC35D8" w:rsidP="00AC35D8">
                              <w:pPr>
                                <w:jc w:val="center"/>
                                <w:rPr>
                                  <w:rFonts w:cstheme="minorHAnsi"/>
                                  <w:color w:val="FFFFFF" w:themeColor="background1"/>
                                  <w:szCs w:val="24"/>
                                </w:rPr>
                              </w:pPr>
                              <w:r w:rsidRPr="002D425E">
                                <w:rPr>
                                  <w:rFonts w:cstheme="minorHAnsi"/>
                                  <w:color w:val="FFFFFF" w:themeColor="background1"/>
                                  <w:szCs w:val="24"/>
                                </w:rPr>
                                <w:t xml:space="preserve">Telephone | 02 6270 8000  Email | </w:t>
                              </w:r>
                              <w:hyperlink r:id="rId11" w:history="1">
                                <w:r w:rsidRPr="002D425E">
                                  <w:rPr>
                                    <w:rStyle w:val="Hyperlink"/>
                                    <w:rFonts w:cstheme="minorHAnsi"/>
                                    <w:color w:val="FFFFFF" w:themeColor="background1"/>
                                    <w:szCs w:val="24"/>
                                  </w:rPr>
                                  <w:t>info@australianchamber.com.au</w:t>
                                </w:r>
                              </w:hyperlink>
                              <w:r w:rsidRPr="002D425E">
                                <w:rPr>
                                  <w:rFonts w:cstheme="minorHAnsi"/>
                                  <w:color w:val="FFFFFF" w:themeColor="background1"/>
                                  <w:szCs w:val="24"/>
                                </w:rPr>
                                <w:t xml:space="preserve"> Website |  </w:t>
                              </w:r>
                              <w:hyperlink r:id="rId12" w:history="1">
                                <w:r w:rsidRPr="002D425E">
                                  <w:rPr>
                                    <w:rStyle w:val="Hyperlink"/>
                                    <w:rFonts w:cstheme="minorHAnsi"/>
                                    <w:color w:val="FFFFFF" w:themeColor="background1"/>
                                    <w:szCs w:val="24"/>
                                  </w:rPr>
                                  <w:t>www.australianchamber.com.au</w:t>
                                </w:r>
                              </w:hyperlink>
                            </w:p>
                            <w:p w14:paraId="7DE1A87E" w14:textId="77777777" w:rsidR="00AC35D8" w:rsidRPr="002D425E" w:rsidRDefault="00AC35D8" w:rsidP="00AC35D8">
                              <w:pPr>
                                <w:jc w:val="center"/>
                                <w:rPr>
                                  <w:rFonts w:cstheme="minorHAnsi"/>
                                  <w:color w:val="FFFFFF" w:themeColor="background1"/>
                                  <w:szCs w:val="24"/>
                                </w:rPr>
                              </w:pPr>
                              <w:r w:rsidRPr="002D425E">
                                <w:rPr>
                                  <w:rFonts w:cstheme="minorHAnsi"/>
                                  <w:color w:val="FFFFFF" w:themeColor="background1"/>
                                  <w:szCs w:val="24"/>
                                </w:rPr>
                                <w:t xml:space="preserve">ABN 85 008 391 </w:t>
                              </w:r>
                              <w:proofErr w:type="gramStart"/>
                              <w:r w:rsidRPr="002D425E">
                                <w:rPr>
                                  <w:rFonts w:cstheme="minorHAnsi"/>
                                  <w:color w:val="FFFFFF" w:themeColor="background1"/>
                                  <w:szCs w:val="24"/>
                                </w:rPr>
                                <w:t>795  ©</w:t>
                              </w:r>
                              <w:proofErr w:type="gramEnd"/>
                              <w:r w:rsidRPr="002D425E">
                                <w:rPr>
                                  <w:rFonts w:cstheme="minorHAnsi"/>
                                  <w:color w:val="FFFFFF" w:themeColor="background1"/>
                                  <w:szCs w:val="24"/>
                                </w:rPr>
                                <w:t xml:space="preserve"> Australian Chamber of Commerce and Industry 20</w:t>
                              </w:r>
                              <w:r>
                                <w:rPr>
                                  <w:rFonts w:cstheme="minorHAnsi"/>
                                  <w:color w:val="FFFFFF" w:themeColor="background1"/>
                                  <w:szCs w:val="24"/>
                                </w:rPr>
                                <w:t>21</w:t>
                              </w:r>
                            </w:p>
                            <w:p w14:paraId="5509EF85" w14:textId="77777777" w:rsidR="00AC35D8" w:rsidRPr="002D425E" w:rsidRDefault="00AC35D8" w:rsidP="00AC35D8">
                              <w:pPr>
                                <w:pStyle w:val="Disclaimer"/>
                                <w:jc w:val="center"/>
                                <w:rPr>
                                  <w:rFonts w:ascii="Arial Narrow" w:hAnsi="Arial Narrow" w:cstheme="minorHAnsi"/>
                                  <w:i/>
                                  <w:color w:val="FFFFFF" w:themeColor="background1"/>
                                  <w:sz w:val="24"/>
                                  <w:szCs w:val="24"/>
                                </w:rPr>
                              </w:pPr>
                              <w:r w:rsidRPr="002D425E">
                                <w:rPr>
                                  <w:rFonts w:ascii="Arial Narrow" w:hAnsi="Arial Narrow" w:cstheme="minorHAnsi"/>
                                  <w:i/>
                                  <w:color w:val="FFFFFF" w:themeColor="background1"/>
                                  <w:sz w:val="24"/>
                                  <w:szCs w:val="24"/>
                                </w:rPr>
                                <w:t>This work is copyright. No part of this publication may be reproduced or used in any way without acknowledgement to the Australian Chamber of Commerce and Industry.</w:t>
                              </w:r>
                            </w:p>
                            <w:p w14:paraId="7936A3FE" w14:textId="77777777" w:rsidR="00AC35D8" w:rsidRPr="002D425E" w:rsidRDefault="00AC35D8" w:rsidP="00AC35D8">
                              <w:pPr>
                                <w:jc w:val="center"/>
                                <w:rPr>
                                  <w:color w:val="FFFFFF" w:themeColor="background1"/>
                                  <w:sz w:val="20"/>
                                  <w:szCs w:val="20"/>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18DB661" id="Group 1" o:spid="_x0000_s1026" style="position:absolute;margin-left:0;margin-top:221.9pt;width:617.95pt;height:251.35pt;z-index:251674624;mso-position-horizontal:center;mso-position-horizontal-relative:margin;mso-width-relative:margin;mso-height-relative:margin" coordorigin=",3938" coordsize="78486,31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">
                <v:rect id="Rectangle 6" o:spid="_x0000_s1027" style="position:absolute;top:3938;width:78486;height:319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" fillcolor="#012169" stroked="f" strokeweight="2pt"/>
                <v:shapetype id="_x0000_t202" coordsize="21600,21600" o:spt="202" path="m,l,21600r21600,l21600,xe">
                  <v:stroke joinstyle="miter"/>
                  <v:path gradientshapeok="t" o:connecttype="rect"/>
                </v:shapetype>
                <v:shape id="Text Box 2" o:spid="_x0000_s1028" type="#_x0000_t202" style="position:absolute;left:1238;top:6628;width:74777;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42B52F16" w14:textId="77777777" w:rsidR="00AC35D8" w:rsidRPr="00A44BD8" w:rsidRDefault="00AC35D8" w:rsidP="00AC35D8">
                        <w:pPr>
                          <w:jc w:val="center"/>
                          <w:rPr>
                            <w:b/>
                            <w:color w:val="D3BC8D"/>
                            <w:sz w:val="36"/>
                          </w:rPr>
                        </w:pPr>
                        <w:r w:rsidRPr="00A44BD8">
                          <w:rPr>
                            <w:b/>
                            <w:color w:val="D3BC8D"/>
                            <w:sz w:val="36"/>
                          </w:rPr>
                          <w:t>About the Australian Chamber</w:t>
                        </w:r>
                        <w:r>
                          <w:rPr>
                            <w:b/>
                            <w:color w:val="D3BC8D"/>
                            <w:sz w:val="36"/>
                          </w:rPr>
                          <w:t xml:space="preserve"> </w:t>
                        </w:r>
                      </w:p>
                    </w:txbxContent>
                  </v:textbox>
                </v:shape>
                <v:shape id="Text Box 2" o:spid="_x0000_s1029" type="#_x0000_t202" style="position:absolute;left:4762;top:10783;width:69443;height:1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BDC2CEB" w14:textId="77777777" w:rsidR="00AC35D8" w:rsidRPr="00BB4007" w:rsidRDefault="00AC35D8" w:rsidP="00AC35D8">
                        <w:pPr>
                          <w:rPr>
                            <w:color w:val="FFFFFF" w:themeColor="background1"/>
                            <w:szCs w:val="24"/>
                          </w:rPr>
                        </w:pPr>
                        <w:r w:rsidRPr="00BB4007">
                          <w:rPr>
                            <w:color w:val="FFFFFF" w:themeColor="background1"/>
                            <w:szCs w:val="24"/>
                          </w:rPr>
                          <w:t xml:space="preserve">The Australian Chamber of Commerce and Industry speaks on behalf of Australian Businesses at home and abroad. </w:t>
                        </w:r>
                        <w:r>
                          <w:rPr>
                            <w:color w:val="FFFFFF" w:themeColor="background1"/>
                            <w:szCs w:val="24"/>
                          </w:rPr>
                          <w:t xml:space="preserve">The Australian Chamber represents hundreds and thousands of businesses in every state and territory and across all industries. Ranging from small and medium enterprises to the largest companies, our network employs millions of people. </w:t>
                        </w:r>
                        <w:r>
                          <w:rPr>
                            <w:color w:val="FFFFFF" w:themeColor="background1"/>
                            <w:szCs w:val="24"/>
                          </w:rPr>
                          <w:br/>
                          <w:t>The Australian Chamber membership list can be viewed at www.australianchamber.com.au/membership/current-members/</w:t>
                        </w:r>
                      </w:p>
                    </w:txbxContent>
                  </v:textbox>
                </v:shape>
                <v:shape id="Text Box 2" o:spid="_x0000_s1030" type="#_x0000_t202" style="position:absolute;left:4572;top:22503;width:69824;height:11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08B4099E" w14:textId="77777777" w:rsidR="00AC35D8" w:rsidRPr="002D425E" w:rsidRDefault="00AC35D8" w:rsidP="00AC35D8">
                        <w:pPr>
                          <w:jc w:val="center"/>
                          <w:rPr>
                            <w:rFonts w:cstheme="minorHAnsi"/>
                            <w:color w:val="FFFFFF" w:themeColor="background1"/>
                            <w:szCs w:val="24"/>
                          </w:rPr>
                        </w:pPr>
                        <w:r w:rsidRPr="002D425E">
                          <w:rPr>
                            <w:rFonts w:cstheme="minorHAnsi"/>
                            <w:color w:val="FFFFFF" w:themeColor="background1"/>
                            <w:szCs w:val="24"/>
                          </w:rPr>
                          <w:t xml:space="preserve">Telephone | 02 6270 8000  Email | </w:t>
                        </w:r>
                        <w:hyperlink r:id="rId13" w:history="1">
                          <w:r w:rsidRPr="002D425E">
                            <w:rPr>
                              <w:rStyle w:val="Hyperlink"/>
                              <w:rFonts w:cstheme="minorHAnsi"/>
                              <w:color w:val="FFFFFF" w:themeColor="background1"/>
                              <w:szCs w:val="24"/>
                            </w:rPr>
                            <w:t>info@australianchamber.com.au</w:t>
                          </w:r>
                        </w:hyperlink>
                        <w:r w:rsidRPr="002D425E">
                          <w:rPr>
                            <w:rFonts w:cstheme="minorHAnsi"/>
                            <w:color w:val="FFFFFF" w:themeColor="background1"/>
                            <w:szCs w:val="24"/>
                          </w:rPr>
                          <w:t xml:space="preserve"> Website |  </w:t>
                        </w:r>
                        <w:hyperlink r:id="rId14" w:history="1">
                          <w:r w:rsidRPr="002D425E">
                            <w:rPr>
                              <w:rStyle w:val="Hyperlink"/>
                              <w:rFonts w:cstheme="minorHAnsi"/>
                              <w:color w:val="FFFFFF" w:themeColor="background1"/>
                              <w:szCs w:val="24"/>
                            </w:rPr>
                            <w:t>www.australianchamber.com.au</w:t>
                          </w:r>
                        </w:hyperlink>
                      </w:p>
                      <w:p w14:paraId="7DE1A87E" w14:textId="77777777" w:rsidR="00AC35D8" w:rsidRPr="002D425E" w:rsidRDefault="00AC35D8" w:rsidP="00AC35D8">
                        <w:pPr>
                          <w:jc w:val="center"/>
                          <w:rPr>
                            <w:rFonts w:cstheme="minorHAnsi"/>
                            <w:color w:val="FFFFFF" w:themeColor="background1"/>
                            <w:szCs w:val="24"/>
                          </w:rPr>
                        </w:pPr>
                        <w:r w:rsidRPr="002D425E">
                          <w:rPr>
                            <w:rFonts w:cstheme="minorHAnsi"/>
                            <w:color w:val="FFFFFF" w:themeColor="background1"/>
                            <w:szCs w:val="24"/>
                          </w:rPr>
                          <w:t xml:space="preserve">ABN 85 008 391 </w:t>
                        </w:r>
                        <w:proofErr w:type="gramStart"/>
                        <w:r w:rsidRPr="002D425E">
                          <w:rPr>
                            <w:rFonts w:cstheme="minorHAnsi"/>
                            <w:color w:val="FFFFFF" w:themeColor="background1"/>
                            <w:szCs w:val="24"/>
                          </w:rPr>
                          <w:t>795  ©</w:t>
                        </w:r>
                        <w:proofErr w:type="gramEnd"/>
                        <w:r w:rsidRPr="002D425E">
                          <w:rPr>
                            <w:rFonts w:cstheme="minorHAnsi"/>
                            <w:color w:val="FFFFFF" w:themeColor="background1"/>
                            <w:szCs w:val="24"/>
                          </w:rPr>
                          <w:t xml:space="preserve"> Australian Chamber of Commerce and Industry 20</w:t>
                        </w:r>
                        <w:r>
                          <w:rPr>
                            <w:rFonts w:cstheme="minorHAnsi"/>
                            <w:color w:val="FFFFFF" w:themeColor="background1"/>
                            <w:szCs w:val="24"/>
                          </w:rPr>
                          <w:t>21</w:t>
                        </w:r>
                      </w:p>
                      <w:p w14:paraId="5509EF85" w14:textId="77777777" w:rsidR="00AC35D8" w:rsidRPr="002D425E" w:rsidRDefault="00AC35D8" w:rsidP="00AC35D8">
                        <w:pPr>
                          <w:pStyle w:val="Disclaimer"/>
                          <w:jc w:val="center"/>
                          <w:rPr>
                            <w:rFonts w:ascii="Arial Narrow" w:hAnsi="Arial Narrow" w:cstheme="minorHAnsi"/>
                            <w:i/>
                            <w:color w:val="FFFFFF" w:themeColor="background1"/>
                            <w:sz w:val="24"/>
                            <w:szCs w:val="24"/>
                          </w:rPr>
                        </w:pPr>
                        <w:r w:rsidRPr="002D425E">
                          <w:rPr>
                            <w:rFonts w:ascii="Arial Narrow" w:hAnsi="Arial Narrow" w:cstheme="minorHAnsi"/>
                            <w:i/>
                            <w:color w:val="FFFFFF" w:themeColor="background1"/>
                            <w:sz w:val="24"/>
                            <w:szCs w:val="24"/>
                          </w:rPr>
                          <w:t>This work is copyright. No part of this publication may be reproduced or used in any way without acknowledgement to the Australian Chamber of Commerce and Industry.</w:t>
                        </w:r>
                      </w:p>
                      <w:p w14:paraId="7936A3FE" w14:textId="77777777" w:rsidR="00AC35D8" w:rsidRPr="002D425E" w:rsidRDefault="00AC35D8" w:rsidP="00AC35D8">
                        <w:pPr>
                          <w:jc w:val="center"/>
                          <w:rPr>
                            <w:color w:val="FFFFFF" w:themeColor="background1"/>
                            <w:sz w:val="20"/>
                            <w:szCs w:val="20"/>
                          </w:rPr>
                        </w:pPr>
                      </w:p>
                    </w:txbxContent>
                  </v:textbox>
                </v:shape>
                <w10:wrap anchorx="margin"/>
                <w10:anchorlock/>
              </v:group>
            </w:pict>
          </mc:Fallback>
        </mc:AlternateContent>
      </w:r>
    </w:p>
    <w:sectPr w:rsidR="00AC35D8" w:rsidRPr="00AC35D8" w:rsidSect="00147779">
      <w:footerReference w:type="default" r:id="rId15"/>
      <w:pgSz w:w="11906" w:h="16838"/>
      <w:pgMar w:top="1440" w:right="1440" w:bottom="993" w:left="1440" w:header="708" w:footer="14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9127F5" w16cex:dateUtc="2021-07-07T21:2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E8094E" w14:textId="77777777" w:rsidR="00C707B8" w:rsidRDefault="00C707B8" w:rsidP="0059637D">
      <w:pPr>
        <w:spacing w:after="0"/>
      </w:pPr>
      <w:r>
        <w:separator/>
      </w:r>
    </w:p>
  </w:endnote>
  <w:endnote w:type="continuationSeparator" w:id="0">
    <w:p w14:paraId="4BEC5E70" w14:textId="77777777" w:rsidR="00C707B8" w:rsidRDefault="00C707B8" w:rsidP="0059637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NeueLT Std Thin Cn">
    <w:altName w:val="Segoe Condensed"/>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HelveticaNeueLT Std Lt Cn">
    <w:altName w:val="Arial"/>
    <w:panose1 w:val="00000000000000000000"/>
    <w:charset w:val="00"/>
    <w:family w:val="swiss"/>
    <w:notTrueType/>
    <w:pitch w:val="variable"/>
    <w:sig w:usb0="800000AF" w:usb1="4000204A"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5982550"/>
      <w:docPartObj>
        <w:docPartGallery w:val="Page Numbers (Bottom of Page)"/>
        <w:docPartUnique/>
      </w:docPartObj>
    </w:sdtPr>
    <w:sdtEndPr>
      <w:rPr>
        <w:noProof/>
        <w:color w:val="C6AA76"/>
        <w:sz w:val="20"/>
      </w:rPr>
    </w:sdtEndPr>
    <w:sdtContent>
      <w:p w14:paraId="0C3A59ED" w14:textId="77777777" w:rsidR="00C013F4" w:rsidRPr="00AC3185" w:rsidRDefault="00C707B8" w:rsidP="00C73B7F">
        <w:pPr>
          <w:pStyle w:val="Footer"/>
          <w:tabs>
            <w:tab w:val="clear" w:pos="9026"/>
            <w:tab w:val="right" w:pos="9356"/>
          </w:tabs>
          <w:ind w:left="284"/>
          <w:rPr>
            <w:color w:val="C6AA76"/>
            <w:sz w:val="20"/>
          </w:rPr>
        </w:pPr>
        <w:sdt>
          <w:sdtPr>
            <w:rPr>
              <w:color w:val="C6AA76"/>
              <w:sz w:val="20"/>
            </w:rPr>
            <w:alias w:val="Title"/>
            <w:tag w:val=""/>
            <w:id w:val="-1326128623"/>
            <w:placeholder>
              <w:docPart w:val="420B14C803114741A3E8B3BA97F18905"/>
            </w:placeholder>
            <w:dataBinding w:prefixMappings="xmlns:ns0='http://purl.org/dc/elements/1.1/' xmlns:ns1='http://schemas.openxmlformats.org/package/2006/metadata/core-properties' " w:xpath="/ns1:coreProperties[1]/ns0:title[1]" w:storeItemID="{6C3C8BC8-F283-45AE-878A-BAB7291924A1}"/>
            <w:text/>
          </w:sdtPr>
          <w:sdtEndPr/>
          <w:sdtContent>
            <w:r w:rsidR="00A96A81">
              <w:rPr>
                <w:color w:val="C6AA76"/>
                <w:sz w:val="20"/>
              </w:rPr>
              <w:t>Review of Retail Payments Regulation</w:t>
            </w:r>
          </w:sdtContent>
        </w:sdt>
        <w:r w:rsidR="000041EE">
          <w:rPr>
            <w:color w:val="C6AA76"/>
            <w:sz w:val="20"/>
          </w:rPr>
          <w:t xml:space="preserve">  | </w:t>
        </w:r>
        <w:sdt>
          <w:sdtPr>
            <w:rPr>
              <w:color w:val="C6AA76"/>
              <w:sz w:val="20"/>
            </w:rPr>
            <w:alias w:val="Status"/>
            <w:tag w:val=""/>
            <w:id w:val="264430265"/>
            <w:dataBinding w:prefixMappings="xmlns:ns0='http://purl.org/dc/elements/1.1/' xmlns:ns1='http://schemas.openxmlformats.org/package/2006/metadata/core-properties' " w:xpath="/ns1:coreProperties[1]/ns1:contentStatus[1]" w:storeItemID="{6C3C8BC8-F283-45AE-878A-BAB7291924A1}"/>
            <w:text/>
          </w:sdtPr>
          <w:sdtEndPr/>
          <w:sdtContent>
            <w:r w:rsidR="00A96A81">
              <w:rPr>
                <w:color w:val="C6AA76"/>
                <w:sz w:val="20"/>
              </w:rPr>
              <w:t>August 9, 2021</w:t>
            </w:r>
          </w:sdtContent>
        </w:sdt>
        <w:r w:rsidR="00C013F4">
          <w:rPr>
            <w:color w:val="C6AA76"/>
            <w:sz w:val="20"/>
          </w:rPr>
          <w:tab/>
          <w:t xml:space="preserve"> </w:t>
        </w:r>
        <w:r w:rsidR="00C73B7F">
          <w:rPr>
            <w:color w:val="C6AA76"/>
            <w:sz w:val="20"/>
          </w:rPr>
          <w:tab/>
        </w:r>
        <w:r w:rsidR="00C013F4" w:rsidRPr="00F74CD6">
          <w:rPr>
            <w:color w:val="C6AA76"/>
            <w:spacing w:val="60"/>
            <w:sz w:val="20"/>
          </w:rPr>
          <w:t>Page</w:t>
        </w:r>
        <w:r w:rsidR="00C013F4" w:rsidRPr="00F74CD6">
          <w:rPr>
            <w:color w:val="C6AA76"/>
            <w:sz w:val="20"/>
          </w:rPr>
          <w:t xml:space="preserve"> | </w:t>
        </w:r>
        <w:r w:rsidR="00C013F4" w:rsidRPr="00F74CD6">
          <w:rPr>
            <w:color w:val="C6AA76"/>
            <w:sz w:val="20"/>
          </w:rPr>
          <w:fldChar w:fldCharType="begin"/>
        </w:r>
        <w:r w:rsidR="00C013F4" w:rsidRPr="00F74CD6">
          <w:rPr>
            <w:color w:val="C6AA76"/>
            <w:sz w:val="20"/>
          </w:rPr>
          <w:instrText xml:space="preserve"> PAGE   \* MERGEFORMAT </w:instrText>
        </w:r>
        <w:r w:rsidR="00C013F4" w:rsidRPr="00F74CD6">
          <w:rPr>
            <w:color w:val="C6AA76"/>
            <w:sz w:val="20"/>
          </w:rPr>
          <w:fldChar w:fldCharType="separate"/>
        </w:r>
        <w:r w:rsidR="00136472" w:rsidRPr="00136472">
          <w:rPr>
            <w:b/>
            <w:bCs/>
            <w:noProof/>
            <w:color w:val="C6AA76"/>
            <w:sz w:val="20"/>
          </w:rPr>
          <w:t>1</w:t>
        </w:r>
        <w:r w:rsidR="00C013F4" w:rsidRPr="00F74CD6">
          <w:rPr>
            <w:b/>
            <w:bCs/>
            <w:noProof/>
            <w:color w:val="C6AA76"/>
            <w:sz w:val="20"/>
          </w:rPr>
          <w:fldChar w:fldCharType="end"/>
        </w:r>
      </w:p>
    </w:sdtContent>
  </w:sdt>
  <w:p w14:paraId="35989C76" w14:textId="77777777" w:rsidR="00C013F4" w:rsidRDefault="00C01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515E3" w14:textId="77777777" w:rsidR="00C707B8" w:rsidRDefault="00C707B8" w:rsidP="0059637D">
      <w:pPr>
        <w:spacing w:after="0"/>
      </w:pPr>
      <w:r>
        <w:separator/>
      </w:r>
    </w:p>
  </w:footnote>
  <w:footnote w:type="continuationSeparator" w:id="0">
    <w:p w14:paraId="14ECB8AB" w14:textId="77777777" w:rsidR="00C707B8" w:rsidRDefault="00C707B8" w:rsidP="0059637D">
      <w:pPr>
        <w:spacing w:after="0"/>
      </w:pPr>
      <w:r>
        <w:continuationSeparator/>
      </w:r>
    </w:p>
  </w:footnote>
  <w:footnote w:id="1">
    <w:p w14:paraId="1495974E" w14:textId="77777777" w:rsidR="00D65BCC" w:rsidRDefault="00D65BCC" w:rsidP="00D65BCC">
      <w:pPr>
        <w:pStyle w:val="FootnoteText"/>
      </w:pPr>
      <w:r>
        <w:rPr>
          <w:rStyle w:val="FootnoteReference"/>
        </w:rPr>
        <w:footnoteRef/>
      </w:r>
      <w:r>
        <w:t xml:space="preserve"> </w:t>
      </w:r>
      <w:hyperlink r:id="rId1" w:history="1">
        <w:r w:rsidRPr="00182FF3">
          <w:rPr>
            <w:rStyle w:val="Hyperlink"/>
            <w:rFonts w:asciiTheme="minorHAnsi" w:hAnsiTheme="minorHAnsi" w:cstheme="minorHAnsi"/>
          </w:rPr>
          <w:t>https://www.ausbanking.org.au/priorities/open-banking/</w:t>
        </w:r>
      </w:hyperlink>
      <w:r>
        <w:t xml:space="preserve"> </w:t>
      </w:r>
    </w:p>
  </w:footnote>
  <w:footnote w:id="2">
    <w:p w14:paraId="0C6CC1B8" w14:textId="77777777" w:rsidR="00D65BCC" w:rsidRPr="00BD3A54" w:rsidRDefault="00D65BCC" w:rsidP="00D65BCC">
      <w:pPr>
        <w:pStyle w:val="FootnoteText"/>
        <w:rPr>
          <w:rFonts w:asciiTheme="minorHAnsi" w:hAnsiTheme="minorHAnsi" w:cstheme="minorHAnsi"/>
        </w:rPr>
      </w:pPr>
      <w:r w:rsidRPr="00BD3A54">
        <w:rPr>
          <w:rStyle w:val="FootnoteReference"/>
          <w:rFonts w:asciiTheme="minorHAnsi" w:hAnsiTheme="minorHAnsi" w:cstheme="minorHAnsi"/>
        </w:rPr>
        <w:footnoteRef/>
      </w:r>
      <w:r w:rsidRPr="00BD3A54">
        <w:rPr>
          <w:rFonts w:asciiTheme="minorHAnsi" w:hAnsiTheme="minorHAnsi" w:cstheme="minorHAnsi"/>
        </w:rPr>
        <w:t xml:space="preserve"> CMSPI, Submission to RBA regarding digital payments regulation 2021</w:t>
      </w:r>
    </w:p>
  </w:footnote>
  <w:footnote w:id="3">
    <w:p w14:paraId="46353721" w14:textId="280FAFDB" w:rsidR="00995A20" w:rsidRDefault="00995A20">
      <w:pPr>
        <w:pStyle w:val="FootnoteText"/>
      </w:pPr>
      <w:r>
        <w:rPr>
          <w:rStyle w:val="FootnoteReference"/>
        </w:rPr>
        <w:footnoteRef/>
      </w:r>
      <w:r>
        <w:t xml:space="preserve"> </w:t>
      </w:r>
      <w:hyperlink r:id="rId2" w:history="1">
        <w:r w:rsidRPr="00995A20">
          <w:rPr>
            <w:rStyle w:val="Hyperlink"/>
            <w:rFonts w:asciiTheme="minorHAnsi" w:hAnsiTheme="minorHAnsi" w:cstheme="minorHAnsi"/>
          </w:rPr>
          <w:t>https://www.rba.gov.au/payments-and-infrastructure/review-of-retail-payments-regulation/consultation-paper-202105/pdf/review-of-retail-payments-regulation-consultation-paper-202105.pdf</w:t>
        </w:r>
      </w:hyperlink>
      <w:r>
        <w:t xml:space="preserve"> </w:t>
      </w:r>
    </w:p>
  </w:footnote>
  <w:footnote w:id="4">
    <w:p w14:paraId="760D52B5" w14:textId="77777777" w:rsidR="00A958A2" w:rsidRDefault="00A958A2" w:rsidP="00A958A2">
      <w:pPr>
        <w:pStyle w:val="FootnoteText"/>
      </w:pPr>
      <w:r>
        <w:rPr>
          <w:rStyle w:val="FootnoteReference"/>
        </w:rPr>
        <w:footnoteRef/>
      </w:r>
      <w:r>
        <w:t xml:space="preserve"> </w:t>
      </w:r>
      <w:hyperlink r:id="rId3" w:history="1">
        <w:r w:rsidRPr="00A958A2">
          <w:rPr>
            <w:rStyle w:val="Hyperlink"/>
            <w:rFonts w:asciiTheme="minorHAnsi" w:hAnsiTheme="minorHAnsi" w:cstheme="minorHAnsi"/>
          </w:rPr>
          <w:t>https://treasury.gov.au/sites/default/files/2021-02/147719_acci_0.pdf</w:t>
        </w:r>
      </w:hyperlink>
      <w:r w:rsidRPr="00A958A2">
        <w:rPr>
          <w:rFonts w:asciiTheme="minorHAnsi" w:hAnsiTheme="minorHAnsi" w:cstheme="minorHAnsi"/>
        </w:rPr>
        <w:t xml:space="preserve"> page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4929"/>
    <w:multiLevelType w:val="hybridMultilevel"/>
    <w:tmpl w:val="D556F19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C693DBB"/>
    <w:multiLevelType w:val="hybridMultilevel"/>
    <w:tmpl w:val="BB3A2A32"/>
    <w:lvl w:ilvl="0" w:tplc="9D5C676A">
      <w:numFmt w:val="bullet"/>
      <w:lvlText w:val="-"/>
      <w:lvlJc w:val="left"/>
      <w:pPr>
        <w:ind w:left="720" w:hanging="360"/>
      </w:pPr>
      <w:rPr>
        <w:rFonts w:ascii="Calibri" w:eastAsiaTheme="minorHAnsi" w:hAnsi="Calibri" w:cstheme="minorBid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45274B"/>
    <w:multiLevelType w:val="hybridMultilevel"/>
    <w:tmpl w:val="6FFC9D9E"/>
    <w:lvl w:ilvl="0" w:tplc="4D6C854C">
      <w:numFmt w:val="bullet"/>
      <w:lvlText w:val="-"/>
      <w:lvlJc w:val="left"/>
      <w:pPr>
        <w:ind w:left="1004" w:hanging="360"/>
      </w:pPr>
      <w:rPr>
        <w:rFonts w:ascii="Calibri" w:eastAsiaTheme="minorHAnsi" w:hAnsi="Calibri" w:cs="Calibri"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 w15:restartNumberingAfterBreak="0">
    <w:nsid w:val="14B22BCC"/>
    <w:multiLevelType w:val="hybridMultilevel"/>
    <w:tmpl w:val="D22801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98C5527"/>
    <w:multiLevelType w:val="hybridMultilevel"/>
    <w:tmpl w:val="06A686A4"/>
    <w:lvl w:ilvl="0" w:tplc="ACC21C1E">
      <w:numFmt w:val="bullet"/>
      <w:lvlText w:val="-"/>
      <w:lvlJc w:val="left"/>
      <w:pPr>
        <w:ind w:left="720" w:hanging="360"/>
      </w:pPr>
      <w:rPr>
        <w:rFonts w:ascii="Cambria" w:eastAsiaTheme="majorEastAsia" w:hAnsi="Cambria" w:cstheme="maj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CBF1181"/>
    <w:multiLevelType w:val="hybridMultilevel"/>
    <w:tmpl w:val="5BDC9CD4"/>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6" w15:restartNumberingAfterBreak="0">
    <w:nsid w:val="1DF8745E"/>
    <w:multiLevelType w:val="hybridMultilevel"/>
    <w:tmpl w:val="2F08A384"/>
    <w:lvl w:ilvl="0" w:tplc="0C090001">
      <w:start w:val="1"/>
      <w:numFmt w:val="bullet"/>
      <w:lvlText w:val=""/>
      <w:lvlJc w:val="left"/>
      <w:pPr>
        <w:ind w:left="1350" w:hanging="360"/>
      </w:pPr>
      <w:rPr>
        <w:rFonts w:ascii="Symbol" w:hAnsi="Symbol" w:hint="default"/>
      </w:rPr>
    </w:lvl>
    <w:lvl w:ilvl="1" w:tplc="0C090003" w:tentative="1">
      <w:start w:val="1"/>
      <w:numFmt w:val="bullet"/>
      <w:lvlText w:val="o"/>
      <w:lvlJc w:val="left"/>
      <w:pPr>
        <w:ind w:left="2070" w:hanging="360"/>
      </w:pPr>
      <w:rPr>
        <w:rFonts w:ascii="Courier New" w:hAnsi="Courier New" w:cs="Courier New" w:hint="default"/>
      </w:rPr>
    </w:lvl>
    <w:lvl w:ilvl="2" w:tplc="0C090005" w:tentative="1">
      <w:start w:val="1"/>
      <w:numFmt w:val="bullet"/>
      <w:lvlText w:val=""/>
      <w:lvlJc w:val="left"/>
      <w:pPr>
        <w:ind w:left="2790" w:hanging="360"/>
      </w:pPr>
      <w:rPr>
        <w:rFonts w:ascii="Wingdings" w:hAnsi="Wingdings" w:hint="default"/>
      </w:rPr>
    </w:lvl>
    <w:lvl w:ilvl="3" w:tplc="0C090001" w:tentative="1">
      <w:start w:val="1"/>
      <w:numFmt w:val="bullet"/>
      <w:lvlText w:val=""/>
      <w:lvlJc w:val="left"/>
      <w:pPr>
        <w:ind w:left="3510" w:hanging="360"/>
      </w:pPr>
      <w:rPr>
        <w:rFonts w:ascii="Symbol" w:hAnsi="Symbol" w:hint="default"/>
      </w:rPr>
    </w:lvl>
    <w:lvl w:ilvl="4" w:tplc="0C090003" w:tentative="1">
      <w:start w:val="1"/>
      <w:numFmt w:val="bullet"/>
      <w:lvlText w:val="o"/>
      <w:lvlJc w:val="left"/>
      <w:pPr>
        <w:ind w:left="4230" w:hanging="360"/>
      </w:pPr>
      <w:rPr>
        <w:rFonts w:ascii="Courier New" w:hAnsi="Courier New" w:cs="Courier New" w:hint="default"/>
      </w:rPr>
    </w:lvl>
    <w:lvl w:ilvl="5" w:tplc="0C090005" w:tentative="1">
      <w:start w:val="1"/>
      <w:numFmt w:val="bullet"/>
      <w:lvlText w:val=""/>
      <w:lvlJc w:val="left"/>
      <w:pPr>
        <w:ind w:left="4950" w:hanging="360"/>
      </w:pPr>
      <w:rPr>
        <w:rFonts w:ascii="Wingdings" w:hAnsi="Wingdings" w:hint="default"/>
      </w:rPr>
    </w:lvl>
    <w:lvl w:ilvl="6" w:tplc="0C090001" w:tentative="1">
      <w:start w:val="1"/>
      <w:numFmt w:val="bullet"/>
      <w:lvlText w:val=""/>
      <w:lvlJc w:val="left"/>
      <w:pPr>
        <w:ind w:left="5670" w:hanging="360"/>
      </w:pPr>
      <w:rPr>
        <w:rFonts w:ascii="Symbol" w:hAnsi="Symbol" w:hint="default"/>
      </w:rPr>
    </w:lvl>
    <w:lvl w:ilvl="7" w:tplc="0C090003" w:tentative="1">
      <w:start w:val="1"/>
      <w:numFmt w:val="bullet"/>
      <w:lvlText w:val="o"/>
      <w:lvlJc w:val="left"/>
      <w:pPr>
        <w:ind w:left="6390" w:hanging="360"/>
      </w:pPr>
      <w:rPr>
        <w:rFonts w:ascii="Courier New" w:hAnsi="Courier New" w:cs="Courier New" w:hint="default"/>
      </w:rPr>
    </w:lvl>
    <w:lvl w:ilvl="8" w:tplc="0C090005" w:tentative="1">
      <w:start w:val="1"/>
      <w:numFmt w:val="bullet"/>
      <w:lvlText w:val=""/>
      <w:lvlJc w:val="left"/>
      <w:pPr>
        <w:ind w:left="7110" w:hanging="360"/>
      </w:pPr>
      <w:rPr>
        <w:rFonts w:ascii="Wingdings" w:hAnsi="Wingdings" w:hint="default"/>
      </w:rPr>
    </w:lvl>
  </w:abstractNum>
  <w:abstractNum w:abstractNumId="7" w15:restartNumberingAfterBreak="0">
    <w:nsid w:val="21626349"/>
    <w:multiLevelType w:val="hybridMultilevel"/>
    <w:tmpl w:val="6F9E9870"/>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23425BCA"/>
    <w:multiLevelType w:val="hybridMultilevel"/>
    <w:tmpl w:val="29502AB0"/>
    <w:lvl w:ilvl="0" w:tplc="0C090001">
      <w:start w:val="1"/>
      <w:numFmt w:val="bullet"/>
      <w:lvlText w:val=""/>
      <w:lvlJc w:val="left"/>
      <w:pPr>
        <w:ind w:left="4280" w:hanging="360"/>
      </w:pPr>
      <w:rPr>
        <w:rFonts w:ascii="Symbol" w:hAnsi="Symbol" w:hint="default"/>
      </w:rPr>
    </w:lvl>
    <w:lvl w:ilvl="1" w:tplc="0C090003" w:tentative="1">
      <w:start w:val="1"/>
      <w:numFmt w:val="bullet"/>
      <w:lvlText w:val="o"/>
      <w:lvlJc w:val="left"/>
      <w:pPr>
        <w:ind w:left="5000" w:hanging="360"/>
      </w:pPr>
      <w:rPr>
        <w:rFonts w:ascii="Courier New" w:hAnsi="Courier New" w:cs="Courier New" w:hint="default"/>
      </w:rPr>
    </w:lvl>
    <w:lvl w:ilvl="2" w:tplc="0C090005" w:tentative="1">
      <w:start w:val="1"/>
      <w:numFmt w:val="bullet"/>
      <w:lvlText w:val=""/>
      <w:lvlJc w:val="left"/>
      <w:pPr>
        <w:ind w:left="5720" w:hanging="360"/>
      </w:pPr>
      <w:rPr>
        <w:rFonts w:ascii="Wingdings" w:hAnsi="Wingdings" w:hint="default"/>
      </w:rPr>
    </w:lvl>
    <w:lvl w:ilvl="3" w:tplc="0C090001" w:tentative="1">
      <w:start w:val="1"/>
      <w:numFmt w:val="bullet"/>
      <w:lvlText w:val=""/>
      <w:lvlJc w:val="left"/>
      <w:pPr>
        <w:ind w:left="6440" w:hanging="360"/>
      </w:pPr>
      <w:rPr>
        <w:rFonts w:ascii="Symbol" w:hAnsi="Symbol" w:hint="default"/>
      </w:rPr>
    </w:lvl>
    <w:lvl w:ilvl="4" w:tplc="0C090003" w:tentative="1">
      <w:start w:val="1"/>
      <w:numFmt w:val="bullet"/>
      <w:lvlText w:val="o"/>
      <w:lvlJc w:val="left"/>
      <w:pPr>
        <w:ind w:left="7160" w:hanging="360"/>
      </w:pPr>
      <w:rPr>
        <w:rFonts w:ascii="Courier New" w:hAnsi="Courier New" w:cs="Courier New" w:hint="default"/>
      </w:rPr>
    </w:lvl>
    <w:lvl w:ilvl="5" w:tplc="0C090005" w:tentative="1">
      <w:start w:val="1"/>
      <w:numFmt w:val="bullet"/>
      <w:lvlText w:val=""/>
      <w:lvlJc w:val="left"/>
      <w:pPr>
        <w:ind w:left="7880" w:hanging="360"/>
      </w:pPr>
      <w:rPr>
        <w:rFonts w:ascii="Wingdings" w:hAnsi="Wingdings" w:hint="default"/>
      </w:rPr>
    </w:lvl>
    <w:lvl w:ilvl="6" w:tplc="0C090001" w:tentative="1">
      <w:start w:val="1"/>
      <w:numFmt w:val="bullet"/>
      <w:lvlText w:val=""/>
      <w:lvlJc w:val="left"/>
      <w:pPr>
        <w:ind w:left="8600" w:hanging="360"/>
      </w:pPr>
      <w:rPr>
        <w:rFonts w:ascii="Symbol" w:hAnsi="Symbol" w:hint="default"/>
      </w:rPr>
    </w:lvl>
    <w:lvl w:ilvl="7" w:tplc="0C090003" w:tentative="1">
      <w:start w:val="1"/>
      <w:numFmt w:val="bullet"/>
      <w:lvlText w:val="o"/>
      <w:lvlJc w:val="left"/>
      <w:pPr>
        <w:ind w:left="9320" w:hanging="360"/>
      </w:pPr>
      <w:rPr>
        <w:rFonts w:ascii="Courier New" w:hAnsi="Courier New" w:cs="Courier New" w:hint="default"/>
      </w:rPr>
    </w:lvl>
    <w:lvl w:ilvl="8" w:tplc="0C090005" w:tentative="1">
      <w:start w:val="1"/>
      <w:numFmt w:val="bullet"/>
      <w:lvlText w:val=""/>
      <w:lvlJc w:val="left"/>
      <w:pPr>
        <w:ind w:left="10040" w:hanging="360"/>
      </w:pPr>
      <w:rPr>
        <w:rFonts w:ascii="Wingdings" w:hAnsi="Wingdings" w:hint="default"/>
      </w:rPr>
    </w:lvl>
  </w:abstractNum>
  <w:abstractNum w:abstractNumId="9" w15:restartNumberingAfterBreak="0">
    <w:nsid w:val="2BD70612"/>
    <w:multiLevelType w:val="hybridMultilevel"/>
    <w:tmpl w:val="282EC074"/>
    <w:lvl w:ilvl="0" w:tplc="0C090001">
      <w:start w:val="1"/>
      <w:numFmt w:val="bullet"/>
      <w:lvlText w:val=""/>
      <w:lvlJc w:val="left"/>
      <w:pPr>
        <w:ind w:left="2007" w:hanging="360"/>
      </w:pPr>
      <w:rPr>
        <w:rFonts w:ascii="Symbol" w:hAnsi="Symbol" w:hint="default"/>
      </w:rPr>
    </w:lvl>
    <w:lvl w:ilvl="1" w:tplc="0C090003" w:tentative="1">
      <w:start w:val="1"/>
      <w:numFmt w:val="bullet"/>
      <w:lvlText w:val="o"/>
      <w:lvlJc w:val="left"/>
      <w:pPr>
        <w:ind w:left="2727" w:hanging="360"/>
      </w:pPr>
      <w:rPr>
        <w:rFonts w:ascii="Courier New" w:hAnsi="Courier New" w:cs="Courier New" w:hint="default"/>
      </w:rPr>
    </w:lvl>
    <w:lvl w:ilvl="2" w:tplc="0C090005" w:tentative="1">
      <w:start w:val="1"/>
      <w:numFmt w:val="bullet"/>
      <w:lvlText w:val=""/>
      <w:lvlJc w:val="left"/>
      <w:pPr>
        <w:ind w:left="3447" w:hanging="360"/>
      </w:pPr>
      <w:rPr>
        <w:rFonts w:ascii="Wingdings" w:hAnsi="Wingdings" w:hint="default"/>
      </w:rPr>
    </w:lvl>
    <w:lvl w:ilvl="3" w:tplc="0C090001" w:tentative="1">
      <w:start w:val="1"/>
      <w:numFmt w:val="bullet"/>
      <w:lvlText w:val=""/>
      <w:lvlJc w:val="left"/>
      <w:pPr>
        <w:ind w:left="4167" w:hanging="360"/>
      </w:pPr>
      <w:rPr>
        <w:rFonts w:ascii="Symbol" w:hAnsi="Symbol" w:hint="default"/>
      </w:rPr>
    </w:lvl>
    <w:lvl w:ilvl="4" w:tplc="0C090003" w:tentative="1">
      <w:start w:val="1"/>
      <w:numFmt w:val="bullet"/>
      <w:lvlText w:val="o"/>
      <w:lvlJc w:val="left"/>
      <w:pPr>
        <w:ind w:left="4887" w:hanging="360"/>
      </w:pPr>
      <w:rPr>
        <w:rFonts w:ascii="Courier New" w:hAnsi="Courier New" w:cs="Courier New" w:hint="default"/>
      </w:rPr>
    </w:lvl>
    <w:lvl w:ilvl="5" w:tplc="0C090005" w:tentative="1">
      <w:start w:val="1"/>
      <w:numFmt w:val="bullet"/>
      <w:lvlText w:val=""/>
      <w:lvlJc w:val="left"/>
      <w:pPr>
        <w:ind w:left="5607" w:hanging="360"/>
      </w:pPr>
      <w:rPr>
        <w:rFonts w:ascii="Wingdings" w:hAnsi="Wingdings" w:hint="default"/>
      </w:rPr>
    </w:lvl>
    <w:lvl w:ilvl="6" w:tplc="0C090001" w:tentative="1">
      <w:start w:val="1"/>
      <w:numFmt w:val="bullet"/>
      <w:lvlText w:val=""/>
      <w:lvlJc w:val="left"/>
      <w:pPr>
        <w:ind w:left="6327" w:hanging="360"/>
      </w:pPr>
      <w:rPr>
        <w:rFonts w:ascii="Symbol" w:hAnsi="Symbol" w:hint="default"/>
      </w:rPr>
    </w:lvl>
    <w:lvl w:ilvl="7" w:tplc="0C090003" w:tentative="1">
      <w:start w:val="1"/>
      <w:numFmt w:val="bullet"/>
      <w:lvlText w:val="o"/>
      <w:lvlJc w:val="left"/>
      <w:pPr>
        <w:ind w:left="7047" w:hanging="360"/>
      </w:pPr>
      <w:rPr>
        <w:rFonts w:ascii="Courier New" w:hAnsi="Courier New" w:cs="Courier New" w:hint="default"/>
      </w:rPr>
    </w:lvl>
    <w:lvl w:ilvl="8" w:tplc="0C090005" w:tentative="1">
      <w:start w:val="1"/>
      <w:numFmt w:val="bullet"/>
      <w:lvlText w:val=""/>
      <w:lvlJc w:val="left"/>
      <w:pPr>
        <w:ind w:left="7767" w:hanging="360"/>
      </w:pPr>
      <w:rPr>
        <w:rFonts w:ascii="Wingdings" w:hAnsi="Wingdings" w:hint="default"/>
      </w:rPr>
    </w:lvl>
  </w:abstractNum>
  <w:abstractNum w:abstractNumId="10" w15:restartNumberingAfterBreak="0">
    <w:nsid w:val="2C59017F"/>
    <w:multiLevelType w:val="hybridMultilevel"/>
    <w:tmpl w:val="F884A564"/>
    <w:lvl w:ilvl="0" w:tplc="CD3CFCEE">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CCB2CDB"/>
    <w:multiLevelType w:val="hybridMultilevel"/>
    <w:tmpl w:val="F9722394"/>
    <w:lvl w:ilvl="0" w:tplc="4D6C854C">
      <w:numFmt w:val="bullet"/>
      <w:lvlText w:val="-"/>
      <w:lvlJc w:val="left"/>
      <w:pPr>
        <w:ind w:left="1004" w:hanging="360"/>
      </w:pPr>
      <w:rPr>
        <w:rFonts w:ascii="Calibri" w:eastAsiaTheme="minorHAnsi" w:hAnsi="Calibri" w:cs="Calibri"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2" w15:restartNumberingAfterBreak="0">
    <w:nsid w:val="2DCD6053"/>
    <w:multiLevelType w:val="multilevel"/>
    <w:tmpl w:val="420C2FF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0D62DC4"/>
    <w:multiLevelType w:val="hybridMultilevel"/>
    <w:tmpl w:val="D004CF2A"/>
    <w:lvl w:ilvl="0" w:tplc="9D5C676A">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9AF3CD1"/>
    <w:multiLevelType w:val="hybridMultilevel"/>
    <w:tmpl w:val="D556070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AB26EFC"/>
    <w:multiLevelType w:val="hybridMultilevel"/>
    <w:tmpl w:val="2EBC60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CD622E0"/>
    <w:multiLevelType w:val="hybridMultilevel"/>
    <w:tmpl w:val="5130F55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7" w15:restartNumberingAfterBreak="0">
    <w:nsid w:val="3E045152"/>
    <w:multiLevelType w:val="hybridMultilevel"/>
    <w:tmpl w:val="E1786FE4"/>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F7E0EED"/>
    <w:multiLevelType w:val="hybridMultilevel"/>
    <w:tmpl w:val="B11059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FCD6B9C"/>
    <w:multiLevelType w:val="hybridMultilevel"/>
    <w:tmpl w:val="1DCC805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533738A1"/>
    <w:multiLevelType w:val="hybridMultilevel"/>
    <w:tmpl w:val="683E9276"/>
    <w:lvl w:ilvl="0" w:tplc="214EF562">
      <w:start w:val="1"/>
      <w:numFmt w:val="upp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54FF0A49"/>
    <w:multiLevelType w:val="hybridMultilevel"/>
    <w:tmpl w:val="A22010D4"/>
    <w:lvl w:ilvl="0" w:tplc="22CC740E">
      <w:numFmt w:val="bullet"/>
      <w:lvlText w:val="-"/>
      <w:lvlJc w:val="left"/>
      <w:pPr>
        <w:ind w:left="1446" w:hanging="360"/>
      </w:pPr>
      <w:rPr>
        <w:rFonts w:ascii="Arial Narrow" w:eastAsiaTheme="minorHAnsi" w:hAnsi="Arial Narrow" w:cstheme="minorBidi" w:hint="default"/>
      </w:rPr>
    </w:lvl>
    <w:lvl w:ilvl="1" w:tplc="0C090003" w:tentative="1">
      <w:start w:val="1"/>
      <w:numFmt w:val="bullet"/>
      <w:lvlText w:val="o"/>
      <w:lvlJc w:val="left"/>
      <w:pPr>
        <w:ind w:left="2166" w:hanging="360"/>
      </w:pPr>
      <w:rPr>
        <w:rFonts w:ascii="Courier New" w:hAnsi="Courier New" w:cs="Courier New" w:hint="default"/>
      </w:rPr>
    </w:lvl>
    <w:lvl w:ilvl="2" w:tplc="0C090005" w:tentative="1">
      <w:start w:val="1"/>
      <w:numFmt w:val="bullet"/>
      <w:lvlText w:val=""/>
      <w:lvlJc w:val="left"/>
      <w:pPr>
        <w:ind w:left="2886" w:hanging="360"/>
      </w:pPr>
      <w:rPr>
        <w:rFonts w:ascii="Wingdings" w:hAnsi="Wingdings" w:hint="default"/>
      </w:rPr>
    </w:lvl>
    <w:lvl w:ilvl="3" w:tplc="0C090001" w:tentative="1">
      <w:start w:val="1"/>
      <w:numFmt w:val="bullet"/>
      <w:lvlText w:val=""/>
      <w:lvlJc w:val="left"/>
      <w:pPr>
        <w:ind w:left="3606" w:hanging="360"/>
      </w:pPr>
      <w:rPr>
        <w:rFonts w:ascii="Symbol" w:hAnsi="Symbol" w:hint="default"/>
      </w:rPr>
    </w:lvl>
    <w:lvl w:ilvl="4" w:tplc="0C090003" w:tentative="1">
      <w:start w:val="1"/>
      <w:numFmt w:val="bullet"/>
      <w:lvlText w:val="o"/>
      <w:lvlJc w:val="left"/>
      <w:pPr>
        <w:ind w:left="4326" w:hanging="360"/>
      </w:pPr>
      <w:rPr>
        <w:rFonts w:ascii="Courier New" w:hAnsi="Courier New" w:cs="Courier New" w:hint="default"/>
      </w:rPr>
    </w:lvl>
    <w:lvl w:ilvl="5" w:tplc="0C090005" w:tentative="1">
      <w:start w:val="1"/>
      <w:numFmt w:val="bullet"/>
      <w:lvlText w:val=""/>
      <w:lvlJc w:val="left"/>
      <w:pPr>
        <w:ind w:left="5046" w:hanging="360"/>
      </w:pPr>
      <w:rPr>
        <w:rFonts w:ascii="Wingdings" w:hAnsi="Wingdings" w:hint="default"/>
      </w:rPr>
    </w:lvl>
    <w:lvl w:ilvl="6" w:tplc="0C090001" w:tentative="1">
      <w:start w:val="1"/>
      <w:numFmt w:val="bullet"/>
      <w:lvlText w:val=""/>
      <w:lvlJc w:val="left"/>
      <w:pPr>
        <w:ind w:left="5766" w:hanging="360"/>
      </w:pPr>
      <w:rPr>
        <w:rFonts w:ascii="Symbol" w:hAnsi="Symbol" w:hint="default"/>
      </w:rPr>
    </w:lvl>
    <w:lvl w:ilvl="7" w:tplc="0C090003" w:tentative="1">
      <w:start w:val="1"/>
      <w:numFmt w:val="bullet"/>
      <w:lvlText w:val="o"/>
      <w:lvlJc w:val="left"/>
      <w:pPr>
        <w:ind w:left="6486" w:hanging="360"/>
      </w:pPr>
      <w:rPr>
        <w:rFonts w:ascii="Courier New" w:hAnsi="Courier New" w:cs="Courier New" w:hint="default"/>
      </w:rPr>
    </w:lvl>
    <w:lvl w:ilvl="8" w:tplc="0C090005" w:tentative="1">
      <w:start w:val="1"/>
      <w:numFmt w:val="bullet"/>
      <w:lvlText w:val=""/>
      <w:lvlJc w:val="left"/>
      <w:pPr>
        <w:ind w:left="7206" w:hanging="360"/>
      </w:pPr>
      <w:rPr>
        <w:rFonts w:ascii="Wingdings" w:hAnsi="Wingdings" w:hint="default"/>
      </w:rPr>
    </w:lvl>
  </w:abstractNum>
  <w:abstractNum w:abstractNumId="22" w15:restartNumberingAfterBreak="0">
    <w:nsid w:val="57DD0C31"/>
    <w:multiLevelType w:val="hybridMultilevel"/>
    <w:tmpl w:val="995E229C"/>
    <w:lvl w:ilvl="0" w:tplc="22CC740E">
      <w:numFmt w:val="bullet"/>
      <w:lvlText w:val="-"/>
      <w:lvlJc w:val="left"/>
      <w:pPr>
        <w:ind w:left="1069" w:hanging="360"/>
      </w:pPr>
      <w:rPr>
        <w:rFonts w:ascii="Arial Narrow" w:eastAsiaTheme="minorHAnsi" w:hAnsi="Arial Narrow" w:cstheme="minorBid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3" w15:restartNumberingAfterBreak="0">
    <w:nsid w:val="5A5E0ADE"/>
    <w:multiLevelType w:val="hybridMultilevel"/>
    <w:tmpl w:val="61BCD88E"/>
    <w:lvl w:ilvl="0" w:tplc="0ADAB2F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D2A4BFE"/>
    <w:multiLevelType w:val="hybridMultilevel"/>
    <w:tmpl w:val="E1005A88"/>
    <w:lvl w:ilvl="0" w:tplc="30BE313A">
      <w:numFmt w:val="bullet"/>
      <w:lvlText w:val="-"/>
      <w:lvlJc w:val="left"/>
      <w:pPr>
        <w:ind w:left="927" w:hanging="360"/>
      </w:pPr>
      <w:rPr>
        <w:rFonts w:ascii="Arial Narrow" w:eastAsiaTheme="minorHAnsi" w:hAnsi="Arial Narrow" w:cstheme="minorBidi"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25" w15:restartNumberingAfterBreak="0">
    <w:nsid w:val="675273CA"/>
    <w:multiLevelType w:val="hybridMultilevel"/>
    <w:tmpl w:val="DD128E0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6" w15:restartNumberingAfterBreak="0">
    <w:nsid w:val="727E2E8F"/>
    <w:multiLevelType w:val="hybridMultilevel"/>
    <w:tmpl w:val="D0DAE9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5725CA6"/>
    <w:multiLevelType w:val="hybridMultilevel"/>
    <w:tmpl w:val="6B947E8E"/>
    <w:lvl w:ilvl="0" w:tplc="8680853A">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8B04650"/>
    <w:multiLevelType w:val="hybridMultilevel"/>
    <w:tmpl w:val="6F6E3742"/>
    <w:lvl w:ilvl="0" w:tplc="4D6C854C">
      <w:numFmt w:val="bullet"/>
      <w:lvlText w:val="-"/>
      <w:lvlJc w:val="left"/>
      <w:pPr>
        <w:ind w:left="1004" w:hanging="360"/>
      </w:pPr>
      <w:rPr>
        <w:rFonts w:ascii="Calibri" w:eastAsiaTheme="minorHAnsi" w:hAnsi="Calibri" w:cs="Calibri"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9" w15:restartNumberingAfterBreak="0">
    <w:nsid w:val="7B331E97"/>
    <w:multiLevelType w:val="hybridMultilevel"/>
    <w:tmpl w:val="83082B7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3"/>
  </w:num>
  <w:num w:numId="2">
    <w:abstractNumId w:val="4"/>
  </w:num>
  <w:num w:numId="3">
    <w:abstractNumId w:val="27"/>
  </w:num>
  <w:num w:numId="4">
    <w:abstractNumId w:val="16"/>
  </w:num>
  <w:num w:numId="5">
    <w:abstractNumId w:val="14"/>
  </w:num>
  <w:num w:numId="6">
    <w:abstractNumId w:val="29"/>
  </w:num>
  <w:num w:numId="7">
    <w:abstractNumId w:val="1"/>
  </w:num>
  <w:num w:numId="8">
    <w:abstractNumId w:val="17"/>
  </w:num>
  <w:num w:numId="9">
    <w:abstractNumId w:val="26"/>
  </w:num>
  <w:num w:numId="10">
    <w:abstractNumId w:val="20"/>
  </w:num>
  <w:num w:numId="11">
    <w:abstractNumId w:val="15"/>
  </w:num>
  <w:num w:numId="12">
    <w:abstractNumId w:val="0"/>
  </w:num>
  <w:num w:numId="13">
    <w:abstractNumId w:val="18"/>
  </w:num>
  <w:num w:numId="14">
    <w:abstractNumId w:val="3"/>
  </w:num>
  <w:num w:numId="15">
    <w:abstractNumId w:val="23"/>
  </w:num>
  <w:num w:numId="16">
    <w:abstractNumId w:val="10"/>
  </w:num>
  <w:num w:numId="17">
    <w:abstractNumId w:val="6"/>
  </w:num>
  <w:num w:numId="18">
    <w:abstractNumId w:val="5"/>
  </w:num>
  <w:num w:numId="19">
    <w:abstractNumId w:val="9"/>
  </w:num>
  <w:num w:numId="20">
    <w:abstractNumId w:val="25"/>
  </w:num>
  <w:num w:numId="21">
    <w:abstractNumId w:val="8"/>
  </w:num>
  <w:num w:numId="22">
    <w:abstractNumId w:val="19"/>
  </w:num>
  <w:num w:numId="23">
    <w:abstractNumId w:val="24"/>
  </w:num>
  <w:num w:numId="24">
    <w:abstractNumId w:val="12"/>
  </w:num>
  <w:num w:numId="25">
    <w:abstractNumId w:val="22"/>
  </w:num>
  <w:num w:numId="26">
    <w:abstractNumId w:val="21"/>
  </w:num>
  <w:num w:numId="27">
    <w:abstractNumId w:val="7"/>
  </w:num>
  <w:num w:numId="28">
    <w:abstractNumId w:val="2"/>
  </w:num>
  <w:num w:numId="29">
    <w:abstractNumId w:val="11"/>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7QwMTY3N7AwMTO3NDdU0lEKTi0uzszPAykwrAUAPRTK5iwAAAA="/>
  </w:docVars>
  <w:rsids>
    <w:rsidRoot w:val="00B7476D"/>
    <w:rsid w:val="000041EE"/>
    <w:rsid w:val="00005FBA"/>
    <w:rsid w:val="00006FE6"/>
    <w:rsid w:val="00015A07"/>
    <w:rsid w:val="0001694D"/>
    <w:rsid w:val="000235AC"/>
    <w:rsid w:val="00036643"/>
    <w:rsid w:val="00046266"/>
    <w:rsid w:val="00046960"/>
    <w:rsid w:val="00046DD9"/>
    <w:rsid w:val="000842AB"/>
    <w:rsid w:val="00087E11"/>
    <w:rsid w:val="000B69EA"/>
    <w:rsid w:val="000C202B"/>
    <w:rsid w:val="000C25E6"/>
    <w:rsid w:val="000D3299"/>
    <w:rsid w:val="000E1568"/>
    <w:rsid w:val="00101CE7"/>
    <w:rsid w:val="00103CE8"/>
    <w:rsid w:val="00113E0F"/>
    <w:rsid w:val="001337CA"/>
    <w:rsid w:val="00136472"/>
    <w:rsid w:val="00147779"/>
    <w:rsid w:val="00153BE1"/>
    <w:rsid w:val="00164643"/>
    <w:rsid w:val="0017616F"/>
    <w:rsid w:val="00182952"/>
    <w:rsid w:val="00182FF3"/>
    <w:rsid w:val="00185BA5"/>
    <w:rsid w:val="00187653"/>
    <w:rsid w:val="00192B0F"/>
    <w:rsid w:val="00197488"/>
    <w:rsid w:val="00197816"/>
    <w:rsid w:val="001A0755"/>
    <w:rsid w:val="001A2268"/>
    <w:rsid w:val="001A2726"/>
    <w:rsid w:val="001A755D"/>
    <w:rsid w:val="001B346E"/>
    <w:rsid w:val="001C4EA0"/>
    <w:rsid w:val="001C5884"/>
    <w:rsid w:val="001C5D43"/>
    <w:rsid w:val="001C780E"/>
    <w:rsid w:val="001D5947"/>
    <w:rsid w:val="001F77B4"/>
    <w:rsid w:val="00205BFE"/>
    <w:rsid w:val="00210834"/>
    <w:rsid w:val="00215726"/>
    <w:rsid w:val="002163CF"/>
    <w:rsid w:val="00221676"/>
    <w:rsid w:val="002337DE"/>
    <w:rsid w:val="0023601C"/>
    <w:rsid w:val="00237062"/>
    <w:rsid w:val="002437B8"/>
    <w:rsid w:val="00244EBC"/>
    <w:rsid w:val="00247AAC"/>
    <w:rsid w:val="00250C6C"/>
    <w:rsid w:val="0026053C"/>
    <w:rsid w:val="002749C5"/>
    <w:rsid w:val="002754AC"/>
    <w:rsid w:val="0027790B"/>
    <w:rsid w:val="00284F0E"/>
    <w:rsid w:val="00295FEB"/>
    <w:rsid w:val="002A41AA"/>
    <w:rsid w:val="002A44C7"/>
    <w:rsid w:val="002A4C7F"/>
    <w:rsid w:val="002A63B2"/>
    <w:rsid w:val="002C07A3"/>
    <w:rsid w:val="002C1D81"/>
    <w:rsid w:val="002D425E"/>
    <w:rsid w:val="002D556F"/>
    <w:rsid w:val="002D5838"/>
    <w:rsid w:val="002D7FAD"/>
    <w:rsid w:val="002E0EFC"/>
    <w:rsid w:val="002E3582"/>
    <w:rsid w:val="002E5C9F"/>
    <w:rsid w:val="002E65F4"/>
    <w:rsid w:val="002E77D6"/>
    <w:rsid w:val="002F6E0E"/>
    <w:rsid w:val="003029CB"/>
    <w:rsid w:val="00304BF2"/>
    <w:rsid w:val="00305213"/>
    <w:rsid w:val="00315027"/>
    <w:rsid w:val="0031669E"/>
    <w:rsid w:val="00320F44"/>
    <w:rsid w:val="00335867"/>
    <w:rsid w:val="00341F33"/>
    <w:rsid w:val="00343253"/>
    <w:rsid w:val="00350FFD"/>
    <w:rsid w:val="003560DF"/>
    <w:rsid w:val="003572C3"/>
    <w:rsid w:val="00365EE4"/>
    <w:rsid w:val="00376FED"/>
    <w:rsid w:val="003806FD"/>
    <w:rsid w:val="003A1DD4"/>
    <w:rsid w:val="003B0FC5"/>
    <w:rsid w:val="003B1328"/>
    <w:rsid w:val="003B1DCF"/>
    <w:rsid w:val="0040294B"/>
    <w:rsid w:val="004118A3"/>
    <w:rsid w:val="00411996"/>
    <w:rsid w:val="004136FC"/>
    <w:rsid w:val="004146A6"/>
    <w:rsid w:val="004326F7"/>
    <w:rsid w:val="00432E4F"/>
    <w:rsid w:val="00465BFD"/>
    <w:rsid w:val="00477376"/>
    <w:rsid w:val="00496B76"/>
    <w:rsid w:val="004B1D00"/>
    <w:rsid w:val="004B3596"/>
    <w:rsid w:val="004B61C7"/>
    <w:rsid w:val="004B7562"/>
    <w:rsid w:val="004D61F1"/>
    <w:rsid w:val="004D6B49"/>
    <w:rsid w:val="004D6FB9"/>
    <w:rsid w:val="004E5015"/>
    <w:rsid w:val="004F002C"/>
    <w:rsid w:val="004F40A2"/>
    <w:rsid w:val="00505F08"/>
    <w:rsid w:val="0051404F"/>
    <w:rsid w:val="00516D31"/>
    <w:rsid w:val="00523C07"/>
    <w:rsid w:val="005256AD"/>
    <w:rsid w:val="005321C5"/>
    <w:rsid w:val="00537265"/>
    <w:rsid w:val="00540DB0"/>
    <w:rsid w:val="00576B6F"/>
    <w:rsid w:val="00581AD3"/>
    <w:rsid w:val="00586038"/>
    <w:rsid w:val="005926CE"/>
    <w:rsid w:val="00593B47"/>
    <w:rsid w:val="0059637D"/>
    <w:rsid w:val="005A6F8E"/>
    <w:rsid w:val="005B0EB3"/>
    <w:rsid w:val="005C0290"/>
    <w:rsid w:val="005C5B7A"/>
    <w:rsid w:val="005C7DE3"/>
    <w:rsid w:val="005E341F"/>
    <w:rsid w:val="005E59B6"/>
    <w:rsid w:val="005E7112"/>
    <w:rsid w:val="00600F0E"/>
    <w:rsid w:val="006147F4"/>
    <w:rsid w:val="00614AD6"/>
    <w:rsid w:val="0061516D"/>
    <w:rsid w:val="00615805"/>
    <w:rsid w:val="006210C4"/>
    <w:rsid w:val="00622365"/>
    <w:rsid w:val="0063208A"/>
    <w:rsid w:val="00641A4C"/>
    <w:rsid w:val="00665165"/>
    <w:rsid w:val="00677060"/>
    <w:rsid w:val="0067724D"/>
    <w:rsid w:val="00681D73"/>
    <w:rsid w:val="00694F07"/>
    <w:rsid w:val="00695F03"/>
    <w:rsid w:val="006A6977"/>
    <w:rsid w:val="006B4910"/>
    <w:rsid w:val="006B7523"/>
    <w:rsid w:val="006C154A"/>
    <w:rsid w:val="006C2179"/>
    <w:rsid w:val="006D1DF7"/>
    <w:rsid w:val="007142E2"/>
    <w:rsid w:val="00722063"/>
    <w:rsid w:val="0072286B"/>
    <w:rsid w:val="00724311"/>
    <w:rsid w:val="0073362E"/>
    <w:rsid w:val="00735934"/>
    <w:rsid w:val="00737BA0"/>
    <w:rsid w:val="00742E52"/>
    <w:rsid w:val="00742E66"/>
    <w:rsid w:val="00743C8E"/>
    <w:rsid w:val="00744FBC"/>
    <w:rsid w:val="0076046F"/>
    <w:rsid w:val="007644A2"/>
    <w:rsid w:val="00764F7C"/>
    <w:rsid w:val="007847DC"/>
    <w:rsid w:val="00787388"/>
    <w:rsid w:val="0079173F"/>
    <w:rsid w:val="00796ADB"/>
    <w:rsid w:val="007A4168"/>
    <w:rsid w:val="007B1C51"/>
    <w:rsid w:val="007B2D49"/>
    <w:rsid w:val="007B5A7B"/>
    <w:rsid w:val="007D6BC0"/>
    <w:rsid w:val="007F5BF1"/>
    <w:rsid w:val="007F7255"/>
    <w:rsid w:val="0080169E"/>
    <w:rsid w:val="00802840"/>
    <w:rsid w:val="008032EF"/>
    <w:rsid w:val="00805E43"/>
    <w:rsid w:val="00812A9F"/>
    <w:rsid w:val="00832BFA"/>
    <w:rsid w:val="0083336E"/>
    <w:rsid w:val="00837C7F"/>
    <w:rsid w:val="00845D6C"/>
    <w:rsid w:val="00850AC1"/>
    <w:rsid w:val="00850BD6"/>
    <w:rsid w:val="0085198B"/>
    <w:rsid w:val="00860D07"/>
    <w:rsid w:val="00870C23"/>
    <w:rsid w:val="008733DD"/>
    <w:rsid w:val="0088180C"/>
    <w:rsid w:val="00890421"/>
    <w:rsid w:val="0089578E"/>
    <w:rsid w:val="008C0BCD"/>
    <w:rsid w:val="008C5FF2"/>
    <w:rsid w:val="008C6540"/>
    <w:rsid w:val="008E3224"/>
    <w:rsid w:val="008E5BFD"/>
    <w:rsid w:val="008E7D61"/>
    <w:rsid w:val="00911836"/>
    <w:rsid w:val="00935D46"/>
    <w:rsid w:val="0096515E"/>
    <w:rsid w:val="00995A20"/>
    <w:rsid w:val="009E11D0"/>
    <w:rsid w:val="009F2A5F"/>
    <w:rsid w:val="00A00EAC"/>
    <w:rsid w:val="00A01191"/>
    <w:rsid w:val="00A25DB1"/>
    <w:rsid w:val="00A32112"/>
    <w:rsid w:val="00A34CF2"/>
    <w:rsid w:val="00A44BD8"/>
    <w:rsid w:val="00A4745B"/>
    <w:rsid w:val="00A52810"/>
    <w:rsid w:val="00A576A1"/>
    <w:rsid w:val="00A63F64"/>
    <w:rsid w:val="00A71333"/>
    <w:rsid w:val="00A74CDA"/>
    <w:rsid w:val="00A75CEC"/>
    <w:rsid w:val="00A841B8"/>
    <w:rsid w:val="00A900BD"/>
    <w:rsid w:val="00A958A2"/>
    <w:rsid w:val="00A96A81"/>
    <w:rsid w:val="00A975B6"/>
    <w:rsid w:val="00AC1527"/>
    <w:rsid w:val="00AC3185"/>
    <w:rsid w:val="00AC35D8"/>
    <w:rsid w:val="00AD225F"/>
    <w:rsid w:val="00AD6527"/>
    <w:rsid w:val="00AE063A"/>
    <w:rsid w:val="00AE1E3A"/>
    <w:rsid w:val="00AF5711"/>
    <w:rsid w:val="00AF726C"/>
    <w:rsid w:val="00B03A33"/>
    <w:rsid w:val="00B04A94"/>
    <w:rsid w:val="00B15CE8"/>
    <w:rsid w:val="00B257B1"/>
    <w:rsid w:val="00B4199F"/>
    <w:rsid w:val="00B42096"/>
    <w:rsid w:val="00B52672"/>
    <w:rsid w:val="00B7476D"/>
    <w:rsid w:val="00B97E64"/>
    <w:rsid w:val="00BA58A2"/>
    <w:rsid w:val="00BB4007"/>
    <w:rsid w:val="00BB7D98"/>
    <w:rsid w:val="00BC10E7"/>
    <w:rsid w:val="00BC42F3"/>
    <w:rsid w:val="00BC48AC"/>
    <w:rsid w:val="00BD3311"/>
    <w:rsid w:val="00BD3A54"/>
    <w:rsid w:val="00BD7F53"/>
    <w:rsid w:val="00BE1044"/>
    <w:rsid w:val="00BE6FD1"/>
    <w:rsid w:val="00BF04F7"/>
    <w:rsid w:val="00BF2C68"/>
    <w:rsid w:val="00C00DDF"/>
    <w:rsid w:val="00C013F4"/>
    <w:rsid w:val="00C0458D"/>
    <w:rsid w:val="00C05F4B"/>
    <w:rsid w:val="00C115AC"/>
    <w:rsid w:val="00C146A0"/>
    <w:rsid w:val="00C217D5"/>
    <w:rsid w:val="00C22557"/>
    <w:rsid w:val="00C2342A"/>
    <w:rsid w:val="00C23868"/>
    <w:rsid w:val="00C30983"/>
    <w:rsid w:val="00C3111D"/>
    <w:rsid w:val="00C3644E"/>
    <w:rsid w:val="00C40A84"/>
    <w:rsid w:val="00C5191E"/>
    <w:rsid w:val="00C707B8"/>
    <w:rsid w:val="00C73B7F"/>
    <w:rsid w:val="00C8021A"/>
    <w:rsid w:val="00C80EDE"/>
    <w:rsid w:val="00C84ACA"/>
    <w:rsid w:val="00C861E3"/>
    <w:rsid w:val="00CA2064"/>
    <w:rsid w:val="00CA2522"/>
    <w:rsid w:val="00CB4358"/>
    <w:rsid w:val="00CB6DB6"/>
    <w:rsid w:val="00CC4634"/>
    <w:rsid w:val="00CC601A"/>
    <w:rsid w:val="00CE3B14"/>
    <w:rsid w:val="00CE4221"/>
    <w:rsid w:val="00D029F9"/>
    <w:rsid w:val="00D048FF"/>
    <w:rsid w:val="00D14D81"/>
    <w:rsid w:val="00D21C29"/>
    <w:rsid w:val="00D22CED"/>
    <w:rsid w:val="00D37B11"/>
    <w:rsid w:val="00D4265F"/>
    <w:rsid w:val="00D55A40"/>
    <w:rsid w:val="00D57663"/>
    <w:rsid w:val="00D60DFF"/>
    <w:rsid w:val="00D60E0E"/>
    <w:rsid w:val="00D6124C"/>
    <w:rsid w:val="00D622CE"/>
    <w:rsid w:val="00D65BCC"/>
    <w:rsid w:val="00D727C4"/>
    <w:rsid w:val="00D976F9"/>
    <w:rsid w:val="00DB4956"/>
    <w:rsid w:val="00DC7F84"/>
    <w:rsid w:val="00DD35EA"/>
    <w:rsid w:val="00DD3B63"/>
    <w:rsid w:val="00DD4029"/>
    <w:rsid w:val="00DD6324"/>
    <w:rsid w:val="00DE27A1"/>
    <w:rsid w:val="00DF39CE"/>
    <w:rsid w:val="00DF4B74"/>
    <w:rsid w:val="00E052C5"/>
    <w:rsid w:val="00E0552B"/>
    <w:rsid w:val="00E1542E"/>
    <w:rsid w:val="00E2586D"/>
    <w:rsid w:val="00E42736"/>
    <w:rsid w:val="00E662A5"/>
    <w:rsid w:val="00E71DA6"/>
    <w:rsid w:val="00E81A3E"/>
    <w:rsid w:val="00EA30FC"/>
    <w:rsid w:val="00EA42D8"/>
    <w:rsid w:val="00EB4EDF"/>
    <w:rsid w:val="00EC27BE"/>
    <w:rsid w:val="00ED16DC"/>
    <w:rsid w:val="00EE4672"/>
    <w:rsid w:val="00EE4D85"/>
    <w:rsid w:val="00F10EEB"/>
    <w:rsid w:val="00F1762E"/>
    <w:rsid w:val="00F20DD4"/>
    <w:rsid w:val="00F407E8"/>
    <w:rsid w:val="00F46305"/>
    <w:rsid w:val="00F54271"/>
    <w:rsid w:val="00F71C4B"/>
    <w:rsid w:val="00F74CD6"/>
    <w:rsid w:val="00FA098B"/>
    <w:rsid w:val="00FA221C"/>
    <w:rsid w:val="00FA4C4C"/>
    <w:rsid w:val="00FA58D9"/>
    <w:rsid w:val="00FD3745"/>
    <w:rsid w:val="00FF15C7"/>
    <w:rsid w:val="00FF76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7929F"/>
  <w15:docId w15:val="{52277F55-8EDD-47C0-9713-3F503A72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3C07"/>
    <w:pPr>
      <w:spacing w:line="240" w:lineRule="auto"/>
    </w:pPr>
    <w:rPr>
      <w:rFonts w:ascii="Arial Narrow" w:hAnsi="Arial Narrow"/>
      <w:sz w:val="24"/>
    </w:rPr>
  </w:style>
  <w:style w:type="paragraph" w:styleId="Heading1">
    <w:name w:val="heading 1"/>
    <w:basedOn w:val="Normal"/>
    <w:next w:val="Normal"/>
    <w:link w:val="Heading1Char"/>
    <w:autoRedefine/>
    <w:uiPriority w:val="9"/>
    <w:qFormat/>
    <w:rsid w:val="00DD4029"/>
    <w:pPr>
      <w:keepNext/>
      <w:keepLines/>
      <w:spacing w:before="480" w:after="120"/>
      <w:ind w:left="284"/>
      <w:outlineLvl w:val="0"/>
    </w:pPr>
    <w:rPr>
      <w:rFonts w:ascii="HelveticaNeueLT Std Thin Cn" w:eastAsiaTheme="majorEastAsia" w:hAnsi="HelveticaNeueLT Std Thin Cn" w:cstheme="majorBidi"/>
      <w:bCs/>
      <w:color w:val="C6AA76"/>
      <w:sz w:val="36"/>
      <w:szCs w:val="36"/>
    </w:rPr>
  </w:style>
  <w:style w:type="paragraph" w:styleId="Heading2">
    <w:name w:val="heading 2"/>
    <w:basedOn w:val="Heading1"/>
    <w:next w:val="Normal"/>
    <w:link w:val="Heading2Char"/>
    <w:autoRedefine/>
    <w:uiPriority w:val="9"/>
    <w:unhideWhenUsed/>
    <w:qFormat/>
    <w:rsid w:val="00E81A3E"/>
    <w:pPr>
      <w:spacing w:before="200" w:after="0"/>
      <w:outlineLvl w:val="1"/>
    </w:pPr>
    <w:rPr>
      <w:rFonts w:ascii="Arial Narrow" w:hAnsi="Arial Narrow"/>
      <w:bCs w:val="0"/>
      <w:i/>
      <w:color w:val="012169"/>
      <w:sz w:val="32"/>
      <w:szCs w:val="26"/>
    </w:rPr>
  </w:style>
  <w:style w:type="paragraph" w:styleId="Heading3">
    <w:name w:val="heading 3"/>
    <w:basedOn w:val="Heading2"/>
    <w:next w:val="Normal"/>
    <w:link w:val="Heading3Char"/>
    <w:autoRedefine/>
    <w:uiPriority w:val="9"/>
    <w:unhideWhenUsed/>
    <w:qFormat/>
    <w:rsid w:val="00E81A3E"/>
    <w:pPr>
      <w:outlineLvl w:val="2"/>
    </w:pPr>
    <w:rPr>
      <w:bCs/>
      <w:sz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029"/>
    <w:rPr>
      <w:rFonts w:ascii="HelveticaNeueLT Std Thin Cn" w:eastAsiaTheme="majorEastAsia" w:hAnsi="HelveticaNeueLT Std Thin Cn" w:cstheme="majorBidi"/>
      <w:bCs/>
      <w:color w:val="C6AA76"/>
      <w:sz w:val="36"/>
      <w:szCs w:val="36"/>
    </w:rPr>
  </w:style>
  <w:style w:type="paragraph" w:styleId="Title">
    <w:name w:val="Title"/>
    <w:basedOn w:val="Normal"/>
    <w:next w:val="Normal"/>
    <w:link w:val="TitleChar"/>
    <w:autoRedefine/>
    <w:uiPriority w:val="10"/>
    <w:qFormat/>
    <w:rsid w:val="008C5FF2"/>
    <w:pPr>
      <w:pBdr>
        <w:bottom w:val="single" w:sz="8" w:space="4" w:color="4F81BD" w:themeColor="accent1"/>
      </w:pBdr>
      <w:spacing w:after="300"/>
      <w:contextualSpacing/>
    </w:pPr>
    <w:rPr>
      <w:rFonts w:eastAsiaTheme="majorEastAsia" w:cstheme="majorBidi"/>
      <w:color w:val="D3BC8D"/>
      <w:spacing w:val="5"/>
      <w:kern w:val="28"/>
      <w:sz w:val="60"/>
      <w:szCs w:val="52"/>
    </w:rPr>
  </w:style>
  <w:style w:type="character" w:customStyle="1" w:styleId="TitleChar">
    <w:name w:val="Title Char"/>
    <w:basedOn w:val="DefaultParagraphFont"/>
    <w:link w:val="Title"/>
    <w:uiPriority w:val="10"/>
    <w:rsid w:val="008C5FF2"/>
    <w:rPr>
      <w:rFonts w:ascii="Arial Narrow" w:eastAsiaTheme="majorEastAsia" w:hAnsi="Arial Narrow" w:cstheme="majorBidi"/>
      <w:color w:val="D3BC8D"/>
      <w:spacing w:val="5"/>
      <w:kern w:val="28"/>
      <w:sz w:val="60"/>
      <w:szCs w:val="52"/>
    </w:rPr>
  </w:style>
  <w:style w:type="paragraph" w:styleId="Subtitle">
    <w:name w:val="Subtitle"/>
    <w:basedOn w:val="Normal"/>
    <w:next w:val="Normal"/>
    <w:link w:val="SubtitleChar"/>
    <w:autoRedefine/>
    <w:uiPriority w:val="11"/>
    <w:qFormat/>
    <w:rsid w:val="008C5FF2"/>
    <w:pPr>
      <w:numPr>
        <w:ilvl w:val="1"/>
      </w:numPr>
    </w:pPr>
    <w:rPr>
      <w:rFonts w:eastAsiaTheme="majorEastAsia" w:cstheme="majorBidi"/>
      <w:iCs/>
      <w:color w:val="012169"/>
      <w:spacing w:val="15"/>
      <w:sz w:val="36"/>
      <w:szCs w:val="24"/>
    </w:rPr>
  </w:style>
  <w:style w:type="character" w:customStyle="1" w:styleId="SubtitleChar">
    <w:name w:val="Subtitle Char"/>
    <w:basedOn w:val="DefaultParagraphFont"/>
    <w:link w:val="Subtitle"/>
    <w:uiPriority w:val="11"/>
    <w:rsid w:val="008C5FF2"/>
    <w:rPr>
      <w:rFonts w:ascii="Arial Narrow" w:eastAsiaTheme="majorEastAsia" w:hAnsi="Arial Narrow" w:cstheme="majorBidi"/>
      <w:iCs/>
      <w:color w:val="012169"/>
      <w:spacing w:val="15"/>
      <w:sz w:val="36"/>
      <w:szCs w:val="24"/>
    </w:rPr>
  </w:style>
  <w:style w:type="character" w:styleId="Emphasis">
    <w:name w:val="Emphasis"/>
    <w:basedOn w:val="DefaultParagraphFont"/>
    <w:uiPriority w:val="20"/>
    <w:qFormat/>
    <w:rsid w:val="007F7255"/>
    <w:rPr>
      <w:i/>
      <w:iCs/>
    </w:rPr>
  </w:style>
  <w:style w:type="paragraph" w:styleId="ListParagraph">
    <w:name w:val="List Paragraph"/>
    <w:basedOn w:val="Normal"/>
    <w:uiPriority w:val="34"/>
    <w:qFormat/>
    <w:rsid w:val="00C146A0"/>
    <w:pPr>
      <w:ind w:left="720"/>
      <w:contextualSpacing/>
    </w:pPr>
  </w:style>
  <w:style w:type="paragraph" w:styleId="NoSpacing">
    <w:name w:val="No Spacing"/>
    <w:uiPriority w:val="1"/>
    <w:qFormat/>
    <w:rsid w:val="00DD6324"/>
    <w:pPr>
      <w:spacing w:after="0" w:line="240" w:lineRule="auto"/>
    </w:pPr>
    <w:rPr>
      <w:sz w:val="28"/>
    </w:rPr>
  </w:style>
  <w:style w:type="paragraph" w:styleId="Header">
    <w:name w:val="header"/>
    <w:basedOn w:val="Normal"/>
    <w:link w:val="HeaderChar"/>
    <w:uiPriority w:val="99"/>
    <w:unhideWhenUsed/>
    <w:rsid w:val="0059637D"/>
    <w:pPr>
      <w:tabs>
        <w:tab w:val="center" w:pos="4513"/>
        <w:tab w:val="right" w:pos="9026"/>
      </w:tabs>
      <w:spacing w:after="0"/>
    </w:pPr>
  </w:style>
  <w:style w:type="character" w:customStyle="1" w:styleId="HeaderChar">
    <w:name w:val="Header Char"/>
    <w:basedOn w:val="DefaultParagraphFont"/>
    <w:link w:val="Header"/>
    <w:uiPriority w:val="99"/>
    <w:rsid w:val="0059637D"/>
    <w:rPr>
      <w:sz w:val="28"/>
    </w:rPr>
  </w:style>
  <w:style w:type="paragraph" w:styleId="Footer">
    <w:name w:val="footer"/>
    <w:basedOn w:val="Normal"/>
    <w:link w:val="FooterChar"/>
    <w:uiPriority w:val="99"/>
    <w:unhideWhenUsed/>
    <w:rsid w:val="0059637D"/>
    <w:pPr>
      <w:tabs>
        <w:tab w:val="center" w:pos="4513"/>
        <w:tab w:val="right" w:pos="9026"/>
      </w:tabs>
      <w:spacing w:after="0"/>
    </w:pPr>
  </w:style>
  <w:style w:type="character" w:customStyle="1" w:styleId="FooterChar">
    <w:name w:val="Footer Char"/>
    <w:basedOn w:val="DefaultParagraphFont"/>
    <w:link w:val="Footer"/>
    <w:uiPriority w:val="99"/>
    <w:rsid w:val="0059637D"/>
    <w:rPr>
      <w:sz w:val="28"/>
    </w:rPr>
  </w:style>
  <w:style w:type="paragraph" w:styleId="BalloonText">
    <w:name w:val="Balloon Text"/>
    <w:basedOn w:val="Normal"/>
    <w:link w:val="BalloonTextChar"/>
    <w:uiPriority w:val="99"/>
    <w:semiHidden/>
    <w:unhideWhenUsed/>
    <w:rsid w:val="0059637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637D"/>
    <w:rPr>
      <w:rFonts w:ascii="Tahoma" w:hAnsi="Tahoma" w:cs="Tahoma"/>
      <w:sz w:val="16"/>
      <w:szCs w:val="16"/>
    </w:rPr>
  </w:style>
  <w:style w:type="character" w:styleId="Hyperlink">
    <w:name w:val="Hyperlink"/>
    <w:basedOn w:val="DefaultParagraphFont"/>
    <w:uiPriority w:val="99"/>
    <w:unhideWhenUsed/>
    <w:rsid w:val="00250C6C"/>
    <w:rPr>
      <w:color w:val="0000FF" w:themeColor="hyperlink"/>
      <w:u w:val="single"/>
    </w:rPr>
  </w:style>
  <w:style w:type="character" w:styleId="CommentReference">
    <w:name w:val="annotation reference"/>
    <w:basedOn w:val="DefaultParagraphFont"/>
    <w:uiPriority w:val="99"/>
    <w:semiHidden/>
    <w:unhideWhenUsed/>
    <w:rsid w:val="00BA58A2"/>
    <w:rPr>
      <w:sz w:val="16"/>
      <w:szCs w:val="16"/>
    </w:rPr>
  </w:style>
  <w:style w:type="paragraph" w:styleId="CommentText">
    <w:name w:val="annotation text"/>
    <w:basedOn w:val="Normal"/>
    <w:link w:val="CommentTextChar"/>
    <w:uiPriority w:val="99"/>
    <w:semiHidden/>
    <w:unhideWhenUsed/>
    <w:rsid w:val="00BA58A2"/>
    <w:rPr>
      <w:sz w:val="20"/>
      <w:szCs w:val="20"/>
    </w:rPr>
  </w:style>
  <w:style w:type="character" w:customStyle="1" w:styleId="CommentTextChar">
    <w:name w:val="Comment Text Char"/>
    <w:basedOn w:val="DefaultParagraphFont"/>
    <w:link w:val="CommentText"/>
    <w:uiPriority w:val="99"/>
    <w:semiHidden/>
    <w:rsid w:val="00BA58A2"/>
    <w:rPr>
      <w:rFonts w:ascii="Arial Narrow" w:hAnsi="Arial Narrow"/>
      <w:sz w:val="20"/>
      <w:szCs w:val="20"/>
    </w:rPr>
  </w:style>
  <w:style w:type="paragraph" w:styleId="CommentSubject">
    <w:name w:val="annotation subject"/>
    <w:basedOn w:val="CommentText"/>
    <w:next w:val="CommentText"/>
    <w:link w:val="CommentSubjectChar"/>
    <w:uiPriority w:val="99"/>
    <w:semiHidden/>
    <w:unhideWhenUsed/>
    <w:rsid w:val="00BA58A2"/>
    <w:rPr>
      <w:b/>
      <w:bCs/>
    </w:rPr>
  </w:style>
  <w:style w:type="character" w:customStyle="1" w:styleId="CommentSubjectChar">
    <w:name w:val="Comment Subject Char"/>
    <w:basedOn w:val="CommentTextChar"/>
    <w:link w:val="CommentSubject"/>
    <w:uiPriority w:val="99"/>
    <w:semiHidden/>
    <w:rsid w:val="00BA58A2"/>
    <w:rPr>
      <w:rFonts w:ascii="Arial Narrow" w:hAnsi="Arial Narrow"/>
      <w:b/>
      <w:bCs/>
      <w:sz w:val="20"/>
      <w:szCs w:val="20"/>
    </w:rPr>
  </w:style>
  <w:style w:type="character" w:customStyle="1" w:styleId="Heading2Char">
    <w:name w:val="Heading 2 Char"/>
    <w:basedOn w:val="DefaultParagraphFont"/>
    <w:link w:val="Heading2"/>
    <w:uiPriority w:val="9"/>
    <w:rsid w:val="00E81A3E"/>
    <w:rPr>
      <w:rFonts w:ascii="Arial Narrow" w:eastAsiaTheme="majorEastAsia" w:hAnsi="Arial Narrow" w:cstheme="majorBidi"/>
      <w:i/>
      <w:color w:val="012169"/>
      <w:sz w:val="32"/>
      <w:szCs w:val="26"/>
    </w:rPr>
  </w:style>
  <w:style w:type="character" w:styleId="PlaceholderText">
    <w:name w:val="Placeholder Text"/>
    <w:basedOn w:val="DefaultParagraphFont"/>
    <w:uiPriority w:val="99"/>
    <w:semiHidden/>
    <w:rsid w:val="00870C23"/>
    <w:rPr>
      <w:color w:val="808080"/>
    </w:rPr>
  </w:style>
  <w:style w:type="paragraph" w:customStyle="1" w:styleId="Disclaimer">
    <w:name w:val="Disclaimer"/>
    <w:basedOn w:val="Normal"/>
    <w:link w:val="DisclaimerChar"/>
    <w:qFormat/>
    <w:rsid w:val="00B15CE8"/>
    <w:pPr>
      <w:spacing w:before="160" w:after="0"/>
    </w:pPr>
    <w:rPr>
      <w:rFonts w:asciiTheme="minorHAnsi" w:hAnsiTheme="minorHAnsi"/>
      <w:sz w:val="16"/>
    </w:rPr>
  </w:style>
  <w:style w:type="character" w:customStyle="1" w:styleId="DisclaimerChar">
    <w:name w:val="Disclaimer Char"/>
    <w:basedOn w:val="DefaultParagraphFont"/>
    <w:link w:val="Disclaimer"/>
    <w:rsid w:val="00B15CE8"/>
    <w:rPr>
      <w:sz w:val="16"/>
    </w:rPr>
  </w:style>
  <w:style w:type="character" w:customStyle="1" w:styleId="Heading3Char">
    <w:name w:val="Heading 3 Char"/>
    <w:basedOn w:val="DefaultParagraphFont"/>
    <w:link w:val="Heading3"/>
    <w:uiPriority w:val="9"/>
    <w:rsid w:val="00E81A3E"/>
    <w:rPr>
      <w:rFonts w:ascii="Arial Narrow" w:eastAsiaTheme="majorEastAsia" w:hAnsi="Arial Narrow" w:cstheme="majorBidi"/>
      <w:bCs/>
      <w:i/>
      <w:color w:val="012169"/>
      <w:sz w:val="26"/>
      <w:szCs w:val="26"/>
    </w:rPr>
  </w:style>
  <w:style w:type="paragraph" w:styleId="FootnoteText">
    <w:name w:val="footnote text"/>
    <w:basedOn w:val="Normal"/>
    <w:link w:val="FootnoteTextChar"/>
    <w:uiPriority w:val="99"/>
    <w:semiHidden/>
    <w:unhideWhenUsed/>
    <w:rsid w:val="00615805"/>
    <w:pPr>
      <w:spacing w:after="0"/>
    </w:pPr>
    <w:rPr>
      <w:rFonts w:ascii="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615805"/>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615805"/>
    <w:rPr>
      <w:vertAlign w:val="superscript"/>
    </w:rPr>
  </w:style>
  <w:style w:type="character" w:styleId="UnresolvedMention">
    <w:name w:val="Unresolved Mention"/>
    <w:basedOn w:val="DefaultParagraphFont"/>
    <w:uiPriority w:val="99"/>
    <w:semiHidden/>
    <w:unhideWhenUsed/>
    <w:rsid w:val="00182FF3"/>
    <w:rPr>
      <w:color w:val="605E5C"/>
      <w:shd w:val="clear" w:color="auto" w:fill="E1DFDD"/>
    </w:rPr>
  </w:style>
  <w:style w:type="character" w:styleId="FollowedHyperlink">
    <w:name w:val="FollowedHyperlink"/>
    <w:basedOn w:val="DefaultParagraphFont"/>
    <w:uiPriority w:val="99"/>
    <w:semiHidden/>
    <w:unhideWhenUsed/>
    <w:rsid w:val="00A958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075305">
      <w:bodyDiv w:val="1"/>
      <w:marLeft w:val="0"/>
      <w:marRight w:val="0"/>
      <w:marTop w:val="0"/>
      <w:marBottom w:val="0"/>
      <w:divBdr>
        <w:top w:val="none" w:sz="0" w:space="0" w:color="auto"/>
        <w:left w:val="none" w:sz="0" w:space="0" w:color="auto"/>
        <w:bottom w:val="none" w:sz="0" w:space="0" w:color="auto"/>
        <w:right w:val="none" w:sz="0" w:space="0" w:color="auto"/>
      </w:divBdr>
    </w:div>
    <w:div w:id="53546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australianchamber.com.a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ustralianchamber.com.au/"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australianchamber.com.au" TargetMode="External"/><Relationship Id="rId5" Type="http://schemas.openxmlformats.org/officeDocument/2006/relationships/webSettings" Target="webSettings.xml"/><Relationship Id="rId15" Type="http://schemas.openxmlformats.org/officeDocument/2006/relationships/footer" Target="footer1.xml"/><Relationship Id="rId23" Type="http://schemas.microsoft.com/office/2018/08/relationships/commentsExtensible" Target="commentsExtensible.xml"/><Relationship Id="rId10" Type="http://schemas.openxmlformats.org/officeDocument/2006/relationships/hyperlink" Target="https://www.accc.gov.au/system/files/public-registers/documents/Submission%20by%20Australian%20Chamber%20of%20Commerce%20and%20Industry%20%28ACCI%29%20-%2020.04.21%20-%20PR%20-%20MA1000020.pdf" TargetMode="External"/><Relationship Id="rId4" Type="http://schemas.openxmlformats.org/officeDocument/2006/relationships/settings" Target="settings.xml"/><Relationship Id="rId9" Type="http://schemas.openxmlformats.org/officeDocument/2006/relationships/hyperlink" Target="https://treasury.gov.au/sites/default/files/2021-02/147719_acci_0.pdf" TargetMode="External"/><Relationship Id="rId14" Type="http://schemas.openxmlformats.org/officeDocument/2006/relationships/hyperlink" Target="http://www.australianchamber.com.au/"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treasury.gov.au/sites/default/files/2021-02/147719_acci_0.pdf" TargetMode="External"/><Relationship Id="rId2" Type="http://schemas.openxmlformats.org/officeDocument/2006/relationships/hyperlink" Target="https://www.rba.gov.au/payments-and-infrastructure/review-of-retail-payments-regulation/consultation-paper-202105/pdf/review-of-retail-payments-regulation-consultation-paper-202105.pdf" TargetMode="External"/><Relationship Id="rId1" Type="http://schemas.openxmlformats.org/officeDocument/2006/relationships/hyperlink" Target="https://www.ausbanking.org.au/priorities/open-bankin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AusChamber%20TEMPLATES\Submissions\SUBMISSION%20(SHORT)%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94F9A892EFA41AC8DB0A5F453CB512D"/>
        <w:category>
          <w:name w:val="General"/>
          <w:gallery w:val="placeholder"/>
        </w:category>
        <w:types>
          <w:type w:val="bbPlcHdr"/>
        </w:types>
        <w:behaviors>
          <w:behavior w:val="content"/>
        </w:behaviors>
        <w:guid w:val="{52F4F970-28B9-4536-89D5-FB7DADA3E74D}"/>
      </w:docPartPr>
      <w:docPartBody>
        <w:p w:rsidR="0081697F" w:rsidRDefault="00260A10">
          <w:pPr>
            <w:pStyle w:val="494F9A892EFA41AC8DB0A5F453CB512D"/>
          </w:pPr>
          <w:r w:rsidRPr="009D498B">
            <w:rPr>
              <w:rStyle w:val="PlaceholderText"/>
            </w:rPr>
            <w:t>[Title]</w:t>
          </w:r>
        </w:p>
      </w:docPartBody>
    </w:docPart>
    <w:docPart>
      <w:docPartPr>
        <w:name w:val="420B14C803114741A3E8B3BA97F18905"/>
        <w:category>
          <w:name w:val="General"/>
          <w:gallery w:val="placeholder"/>
        </w:category>
        <w:types>
          <w:type w:val="bbPlcHdr"/>
        </w:types>
        <w:behaviors>
          <w:behavior w:val="content"/>
        </w:behaviors>
        <w:guid w:val="{6C630CEA-E7BA-4E4B-9EF2-1EBFE4769B4C}"/>
      </w:docPartPr>
      <w:docPartBody>
        <w:p w:rsidR="0081697F" w:rsidRDefault="00260A10">
          <w:pPr>
            <w:pStyle w:val="420B14C803114741A3E8B3BA97F18905"/>
          </w:pPr>
          <w:r w:rsidRPr="009D498B">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NeueLT Std Thin Cn">
    <w:altName w:val="Segoe Condensed"/>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HelveticaNeueLT Std Lt Cn">
    <w:altName w:val="Arial"/>
    <w:panose1 w:val="00000000000000000000"/>
    <w:charset w:val="00"/>
    <w:family w:val="swiss"/>
    <w:notTrueType/>
    <w:pitch w:val="variable"/>
    <w:sig w:usb0="800000AF" w:usb1="4000204A"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A10"/>
    <w:rsid w:val="00260A10"/>
    <w:rsid w:val="004E116C"/>
    <w:rsid w:val="0081697F"/>
    <w:rsid w:val="0092522B"/>
    <w:rsid w:val="00D720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94F9A892EFA41AC8DB0A5F453CB512D">
    <w:name w:val="494F9A892EFA41AC8DB0A5F453CB512D"/>
  </w:style>
  <w:style w:type="paragraph" w:customStyle="1" w:styleId="420B14C803114741A3E8B3BA97F18905">
    <w:name w:val="420B14C803114741A3E8B3BA97F189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B7D74-E545-4E84-A43D-651F788DA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SUBMISSION (SHORT) template</Template>
  <TotalTime>12</TotalTime>
  <Pages>6</Pages>
  <Words>2564</Words>
  <Characters>14617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Review of Retail Payments Regulation</vt:lpstr>
    </vt:vector>
  </TitlesOfParts>
  <Company>Australian Business Ltd</Company>
  <LinksUpToDate>false</LinksUpToDate>
  <CharactersWithSpaces>17147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of Retail Payments Regulation</dc:title>
  <dc:subject>Month, Date, 2017</dc:subject>
  <dc:creator>Popovski, Daniel</dc:creator>
  <cp:lastModifiedBy>Popovski, Daniel</cp:lastModifiedBy>
  <cp:revision>4</cp:revision>
  <cp:lastPrinted>2021-07-09T06:54:00Z</cp:lastPrinted>
  <dcterms:created xsi:type="dcterms:W3CDTF">2021-07-09T06:51:00Z</dcterms:created>
  <dcterms:modified xsi:type="dcterms:W3CDTF">2021-07-09T06:58:00Z</dcterms:modified>
  <cp:contentStatus>August 9, 2021</cp:contentStatus>
</cp:coreProperties>
</file>