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2A6659" w14:textId="77777777" w:rsidR="000457A5" w:rsidRDefault="000457A5" w:rsidP="000457A5">
      <w:pPr>
        <w:pStyle w:val="NoSpacing"/>
        <w:jc w:val="both"/>
        <w:rPr>
          <w:rFonts w:ascii="CBA Beacon Sans Bold" w:hAnsi="CBA Beacon Sans Bold"/>
          <w:sz w:val="40"/>
          <w:szCs w:val="40"/>
        </w:rPr>
      </w:pPr>
      <w:bookmarkStart w:id="1" w:name="_GoBack"/>
      <w:bookmarkEnd w:id="1"/>
    </w:p>
    <w:p w14:paraId="0A37501D" w14:textId="77777777" w:rsidR="000457A5" w:rsidRDefault="000457A5" w:rsidP="000457A5">
      <w:pPr>
        <w:pStyle w:val="NoSpacing"/>
        <w:jc w:val="both"/>
        <w:rPr>
          <w:rFonts w:ascii="CBA Beacon Sans Bold" w:hAnsi="CBA Beacon Sans Bold"/>
          <w:sz w:val="40"/>
          <w:szCs w:val="40"/>
        </w:rPr>
      </w:pPr>
    </w:p>
    <w:p w14:paraId="5DAB6C7B" w14:textId="77777777" w:rsidR="000457A5" w:rsidRDefault="000457A5" w:rsidP="000457A5">
      <w:pPr>
        <w:pStyle w:val="NoSpacing"/>
        <w:jc w:val="both"/>
        <w:rPr>
          <w:rFonts w:ascii="CBA Beacon Sans Bold" w:hAnsi="CBA Beacon Sans Bold"/>
          <w:sz w:val="40"/>
          <w:szCs w:val="40"/>
        </w:rPr>
      </w:pPr>
    </w:p>
    <w:p w14:paraId="02EB378F" w14:textId="77777777" w:rsidR="000457A5" w:rsidRDefault="000457A5" w:rsidP="000457A5">
      <w:pPr>
        <w:pStyle w:val="NoSpacing"/>
        <w:jc w:val="both"/>
        <w:rPr>
          <w:rFonts w:ascii="CBA Beacon Sans Bold" w:hAnsi="CBA Beacon Sans Bold"/>
          <w:sz w:val="40"/>
          <w:szCs w:val="40"/>
        </w:rPr>
      </w:pPr>
    </w:p>
    <w:p w14:paraId="6A05A809" w14:textId="77777777" w:rsidR="000457A5" w:rsidRDefault="000457A5" w:rsidP="000457A5">
      <w:pPr>
        <w:pStyle w:val="NoSpacing"/>
        <w:jc w:val="both"/>
        <w:rPr>
          <w:rFonts w:ascii="CBA Beacon Sans Bold" w:hAnsi="CBA Beacon Sans Bold"/>
          <w:sz w:val="40"/>
          <w:szCs w:val="40"/>
        </w:rPr>
      </w:pPr>
    </w:p>
    <w:p w14:paraId="5A39BBE3" w14:textId="77777777" w:rsidR="000457A5" w:rsidRDefault="000457A5" w:rsidP="000457A5">
      <w:pPr>
        <w:pStyle w:val="NoSpacing"/>
        <w:jc w:val="both"/>
        <w:rPr>
          <w:rFonts w:ascii="CBA Beacon Sans Bold" w:hAnsi="CBA Beacon Sans Bold"/>
          <w:sz w:val="40"/>
          <w:szCs w:val="40"/>
        </w:rPr>
      </w:pPr>
    </w:p>
    <w:p w14:paraId="1C982645" w14:textId="77777777" w:rsidR="000457A5" w:rsidRPr="000457A5" w:rsidRDefault="00CB6B03" w:rsidP="000457A5">
      <w:pPr>
        <w:pStyle w:val="NoSpacing"/>
        <w:jc w:val="both"/>
        <w:rPr>
          <w:rFonts w:cs="Arial"/>
          <w:b/>
          <w:sz w:val="40"/>
          <w:szCs w:val="40"/>
        </w:rPr>
      </w:pPr>
      <w:r w:rsidRPr="00CB6B03">
        <w:rPr>
          <w:rFonts w:ascii="CBA Beacon Sans Bold" w:hAnsi="CBA Beacon Sans Bold"/>
          <w:sz w:val="40"/>
          <w:szCs w:val="40"/>
        </w:rPr>
        <w:t xml:space="preserve">Submission to the </w:t>
      </w:r>
      <w:r w:rsidR="000457A5">
        <w:rPr>
          <w:rFonts w:cs="Arial"/>
          <w:b/>
          <w:sz w:val="40"/>
          <w:szCs w:val="40"/>
        </w:rPr>
        <w:t xml:space="preserve">Review of Retail Payments Regulation </w:t>
      </w:r>
      <w:r w:rsidR="000457A5" w:rsidRPr="000457A5">
        <w:rPr>
          <w:rFonts w:cs="Arial"/>
          <w:b/>
          <w:sz w:val="40"/>
          <w:szCs w:val="40"/>
        </w:rPr>
        <w:t>Consultation Paper May 2021</w:t>
      </w:r>
    </w:p>
    <w:p w14:paraId="41C8F396" w14:textId="77777777" w:rsidR="00FE708F" w:rsidRPr="000457A5" w:rsidRDefault="00FE708F" w:rsidP="000457A5">
      <w:pPr>
        <w:pStyle w:val="CoverTitle"/>
        <w:rPr>
          <w:rFonts w:asciiTheme="minorHAnsi" w:hAnsiTheme="minorHAnsi"/>
          <w:sz w:val="40"/>
          <w:szCs w:val="40"/>
        </w:rPr>
      </w:pPr>
    </w:p>
    <w:p w14:paraId="515EEF0D" w14:textId="77777777" w:rsidR="00D62FAD" w:rsidRPr="007A5A25" w:rsidRDefault="00DC1C18" w:rsidP="00C35517">
      <w:pPr>
        <w:pStyle w:val="CoverDate"/>
        <w:rPr>
          <w:rFonts w:asciiTheme="minorHAnsi" w:hAnsiTheme="minorHAnsi"/>
          <w:b/>
          <w:sz w:val="22"/>
          <w:szCs w:val="22"/>
        </w:rPr>
      </w:pPr>
      <w:sdt>
        <w:sdtPr>
          <w:rPr>
            <w:rFonts w:asciiTheme="minorHAnsi" w:hAnsiTheme="minorHAnsi"/>
            <w:b/>
            <w:sz w:val="22"/>
            <w:szCs w:val="22"/>
          </w:rPr>
          <w:id w:val="-2085205594"/>
          <w:placeholder>
            <w:docPart w:val="EA7571B8C2D844A19CC451923C16C55B"/>
          </w:placeholder>
          <w:date w:fullDate="2021-07-09T00:00:00Z">
            <w:dateFormat w:val="d MMMM yyyy"/>
            <w:lid w:val="en-AU"/>
            <w:storeMappedDataAs w:val="dateTime"/>
            <w:calendar w:val="gregorian"/>
          </w:date>
        </w:sdtPr>
        <w:sdtEndPr/>
        <w:sdtContent>
          <w:r w:rsidR="000457A5" w:rsidRPr="007A5A25">
            <w:rPr>
              <w:rFonts w:asciiTheme="minorHAnsi" w:hAnsiTheme="minorHAnsi"/>
              <w:b/>
              <w:sz w:val="22"/>
              <w:szCs w:val="22"/>
            </w:rPr>
            <w:t>9 July 2021</w:t>
          </w:r>
        </w:sdtContent>
      </w:sdt>
    </w:p>
    <w:sdt>
      <w:sdtPr>
        <w:rPr>
          <w:b/>
          <w:sz w:val="22"/>
          <w:szCs w:val="22"/>
        </w:rPr>
        <w:alias w:val="Document status"/>
        <w:tag w:val="Document status"/>
        <w:id w:val="-1917386183"/>
        <w:placeholder>
          <w:docPart w:val="699AF0BE40E0422198C7D41FFB428CB1"/>
        </w:placeholder>
        <w:dropDownList>
          <w:listItem w:value="Choose a document status."/>
          <w:listItem w:displayText="Public" w:value="Public"/>
          <w:listItem w:displayText="Group Use" w:value="Group Use"/>
          <w:listItem w:displayText="Confidential" w:value="Confidential"/>
          <w:listItem w:displayText="Customer and Personal" w:value="Customer and Personal"/>
          <w:listItem w:displayText="Highly Protected" w:value="Highly Protected"/>
        </w:dropDownList>
      </w:sdtPr>
      <w:sdtEndPr/>
      <w:sdtContent>
        <w:p w14:paraId="12E836B6" w14:textId="77777777" w:rsidR="003C2CA0" w:rsidRPr="00CB6B03" w:rsidRDefault="00CB6B03" w:rsidP="00A46DAA">
          <w:pPr>
            <w:pStyle w:val="Coverdocumentstatus"/>
            <w:rPr>
              <w:sz w:val="22"/>
              <w:szCs w:val="22"/>
            </w:rPr>
          </w:pPr>
          <w:r w:rsidRPr="007A5A25">
            <w:rPr>
              <w:b/>
              <w:sz w:val="22"/>
              <w:szCs w:val="22"/>
            </w:rPr>
            <w:t>Public</w:t>
          </w:r>
        </w:p>
      </w:sdtContent>
    </w:sdt>
    <w:p w14:paraId="72A3D3EC" w14:textId="77777777" w:rsidR="00C35517" w:rsidRPr="00CB6B03" w:rsidRDefault="00C35517" w:rsidP="00C35517">
      <w:pPr>
        <w:spacing w:before="240"/>
        <w:rPr>
          <w:sz w:val="22"/>
          <w:szCs w:val="22"/>
        </w:rPr>
      </w:pPr>
    </w:p>
    <w:p w14:paraId="0D0B940D" w14:textId="77777777" w:rsidR="00CD03DB" w:rsidRPr="00CB6B03" w:rsidRDefault="00CD03DB" w:rsidP="00BB2562">
      <w:pPr>
        <w:pStyle w:val="Heading1"/>
        <w:numPr>
          <w:ilvl w:val="0"/>
          <w:numId w:val="0"/>
        </w:numPr>
        <w:rPr>
          <w:rFonts w:asciiTheme="minorHAnsi" w:hAnsiTheme="minorHAnsi"/>
          <w:sz w:val="22"/>
          <w:szCs w:val="22"/>
        </w:rPr>
        <w:sectPr w:rsidR="00CD03DB" w:rsidRPr="00CB6B03" w:rsidSect="00C35517">
          <w:headerReference w:type="even" r:id="rId11"/>
          <w:headerReference w:type="default" r:id="rId12"/>
          <w:footerReference w:type="even" r:id="rId13"/>
          <w:footerReference w:type="default" r:id="rId14"/>
          <w:headerReference w:type="first" r:id="rId15"/>
          <w:footerReference w:type="first" r:id="rId16"/>
          <w:pgSz w:w="11906" w:h="16838" w:code="9"/>
          <w:pgMar w:top="1644" w:right="851" w:bottom="1259" w:left="851" w:header="851" w:footer="646" w:gutter="0"/>
          <w:cols w:space="708"/>
          <w:docGrid w:linePitch="360"/>
        </w:sectPr>
      </w:pPr>
    </w:p>
    <w:p w14:paraId="208893A9" w14:textId="77777777" w:rsidR="00A95E7E" w:rsidRPr="00076744" w:rsidRDefault="000457A5" w:rsidP="007A5A25">
      <w:pPr>
        <w:pStyle w:val="NoSpacing"/>
        <w:spacing w:line="276" w:lineRule="auto"/>
        <w:jc w:val="both"/>
        <w:rPr>
          <w:rFonts w:cs="Arial"/>
        </w:rPr>
      </w:pPr>
      <w:bookmarkStart w:id="2" w:name="_Hlk477344114"/>
      <w:bookmarkEnd w:id="2"/>
      <w:r w:rsidRPr="00076744">
        <w:rPr>
          <w:rFonts w:cs="Arial"/>
        </w:rPr>
        <w:lastRenderedPageBreak/>
        <w:t xml:space="preserve">The Commonwealth Bank </w:t>
      </w:r>
      <w:r w:rsidR="005556F2" w:rsidRPr="00076744">
        <w:rPr>
          <w:rFonts w:cs="Arial"/>
        </w:rPr>
        <w:t xml:space="preserve">of Australia </w:t>
      </w:r>
      <w:r w:rsidRPr="00076744">
        <w:rPr>
          <w:rFonts w:cs="Arial"/>
        </w:rPr>
        <w:t xml:space="preserve">(CBA) appreciates the opportunity to respond </w:t>
      </w:r>
      <w:r w:rsidR="005556F2" w:rsidRPr="00076744">
        <w:rPr>
          <w:rFonts w:cs="Arial"/>
        </w:rPr>
        <w:t xml:space="preserve">to </w:t>
      </w:r>
      <w:r w:rsidRPr="00076744">
        <w:rPr>
          <w:rFonts w:cs="Arial"/>
        </w:rPr>
        <w:t xml:space="preserve">the Reserve Bank of Australia (RBA) Consultation Paper on the Review of Retail Payments Regulation dated May 2021. </w:t>
      </w:r>
    </w:p>
    <w:p w14:paraId="0E27B00A" w14:textId="77777777" w:rsidR="00A95E7E" w:rsidRPr="00076744" w:rsidRDefault="00A95E7E" w:rsidP="007A5A25">
      <w:pPr>
        <w:pStyle w:val="NoSpacing"/>
        <w:spacing w:line="276" w:lineRule="auto"/>
        <w:jc w:val="both"/>
        <w:rPr>
          <w:rFonts w:cs="Arial"/>
        </w:rPr>
      </w:pPr>
    </w:p>
    <w:p w14:paraId="77F0C207" w14:textId="77777777" w:rsidR="00AA3A5C" w:rsidRPr="00076744" w:rsidRDefault="00A95E7E" w:rsidP="007A5A25">
      <w:pPr>
        <w:pStyle w:val="NoSpacing"/>
        <w:spacing w:line="276" w:lineRule="auto"/>
        <w:jc w:val="both"/>
        <w:rPr>
          <w:rFonts w:cs="Arial"/>
        </w:rPr>
      </w:pPr>
      <w:r w:rsidRPr="00076744">
        <w:rPr>
          <w:rFonts w:cs="Arial"/>
        </w:rPr>
        <w:t xml:space="preserve">CBA acknowledges the importance </w:t>
      </w:r>
      <w:r w:rsidR="00400F9A" w:rsidRPr="00076744">
        <w:rPr>
          <w:rFonts w:cs="Arial"/>
        </w:rPr>
        <w:t>of the issues addressed in the Consultation P</w:t>
      </w:r>
      <w:r w:rsidRPr="00076744">
        <w:rPr>
          <w:rFonts w:cs="Arial"/>
        </w:rPr>
        <w:t xml:space="preserve">aper and </w:t>
      </w:r>
      <w:r w:rsidR="002C24BC" w:rsidRPr="00076744">
        <w:rPr>
          <w:rFonts w:cs="Arial"/>
        </w:rPr>
        <w:t xml:space="preserve">we </w:t>
      </w:r>
      <w:r w:rsidR="00AA3A5C" w:rsidRPr="00076744">
        <w:rPr>
          <w:rFonts w:cs="Arial"/>
        </w:rPr>
        <w:t xml:space="preserve">provide </w:t>
      </w:r>
      <w:r w:rsidRPr="00076744">
        <w:rPr>
          <w:rFonts w:cs="Arial"/>
        </w:rPr>
        <w:t xml:space="preserve">our responses to the RBA’s preliminary conclusions and proposals </w:t>
      </w:r>
      <w:r w:rsidR="00AA3A5C" w:rsidRPr="00076744">
        <w:rPr>
          <w:rFonts w:cs="Arial"/>
        </w:rPr>
        <w:t>in this submission</w:t>
      </w:r>
      <w:r w:rsidRPr="00076744">
        <w:rPr>
          <w:rFonts w:cs="Arial"/>
        </w:rPr>
        <w:t xml:space="preserve">. However we are concerned that the Consultation Paper </w:t>
      </w:r>
      <w:r w:rsidR="002C24BC" w:rsidRPr="00076744">
        <w:rPr>
          <w:rFonts w:cs="Arial"/>
        </w:rPr>
        <w:t>does not</w:t>
      </w:r>
      <w:r w:rsidRPr="00076744">
        <w:rPr>
          <w:rFonts w:cs="Arial"/>
        </w:rPr>
        <w:t xml:space="preserve"> address a number of key emerging challenges to the payment system. During this time of rapid </w:t>
      </w:r>
      <w:r w:rsidR="00AA3A5C" w:rsidRPr="00076744">
        <w:rPr>
          <w:rFonts w:cs="Arial"/>
        </w:rPr>
        <w:t xml:space="preserve">technological change and the </w:t>
      </w:r>
      <w:r w:rsidRPr="00076744">
        <w:rPr>
          <w:rFonts w:cs="Arial"/>
        </w:rPr>
        <w:t xml:space="preserve">transition to </w:t>
      </w:r>
      <w:r w:rsidR="00AA3A5C" w:rsidRPr="00076744">
        <w:rPr>
          <w:rFonts w:cs="Arial"/>
        </w:rPr>
        <w:t>an increasingly digitised economy,</w:t>
      </w:r>
      <w:r w:rsidRPr="00076744">
        <w:rPr>
          <w:rFonts w:cs="Arial"/>
        </w:rPr>
        <w:t xml:space="preserve"> </w:t>
      </w:r>
      <w:r w:rsidR="00847427" w:rsidRPr="00076744">
        <w:rPr>
          <w:rFonts w:cs="Arial"/>
        </w:rPr>
        <w:t xml:space="preserve">the RBA </w:t>
      </w:r>
      <w:r w:rsidR="002C24BC" w:rsidRPr="00076744">
        <w:rPr>
          <w:rFonts w:cs="Arial"/>
        </w:rPr>
        <w:t xml:space="preserve">needs to </w:t>
      </w:r>
      <w:r w:rsidR="00847427" w:rsidRPr="00076744">
        <w:rPr>
          <w:rFonts w:cs="Arial"/>
        </w:rPr>
        <w:t xml:space="preserve">take a forward looking view to ensure </w:t>
      </w:r>
      <w:r w:rsidR="00AA3A5C" w:rsidRPr="00076744">
        <w:rPr>
          <w:rFonts w:cs="Arial"/>
        </w:rPr>
        <w:t>that risks to the payment system continue to be managed effectively.</w:t>
      </w:r>
    </w:p>
    <w:p w14:paraId="44EAFD9C" w14:textId="0220509A" w:rsidR="000457A5" w:rsidRPr="007A5A25" w:rsidRDefault="000457A5" w:rsidP="007A5A25">
      <w:pPr>
        <w:spacing w:after="120" w:line="276" w:lineRule="auto"/>
        <w:jc w:val="both"/>
        <w:rPr>
          <w:rFonts w:cs="Arial"/>
        </w:rPr>
      </w:pPr>
    </w:p>
    <w:p w14:paraId="64C828C4" w14:textId="77777777" w:rsidR="000457A5" w:rsidRPr="00076744" w:rsidRDefault="00174B83" w:rsidP="007A5A25">
      <w:pPr>
        <w:pStyle w:val="Default"/>
        <w:spacing w:line="276" w:lineRule="auto"/>
        <w:jc w:val="both"/>
        <w:rPr>
          <w:rFonts w:asciiTheme="minorHAnsi" w:hAnsiTheme="minorHAnsi"/>
          <w:b/>
          <w:bCs/>
          <w:color w:val="auto"/>
          <w:sz w:val="22"/>
          <w:szCs w:val="22"/>
        </w:rPr>
      </w:pPr>
      <w:r w:rsidRPr="00076744">
        <w:rPr>
          <w:rFonts w:asciiTheme="minorHAnsi" w:hAnsiTheme="minorHAnsi"/>
          <w:b/>
          <w:bCs/>
          <w:color w:val="auto"/>
          <w:sz w:val="22"/>
          <w:szCs w:val="22"/>
        </w:rPr>
        <w:t xml:space="preserve">CBA’S RESPONSE TO THE </w:t>
      </w:r>
      <w:r w:rsidR="000457A5" w:rsidRPr="00076744">
        <w:rPr>
          <w:rFonts w:asciiTheme="minorHAnsi" w:hAnsiTheme="minorHAnsi"/>
          <w:b/>
          <w:bCs/>
          <w:color w:val="auto"/>
          <w:sz w:val="22"/>
          <w:szCs w:val="22"/>
        </w:rPr>
        <w:t>PRELIMINARY CONCLUSIONS</w:t>
      </w:r>
    </w:p>
    <w:p w14:paraId="4B94D5A5" w14:textId="77777777" w:rsidR="000457A5" w:rsidRPr="00076744" w:rsidRDefault="000457A5" w:rsidP="007A5A25">
      <w:pPr>
        <w:pStyle w:val="Default"/>
        <w:spacing w:line="276" w:lineRule="auto"/>
        <w:jc w:val="both"/>
        <w:rPr>
          <w:rFonts w:asciiTheme="minorHAnsi" w:hAnsiTheme="minorHAnsi"/>
          <w:color w:val="auto"/>
          <w:sz w:val="22"/>
          <w:szCs w:val="22"/>
        </w:rPr>
      </w:pPr>
    </w:p>
    <w:p w14:paraId="28FF1E9C" w14:textId="77777777" w:rsidR="00FE2778" w:rsidRPr="00076744" w:rsidRDefault="000457A5" w:rsidP="007A5A25">
      <w:pPr>
        <w:pStyle w:val="Default"/>
        <w:spacing w:line="276" w:lineRule="auto"/>
        <w:jc w:val="both"/>
        <w:rPr>
          <w:rFonts w:asciiTheme="minorHAnsi" w:hAnsiTheme="minorHAnsi"/>
          <w:b/>
          <w:bCs/>
          <w:color w:val="auto"/>
          <w:sz w:val="22"/>
          <w:szCs w:val="22"/>
        </w:rPr>
      </w:pPr>
      <w:r w:rsidRPr="00076744">
        <w:rPr>
          <w:rFonts w:asciiTheme="minorHAnsi" w:hAnsiTheme="minorHAnsi"/>
          <w:b/>
          <w:bCs/>
          <w:color w:val="auto"/>
          <w:sz w:val="22"/>
          <w:szCs w:val="22"/>
        </w:rPr>
        <w:t>Dual-network debit cards (DNDC) and Least-Cost Routing (LCR)</w:t>
      </w:r>
    </w:p>
    <w:p w14:paraId="3DEEC669" w14:textId="77777777" w:rsidR="0036403C" w:rsidRPr="00076744" w:rsidRDefault="0036403C" w:rsidP="007A5A25">
      <w:pPr>
        <w:pStyle w:val="Default"/>
        <w:spacing w:line="276" w:lineRule="auto"/>
        <w:jc w:val="both"/>
        <w:rPr>
          <w:rFonts w:asciiTheme="minorHAnsi" w:hAnsiTheme="minorHAnsi"/>
          <w:color w:val="auto"/>
          <w:sz w:val="22"/>
          <w:szCs w:val="22"/>
          <w:u w:val="single"/>
        </w:rPr>
      </w:pPr>
    </w:p>
    <w:p w14:paraId="1213C5A8" w14:textId="77777777" w:rsidR="00FE2778" w:rsidRPr="00076744" w:rsidRDefault="00FE2778" w:rsidP="007A5A25">
      <w:pPr>
        <w:pStyle w:val="Default"/>
        <w:spacing w:line="276" w:lineRule="auto"/>
        <w:jc w:val="both"/>
        <w:rPr>
          <w:rFonts w:asciiTheme="minorHAnsi" w:hAnsiTheme="minorHAnsi"/>
          <w:color w:val="auto"/>
          <w:sz w:val="22"/>
          <w:szCs w:val="22"/>
          <w:u w:val="single"/>
        </w:rPr>
      </w:pPr>
      <w:r w:rsidRPr="00076744">
        <w:rPr>
          <w:rFonts w:asciiTheme="minorHAnsi" w:hAnsiTheme="minorHAnsi"/>
          <w:color w:val="auto"/>
          <w:sz w:val="22"/>
          <w:szCs w:val="22"/>
          <w:u w:val="single"/>
        </w:rPr>
        <w:t>Dual Network Debit Cards</w:t>
      </w:r>
      <w:r w:rsidR="000A6407" w:rsidRPr="00076744">
        <w:rPr>
          <w:rFonts w:asciiTheme="minorHAnsi" w:hAnsiTheme="minorHAnsi"/>
          <w:color w:val="auto"/>
          <w:sz w:val="22"/>
          <w:szCs w:val="22"/>
          <w:u w:val="single"/>
        </w:rPr>
        <w:t xml:space="preserve"> (DNDC)</w:t>
      </w:r>
    </w:p>
    <w:p w14:paraId="37C4DBDA" w14:textId="72B19F60" w:rsidR="000457A5" w:rsidRPr="00076744" w:rsidRDefault="000457A5" w:rsidP="007A5A25">
      <w:pPr>
        <w:pStyle w:val="Default"/>
        <w:spacing w:line="276" w:lineRule="auto"/>
        <w:jc w:val="both"/>
        <w:rPr>
          <w:rFonts w:asciiTheme="minorHAnsi" w:hAnsiTheme="minorHAnsi"/>
          <w:color w:val="auto"/>
          <w:sz w:val="22"/>
          <w:szCs w:val="22"/>
        </w:rPr>
      </w:pPr>
      <w:r w:rsidRPr="00076744">
        <w:rPr>
          <w:rFonts w:asciiTheme="minorHAnsi" w:hAnsiTheme="minorHAnsi"/>
          <w:color w:val="auto"/>
          <w:sz w:val="22"/>
          <w:szCs w:val="22"/>
        </w:rPr>
        <w:t>CBA currently issues</w:t>
      </w:r>
      <w:r w:rsidR="00400F9A" w:rsidRPr="00076744">
        <w:rPr>
          <w:rFonts w:asciiTheme="minorHAnsi" w:hAnsiTheme="minorHAnsi"/>
          <w:color w:val="auto"/>
          <w:sz w:val="22"/>
          <w:szCs w:val="22"/>
        </w:rPr>
        <w:t>,</w:t>
      </w:r>
      <w:r w:rsidR="00FE2778" w:rsidRPr="00076744">
        <w:rPr>
          <w:rFonts w:asciiTheme="minorHAnsi" w:hAnsiTheme="minorHAnsi"/>
          <w:color w:val="auto"/>
          <w:sz w:val="22"/>
          <w:szCs w:val="22"/>
        </w:rPr>
        <w:t xml:space="preserve"> and remains committed to continue issuing</w:t>
      </w:r>
      <w:r w:rsidRPr="00076744">
        <w:rPr>
          <w:rFonts w:asciiTheme="minorHAnsi" w:hAnsiTheme="minorHAnsi"/>
          <w:color w:val="auto"/>
          <w:sz w:val="22"/>
          <w:szCs w:val="22"/>
        </w:rPr>
        <w:t xml:space="preserve"> dual-network debit cards.</w:t>
      </w:r>
      <w:r w:rsidR="005556F2" w:rsidRPr="00076744">
        <w:rPr>
          <w:rFonts w:asciiTheme="minorHAnsi" w:hAnsiTheme="minorHAnsi"/>
          <w:color w:val="auto"/>
          <w:sz w:val="22"/>
          <w:szCs w:val="22"/>
        </w:rPr>
        <w:t xml:space="preserve">  </w:t>
      </w:r>
      <w:r w:rsidR="00B5381F" w:rsidRPr="00076744">
        <w:rPr>
          <w:rFonts w:asciiTheme="minorHAnsi" w:hAnsiTheme="minorHAnsi"/>
          <w:color w:val="auto"/>
          <w:sz w:val="22"/>
          <w:szCs w:val="22"/>
        </w:rPr>
        <w:t>We are</w:t>
      </w:r>
      <w:r w:rsidRPr="00076744">
        <w:rPr>
          <w:rFonts w:asciiTheme="minorHAnsi" w:hAnsiTheme="minorHAnsi"/>
          <w:color w:val="auto"/>
          <w:sz w:val="22"/>
          <w:szCs w:val="22"/>
        </w:rPr>
        <w:t xml:space="preserve"> supportive of the provision </w:t>
      </w:r>
      <w:r w:rsidR="005556F2" w:rsidRPr="00076744">
        <w:rPr>
          <w:rFonts w:asciiTheme="minorHAnsi" w:hAnsiTheme="minorHAnsi"/>
          <w:color w:val="auto"/>
          <w:sz w:val="22"/>
          <w:szCs w:val="22"/>
        </w:rPr>
        <w:t xml:space="preserve">of </w:t>
      </w:r>
      <w:r w:rsidRPr="00076744">
        <w:rPr>
          <w:rFonts w:asciiTheme="minorHAnsi" w:hAnsiTheme="minorHAnsi"/>
          <w:color w:val="auto"/>
          <w:sz w:val="22"/>
          <w:szCs w:val="22"/>
        </w:rPr>
        <w:t>DNDC in all form factors and in offering our customers the same experience for digital transactions as for point of sale</w:t>
      </w:r>
      <w:r w:rsidR="000A6407" w:rsidRPr="00076744">
        <w:rPr>
          <w:rFonts w:asciiTheme="minorHAnsi" w:hAnsiTheme="minorHAnsi"/>
          <w:color w:val="auto"/>
          <w:sz w:val="22"/>
          <w:szCs w:val="22"/>
        </w:rPr>
        <w:t>.</w:t>
      </w:r>
      <w:r w:rsidR="00B5381F" w:rsidRPr="00076744">
        <w:rPr>
          <w:rFonts w:asciiTheme="minorHAnsi" w:hAnsiTheme="minorHAnsi"/>
          <w:color w:val="auto"/>
          <w:sz w:val="22"/>
          <w:szCs w:val="22"/>
        </w:rPr>
        <w:t xml:space="preserve"> </w:t>
      </w:r>
    </w:p>
    <w:p w14:paraId="3656B9AB" w14:textId="77777777" w:rsidR="00FE2778" w:rsidRPr="00076744" w:rsidRDefault="00FE2778" w:rsidP="007A5A25">
      <w:pPr>
        <w:pStyle w:val="Default"/>
        <w:spacing w:line="276" w:lineRule="auto"/>
        <w:jc w:val="both"/>
        <w:rPr>
          <w:rFonts w:asciiTheme="minorHAnsi" w:hAnsiTheme="minorHAnsi"/>
          <w:color w:val="auto"/>
          <w:sz w:val="22"/>
          <w:szCs w:val="22"/>
        </w:rPr>
      </w:pPr>
    </w:p>
    <w:p w14:paraId="19F41068" w14:textId="77777777" w:rsidR="00FE2778" w:rsidRPr="00076744" w:rsidRDefault="00FE2778" w:rsidP="007A5A25">
      <w:pPr>
        <w:pStyle w:val="Default"/>
        <w:spacing w:line="276" w:lineRule="auto"/>
        <w:jc w:val="both"/>
        <w:rPr>
          <w:rFonts w:asciiTheme="minorHAnsi" w:hAnsiTheme="minorHAnsi"/>
          <w:color w:val="auto"/>
          <w:sz w:val="22"/>
          <w:szCs w:val="22"/>
          <w:u w:val="single"/>
        </w:rPr>
      </w:pPr>
      <w:r w:rsidRPr="00076744">
        <w:rPr>
          <w:rFonts w:asciiTheme="minorHAnsi" w:hAnsiTheme="minorHAnsi"/>
          <w:color w:val="auto"/>
          <w:sz w:val="22"/>
          <w:szCs w:val="22"/>
          <w:u w:val="single"/>
        </w:rPr>
        <w:t>LCR at point of sale</w:t>
      </w:r>
    </w:p>
    <w:p w14:paraId="4EC94C2B" w14:textId="77777777" w:rsidR="00171F51" w:rsidRPr="00076744" w:rsidRDefault="001812B1" w:rsidP="007A5A25">
      <w:pPr>
        <w:spacing w:before="60" w:after="60" w:line="276" w:lineRule="auto"/>
        <w:jc w:val="both"/>
        <w:rPr>
          <w:sz w:val="22"/>
          <w:szCs w:val="22"/>
        </w:rPr>
      </w:pPr>
      <w:r w:rsidRPr="00076744">
        <w:rPr>
          <w:sz w:val="22"/>
          <w:szCs w:val="22"/>
        </w:rPr>
        <w:t xml:space="preserve">CBA has been offering LCR to </w:t>
      </w:r>
      <w:r w:rsidR="00171F51" w:rsidRPr="00076744">
        <w:rPr>
          <w:sz w:val="22"/>
          <w:szCs w:val="22"/>
        </w:rPr>
        <w:t xml:space="preserve">merchant customers since 2019. </w:t>
      </w:r>
      <w:r w:rsidR="00400F9A" w:rsidRPr="00076744">
        <w:rPr>
          <w:sz w:val="22"/>
          <w:szCs w:val="22"/>
        </w:rPr>
        <w:t xml:space="preserve">CBA </w:t>
      </w:r>
      <w:r w:rsidRPr="00076744">
        <w:rPr>
          <w:sz w:val="22"/>
          <w:szCs w:val="22"/>
        </w:rPr>
        <w:t>acknowledge</w:t>
      </w:r>
      <w:r w:rsidR="00400F9A" w:rsidRPr="00076744">
        <w:rPr>
          <w:sz w:val="22"/>
          <w:szCs w:val="22"/>
        </w:rPr>
        <w:t>s</w:t>
      </w:r>
      <w:r w:rsidRPr="00076744">
        <w:rPr>
          <w:sz w:val="22"/>
          <w:szCs w:val="22"/>
        </w:rPr>
        <w:t xml:space="preserve"> the concerns in the</w:t>
      </w:r>
      <w:r w:rsidR="00040F56" w:rsidRPr="00076744">
        <w:rPr>
          <w:sz w:val="22"/>
          <w:szCs w:val="22"/>
        </w:rPr>
        <w:t xml:space="preserve"> Issues P</w:t>
      </w:r>
      <w:r w:rsidR="004D1DEB" w:rsidRPr="00076744">
        <w:rPr>
          <w:sz w:val="22"/>
          <w:szCs w:val="22"/>
        </w:rPr>
        <w:t>aper that ‘</w:t>
      </w:r>
      <w:r w:rsidRPr="00076744">
        <w:rPr>
          <w:sz w:val="22"/>
          <w:szCs w:val="22"/>
        </w:rPr>
        <w:t>the take-up of LCR among merchants remains relatively low, and the functionality provided by many acquirers is still somewhat limited’</w:t>
      </w:r>
      <w:r w:rsidR="00171F51" w:rsidRPr="00076744">
        <w:rPr>
          <w:sz w:val="22"/>
          <w:szCs w:val="22"/>
        </w:rPr>
        <w:t xml:space="preserve">. Since July, we have contacted 83,000 of our merchant customers to raise awareness of LCR, offering to help them determine what setting would be best for them. We also updated our LCR page on the CBA website, and promoted educational videos direct to customers on the website, social media and via our Alliance Partners. CBA intends to further </w:t>
      </w:r>
      <w:r w:rsidR="002C24BC" w:rsidRPr="00076744">
        <w:rPr>
          <w:sz w:val="22"/>
          <w:szCs w:val="22"/>
        </w:rPr>
        <w:t xml:space="preserve">enhance </w:t>
      </w:r>
      <w:r w:rsidR="00171F51" w:rsidRPr="00076744">
        <w:rPr>
          <w:sz w:val="22"/>
          <w:szCs w:val="22"/>
        </w:rPr>
        <w:t>our LCR offering to increase the benefits for small businesses.</w:t>
      </w:r>
    </w:p>
    <w:p w14:paraId="45FB0818" w14:textId="77777777" w:rsidR="00FE2778" w:rsidRPr="00076744" w:rsidRDefault="00FE2778" w:rsidP="007A5A25">
      <w:pPr>
        <w:pStyle w:val="Default"/>
        <w:spacing w:line="276" w:lineRule="auto"/>
        <w:jc w:val="both"/>
        <w:rPr>
          <w:rFonts w:asciiTheme="minorHAnsi" w:hAnsiTheme="minorHAnsi"/>
          <w:color w:val="auto"/>
          <w:sz w:val="22"/>
          <w:szCs w:val="22"/>
        </w:rPr>
      </w:pPr>
    </w:p>
    <w:p w14:paraId="291F4D28" w14:textId="77777777" w:rsidR="000457A5" w:rsidRPr="00076744" w:rsidRDefault="00FE2778" w:rsidP="007A5A25">
      <w:pPr>
        <w:pStyle w:val="Default"/>
        <w:spacing w:line="276" w:lineRule="auto"/>
        <w:jc w:val="both"/>
        <w:rPr>
          <w:rFonts w:asciiTheme="minorHAnsi" w:hAnsiTheme="minorHAnsi"/>
          <w:color w:val="auto"/>
          <w:sz w:val="22"/>
          <w:szCs w:val="22"/>
          <w:u w:val="single"/>
        </w:rPr>
      </w:pPr>
      <w:r w:rsidRPr="00076744">
        <w:rPr>
          <w:rFonts w:asciiTheme="minorHAnsi" w:hAnsiTheme="minorHAnsi"/>
          <w:sz w:val="22"/>
          <w:szCs w:val="22"/>
          <w:u w:val="single"/>
        </w:rPr>
        <w:t>LCR online</w:t>
      </w:r>
    </w:p>
    <w:p w14:paraId="61A7EC8A" w14:textId="77777777" w:rsidR="00A95E7E" w:rsidRPr="00076744" w:rsidRDefault="000457A5" w:rsidP="007A5A25">
      <w:pPr>
        <w:pStyle w:val="Default"/>
        <w:spacing w:line="276" w:lineRule="auto"/>
        <w:jc w:val="both"/>
        <w:rPr>
          <w:rFonts w:asciiTheme="minorHAnsi" w:hAnsiTheme="minorHAnsi"/>
          <w:sz w:val="22"/>
          <w:szCs w:val="22"/>
        </w:rPr>
      </w:pPr>
      <w:r w:rsidRPr="00076744">
        <w:rPr>
          <w:rFonts w:asciiTheme="minorHAnsi" w:hAnsiTheme="minorHAnsi"/>
          <w:color w:val="auto"/>
          <w:sz w:val="22"/>
          <w:szCs w:val="22"/>
        </w:rPr>
        <w:t xml:space="preserve">CBA is supportive of </w:t>
      </w:r>
      <w:r w:rsidR="001E210C" w:rsidRPr="00076744">
        <w:rPr>
          <w:rFonts w:asciiTheme="minorHAnsi" w:hAnsiTheme="minorHAnsi"/>
          <w:color w:val="auto"/>
          <w:sz w:val="22"/>
          <w:szCs w:val="22"/>
        </w:rPr>
        <w:t xml:space="preserve">extending </w:t>
      </w:r>
      <w:r w:rsidRPr="00076744">
        <w:rPr>
          <w:rFonts w:asciiTheme="minorHAnsi" w:hAnsiTheme="minorHAnsi"/>
          <w:color w:val="auto"/>
          <w:sz w:val="22"/>
          <w:szCs w:val="22"/>
        </w:rPr>
        <w:t xml:space="preserve">LCR </w:t>
      </w:r>
      <w:r w:rsidRPr="00076744">
        <w:rPr>
          <w:rFonts w:asciiTheme="minorHAnsi" w:hAnsiTheme="minorHAnsi"/>
          <w:sz w:val="22"/>
          <w:szCs w:val="22"/>
        </w:rPr>
        <w:t>in</w:t>
      </w:r>
      <w:r w:rsidR="001E210C" w:rsidRPr="00076744">
        <w:rPr>
          <w:rFonts w:asciiTheme="minorHAnsi" w:hAnsiTheme="minorHAnsi"/>
          <w:sz w:val="22"/>
          <w:szCs w:val="22"/>
        </w:rPr>
        <w:t>to</w:t>
      </w:r>
      <w:r w:rsidRPr="00076744">
        <w:rPr>
          <w:rFonts w:asciiTheme="minorHAnsi" w:hAnsiTheme="minorHAnsi"/>
          <w:sz w:val="22"/>
          <w:szCs w:val="22"/>
        </w:rPr>
        <w:t xml:space="preserve"> the online environment</w:t>
      </w:r>
      <w:r w:rsidR="001E210C" w:rsidRPr="00076744">
        <w:rPr>
          <w:rFonts w:asciiTheme="minorHAnsi" w:hAnsiTheme="minorHAnsi"/>
          <w:sz w:val="22"/>
          <w:szCs w:val="22"/>
        </w:rPr>
        <w:t xml:space="preserve"> in principle, </w:t>
      </w:r>
      <w:r w:rsidR="00400F9A" w:rsidRPr="00076744">
        <w:rPr>
          <w:rFonts w:asciiTheme="minorHAnsi" w:hAnsiTheme="minorHAnsi"/>
          <w:sz w:val="22"/>
          <w:szCs w:val="22"/>
        </w:rPr>
        <w:t>and agrees with the RBA that</w:t>
      </w:r>
      <w:r w:rsidRPr="00076744">
        <w:rPr>
          <w:rFonts w:asciiTheme="minorHAnsi" w:hAnsiTheme="minorHAnsi"/>
          <w:sz w:val="22"/>
          <w:szCs w:val="22"/>
        </w:rPr>
        <w:t xml:space="preserve"> the online </w:t>
      </w:r>
      <w:r w:rsidR="001E210C" w:rsidRPr="00076744">
        <w:rPr>
          <w:rFonts w:asciiTheme="minorHAnsi" w:hAnsiTheme="minorHAnsi"/>
          <w:sz w:val="22"/>
          <w:szCs w:val="22"/>
        </w:rPr>
        <w:t xml:space="preserve">ecosystem </w:t>
      </w:r>
      <w:r w:rsidRPr="00076744">
        <w:rPr>
          <w:rFonts w:asciiTheme="minorHAnsi" w:hAnsiTheme="minorHAnsi"/>
          <w:sz w:val="22"/>
          <w:szCs w:val="22"/>
        </w:rPr>
        <w:t xml:space="preserve">is </w:t>
      </w:r>
      <w:r w:rsidR="001E210C" w:rsidRPr="00076744">
        <w:rPr>
          <w:rFonts w:asciiTheme="minorHAnsi" w:hAnsiTheme="minorHAnsi"/>
          <w:sz w:val="22"/>
          <w:szCs w:val="22"/>
        </w:rPr>
        <w:t xml:space="preserve">significantly </w:t>
      </w:r>
      <w:r w:rsidR="00E57D64" w:rsidRPr="00076744">
        <w:rPr>
          <w:rFonts w:asciiTheme="minorHAnsi" w:hAnsiTheme="minorHAnsi"/>
          <w:sz w:val="22"/>
          <w:szCs w:val="22"/>
        </w:rPr>
        <w:t>more complex than</w:t>
      </w:r>
      <w:r w:rsidRPr="00076744">
        <w:rPr>
          <w:rFonts w:asciiTheme="minorHAnsi" w:hAnsiTheme="minorHAnsi"/>
          <w:sz w:val="22"/>
          <w:szCs w:val="22"/>
        </w:rPr>
        <w:t xml:space="preserve"> point of sale.  </w:t>
      </w:r>
    </w:p>
    <w:p w14:paraId="049F31CB" w14:textId="77777777" w:rsidR="00A95E7E" w:rsidRPr="00076744" w:rsidRDefault="00A95E7E" w:rsidP="007A5A25">
      <w:pPr>
        <w:pStyle w:val="Default"/>
        <w:spacing w:line="276" w:lineRule="auto"/>
        <w:jc w:val="both"/>
        <w:rPr>
          <w:rFonts w:asciiTheme="minorHAnsi" w:hAnsiTheme="minorHAnsi"/>
          <w:sz w:val="22"/>
          <w:szCs w:val="22"/>
        </w:rPr>
      </w:pPr>
    </w:p>
    <w:p w14:paraId="5865A36F" w14:textId="77777777" w:rsidR="000457A5" w:rsidRPr="000457A5" w:rsidRDefault="00A95E7E" w:rsidP="007A5A25">
      <w:pPr>
        <w:pStyle w:val="Default"/>
        <w:spacing w:line="276" w:lineRule="auto"/>
        <w:jc w:val="both"/>
        <w:rPr>
          <w:rFonts w:asciiTheme="minorHAnsi" w:hAnsiTheme="minorHAnsi"/>
          <w:color w:val="auto"/>
          <w:sz w:val="22"/>
          <w:szCs w:val="22"/>
        </w:rPr>
      </w:pPr>
      <w:r w:rsidRPr="00076744">
        <w:rPr>
          <w:rFonts w:asciiTheme="minorHAnsi" w:hAnsiTheme="minorHAnsi"/>
          <w:sz w:val="22"/>
          <w:szCs w:val="22"/>
        </w:rPr>
        <w:t>In a digital environment customers value convenient and frictionless payment methods</w:t>
      </w:r>
      <w:r w:rsidR="002C24BC" w:rsidRPr="00076744">
        <w:rPr>
          <w:rFonts w:asciiTheme="minorHAnsi" w:hAnsiTheme="minorHAnsi"/>
          <w:sz w:val="22"/>
          <w:szCs w:val="22"/>
        </w:rPr>
        <w:t>,</w:t>
      </w:r>
      <w:r w:rsidRPr="00076744">
        <w:rPr>
          <w:rStyle w:val="FootnoteReference"/>
          <w:rFonts w:asciiTheme="minorHAnsi" w:hAnsiTheme="minorHAnsi"/>
          <w:bCs/>
          <w:sz w:val="22"/>
          <w:szCs w:val="22"/>
        </w:rPr>
        <w:footnoteReference w:id="1"/>
      </w:r>
      <w:r w:rsidRPr="00076744">
        <w:rPr>
          <w:rFonts w:asciiTheme="minorHAnsi" w:hAnsiTheme="minorHAnsi"/>
          <w:sz w:val="22"/>
          <w:szCs w:val="22"/>
        </w:rPr>
        <w:t xml:space="preserve"> </w:t>
      </w:r>
      <w:r w:rsidR="002C24BC" w:rsidRPr="00076744">
        <w:rPr>
          <w:rFonts w:asciiTheme="minorHAnsi" w:hAnsiTheme="minorHAnsi"/>
          <w:sz w:val="22"/>
          <w:szCs w:val="22"/>
        </w:rPr>
        <w:t xml:space="preserve">and </w:t>
      </w:r>
      <w:r w:rsidRPr="00076744">
        <w:rPr>
          <w:rFonts w:asciiTheme="minorHAnsi" w:hAnsiTheme="minorHAnsi"/>
          <w:sz w:val="22"/>
          <w:szCs w:val="22"/>
        </w:rPr>
        <w:t xml:space="preserve">seamless secure payment experience is critical to merchants’ ability to convert sales in an online environment. </w:t>
      </w:r>
      <w:r w:rsidR="00B45F81" w:rsidRPr="00076744">
        <w:rPr>
          <w:rFonts w:asciiTheme="minorHAnsi" w:hAnsiTheme="minorHAnsi"/>
          <w:sz w:val="22"/>
          <w:szCs w:val="22"/>
        </w:rPr>
        <w:t>At present there are still major gaps in functionality between the international debit</w:t>
      </w:r>
      <w:r w:rsidR="00B45F81" w:rsidRPr="2D4E5F15">
        <w:rPr>
          <w:rFonts w:asciiTheme="minorHAnsi" w:hAnsiTheme="minorHAnsi"/>
          <w:sz w:val="22"/>
          <w:szCs w:val="22"/>
        </w:rPr>
        <w:t xml:space="preserve"> schemes and eftpos. </w:t>
      </w:r>
      <w:r w:rsidR="00B5381F" w:rsidRPr="2D4E5F15">
        <w:rPr>
          <w:rFonts w:asciiTheme="minorHAnsi" w:hAnsiTheme="minorHAnsi"/>
          <w:sz w:val="22"/>
          <w:szCs w:val="22"/>
        </w:rPr>
        <w:t xml:space="preserve">Significant </w:t>
      </w:r>
      <w:r w:rsidR="0086597E" w:rsidRPr="2D4E5F15">
        <w:rPr>
          <w:rFonts w:asciiTheme="minorHAnsi" w:hAnsiTheme="minorHAnsi"/>
          <w:sz w:val="22"/>
          <w:szCs w:val="22"/>
        </w:rPr>
        <w:t xml:space="preserve">technological </w:t>
      </w:r>
      <w:r w:rsidR="00B5381F" w:rsidRPr="2D4E5F15">
        <w:rPr>
          <w:rFonts w:asciiTheme="minorHAnsi" w:hAnsiTheme="minorHAnsi"/>
          <w:sz w:val="22"/>
          <w:szCs w:val="22"/>
        </w:rPr>
        <w:t xml:space="preserve">build and system changes </w:t>
      </w:r>
      <w:r w:rsidR="0086597E" w:rsidRPr="2D4E5F15">
        <w:rPr>
          <w:rFonts w:asciiTheme="minorHAnsi" w:hAnsiTheme="minorHAnsi"/>
          <w:sz w:val="22"/>
          <w:szCs w:val="22"/>
        </w:rPr>
        <w:t>will be required on the part of a number of participants in the payments ecosystem</w:t>
      </w:r>
      <w:r w:rsidR="00BD5772">
        <w:rPr>
          <w:rFonts w:asciiTheme="minorHAnsi" w:hAnsiTheme="minorHAnsi"/>
          <w:sz w:val="22"/>
          <w:szCs w:val="22"/>
        </w:rPr>
        <w:t xml:space="preserve"> to deliver the full suite of online payments for eftpos and to enable LCR, with significant uncertainty on the best approach to address a number of challenges</w:t>
      </w:r>
      <w:r w:rsidR="0086597E" w:rsidRPr="2D4E5F15">
        <w:rPr>
          <w:rFonts w:asciiTheme="minorHAnsi" w:hAnsiTheme="minorHAnsi"/>
          <w:sz w:val="22"/>
          <w:szCs w:val="22"/>
        </w:rPr>
        <w:t xml:space="preserve">. </w:t>
      </w:r>
      <w:r w:rsidR="00BD5772">
        <w:rPr>
          <w:rFonts w:asciiTheme="minorHAnsi" w:hAnsiTheme="minorHAnsi"/>
          <w:sz w:val="22"/>
          <w:szCs w:val="22"/>
        </w:rPr>
        <w:t xml:space="preserve"> A </w:t>
      </w:r>
      <w:r w:rsidR="00824D9F" w:rsidRPr="2D4E5F15">
        <w:rPr>
          <w:rFonts w:asciiTheme="minorHAnsi" w:hAnsiTheme="minorHAnsi"/>
          <w:sz w:val="22"/>
          <w:szCs w:val="22"/>
        </w:rPr>
        <w:t>coordinat</w:t>
      </w:r>
      <w:r w:rsidR="00BD5772">
        <w:rPr>
          <w:rFonts w:asciiTheme="minorHAnsi" w:hAnsiTheme="minorHAnsi"/>
          <w:sz w:val="22"/>
          <w:szCs w:val="22"/>
        </w:rPr>
        <w:t>ed</w:t>
      </w:r>
      <w:r w:rsidR="00824D9F" w:rsidRPr="2D4E5F15">
        <w:rPr>
          <w:rFonts w:asciiTheme="minorHAnsi" w:hAnsiTheme="minorHAnsi"/>
          <w:sz w:val="22"/>
          <w:szCs w:val="22"/>
        </w:rPr>
        <w:t xml:space="preserve"> industry </w:t>
      </w:r>
      <w:r w:rsidR="00BD5772">
        <w:rPr>
          <w:rFonts w:asciiTheme="minorHAnsi" w:hAnsiTheme="minorHAnsi"/>
          <w:sz w:val="22"/>
          <w:szCs w:val="22"/>
        </w:rPr>
        <w:t xml:space="preserve">approach </w:t>
      </w:r>
      <w:r w:rsidR="00CF780C" w:rsidRPr="2D4E5F15">
        <w:rPr>
          <w:rFonts w:asciiTheme="minorHAnsi" w:hAnsiTheme="minorHAnsi"/>
          <w:sz w:val="22"/>
          <w:szCs w:val="22"/>
        </w:rPr>
        <w:t xml:space="preserve">to </w:t>
      </w:r>
      <w:r w:rsidR="000457A5" w:rsidRPr="2D4E5F15">
        <w:rPr>
          <w:rFonts w:asciiTheme="minorHAnsi" w:hAnsiTheme="minorHAnsi"/>
          <w:sz w:val="22"/>
          <w:szCs w:val="22"/>
        </w:rPr>
        <w:t xml:space="preserve">develop a set </w:t>
      </w:r>
      <w:r w:rsidR="00040F56" w:rsidRPr="2D4E5F15">
        <w:rPr>
          <w:rFonts w:asciiTheme="minorHAnsi" w:hAnsiTheme="minorHAnsi"/>
          <w:sz w:val="22"/>
          <w:szCs w:val="22"/>
        </w:rPr>
        <w:t xml:space="preserve">of </w:t>
      </w:r>
      <w:r w:rsidR="000457A5" w:rsidRPr="2D4E5F15">
        <w:rPr>
          <w:rFonts w:asciiTheme="minorHAnsi" w:hAnsiTheme="minorHAnsi"/>
          <w:sz w:val="22"/>
          <w:szCs w:val="22"/>
        </w:rPr>
        <w:t xml:space="preserve">guiding principles </w:t>
      </w:r>
      <w:r w:rsidR="00BD5772">
        <w:rPr>
          <w:rFonts w:asciiTheme="minorHAnsi" w:hAnsiTheme="minorHAnsi"/>
          <w:sz w:val="22"/>
          <w:szCs w:val="22"/>
        </w:rPr>
        <w:t xml:space="preserve">to address these </w:t>
      </w:r>
      <w:r w:rsidR="00BD5772">
        <w:rPr>
          <w:rFonts w:asciiTheme="minorHAnsi" w:hAnsiTheme="minorHAnsi"/>
          <w:sz w:val="22"/>
          <w:szCs w:val="22"/>
        </w:rPr>
        <w:lastRenderedPageBreak/>
        <w:t xml:space="preserve">issues and facilitate an efficient enablement of </w:t>
      </w:r>
      <w:r w:rsidR="00824D9F" w:rsidRPr="2D4E5F15">
        <w:rPr>
          <w:rFonts w:asciiTheme="minorHAnsi" w:hAnsiTheme="minorHAnsi"/>
          <w:sz w:val="22"/>
          <w:szCs w:val="22"/>
        </w:rPr>
        <w:t xml:space="preserve">LCR in </w:t>
      </w:r>
      <w:r w:rsidR="000A6407" w:rsidRPr="2D4E5F15">
        <w:rPr>
          <w:rFonts w:asciiTheme="minorHAnsi" w:hAnsiTheme="minorHAnsi"/>
          <w:sz w:val="22"/>
          <w:szCs w:val="22"/>
        </w:rPr>
        <w:t>an online environment</w:t>
      </w:r>
      <w:r w:rsidR="00BD5772">
        <w:rPr>
          <w:rFonts w:asciiTheme="minorHAnsi" w:hAnsiTheme="minorHAnsi"/>
          <w:sz w:val="22"/>
          <w:szCs w:val="22"/>
        </w:rPr>
        <w:t xml:space="preserve">, is best managed by </w:t>
      </w:r>
      <w:r w:rsidR="00BD5772" w:rsidRPr="2D4E5F15">
        <w:rPr>
          <w:rFonts w:asciiTheme="minorHAnsi" w:hAnsiTheme="minorHAnsi"/>
          <w:sz w:val="22"/>
          <w:szCs w:val="22"/>
        </w:rPr>
        <w:t>AusPayNet, through its Issuer and Acquirer’s Forum</w:t>
      </w:r>
      <w:r w:rsidR="000457A5" w:rsidRPr="2D4E5F15">
        <w:rPr>
          <w:rFonts w:asciiTheme="minorHAnsi" w:hAnsiTheme="minorHAnsi"/>
          <w:sz w:val="22"/>
          <w:szCs w:val="22"/>
        </w:rPr>
        <w:t xml:space="preserve">.  </w:t>
      </w:r>
    </w:p>
    <w:p w14:paraId="53128261" w14:textId="77777777" w:rsidR="00E57D64" w:rsidRDefault="00E57D64" w:rsidP="007A5A25">
      <w:pPr>
        <w:spacing w:line="276" w:lineRule="auto"/>
        <w:jc w:val="both"/>
      </w:pPr>
    </w:p>
    <w:p w14:paraId="3681466F" w14:textId="77777777" w:rsidR="000457A5" w:rsidRDefault="000457A5" w:rsidP="007A5A25">
      <w:pPr>
        <w:spacing w:line="276" w:lineRule="auto"/>
        <w:jc w:val="both"/>
        <w:rPr>
          <w:rFonts w:cs="Arial"/>
          <w:b/>
          <w:bCs/>
          <w:sz w:val="22"/>
          <w:szCs w:val="22"/>
        </w:rPr>
      </w:pPr>
      <w:r w:rsidRPr="2D4E5F15">
        <w:rPr>
          <w:rFonts w:cs="Arial"/>
          <w:b/>
          <w:bCs/>
          <w:sz w:val="22"/>
          <w:szCs w:val="22"/>
        </w:rPr>
        <w:t>Interchange Fees</w:t>
      </w:r>
    </w:p>
    <w:p w14:paraId="38B5F4AA" w14:textId="77777777" w:rsidR="00CD78DC" w:rsidRDefault="00B45F81" w:rsidP="007A5A25">
      <w:pPr>
        <w:spacing w:line="276" w:lineRule="auto"/>
        <w:jc w:val="both"/>
        <w:rPr>
          <w:rFonts w:cs="Arial"/>
          <w:color w:val="000000"/>
          <w:sz w:val="22"/>
          <w:szCs w:val="22"/>
        </w:rPr>
      </w:pPr>
      <w:r w:rsidRPr="2D4E5F15">
        <w:rPr>
          <w:rFonts w:cs="Arial"/>
          <w:color w:val="000000"/>
          <w:sz w:val="22"/>
          <w:szCs w:val="22"/>
        </w:rPr>
        <w:t>The RBA asserts that ‘there is no strong justification for significant interchange fee payments in mature card systems.’ The card payment system is currently rapidly evolving and adapting in response to technology and changing payment behaviours.</w:t>
      </w:r>
      <w:r w:rsidR="00CD78DC" w:rsidRPr="2D4E5F15">
        <w:rPr>
          <w:rFonts w:cs="Arial"/>
          <w:color w:val="000000"/>
          <w:sz w:val="22"/>
          <w:szCs w:val="22"/>
        </w:rPr>
        <w:t xml:space="preserve"> Growth in digital wallets and </w:t>
      </w:r>
      <w:r w:rsidR="00C86A12">
        <w:rPr>
          <w:rFonts w:cs="Arial"/>
          <w:color w:val="000000"/>
          <w:sz w:val="22"/>
          <w:szCs w:val="22"/>
        </w:rPr>
        <w:t xml:space="preserve">e-commerce platforms </w:t>
      </w:r>
      <w:r w:rsidR="00CD78DC" w:rsidRPr="2D4E5F15">
        <w:rPr>
          <w:rFonts w:cs="Arial"/>
          <w:color w:val="000000"/>
          <w:sz w:val="22"/>
          <w:szCs w:val="22"/>
        </w:rPr>
        <w:t xml:space="preserve">are forcing the international card schemes to develop </w:t>
      </w:r>
      <w:r w:rsidR="00C86A12">
        <w:rPr>
          <w:rFonts w:cs="Arial"/>
          <w:color w:val="000000"/>
          <w:sz w:val="22"/>
          <w:szCs w:val="22"/>
        </w:rPr>
        <w:t>new value propositions and commensurate security and performance initiatives</w:t>
      </w:r>
      <w:r w:rsidR="00CD78DC" w:rsidRPr="2D4E5F15">
        <w:rPr>
          <w:rFonts w:cs="Arial"/>
          <w:color w:val="000000"/>
          <w:sz w:val="22"/>
          <w:szCs w:val="22"/>
        </w:rPr>
        <w:t>.</w:t>
      </w:r>
      <w:r w:rsidRPr="2D4E5F15">
        <w:rPr>
          <w:rFonts w:cs="Arial"/>
          <w:color w:val="000000"/>
          <w:sz w:val="22"/>
          <w:szCs w:val="22"/>
        </w:rPr>
        <w:t xml:space="preserve"> Inv</w:t>
      </w:r>
      <w:r w:rsidR="00766666" w:rsidRPr="2D4E5F15">
        <w:rPr>
          <w:rFonts w:cs="Arial"/>
          <w:color w:val="000000"/>
          <w:sz w:val="22"/>
          <w:szCs w:val="22"/>
        </w:rPr>
        <w:t>estment funded by interchange continues to remain relevant in this dynamic environment</w:t>
      </w:r>
      <w:r w:rsidRPr="2D4E5F15">
        <w:rPr>
          <w:rFonts w:cs="Arial"/>
          <w:color w:val="000000"/>
          <w:sz w:val="22"/>
          <w:szCs w:val="22"/>
        </w:rPr>
        <w:t xml:space="preserve"> to ensure Australians benefit from new technologies that </w:t>
      </w:r>
      <w:r w:rsidR="00CD6775" w:rsidRPr="2D4E5F15">
        <w:rPr>
          <w:rFonts w:cs="Arial"/>
          <w:color w:val="000000"/>
          <w:sz w:val="22"/>
          <w:szCs w:val="22"/>
        </w:rPr>
        <w:t xml:space="preserve">the </w:t>
      </w:r>
      <w:r w:rsidRPr="2D4E5F15">
        <w:rPr>
          <w:rFonts w:cs="Arial"/>
          <w:color w:val="000000"/>
          <w:sz w:val="22"/>
          <w:szCs w:val="22"/>
        </w:rPr>
        <w:t xml:space="preserve">international card schemes are rolling out in other countries. </w:t>
      </w:r>
    </w:p>
    <w:p w14:paraId="0AAAC743" w14:textId="072BE32B" w:rsidR="001D5B4B" w:rsidRDefault="00B45F81" w:rsidP="007A5A25">
      <w:pPr>
        <w:spacing w:line="276" w:lineRule="auto"/>
        <w:jc w:val="both"/>
        <w:rPr>
          <w:rFonts w:cs="Arial"/>
          <w:color w:val="000000"/>
          <w:sz w:val="22"/>
          <w:szCs w:val="22"/>
        </w:rPr>
      </w:pPr>
      <w:r w:rsidRPr="2D4E5F15">
        <w:rPr>
          <w:rFonts w:cs="Arial"/>
          <w:color w:val="000000"/>
          <w:sz w:val="22"/>
          <w:szCs w:val="22"/>
        </w:rPr>
        <w:t>As the RBA acknowle</w:t>
      </w:r>
      <w:r w:rsidR="00CC2275">
        <w:rPr>
          <w:rFonts w:cs="Arial"/>
          <w:color w:val="000000"/>
          <w:sz w:val="22"/>
          <w:szCs w:val="22"/>
        </w:rPr>
        <w:t>dges, interchange allows the international card schemes</w:t>
      </w:r>
      <w:r w:rsidRPr="2D4E5F15">
        <w:rPr>
          <w:rFonts w:cs="Arial"/>
          <w:color w:val="000000"/>
          <w:sz w:val="22"/>
          <w:szCs w:val="22"/>
        </w:rPr>
        <w:t xml:space="preserve"> to ‘… incentivise certain issuer and acquirer behaviours that benefit the entire network (for example, the adoption of new security features such as tokenisation)’. </w:t>
      </w:r>
      <w:r w:rsidR="0086597E" w:rsidRPr="2D4E5F15">
        <w:rPr>
          <w:rFonts w:cs="Arial"/>
          <w:color w:val="000000"/>
          <w:sz w:val="22"/>
          <w:szCs w:val="22"/>
        </w:rPr>
        <w:t>The</w:t>
      </w:r>
      <w:r w:rsidR="001D5B4B" w:rsidRPr="2D4E5F15">
        <w:rPr>
          <w:rFonts w:cs="Arial"/>
          <w:color w:val="000000"/>
          <w:sz w:val="22"/>
          <w:szCs w:val="22"/>
        </w:rPr>
        <w:t xml:space="preserve"> RBA </w:t>
      </w:r>
      <w:r w:rsidR="0086597E" w:rsidRPr="2D4E5F15">
        <w:rPr>
          <w:rFonts w:cs="Arial"/>
          <w:color w:val="000000"/>
          <w:sz w:val="22"/>
          <w:szCs w:val="22"/>
        </w:rPr>
        <w:t>should</w:t>
      </w:r>
      <w:r w:rsidR="001D5B4B" w:rsidRPr="2D4E5F15">
        <w:rPr>
          <w:rFonts w:cs="Arial"/>
          <w:color w:val="000000"/>
          <w:sz w:val="22"/>
          <w:szCs w:val="22"/>
        </w:rPr>
        <w:t xml:space="preserve"> explore more tailored and</w:t>
      </w:r>
      <w:r w:rsidRPr="2D4E5F15">
        <w:rPr>
          <w:rFonts w:cs="Arial"/>
          <w:color w:val="000000"/>
          <w:sz w:val="22"/>
          <w:szCs w:val="22"/>
        </w:rPr>
        <w:t xml:space="preserve"> targeted </w:t>
      </w:r>
      <w:r w:rsidR="0086597E" w:rsidRPr="2D4E5F15">
        <w:rPr>
          <w:rFonts w:cs="Arial"/>
          <w:color w:val="000000"/>
          <w:sz w:val="22"/>
          <w:szCs w:val="22"/>
        </w:rPr>
        <w:t>options</w:t>
      </w:r>
      <w:r w:rsidR="001D5B4B" w:rsidRPr="2D4E5F15">
        <w:rPr>
          <w:rFonts w:cs="Arial"/>
          <w:color w:val="000000"/>
          <w:sz w:val="22"/>
          <w:szCs w:val="22"/>
        </w:rPr>
        <w:t xml:space="preserve"> </w:t>
      </w:r>
      <w:r w:rsidR="0086597E" w:rsidRPr="2D4E5F15">
        <w:rPr>
          <w:rFonts w:cs="Arial"/>
          <w:color w:val="000000"/>
          <w:sz w:val="22"/>
          <w:szCs w:val="22"/>
        </w:rPr>
        <w:t xml:space="preserve">to encourage the use of </w:t>
      </w:r>
      <w:r w:rsidR="001D5B4B" w:rsidRPr="2D4E5F15">
        <w:rPr>
          <w:rFonts w:cs="Arial"/>
          <w:color w:val="000000"/>
          <w:sz w:val="22"/>
          <w:szCs w:val="22"/>
        </w:rPr>
        <w:t>interchange ‘…for the purpose of incentivising innovation or other actions that improve the payments system’</w:t>
      </w:r>
      <w:r w:rsidR="00CD6775" w:rsidRPr="2D4E5F15">
        <w:rPr>
          <w:rFonts w:cs="Arial"/>
          <w:color w:val="000000"/>
          <w:sz w:val="22"/>
          <w:szCs w:val="22"/>
        </w:rPr>
        <w:t xml:space="preserve"> </w:t>
      </w:r>
      <w:r w:rsidR="0086597E" w:rsidRPr="2D4E5F15">
        <w:rPr>
          <w:rFonts w:cs="Arial"/>
          <w:color w:val="000000"/>
          <w:sz w:val="22"/>
          <w:szCs w:val="22"/>
        </w:rPr>
        <w:t xml:space="preserve">as alternative to a blanket reduction that would limit </w:t>
      </w:r>
      <w:r w:rsidR="00CD6775" w:rsidRPr="2D4E5F15">
        <w:rPr>
          <w:rFonts w:cs="Arial"/>
          <w:color w:val="000000"/>
          <w:sz w:val="22"/>
          <w:szCs w:val="22"/>
        </w:rPr>
        <w:t xml:space="preserve">Australian </w:t>
      </w:r>
      <w:r w:rsidR="0086597E" w:rsidRPr="2D4E5F15">
        <w:rPr>
          <w:rFonts w:cs="Arial"/>
          <w:color w:val="000000"/>
          <w:sz w:val="22"/>
          <w:szCs w:val="22"/>
        </w:rPr>
        <w:t xml:space="preserve">access to </w:t>
      </w:r>
      <w:r w:rsidR="00CD6775" w:rsidRPr="2D4E5F15">
        <w:rPr>
          <w:rFonts w:cs="Arial"/>
          <w:color w:val="000000"/>
          <w:sz w:val="22"/>
          <w:szCs w:val="22"/>
        </w:rPr>
        <w:t>world standard technology</w:t>
      </w:r>
      <w:r w:rsidR="00CC2275">
        <w:rPr>
          <w:rFonts w:cs="Arial"/>
          <w:color w:val="000000"/>
          <w:sz w:val="22"/>
          <w:szCs w:val="22"/>
        </w:rPr>
        <w:t xml:space="preserve"> offered by the international card schemes</w:t>
      </w:r>
      <w:r w:rsidR="001D5B4B" w:rsidRPr="2D4E5F15">
        <w:rPr>
          <w:rFonts w:cs="Arial"/>
          <w:color w:val="000000"/>
          <w:sz w:val="22"/>
          <w:szCs w:val="22"/>
        </w:rPr>
        <w:t xml:space="preserve">. </w:t>
      </w:r>
    </w:p>
    <w:p w14:paraId="3D4D4F64" w14:textId="77777777" w:rsidR="00B45F81" w:rsidRDefault="001D5B4B" w:rsidP="007A5A25">
      <w:pPr>
        <w:spacing w:line="276" w:lineRule="auto"/>
        <w:jc w:val="both"/>
        <w:rPr>
          <w:rFonts w:cs="Arial"/>
          <w:color w:val="000000"/>
          <w:sz w:val="22"/>
          <w:szCs w:val="22"/>
        </w:rPr>
      </w:pPr>
      <w:r w:rsidRPr="2D4E5F15">
        <w:rPr>
          <w:rFonts w:cs="Arial"/>
          <w:color w:val="000000"/>
          <w:sz w:val="22"/>
          <w:szCs w:val="22"/>
        </w:rPr>
        <w:t xml:space="preserve">Interchange is </w:t>
      </w:r>
      <w:r w:rsidR="00C86A12">
        <w:rPr>
          <w:rFonts w:cs="Arial"/>
          <w:color w:val="000000"/>
          <w:sz w:val="22"/>
          <w:szCs w:val="22"/>
        </w:rPr>
        <w:t>critical</w:t>
      </w:r>
      <w:r w:rsidR="00C86A12" w:rsidRPr="2D4E5F15">
        <w:rPr>
          <w:rFonts w:cs="Arial"/>
          <w:color w:val="000000"/>
          <w:sz w:val="22"/>
          <w:szCs w:val="22"/>
        </w:rPr>
        <w:t xml:space="preserve"> </w:t>
      </w:r>
      <w:r w:rsidRPr="2D4E5F15">
        <w:rPr>
          <w:rFonts w:cs="Arial"/>
          <w:color w:val="000000"/>
          <w:sz w:val="22"/>
          <w:szCs w:val="22"/>
        </w:rPr>
        <w:t>to the ability of the major banks to continue to fund and maintain the increasingly burdened underlying payments infrastructure that is relied on by merchants, BNPL and digital wallet providers.</w:t>
      </w:r>
      <w:r w:rsidRPr="2D4E5F15">
        <w:rPr>
          <w:color w:val="1F497D"/>
        </w:rPr>
        <w:t> </w:t>
      </w:r>
      <w:r w:rsidRPr="2D4E5F15">
        <w:rPr>
          <w:rFonts w:cs="Arial"/>
          <w:sz w:val="22"/>
          <w:szCs w:val="22"/>
        </w:rPr>
        <w:t xml:space="preserve">With </w:t>
      </w:r>
      <w:r w:rsidR="00CD6775" w:rsidRPr="2D4E5F15">
        <w:rPr>
          <w:rFonts w:cs="Arial"/>
          <w:sz w:val="22"/>
          <w:szCs w:val="22"/>
        </w:rPr>
        <w:t>growing</w:t>
      </w:r>
      <w:r w:rsidRPr="2D4E5F15">
        <w:rPr>
          <w:rFonts w:cs="Arial"/>
          <w:sz w:val="22"/>
          <w:szCs w:val="22"/>
        </w:rPr>
        <w:t xml:space="preserve"> reliance by merchants on card based payments, it is critical that the security and stability of the networks and infrastructure is maintained and enhanced in the future. </w:t>
      </w:r>
    </w:p>
    <w:p w14:paraId="5A056F25" w14:textId="29F5291C" w:rsidR="007B266A" w:rsidRDefault="00734083" w:rsidP="007A5A25">
      <w:pPr>
        <w:spacing w:line="276" w:lineRule="auto"/>
        <w:jc w:val="both"/>
        <w:rPr>
          <w:rFonts w:cs="Arial"/>
          <w:sz w:val="22"/>
          <w:szCs w:val="22"/>
        </w:rPr>
      </w:pPr>
      <w:r w:rsidRPr="2D4E5F15">
        <w:rPr>
          <w:rFonts w:cs="Arial"/>
          <w:sz w:val="22"/>
          <w:szCs w:val="22"/>
          <w:lang w:val="en-GB" w:eastAsia="en-AU"/>
        </w:rPr>
        <w:t xml:space="preserve">The RBA suggests that ‘overall issuer revenue will not necessarily be impacted’ – whilst this might be true at an industry level, that is not correct at any individual issuer level, given the differing mix of transactions across different issuers.  </w:t>
      </w:r>
      <w:r w:rsidR="00CE3C30" w:rsidRPr="2D4E5F15">
        <w:rPr>
          <w:rFonts w:cs="Arial"/>
          <w:sz w:val="22"/>
          <w:szCs w:val="22"/>
          <w:lang w:val="en-GB" w:eastAsia="en-AU"/>
        </w:rPr>
        <w:t>CBA has modelled the impact of such a change on its portfolio, and</w:t>
      </w:r>
      <w:r w:rsidR="00BB2562">
        <w:rPr>
          <w:rFonts w:cs="Arial"/>
          <w:sz w:val="22"/>
          <w:szCs w:val="22"/>
          <w:lang w:val="en-GB" w:eastAsia="en-AU"/>
        </w:rPr>
        <w:t xml:space="preserve"> </w:t>
      </w:r>
      <w:r w:rsidR="00EB28FA">
        <w:rPr>
          <w:rFonts w:cs="Arial"/>
          <w:sz w:val="22"/>
          <w:szCs w:val="22"/>
          <w:lang w:val="en-GB" w:eastAsia="en-AU"/>
        </w:rPr>
        <w:t>it is substantial</w:t>
      </w:r>
      <w:r w:rsidR="00CE3C30" w:rsidRPr="2D4E5F15">
        <w:rPr>
          <w:rFonts w:cs="Arial"/>
          <w:sz w:val="22"/>
          <w:szCs w:val="22"/>
          <w:lang w:val="en-GB" w:eastAsia="en-AU"/>
        </w:rPr>
        <w:t>.  This</w:t>
      </w:r>
      <w:r w:rsidR="000457A5" w:rsidRPr="2D4E5F15">
        <w:rPr>
          <w:rFonts w:cs="Arial"/>
          <w:sz w:val="22"/>
          <w:szCs w:val="22"/>
          <w:lang w:val="en-GB" w:eastAsia="en-AU"/>
        </w:rPr>
        <w:t xml:space="preserve"> will reduce the level of funding available for issuers to ensure </w:t>
      </w:r>
      <w:r w:rsidR="000457A5" w:rsidRPr="2D4E5F15">
        <w:rPr>
          <w:rFonts w:cs="Arial"/>
          <w:sz w:val="22"/>
          <w:szCs w:val="22"/>
        </w:rPr>
        <w:t>investment to adhere to scheme mandates, align with new technology, prevent continued sophisticated fraud attacks, all while maintaining and improving system resiliency of a critical component of the Australian economy</w:t>
      </w:r>
      <w:r w:rsidR="007B266A" w:rsidRPr="2D4E5F15">
        <w:rPr>
          <w:rFonts w:cs="Arial"/>
          <w:sz w:val="22"/>
          <w:szCs w:val="22"/>
        </w:rPr>
        <w:t xml:space="preserve">. </w:t>
      </w:r>
      <w:r w:rsidR="00CD6775" w:rsidRPr="2D4E5F15">
        <w:rPr>
          <w:rFonts w:cs="Arial"/>
          <w:sz w:val="22"/>
          <w:szCs w:val="22"/>
        </w:rPr>
        <w:t>In CBA’s view a sustainable level of interchange will be essential</w:t>
      </w:r>
      <w:r w:rsidR="00CD6775" w:rsidRPr="2D4E5F15">
        <w:rPr>
          <w:rFonts w:cs="Arial"/>
          <w:color w:val="000000"/>
          <w:sz w:val="22"/>
          <w:szCs w:val="22"/>
        </w:rPr>
        <w:t xml:space="preserve"> to support the safe and secure transition to a digital economy.</w:t>
      </w:r>
    </w:p>
    <w:p w14:paraId="57F701F1" w14:textId="353FC32F" w:rsidR="007B266A" w:rsidRPr="00807263" w:rsidRDefault="007B266A" w:rsidP="007A5A25">
      <w:pPr>
        <w:pStyle w:val="CommentText"/>
        <w:spacing w:line="276" w:lineRule="auto"/>
        <w:jc w:val="both"/>
        <w:rPr>
          <w:rFonts w:cs="Arial"/>
          <w:sz w:val="22"/>
          <w:lang w:val="en-GB" w:eastAsia="en-AU"/>
        </w:rPr>
      </w:pPr>
      <w:r w:rsidRPr="00807263">
        <w:rPr>
          <w:rFonts w:cs="Arial"/>
          <w:sz w:val="22"/>
        </w:rPr>
        <w:t xml:space="preserve">CBA has </w:t>
      </w:r>
      <w:r w:rsidR="00734083" w:rsidRPr="00807263">
        <w:rPr>
          <w:rFonts w:cs="Arial"/>
          <w:sz w:val="22"/>
        </w:rPr>
        <w:t xml:space="preserve">the largest </w:t>
      </w:r>
      <w:r w:rsidRPr="00807263">
        <w:rPr>
          <w:rFonts w:cs="Arial"/>
          <w:sz w:val="22"/>
        </w:rPr>
        <w:t xml:space="preserve">SNDC base of </w:t>
      </w:r>
      <w:r w:rsidR="00076744">
        <w:rPr>
          <w:rFonts w:cs="Arial"/>
          <w:sz w:val="22"/>
        </w:rPr>
        <w:t>eftpos</w:t>
      </w:r>
      <w:r w:rsidRPr="00807263">
        <w:rPr>
          <w:rFonts w:cs="Arial"/>
          <w:sz w:val="22"/>
        </w:rPr>
        <w:t xml:space="preserve"> only </w:t>
      </w:r>
      <w:r w:rsidR="00204809" w:rsidRPr="00807263">
        <w:rPr>
          <w:rFonts w:cs="Arial"/>
          <w:sz w:val="22"/>
        </w:rPr>
        <w:t>debit cards</w:t>
      </w:r>
      <w:r w:rsidRPr="00807263">
        <w:rPr>
          <w:rFonts w:cs="Arial"/>
          <w:sz w:val="22"/>
        </w:rPr>
        <w:t xml:space="preserve">.  We have long supported </w:t>
      </w:r>
      <w:r w:rsidR="00076744">
        <w:rPr>
          <w:rFonts w:cs="Arial"/>
          <w:sz w:val="22"/>
        </w:rPr>
        <w:t>eftpos</w:t>
      </w:r>
      <w:r w:rsidRPr="00737049">
        <w:rPr>
          <w:rFonts w:cs="Arial"/>
          <w:sz w:val="22"/>
        </w:rPr>
        <w:t xml:space="preserve"> by continuing to </w:t>
      </w:r>
      <w:r w:rsidR="00204809" w:rsidRPr="00737049">
        <w:rPr>
          <w:rFonts w:cs="Arial"/>
          <w:sz w:val="22"/>
        </w:rPr>
        <w:t xml:space="preserve">issue </w:t>
      </w:r>
      <w:r w:rsidR="00734083" w:rsidRPr="00737049">
        <w:rPr>
          <w:rFonts w:cs="Arial"/>
          <w:sz w:val="22"/>
        </w:rPr>
        <w:t xml:space="preserve">these </w:t>
      </w:r>
      <w:r w:rsidRPr="00737049">
        <w:rPr>
          <w:rFonts w:cs="Arial"/>
          <w:sz w:val="22"/>
        </w:rPr>
        <w:t>proprietary cards</w:t>
      </w:r>
      <w:r w:rsidR="00734083" w:rsidRPr="00737049">
        <w:rPr>
          <w:rFonts w:cs="Arial"/>
          <w:sz w:val="22"/>
        </w:rPr>
        <w:t xml:space="preserve"> and w</w:t>
      </w:r>
      <w:r w:rsidRPr="00737049">
        <w:rPr>
          <w:rFonts w:cs="Arial"/>
          <w:sz w:val="22"/>
        </w:rPr>
        <w:t xml:space="preserve">e are concerned </w:t>
      </w:r>
      <w:r w:rsidR="00C86A12" w:rsidRPr="005E05D1">
        <w:rPr>
          <w:rFonts w:cs="Arial"/>
          <w:sz w:val="22"/>
        </w:rPr>
        <w:t xml:space="preserve">with </w:t>
      </w:r>
      <w:r w:rsidR="00734083" w:rsidRPr="005E05D1">
        <w:rPr>
          <w:rFonts w:cs="Arial"/>
          <w:sz w:val="22"/>
        </w:rPr>
        <w:t>the propos</w:t>
      </w:r>
      <w:r w:rsidR="00C86A12" w:rsidRPr="005E05D1">
        <w:rPr>
          <w:rFonts w:cs="Arial"/>
          <w:sz w:val="22"/>
        </w:rPr>
        <w:t xml:space="preserve">al to reduce the interchange cap for </w:t>
      </w:r>
      <w:r w:rsidR="004D1DEB" w:rsidRPr="005E05D1">
        <w:rPr>
          <w:rFonts w:cs="Arial"/>
          <w:sz w:val="22"/>
        </w:rPr>
        <w:t xml:space="preserve">SNDC </w:t>
      </w:r>
      <w:r w:rsidRPr="005E05D1">
        <w:rPr>
          <w:rFonts w:cs="Arial"/>
          <w:sz w:val="22"/>
        </w:rPr>
        <w:t>to 6 cents</w:t>
      </w:r>
      <w:r w:rsidR="000816DF" w:rsidRPr="005E05D1">
        <w:rPr>
          <w:rFonts w:cs="Arial"/>
          <w:sz w:val="22"/>
        </w:rPr>
        <w:t xml:space="preserve">. </w:t>
      </w:r>
      <w:r w:rsidRPr="005E05D1">
        <w:rPr>
          <w:rFonts w:cs="Arial"/>
          <w:sz w:val="22"/>
        </w:rPr>
        <w:t xml:space="preserve"> </w:t>
      </w:r>
      <w:r w:rsidR="00204809" w:rsidRPr="005E05D1">
        <w:rPr>
          <w:rFonts w:cs="Arial"/>
          <w:sz w:val="22"/>
        </w:rPr>
        <w:t xml:space="preserve">Reducing the cap </w:t>
      </w:r>
      <w:r w:rsidRPr="005E05D1">
        <w:rPr>
          <w:rFonts w:cs="Arial"/>
          <w:sz w:val="22"/>
        </w:rPr>
        <w:t xml:space="preserve">for </w:t>
      </w:r>
      <w:r w:rsidR="00076744">
        <w:rPr>
          <w:rFonts w:cs="Arial"/>
          <w:sz w:val="22"/>
        </w:rPr>
        <w:t>eftpos</w:t>
      </w:r>
      <w:r w:rsidRPr="005E05D1">
        <w:rPr>
          <w:rFonts w:cs="Arial"/>
          <w:sz w:val="22"/>
        </w:rPr>
        <w:t xml:space="preserve"> only debit cards </w:t>
      </w:r>
      <w:r w:rsidR="00204809" w:rsidRPr="005E05D1">
        <w:rPr>
          <w:rFonts w:cs="Arial"/>
          <w:sz w:val="22"/>
        </w:rPr>
        <w:t xml:space="preserve">will have the </w:t>
      </w:r>
      <w:r w:rsidRPr="005E05D1">
        <w:rPr>
          <w:rFonts w:cs="Arial"/>
          <w:sz w:val="22"/>
        </w:rPr>
        <w:t xml:space="preserve">consequence </w:t>
      </w:r>
      <w:r w:rsidR="000816DF" w:rsidRPr="005E05D1">
        <w:rPr>
          <w:sz w:val="22"/>
        </w:rPr>
        <w:t>of further straining the overall business case for issuers to maintain an eftpos only SNDC alongside a DNDC</w:t>
      </w:r>
      <w:r w:rsidR="00CC2275">
        <w:rPr>
          <w:sz w:val="22"/>
        </w:rPr>
        <w:t xml:space="preserve">, </w:t>
      </w:r>
      <w:r w:rsidR="00204809" w:rsidRPr="005E05D1">
        <w:rPr>
          <w:sz w:val="22"/>
        </w:rPr>
        <w:t xml:space="preserve">leading to a migration of </w:t>
      </w:r>
      <w:r w:rsidR="00076744">
        <w:rPr>
          <w:sz w:val="22"/>
        </w:rPr>
        <w:t>eftpos</w:t>
      </w:r>
      <w:r w:rsidR="00204809" w:rsidRPr="005E05D1">
        <w:rPr>
          <w:sz w:val="22"/>
        </w:rPr>
        <w:t xml:space="preserve"> only debit cards to DNDC</w:t>
      </w:r>
      <w:r w:rsidR="00204809">
        <w:rPr>
          <w:sz w:val="22"/>
        </w:rPr>
        <w:t xml:space="preserve"> and further erosion of </w:t>
      </w:r>
      <w:r w:rsidR="00076744">
        <w:rPr>
          <w:sz w:val="22"/>
        </w:rPr>
        <w:t>eftpos</w:t>
      </w:r>
      <w:r w:rsidR="00204809">
        <w:rPr>
          <w:sz w:val="22"/>
        </w:rPr>
        <w:t xml:space="preserve"> volumes</w:t>
      </w:r>
      <w:r w:rsidR="000816DF" w:rsidRPr="005E05D1">
        <w:rPr>
          <w:sz w:val="22"/>
        </w:rPr>
        <w:t>.</w:t>
      </w:r>
    </w:p>
    <w:p w14:paraId="62486C05" w14:textId="77777777" w:rsidR="000457A5" w:rsidRPr="000457A5" w:rsidRDefault="000457A5" w:rsidP="2D4E5F15">
      <w:pPr>
        <w:pStyle w:val="Default"/>
        <w:spacing w:line="276" w:lineRule="auto"/>
        <w:jc w:val="both"/>
        <w:rPr>
          <w:rFonts w:eastAsia="CBA Beacon Sans"/>
          <w:strike/>
        </w:rPr>
      </w:pPr>
    </w:p>
    <w:p w14:paraId="4079302F" w14:textId="77777777" w:rsidR="000457A5" w:rsidRPr="00076744" w:rsidRDefault="000457A5" w:rsidP="000457A5">
      <w:pPr>
        <w:jc w:val="both"/>
        <w:rPr>
          <w:rFonts w:cs="Arial"/>
          <w:b/>
          <w:sz w:val="22"/>
          <w:szCs w:val="22"/>
        </w:rPr>
      </w:pPr>
      <w:r w:rsidRPr="00076744">
        <w:rPr>
          <w:rFonts w:cs="Arial"/>
          <w:b/>
          <w:sz w:val="22"/>
          <w:szCs w:val="22"/>
        </w:rPr>
        <w:t>Scheme Fees</w:t>
      </w:r>
    </w:p>
    <w:p w14:paraId="71982A3A" w14:textId="77777777" w:rsidR="00174B83" w:rsidRPr="00076744" w:rsidRDefault="00174B83" w:rsidP="007A5A25">
      <w:pPr>
        <w:spacing w:line="276" w:lineRule="auto"/>
        <w:jc w:val="both"/>
        <w:rPr>
          <w:rFonts w:cs="Arial"/>
          <w:sz w:val="22"/>
          <w:szCs w:val="22"/>
        </w:rPr>
      </w:pPr>
      <w:r w:rsidRPr="00076744">
        <w:rPr>
          <w:rFonts w:cs="Arial"/>
          <w:sz w:val="22"/>
          <w:szCs w:val="22"/>
        </w:rPr>
        <w:t xml:space="preserve">CBA supports the disclosure of fees and rules, and the provision of quarterly data by card schemes to the RBA. Fee transparency is critical to the RBA’s ability to monitor costs in the payment system and </w:t>
      </w:r>
      <w:r w:rsidRPr="00076744">
        <w:rPr>
          <w:rFonts w:cs="Arial"/>
          <w:sz w:val="22"/>
          <w:szCs w:val="22"/>
        </w:rPr>
        <w:lastRenderedPageBreak/>
        <w:t xml:space="preserve">manage efficiency.  It is therefore an appropriate use of the RBA’s powers under s26 of the PSRA to request and audit data provided by the schemes. </w:t>
      </w:r>
    </w:p>
    <w:p w14:paraId="48602816" w14:textId="69E5FB0A" w:rsidR="000457A5" w:rsidRPr="00076744" w:rsidRDefault="00174B83" w:rsidP="007A5A25">
      <w:pPr>
        <w:spacing w:line="276" w:lineRule="auto"/>
        <w:jc w:val="both"/>
        <w:rPr>
          <w:rFonts w:cs="Arial"/>
          <w:sz w:val="22"/>
          <w:szCs w:val="22"/>
        </w:rPr>
      </w:pPr>
      <w:r w:rsidRPr="00076744">
        <w:rPr>
          <w:rFonts w:cs="Arial"/>
          <w:sz w:val="22"/>
          <w:szCs w:val="22"/>
        </w:rPr>
        <w:t>In CBA’s view, the rout</w:t>
      </w:r>
      <w:r w:rsidR="00CB3809">
        <w:rPr>
          <w:rFonts w:cs="Arial"/>
          <w:sz w:val="22"/>
          <w:szCs w:val="22"/>
        </w:rPr>
        <w:t>ine collection of annual data of</w:t>
      </w:r>
      <w:r w:rsidRPr="00076744">
        <w:rPr>
          <w:rFonts w:cs="Arial"/>
          <w:sz w:val="22"/>
          <w:szCs w:val="22"/>
        </w:rPr>
        <w:t xml:space="preserve"> scheme fee payments from large issuers and acquirers would create an unnecessary compliance burden.  Duplicated provision of data by issuers and acquirers to ‘act as a cross-check on the data reported by the schemes’ as proposed by the RBA would only be justified </w:t>
      </w:r>
      <w:r w:rsidR="00530A98" w:rsidRPr="00076744">
        <w:rPr>
          <w:rFonts w:cs="Arial"/>
          <w:sz w:val="22"/>
          <w:szCs w:val="22"/>
        </w:rPr>
        <w:t xml:space="preserve">in the event that </w:t>
      </w:r>
      <w:r w:rsidR="00CD6775" w:rsidRPr="00076744">
        <w:rPr>
          <w:rFonts w:cs="Arial"/>
          <w:sz w:val="22"/>
          <w:szCs w:val="22"/>
        </w:rPr>
        <w:t>the RBA detects</w:t>
      </w:r>
      <w:r w:rsidRPr="00076744">
        <w:rPr>
          <w:rFonts w:cs="Arial"/>
          <w:sz w:val="22"/>
          <w:szCs w:val="22"/>
        </w:rPr>
        <w:t xml:space="preserve"> irregularities in data or </w:t>
      </w:r>
      <w:r w:rsidR="00530A98" w:rsidRPr="00076744">
        <w:rPr>
          <w:rFonts w:cs="Arial"/>
          <w:sz w:val="22"/>
          <w:szCs w:val="22"/>
        </w:rPr>
        <w:t xml:space="preserve">after conducting an </w:t>
      </w:r>
      <w:r w:rsidRPr="00076744">
        <w:rPr>
          <w:rFonts w:cs="Arial"/>
          <w:sz w:val="22"/>
          <w:szCs w:val="22"/>
        </w:rPr>
        <w:t>audit of the schemes.</w:t>
      </w:r>
    </w:p>
    <w:p w14:paraId="4101652C" w14:textId="77777777" w:rsidR="00174B83" w:rsidRPr="00076744" w:rsidRDefault="00174B83" w:rsidP="2D4E5F15">
      <w:pPr>
        <w:jc w:val="both"/>
        <w:rPr>
          <w:rFonts w:cs="Arial"/>
          <w:b/>
          <w:bCs/>
          <w:sz w:val="22"/>
          <w:szCs w:val="22"/>
        </w:rPr>
      </w:pPr>
    </w:p>
    <w:p w14:paraId="65D96E57" w14:textId="77777777" w:rsidR="000457A5" w:rsidRPr="00076744" w:rsidRDefault="000457A5" w:rsidP="2D4E5F15">
      <w:pPr>
        <w:jc w:val="both"/>
        <w:rPr>
          <w:rFonts w:cs="Arial"/>
          <w:b/>
          <w:bCs/>
          <w:sz w:val="22"/>
          <w:szCs w:val="22"/>
        </w:rPr>
      </w:pPr>
      <w:r w:rsidRPr="00076744">
        <w:rPr>
          <w:rFonts w:cs="Arial"/>
          <w:b/>
          <w:bCs/>
          <w:sz w:val="22"/>
          <w:szCs w:val="22"/>
        </w:rPr>
        <w:t>Surcharging</w:t>
      </w:r>
    </w:p>
    <w:p w14:paraId="26001C34" w14:textId="77777777" w:rsidR="00A746EB" w:rsidRPr="00076744" w:rsidRDefault="00174B83" w:rsidP="007A5A25">
      <w:pPr>
        <w:pStyle w:val="Default"/>
        <w:spacing w:line="276" w:lineRule="auto"/>
        <w:jc w:val="both"/>
        <w:rPr>
          <w:rFonts w:asciiTheme="minorHAnsi" w:hAnsiTheme="minorHAnsi"/>
          <w:color w:val="auto"/>
          <w:sz w:val="22"/>
          <w:szCs w:val="22"/>
        </w:rPr>
      </w:pPr>
      <w:r w:rsidRPr="00076744">
        <w:rPr>
          <w:rFonts w:asciiTheme="minorHAnsi" w:hAnsiTheme="minorHAnsi"/>
          <w:sz w:val="22"/>
          <w:szCs w:val="22"/>
        </w:rPr>
        <w:t>Consistent application of regulation is important to maintain clear price signals and minimise the cross subsidisation of more costly payment types.</w:t>
      </w:r>
      <w:r w:rsidR="0060222B" w:rsidRPr="00076744">
        <w:rPr>
          <w:rFonts w:asciiTheme="minorHAnsi" w:hAnsiTheme="minorHAnsi"/>
          <w:sz w:val="22"/>
          <w:szCs w:val="22"/>
        </w:rPr>
        <w:t xml:space="preserve"> </w:t>
      </w:r>
      <w:r w:rsidR="0060222B" w:rsidRPr="00076744">
        <w:rPr>
          <w:rFonts w:asciiTheme="minorHAnsi" w:hAnsiTheme="minorHAnsi"/>
          <w:color w:val="auto"/>
          <w:sz w:val="22"/>
          <w:szCs w:val="22"/>
        </w:rPr>
        <w:t xml:space="preserve"> Surcharging rules and disclosure of fees are required across payment types to allow consumers and merchants to make better informed decisions based on the cost of the various payment choices, and </w:t>
      </w:r>
      <w:r w:rsidR="00530A98" w:rsidRPr="00076744">
        <w:rPr>
          <w:rFonts w:asciiTheme="minorHAnsi" w:hAnsiTheme="minorHAnsi"/>
          <w:color w:val="auto"/>
          <w:sz w:val="22"/>
          <w:szCs w:val="22"/>
        </w:rPr>
        <w:t>encourage payment providers to keep the cost of transactions as low as possible</w:t>
      </w:r>
      <w:r w:rsidR="0060222B" w:rsidRPr="00076744">
        <w:rPr>
          <w:rFonts w:asciiTheme="minorHAnsi" w:hAnsiTheme="minorHAnsi"/>
          <w:color w:val="auto"/>
          <w:sz w:val="22"/>
          <w:szCs w:val="22"/>
        </w:rPr>
        <w:t>.</w:t>
      </w:r>
    </w:p>
    <w:p w14:paraId="4B99056E" w14:textId="77777777" w:rsidR="00A746EB" w:rsidRPr="00076744" w:rsidRDefault="00A746EB" w:rsidP="007A5A25">
      <w:pPr>
        <w:pStyle w:val="Default"/>
        <w:spacing w:line="276" w:lineRule="auto"/>
        <w:jc w:val="both"/>
        <w:rPr>
          <w:rFonts w:asciiTheme="minorHAnsi" w:hAnsiTheme="minorHAnsi"/>
          <w:sz w:val="22"/>
          <w:szCs w:val="22"/>
        </w:rPr>
      </w:pPr>
    </w:p>
    <w:p w14:paraId="1E3605FB" w14:textId="77777777" w:rsidR="00A746EB" w:rsidRPr="00076744" w:rsidRDefault="00A746EB" w:rsidP="007A5A25">
      <w:pPr>
        <w:pStyle w:val="Default"/>
        <w:spacing w:line="276" w:lineRule="auto"/>
        <w:jc w:val="both"/>
        <w:rPr>
          <w:rFonts w:asciiTheme="minorHAnsi" w:hAnsiTheme="minorHAnsi"/>
          <w:sz w:val="22"/>
          <w:szCs w:val="22"/>
        </w:rPr>
      </w:pPr>
      <w:r w:rsidRPr="00076744">
        <w:rPr>
          <w:rFonts w:asciiTheme="minorHAnsi" w:hAnsiTheme="minorHAnsi"/>
          <w:color w:val="auto"/>
          <w:sz w:val="22"/>
          <w:szCs w:val="22"/>
        </w:rPr>
        <w:t xml:space="preserve">Additionally, inconsistent application of rules to newer entities reduces the incentive to innovate and compete on the basis of convenience, efficiency and lower costs. </w:t>
      </w:r>
      <w:r w:rsidRPr="00076744">
        <w:rPr>
          <w:rFonts w:asciiTheme="minorHAnsi" w:hAnsiTheme="minorHAnsi"/>
          <w:sz w:val="22"/>
          <w:szCs w:val="22"/>
        </w:rPr>
        <w:t xml:space="preserve">CBA rejects the </w:t>
      </w:r>
      <w:r w:rsidR="007C19EA" w:rsidRPr="00076744">
        <w:rPr>
          <w:rFonts w:asciiTheme="minorHAnsi" w:hAnsiTheme="minorHAnsi"/>
          <w:sz w:val="22"/>
          <w:szCs w:val="22"/>
        </w:rPr>
        <w:t>view that n</w:t>
      </w:r>
      <w:r w:rsidRPr="00076744">
        <w:rPr>
          <w:rFonts w:asciiTheme="minorHAnsi" w:hAnsiTheme="minorHAnsi"/>
          <w:sz w:val="22"/>
          <w:szCs w:val="22"/>
        </w:rPr>
        <w:t xml:space="preserve">o-surcharge rules </w:t>
      </w:r>
      <w:r w:rsidR="007C19EA" w:rsidRPr="00076744">
        <w:rPr>
          <w:rFonts w:asciiTheme="minorHAnsi" w:hAnsiTheme="minorHAnsi"/>
          <w:sz w:val="22"/>
          <w:szCs w:val="22"/>
        </w:rPr>
        <w:t>are needed to ‘….</w:t>
      </w:r>
      <w:r w:rsidRPr="00076744">
        <w:rPr>
          <w:rFonts w:asciiTheme="minorHAnsi" w:hAnsiTheme="minorHAnsi"/>
          <w:sz w:val="22"/>
          <w:szCs w:val="22"/>
        </w:rPr>
        <w:t xml:space="preserve"> promote innovation and competition by helping </w:t>
      </w:r>
      <w:r w:rsidRPr="00076744">
        <w:rPr>
          <w:rFonts w:asciiTheme="minorHAnsi" w:hAnsiTheme="minorHAnsi"/>
          <w:color w:val="auto"/>
          <w:sz w:val="22"/>
          <w:szCs w:val="22"/>
        </w:rPr>
        <w:t xml:space="preserve">an emerging payment service provider develop its network – for example, by making the service initially free or inexpensive for consumers.’ </w:t>
      </w:r>
      <w:r w:rsidR="007C19EA" w:rsidRPr="00076744">
        <w:rPr>
          <w:rFonts w:asciiTheme="minorHAnsi" w:hAnsiTheme="minorHAnsi"/>
          <w:color w:val="auto"/>
          <w:sz w:val="22"/>
          <w:szCs w:val="22"/>
        </w:rPr>
        <w:t>Fintechs and digital platforms have successfully demonstrated that it is possible to c</w:t>
      </w:r>
      <w:r w:rsidR="00D74CD8" w:rsidRPr="00076744">
        <w:rPr>
          <w:rFonts w:asciiTheme="minorHAnsi" w:hAnsiTheme="minorHAnsi"/>
          <w:color w:val="auto"/>
          <w:sz w:val="22"/>
          <w:szCs w:val="22"/>
        </w:rPr>
        <w:t>apture market share from incumben</w:t>
      </w:r>
      <w:r w:rsidR="007C19EA" w:rsidRPr="00076744">
        <w:rPr>
          <w:rFonts w:asciiTheme="minorHAnsi" w:hAnsiTheme="minorHAnsi"/>
          <w:color w:val="auto"/>
          <w:sz w:val="22"/>
          <w:szCs w:val="22"/>
        </w:rPr>
        <w:t xml:space="preserve">ts </w:t>
      </w:r>
      <w:r w:rsidR="00D74CD8" w:rsidRPr="00076744">
        <w:rPr>
          <w:rFonts w:asciiTheme="minorHAnsi" w:hAnsiTheme="minorHAnsi"/>
          <w:color w:val="auto"/>
          <w:sz w:val="22"/>
          <w:szCs w:val="22"/>
        </w:rPr>
        <w:t>by offering s</w:t>
      </w:r>
      <w:r w:rsidR="007C19EA" w:rsidRPr="00076744">
        <w:rPr>
          <w:rFonts w:asciiTheme="minorHAnsi" w:hAnsiTheme="minorHAnsi"/>
          <w:color w:val="auto"/>
          <w:sz w:val="22"/>
          <w:szCs w:val="22"/>
        </w:rPr>
        <w:t>eamless experiences and value added services</w:t>
      </w:r>
      <w:r w:rsidR="00D74CD8" w:rsidRPr="00076744">
        <w:rPr>
          <w:rFonts w:asciiTheme="minorHAnsi" w:hAnsiTheme="minorHAnsi"/>
          <w:color w:val="auto"/>
          <w:sz w:val="22"/>
          <w:szCs w:val="22"/>
        </w:rPr>
        <w:t>.</w:t>
      </w:r>
      <w:r w:rsidR="007C19EA" w:rsidRPr="00076744">
        <w:rPr>
          <w:rFonts w:asciiTheme="minorHAnsi" w:hAnsiTheme="minorHAnsi"/>
          <w:color w:val="auto"/>
          <w:sz w:val="22"/>
          <w:szCs w:val="22"/>
        </w:rPr>
        <w:t xml:space="preserve"> </w:t>
      </w:r>
    </w:p>
    <w:p w14:paraId="1299C43A" w14:textId="77777777" w:rsidR="00174B83" w:rsidRPr="00076744" w:rsidRDefault="00174B83" w:rsidP="007A5A25">
      <w:pPr>
        <w:pStyle w:val="Default"/>
        <w:spacing w:line="276" w:lineRule="auto"/>
        <w:jc w:val="both"/>
        <w:rPr>
          <w:rFonts w:asciiTheme="minorHAnsi" w:hAnsiTheme="minorHAnsi"/>
          <w:sz w:val="22"/>
          <w:szCs w:val="22"/>
        </w:rPr>
      </w:pPr>
    </w:p>
    <w:p w14:paraId="264F6524" w14:textId="507239D9" w:rsidR="00A746EB" w:rsidRPr="00076744" w:rsidRDefault="00A746EB" w:rsidP="007A5A25">
      <w:pPr>
        <w:autoSpaceDE w:val="0"/>
        <w:autoSpaceDN w:val="0"/>
        <w:adjustRightInd w:val="0"/>
        <w:spacing w:after="0" w:line="276" w:lineRule="auto"/>
        <w:rPr>
          <w:rFonts w:cs="Arial"/>
          <w:sz w:val="22"/>
          <w:szCs w:val="22"/>
        </w:rPr>
      </w:pPr>
      <w:r w:rsidRPr="00076744">
        <w:rPr>
          <w:rFonts w:cs="Arial"/>
          <w:sz w:val="22"/>
          <w:szCs w:val="22"/>
        </w:rPr>
        <w:t>For the reasons above, CBA</w:t>
      </w:r>
      <w:r w:rsidR="00BC4AE4" w:rsidRPr="00076744">
        <w:rPr>
          <w:rFonts w:cs="Arial"/>
          <w:sz w:val="22"/>
          <w:szCs w:val="22"/>
        </w:rPr>
        <w:t xml:space="preserve"> </w:t>
      </w:r>
      <w:r w:rsidR="00CD6775" w:rsidRPr="00076744">
        <w:rPr>
          <w:rFonts w:cs="Arial"/>
          <w:sz w:val="22"/>
          <w:szCs w:val="22"/>
        </w:rPr>
        <w:t>believes</w:t>
      </w:r>
      <w:r w:rsidR="00BC4AE4" w:rsidRPr="00076744">
        <w:rPr>
          <w:rFonts w:cs="Arial"/>
          <w:sz w:val="22"/>
          <w:szCs w:val="22"/>
        </w:rPr>
        <w:t xml:space="preserve"> that </w:t>
      </w:r>
      <w:r w:rsidR="00744EE9" w:rsidRPr="00076744">
        <w:rPr>
          <w:rFonts w:cs="Arial"/>
          <w:sz w:val="22"/>
          <w:szCs w:val="22"/>
        </w:rPr>
        <w:t>the growth and</w:t>
      </w:r>
      <w:r w:rsidRPr="00076744">
        <w:rPr>
          <w:rFonts w:cs="Arial"/>
          <w:sz w:val="22"/>
          <w:szCs w:val="22"/>
        </w:rPr>
        <w:t xml:space="preserve"> share of consumer payments</w:t>
      </w:r>
      <w:r w:rsidR="00BC4AE4" w:rsidRPr="00076744">
        <w:rPr>
          <w:rFonts w:cs="Arial"/>
          <w:sz w:val="22"/>
          <w:szCs w:val="22"/>
        </w:rPr>
        <w:t xml:space="preserve"> should </w:t>
      </w:r>
      <w:r w:rsidR="00CD6775" w:rsidRPr="00076744">
        <w:rPr>
          <w:rFonts w:cs="Arial"/>
          <w:sz w:val="22"/>
          <w:szCs w:val="22"/>
        </w:rPr>
        <w:t xml:space="preserve">not </w:t>
      </w:r>
      <w:r w:rsidR="00BC4AE4" w:rsidRPr="00076744">
        <w:rPr>
          <w:rFonts w:cs="Arial"/>
          <w:sz w:val="22"/>
          <w:szCs w:val="22"/>
        </w:rPr>
        <w:t xml:space="preserve">be a determining factor in the </w:t>
      </w:r>
      <w:r w:rsidR="00CD6775" w:rsidRPr="00076744">
        <w:rPr>
          <w:rFonts w:cs="Arial"/>
          <w:sz w:val="22"/>
          <w:szCs w:val="22"/>
        </w:rPr>
        <w:t>RBA</w:t>
      </w:r>
      <w:r w:rsidR="00BC4AE4" w:rsidRPr="00076744">
        <w:rPr>
          <w:rFonts w:cs="Arial"/>
          <w:sz w:val="22"/>
          <w:szCs w:val="22"/>
        </w:rPr>
        <w:t>’s assessment of policy in relation to no-surcharge rules. Further, our understanding of the size and growth of the BNPL sector is much more significant than the RBA’s assessment in the Conclusions Paper</w:t>
      </w:r>
      <w:r w:rsidR="007A5A25">
        <w:rPr>
          <w:rFonts w:cs="Arial"/>
          <w:sz w:val="22"/>
          <w:szCs w:val="22"/>
        </w:rPr>
        <w:t>.</w:t>
      </w:r>
    </w:p>
    <w:p w14:paraId="4DDBEF00" w14:textId="77777777" w:rsidR="00A746EB" w:rsidRPr="00076744" w:rsidRDefault="00A746EB" w:rsidP="007A5A25">
      <w:pPr>
        <w:pStyle w:val="Default"/>
        <w:spacing w:line="276" w:lineRule="auto"/>
        <w:jc w:val="both"/>
        <w:rPr>
          <w:rFonts w:asciiTheme="minorHAnsi" w:hAnsiTheme="minorHAnsi"/>
        </w:rPr>
      </w:pPr>
    </w:p>
    <w:p w14:paraId="3461D779" w14:textId="4ED013EE" w:rsidR="0036403C" w:rsidRPr="00076744" w:rsidRDefault="0088053D" w:rsidP="007A5A25">
      <w:pPr>
        <w:spacing w:line="276" w:lineRule="auto"/>
        <w:jc w:val="both"/>
        <w:rPr>
          <w:rFonts w:cs="Arial"/>
        </w:rPr>
      </w:pPr>
      <w:r w:rsidRPr="00076744">
        <w:rPr>
          <w:rFonts w:cs="Arial"/>
          <w:sz w:val="22"/>
          <w:szCs w:val="22"/>
        </w:rPr>
        <w:t xml:space="preserve">BNPL </w:t>
      </w:r>
      <w:r w:rsidR="00B642E7" w:rsidRPr="00076744">
        <w:rPr>
          <w:rFonts w:cs="Arial"/>
          <w:sz w:val="22"/>
          <w:szCs w:val="22"/>
        </w:rPr>
        <w:t xml:space="preserve">has </w:t>
      </w:r>
      <w:r w:rsidRPr="00076744">
        <w:rPr>
          <w:rFonts w:cs="Arial"/>
          <w:sz w:val="22"/>
          <w:szCs w:val="22"/>
        </w:rPr>
        <w:t xml:space="preserve">now </w:t>
      </w:r>
      <w:r w:rsidR="00B642E7" w:rsidRPr="00076744">
        <w:rPr>
          <w:rFonts w:cs="Arial"/>
          <w:sz w:val="22"/>
          <w:szCs w:val="22"/>
        </w:rPr>
        <w:t>become an unavoidable offering for merchants wishing to maintain current sales levels</w:t>
      </w:r>
      <w:r w:rsidRPr="00076744">
        <w:rPr>
          <w:rFonts w:cs="Arial"/>
          <w:sz w:val="22"/>
          <w:szCs w:val="22"/>
        </w:rPr>
        <w:t>, and impact</w:t>
      </w:r>
      <w:r w:rsidR="00DB04E2" w:rsidRPr="00076744">
        <w:rPr>
          <w:rFonts w:cs="Arial"/>
          <w:sz w:val="22"/>
          <w:szCs w:val="22"/>
        </w:rPr>
        <w:t>ing</w:t>
      </w:r>
      <w:r w:rsidRPr="00076744">
        <w:rPr>
          <w:rFonts w:cs="Arial"/>
          <w:sz w:val="22"/>
          <w:szCs w:val="22"/>
        </w:rPr>
        <w:t xml:space="preserve"> the </w:t>
      </w:r>
      <w:r w:rsidR="00807263" w:rsidRPr="00076744">
        <w:rPr>
          <w:rFonts w:cs="Arial"/>
          <w:sz w:val="22"/>
          <w:szCs w:val="22"/>
        </w:rPr>
        <w:t xml:space="preserve">incomes </w:t>
      </w:r>
      <w:r w:rsidRPr="00076744">
        <w:rPr>
          <w:rFonts w:cs="Arial"/>
          <w:sz w:val="22"/>
          <w:szCs w:val="22"/>
        </w:rPr>
        <w:t xml:space="preserve">of small business operators </w:t>
      </w:r>
      <w:r w:rsidR="00DB04E2" w:rsidRPr="00076744">
        <w:rPr>
          <w:rFonts w:cs="Arial"/>
          <w:sz w:val="22"/>
          <w:szCs w:val="22"/>
        </w:rPr>
        <w:t>and</w:t>
      </w:r>
      <w:r w:rsidRPr="00076744">
        <w:rPr>
          <w:rFonts w:cs="Arial"/>
          <w:sz w:val="22"/>
          <w:szCs w:val="22"/>
        </w:rPr>
        <w:t xml:space="preserve"> the general level of consumer prices</w:t>
      </w:r>
      <w:r w:rsidR="004D7723" w:rsidRPr="00076744">
        <w:rPr>
          <w:rFonts w:cs="Arial"/>
          <w:sz w:val="22"/>
          <w:szCs w:val="22"/>
        </w:rPr>
        <w:t xml:space="preserve">. </w:t>
      </w:r>
      <w:r w:rsidR="00B642E7" w:rsidRPr="00076744">
        <w:rPr>
          <w:rFonts w:cs="Arial"/>
          <w:sz w:val="22"/>
          <w:szCs w:val="22"/>
        </w:rPr>
        <w:t xml:space="preserve"> It is critical </w:t>
      </w:r>
      <w:r w:rsidRPr="00076744">
        <w:rPr>
          <w:rFonts w:cs="Arial"/>
          <w:sz w:val="22"/>
          <w:szCs w:val="22"/>
        </w:rPr>
        <w:t>therefore</w:t>
      </w:r>
      <w:r w:rsidR="007A5A25">
        <w:rPr>
          <w:rFonts w:cs="Arial"/>
          <w:sz w:val="22"/>
          <w:szCs w:val="22"/>
        </w:rPr>
        <w:t>,</w:t>
      </w:r>
      <w:r w:rsidRPr="00076744">
        <w:rPr>
          <w:rFonts w:cs="Arial"/>
          <w:sz w:val="22"/>
          <w:szCs w:val="22"/>
        </w:rPr>
        <w:t xml:space="preserve"> </w:t>
      </w:r>
      <w:r w:rsidR="00B642E7" w:rsidRPr="00076744">
        <w:rPr>
          <w:rFonts w:cs="Arial"/>
          <w:sz w:val="22"/>
          <w:szCs w:val="22"/>
        </w:rPr>
        <w:t>that the RBA act now to ensure</w:t>
      </w:r>
      <w:r w:rsidR="00CD6775" w:rsidRPr="00076744">
        <w:rPr>
          <w:rFonts w:cs="Arial"/>
          <w:sz w:val="22"/>
          <w:szCs w:val="22"/>
        </w:rPr>
        <w:t xml:space="preserve"> that</w:t>
      </w:r>
      <w:r w:rsidR="00B642E7" w:rsidRPr="00076744">
        <w:rPr>
          <w:rFonts w:cs="Arial"/>
          <w:sz w:val="22"/>
          <w:szCs w:val="22"/>
        </w:rPr>
        <w:t xml:space="preserve"> </w:t>
      </w:r>
      <w:r w:rsidR="00744EE9" w:rsidRPr="00076744">
        <w:rPr>
          <w:rFonts w:cs="Arial"/>
          <w:sz w:val="22"/>
          <w:szCs w:val="22"/>
        </w:rPr>
        <w:t xml:space="preserve">the ongoing </w:t>
      </w:r>
      <w:r w:rsidR="00B642E7" w:rsidRPr="00076744">
        <w:rPr>
          <w:rFonts w:cs="Arial"/>
          <w:sz w:val="22"/>
          <w:szCs w:val="22"/>
        </w:rPr>
        <w:t>growth in the adoption of BNPL</w:t>
      </w:r>
      <w:r w:rsidR="00CD6775" w:rsidRPr="00076744">
        <w:rPr>
          <w:rFonts w:cs="Arial"/>
          <w:sz w:val="22"/>
          <w:szCs w:val="22"/>
        </w:rPr>
        <w:t xml:space="preserve"> is sustainably</w:t>
      </w:r>
      <w:r w:rsidR="00B642E7" w:rsidRPr="00076744">
        <w:rPr>
          <w:rFonts w:cs="Arial"/>
          <w:sz w:val="22"/>
          <w:szCs w:val="22"/>
        </w:rPr>
        <w:t xml:space="preserve"> </w:t>
      </w:r>
      <w:r w:rsidR="00744EE9" w:rsidRPr="00076744">
        <w:rPr>
          <w:rFonts w:cs="Arial"/>
          <w:sz w:val="22"/>
          <w:szCs w:val="22"/>
        </w:rPr>
        <w:t>based on the sector’s ability to add value to merchants and consumers</w:t>
      </w:r>
      <w:r w:rsidRPr="00076744">
        <w:rPr>
          <w:rFonts w:cs="Arial"/>
          <w:sz w:val="22"/>
          <w:szCs w:val="22"/>
        </w:rPr>
        <w:t>.</w:t>
      </w:r>
    </w:p>
    <w:p w14:paraId="242E2130" w14:textId="77777777" w:rsidR="00BB2562" w:rsidRDefault="00BB2562">
      <w:pPr>
        <w:rPr>
          <w:rFonts w:cs="Arial"/>
          <w:b/>
          <w:bCs/>
          <w:sz w:val="22"/>
          <w:szCs w:val="22"/>
        </w:rPr>
      </w:pPr>
      <w:r>
        <w:rPr>
          <w:rFonts w:cs="Arial"/>
          <w:b/>
          <w:bCs/>
          <w:sz w:val="22"/>
          <w:szCs w:val="22"/>
        </w:rPr>
        <w:br w:type="page"/>
      </w:r>
    </w:p>
    <w:p w14:paraId="6D550659" w14:textId="2DA16861" w:rsidR="000457A5" w:rsidRPr="00076744" w:rsidRDefault="000457A5" w:rsidP="79DDA045">
      <w:pPr>
        <w:jc w:val="both"/>
        <w:rPr>
          <w:rFonts w:cs="Arial"/>
          <w:b/>
          <w:bCs/>
          <w:sz w:val="22"/>
          <w:szCs w:val="22"/>
        </w:rPr>
      </w:pPr>
      <w:r w:rsidRPr="00076744">
        <w:rPr>
          <w:rFonts w:cs="Arial"/>
          <w:b/>
          <w:bCs/>
          <w:sz w:val="22"/>
          <w:szCs w:val="22"/>
        </w:rPr>
        <w:lastRenderedPageBreak/>
        <w:t xml:space="preserve">Digital Wallets </w:t>
      </w:r>
    </w:p>
    <w:p w14:paraId="417EF7E9" w14:textId="77777777" w:rsidR="00744EE9" w:rsidRPr="00076744" w:rsidRDefault="00744EE9" w:rsidP="007A5A25">
      <w:pPr>
        <w:spacing w:line="276" w:lineRule="auto"/>
        <w:jc w:val="both"/>
        <w:rPr>
          <w:rFonts w:cs="Arial"/>
          <w:sz w:val="22"/>
          <w:szCs w:val="22"/>
        </w:rPr>
      </w:pPr>
      <w:r w:rsidRPr="00076744">
        <w:rPr>
          <w:rFonts w:cs="Arial"/>
          <w:sz w:val="22"/>
          <w:szCs w:val="22"/>
        </w:rPr>
        <w:t xml:space="preserve">Similar to BNPL, CBA’s understanding of the size and rate of growth of digital wallet use is </w:t>
      </w:r>
      <w:r w:rsidR="00A06B69" w:rsidRPr="00076744">
        <w:rPr>
          <w:rFonts w:cs="Arial"/>
          <w:sz w:val="22"/>
          <w:szCs w:val="22"/>
        </w:rPr>
        <w:t xml:space="preserve">much more significant </w:t>
      </w:r>
      <w:r w:rsidRPr="00076744">
        <w:rPr>
          <w:rFonts w:cs="Arial"/>
          <w:sz w:val="22"/>
          <w:szCs w:val="22"/>
        </w:rPr>
        <w:t>than the RBA’s assessment of this market.</w:t>
      </w:r>
    </w:p>
    <w:p w14:paraId="4092D75F" w14:textId="77777777" w:rsidR="00744EE9" w:rsidRPr="00076744" w:rsidRDefault="00744EE9" w:rsidP="007A5A25">
      <w:pPr>
        <w:pStyle w:val="NormalWeb"/>
        <w:shd w:val="clear" w:color="auto" w:fill="FFFFFF" w:themeFill="background1"/>
        <w:spacing w:before="0" w:beforeAutospacing="0" w:line="276" w:lineRule="auto"/>
        <w:jc w:val="both"/>
        <w:rPr>
          <w:rFonts w:asciiTheme="minorHAnsi" w:eastAsia="Calibri" w:hAnsiTheme="minorHAnsi" w:cs="Arial"/>
          <w:sz w:val="22"/>
          <w:szCs w:val="22"/>
        </w:rPr>
      </w:pPr>
      <w:r w:rsidRPr="00076744">
        <w:rPr>
          <w:rFonts w:asciiTheme="minorHAnsi" w:hAnsiTheme="minorHAnsi" w:cs="Arial"/>
          <w:color w:val="231F20"/>
          <w:sz w:val="22"/>
          <w:szCs w:val="22"/>
        </w:rPr>
        <w:t xml:space="preserve">In CBA’s view, digital wallet use is growing rapidly. Between March 2020 and March 2021, the number of </w:t>
      </w:r>
      <w:r w:rsidRPr="00076744">
        <w:rPr>
          <w:rFonts w:asciiTheme="minorHAnsi" w:hAnsiTheme="minorHAnsi" w:cs="Arial"/>
          <w:sz w:val="22"/>
          <w:szCs w:val="22"/>
        </w:rPr>
        <w:t>monthly digital wallet transactions increased 90 per cent, with the number of transactions rising from 36 million to 68 million. Over the same period, the total dollar value of digital wallet transactions more than doubled, with the value of monthly transactions rising to $2.1 billion, up from $1 billion.</w:t>
      </w:r>
      <w:r w:rsidRPr="00076744">
        <w:rPr>
          <w:rFonts w:asciiTheme="minorHAnsi" w:eastAsia="Calibri" w:hAnsiTheme="minorHAnsi"/>
          <w:sz w:val="22"/>
          <w:szCs w:val="22"/>
        </w:rPr>
        <w:t xml:space="preserve"> B</w:t>
      </w:r>
      <w:r w:rsidRPr="00076744">
        <w:rPr>
          <w:rFonts w:asciiTheme="minorHAnsi" w:eastAsia="Calibri" w:hAnsiTheme="minorHAnsi" w:cs="Arial"/>
          <w:sz w:val="22"/>
          <w:szCs w:val="22"/>
        </w:rPr>
        <w:t xml:space="preserve">ased on the current trends it is likely that digital wallets will be the most popular contactless way to pay by the end of the 2021. Refer Figure 1 below. </w:t>
      </w:r>
    </w:p>
    <w:p w14:paraId="48BE0BB2" w14:textId="77777777" w:rsidR="00744EE9" w:rsidRPr="00076744" w:rsidRDefault="00744EE9" w:rsidP="79DDA045">
      <w:pPr>
        <w:pStyle w:val="NormalWeb"/>
        <w:shd w:val="clear" w:color="auto" w:fill="FFFFFF" w:themeFill="background1"/>
        <w:spacing w:before="0" w:beforeAutospacing="0"/>
        <w:rPr>
          <w:rFonts w:asciiTheme="minorHAnsi" w:eastAsia="Calibri" w:hAnsiTheme="minorHAnsi" w:cs="Arial"/>
          <w:b/>
          <w:color w:val="000000"/>
          <w:sz w:val="22"/>
          <w:szCs w:val="22"/>
        </w:rPr>
      </w:pPr>
      <w:r w:rsidRPr="00076744">
        <w:rPr>
          <w:rFonts w:asciiTheme="minorHAnsi" w:eastAsia="Calibri" w:hAnsiTheme="minorHAnsi" w:cs="Arial"/>
          <w:b/>
          <w:color w:val="000000"/>
          <w:sz w:val="22"/>
          <w:szCs w:val="22"/>
        </w:rPr>
        <w:t>Figure 1: CBA Digital Wallet Usage</w:t>
      </w:r>
    </w:p>
    <w:p w14:paraId="3CF2D8B6" w14:textId="77777777" w:rsidR="00744EE9" w:rsidRPr="00744EE9" w:rsidRDefault="00744EE9" w:rsidP="79DDA045">
      <w:pPr>
        <w:pStyle w:val="NormalWeb"/>
        <w:shd w:val="clear" w:color="auto" w:fill="FFFFFF" w:themeFill="background1"/>
        <w:spacing w:before="0" w:beforeAutospacing="0"/>
        <w:rPr>
          <w:rFonts w:asciiTheme="minorHAnsi" w:hAnsiTheme="minorHAnsi" w:cs="Arial"/>
          <w:color w:val="231F20"/>
        </w:rPr>
      </w:pPr>
      <w:r>
        <w:rPr>
          <w:noProof/>
        </w:rPr>
        <w:drawing>
          <wp:inline distT="0" distB="0" distL="0" distR="0" wp14:anchorId="2AE27FA1" wp14:editId="56943B1D">
            <wp:extent cx="5386794" cy="3025625"/>
            <wp:effectExtent l="0" t="0" r="444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7">
                      <a:extLst>
                        <a:ext uri="{28A0092B-C50C-407E-A947-70E740481C1C}">
                          <a14:useLocalDpi xmlns:a14="http://schemas.microsoft.com/office/drawing/2010/main" val="0"/>
                        </a:ext>
                      </a:extLst>
                    </a:blip>
                    <a:stretch>
                      <a:fillRect/>
                    </a:stretch>
                  </pic:blipFill>
                  <pic:spPr>
                    <a:xfrm>
                      <a:off x="0" y="0"/>
                      <a:ext cx="5386794" cy="3025625"/>
                    </a:xfrm>
                    <a:prstGeom prst="rect">
                      <a:avLst/>
                    </a:prstGeom>
                  </pic:spPr>
                </pic:pic>
              </a:graphicData>
            </a:graphic>
          </wp:inline>
        </w:drawing>
      </w:r>
    </w:p>
    <w:p w14:paraId="22B72DC2" w14:textId="039E22C6" w:rsidR="00A06B69" w:rsidRPr="00A06B69" w:rsidRDefault="00A06B69" w:rsidP="00076744">
      <w:pPr>
        <w:autoSpaceDE w:val="0"/>
        <w:autoSpaceDN w:val="0"/>
        <w:adjustRightInd w:val="0"/>
        <w:spacing w:after="0" w:line="276" w:lineRule="auto"/>
        <w:jc w:val="both"/>
        <w:rPr>
          <w:sz w:val="22"/>
          <w:szCs w:val="22"/>
        </w:rPr>
      </w:pPr>
      <w:r w:rsidRPr="56943B1D">
        <w:rPr>
          <w:rFonts w:cs="Arial"/>
          <w:color w:val="000000"/>
          <w:sz w:val="22"/>
          <w:szCs w:val="22"/>
        </w:rPr>
        <w:t>The Consultation Paper notes the challenges with competition in this market and the responses by regulators in other jurisdictions</w:t>
      </w:r>
      <w:r w:rsidR="7093E83F" w:rsidRPr="56943B1D">
        <w:rPr>
          <w:rFonts w:cs="Arial"/>
          <w:color w:val="000000"/>
          <w:sz w:val="22"/>
          <w:szCs w:val="22"/>
        </w:rPr>
        <w:t xml:space="preserve">, however considers </w:t>
      </w:r>
      <w:r w:rsidRPr="56943B1D">
        <w:rPr>
          <w:rFonts w:cs="Arial"/>
          <w:color w:val="000000"/>
          <w:sz w:val="22"/>
          <w:szCs w:val="22"/>
        </w:rPr>
        <w:t xml:space="preserve">digital wallet transactions still only account ‘….for a small share of overall card payments’. </w:t>
      </w:r>
      <w:r w:rsidR="0E60CCCA" w:rsidRPr="56943B1D">
        <w:rPr>
          <w:rFonts w:cs="Arial"/>
          <w:color w:val="000000"/>
          <w:sz w:val="22"/>
          <w:szCs w:val="22"/>
        </w:rPr>
        <w:t>CBA data above and t</w:t>
      </w:r>
      <w:r w:rsidRPr="56943B1D">
        <w:rPr>
          <w:rFonts w:cs="Arial"/>
          <w:color w:val="000000"/>
          <w:sz w:val="22"/>
          <w:szCs w:val="22"/>
        </w:rPr>
        <w:t xml:space="preserve">he </w:t>
      </w:r>
      <w:r w:rsidRPr="56943B1D">
        <w:rPr>
          <w:sz w:val="22"/>
          <w:szCs w:val="22"/>
        </w:rPr>
        <w:t>Parliamentary Joint Committee inquiry into Mobile Wallet Payments indicates that digital wallet use in Australia is a</w:t>
      </w:r>
      <w:r w:rsidR="7102B0E9" w:rsidRPr="56943B1D">
        <w:rPr>
          <w:sz w:val="22"/>
          <w:szCs w:val="22"/>
        </w:rPr>
        <w:t>n</w:t>
      </w:r>
      <w:r w:rsidRPr="56943B1D">
        <w:rPr>
          <w:sz w:val="22"/>
          <w:szCs w:val="22"/>
        </w:rPr>
        <w:t xml:space="preserve"> immediate concern.  </w:t>
      </w:r>
      <w:r w:rsidRPr="56943B1D">
        <w:rPr>
          <w:rFonts w:cs="Arial"/>
          <w:color w:val="000000"/>
          <w:sz w:val="22"/>
          <w:szCs w:val="22"/>
        </w:rPr>
        <w:t xml:space="preserve">We strongly urge the RBA to work closely with the ACCC on competition issues in digital wallets and, in line with the RBA’s mandate, </w:t>
      </w:r>
      <w:r w:rsidRPr="56943B1D">
        <w:rPr>
          <w:rFonts w:cs="Arial"/>
          <w:sz w:val="22"/>
          <w:szCs w:val="22"/>
        </w:rPr>
        <w:t>consider any implications for the cost, safety and security of the payments system associated with digital wallet payments.</w:t>
      </w:r>
    </w:p>
    <w:p w14:paraId="0FB78278" w14:textId="77777777" w:rsidR="0036403C" w:rsidRDefault="0036403C">
      <w:pPr>
        <w:rPr>
          <w:rFonts w:cs="Arial"/>
          <w:b/>
          <w:sz w:val="22"/>
          <w:szCs w:val="22"/>
        </w:rPr>
      </w:pPr>
      <w:r>
        <w:rPr>
          <w:rFonts w:cs="Arial"/>
          <w:b/>
          <w:sz w:val="22"/>
          <w:szCs w:val="22"/>
        </w:rPr>
        <w:br w:type="page"/>
      </w:r>
    </w:p>
    <w:p w14:paraId="2BB8D0DC" w14:textId="77777777" w:rsidR="000457A5" w:rsidRPr="000457A5" w:rsidRDefault="000457A5" w:rsidP="00076744">
      <w:pPr>
        <w:jc w:val="both"/>
        <w:rPr>
          <w:rFonts w:cs="Arial"/>
          <w:b/>
          <w:sz w:val="22"/>
          <w:szCs w:val="22"/>
        </w:rPr>
      </w:pPr>
      <w:r w:rsidRPr="000457A5">
        <w:rPr>
          <w:rFonts w:cs="Arial"/>
          <w:b/>
          <w:sz w:val="22"/>
          <w:szCs w:val="22"/>
        </w:rPr>
        <w:lastRenderedPageBreak/>
        <w:t>Other Issues</w:t>
      </w:r>
    </w:p>
    <w:p w14:paraId="1631788A" w14:textId="77777777" w:rsidR="00381FE6" w:rsidRDefault="00381FE6" w:rsidP="00076744">
      <w:pPr>
        <w:jc w:val="both"/>
        <w:rPr>
          <w:rFonts w:cs="Arial"/>
          <w:sz w:val="22"/>
          <w:szCs w:val="22"/>
          <w:u w:val="single"/>
        </w:rPr>
      </w:pPr>
      <w:r w:rsidRPr="79DDA045">
        <w:rPr>
          <w:rFonts w:cs="Arial"/>
          <w:sz w:val="22"/>
          <w:szCs w:val="22"/>
          <w:u w:val="single"/>
        </w:rPr>
        <w:t>RBA Monitoring of New Payment Trends</w:t>
      </w:r>
    </w:p>
    <w:p w14:paraId="40E2FC29" w14:textId="29F65188" w:rsidR="00EF7B9B" w:rsidRPr="000457A5" w:rsidRDefault="00EF7B9B" w:rsidP="00076744">
      <w:pPr>
        <w:pStyle w:val="NoSpacing"/>
        <w:spacing w:line="276" w:lineRule="auto"/>
        <w:jc w:val="both"/>
        <w:rPr>
          <w:rFonts w:cs="Arial"/>
        </w:rPr>
      </w:pPr>
      <w:r w:rsidRPr="56943B1D">
        <w:rPr>
          <w:rFonts w:cs="Arial"/>
        </w:rPr>
        <w:t>Monitoring and understanding the impacts of emerging payment types is critical to the RBA’s mandate. The RBA must ensure that</w:t>
      </w:r>
      <w:r w:rsidRPr="56943B1D">
        <w:rPr>
          <w:rFonts w:cs="Arial"/>
          <w:b/>
          <w:bCs/>
        </w:rPr>
        <w:t xml:space="preserve"> </w:t>
      </w:r>
      <w:r w:rsidRPr="56943B1D">
        <w:rPr>
          <w:rFonts w:cs="Arial"/>
        </w:rPr>
        <w:t>sufficient information is available to mo</w:t>
      </w:r>
      <w:r w:rsidR="007A5A25">
        <w:rPr>
          <w:rFonts w:cs="Arial"/>
        </w:rPr>
        <w:t>nitor payment</w:t>
      </w:r>
      <w:r w:rsidRPr="56943B1D">
        <w:rPr>
          <w:rFonts w:cs="Arial"/>
        </w:rPr>
        <w:t xml:space="preserve"> activities so that emerging risks to the payment system can be identified and addressed appropriately. To keep pace with</w:t>
      </w:r>
      <w:r w:rsidR="007A5A25">
        <w:rPr>
          <w:rFonts w:cs="Arial"/>
        </w:rPr>
        <w:t xml:space="preserve"> the speed of change in payment</w:t>
      </w:r>
      <w:r w:rsidRPr="56943B1D">
        <w:rPr>
          <w:rFonts w:cs="Arial"/>
        </w:rPr>
        <w:t xml:space="preserve"> trends with new technologies, the RBA may need to adapt the frequency and granularity of its monitoring of consumer payment behaviours. </w:t>
      </w:r>
      <w:r w:rsidR="00D42090" w:rsidRPr="56943B1D">
        <w:rPr>
          <w:rFonts w:cs="Arial"/>
        </w:rPr>
        <w:t>As described above</w:t>
      </w:r>
      <w:r w:rsidRPr="56943B1D">
        <w:rPr>
          <w:rFonts w:cs="Arial"/>
        </w:rPr>
        <w:t>,</w:t>
      </w:r>
      <w:r w:rsidR="00D42090" w:rsidRPr="56943B1D">
        <w:rPr>
          <w:rFonts w:cs="Arial"/>
        </w:rPr>
        <w:t xml:space="preserve"> the RBA’s assessment</w:t>
      </w:r>
      <w:r w:rsidR="00982615" w:rsidRPr="56943B1D">
        <w:rPr>
          <w:rFonts w:cs="Arial"/>
        </w:rPr>
        <w:t xml:space="preserve"> of payment trends</w:t>
      </w:r>
      <w:r w:rsidR="00D42090" w:rsidRPr="56943B1D">
        <w:rPr>
          <w:rFonts w:cs="Arial"/>
        </w:rPr>
        <w:t xml:space="preserve"> </w:t>
      </w:r>
      <w:r w:rsidR="00982615" w:rsidRPr="56943B1D">
        <w:rPr>
          <w:rFonts w:cs="Arial"/>
        </w:rPr>
        <w:t xml:space="preserve">in the Consultation </w:t>
      </w:r>
      <w:r w:rsidR="00296353" w:rsidRPr="56943B1D">
        <w:rPr>
          <w:rFonts w:cs="Arial"/>
        </w:rPr>
        <w:t xml:space="preserve">Paper </w:t>
      </w:r>
      <w:r w:rsidR="611085DA" w:rsidRPr="56943B1D">
        <w:rPr>
          <w:rFonts w:cs="Arial"/>
        </w:rPr>
        <w:t>appears to</w:t>
      </w:r>
      <w:r w:rsidR="00BB2562">
        <w:rPr>
          <w:rFonts w:cs="Arial"/>
        </w:rPr>
        <w:t xml:space="preserve"> </w:t>
      </w:r>
      <w:r w:rsidR="00982615" w:rsidRPr="56943B1D">
        <w:rPr>
          <w:rFonts w:cs="Arial"/>
        </w:rPr>
        <w:t>understate the uptake of digital wallet and BNPL services compared to CBA’s own commercial data and experience</w:t>
      </w:r>
      <w:r w:rsidRPr="56943B1D">
        <w:rPr>
          <w:rFonts w:cs="Arial"/>
        </w:rPr>
        <w:t>.</w:t>
      </w:r>
    </w:p>
    <w:p w14:paraId="1FC39945" w14:textId="77777777" w:rsidR="00EF7B9B" w:rsidRPr="00FE2058" w:rsidRDefault="00EF7B9B" w:rsidP="00076744">
      <w:pPr>
        <w:pStyle w:val="NoSpacing"/>
        <w:spacing w:line="276" w:lineRule="auto"/>
        <w:jc w:val="both"/>
      </w:pPr>
    </w:p>
    <w:p w14:paraId="0562CB0E" w14:textId="1810A838" w:rsidR="000A6407" w:rsidRPr="00076744" w:rsidRDefault="00D77E1F" w:rsidP="00076744">
      <w:pPr>
        <w:jc w:val="both"/>
        <w:rPr>
          <w:rFonts w:cs="Arial"/>
        </w:rPr>
      </w:pPr>
      <w:r w:rsidRPr="56943B1D">
        <w:rPr>
          <w:rFonts w:cs="Arial"/>
          <w:sz w:val="22"/>
          <w:szCs w:val="22"/>
        </w:rPr>
        <w:t>As the RBA notes in the Issues Paper, ‘there is limited data available with which to assess the effect of competition on BNPL merchant fees’.</w:t>
      </w:r>
      <w:r w:rsidR="001A0241" w:rsidRPr="56943B1D">
        <w:rPr>
          <w:rFonts w:cs="Arial"/>
          <w:sz w:val="22"/>
          <w:szCs w:val="22"/>
        </w:rPr>
        <w:t xml:space="preserve"> </w:t>
      </w:r>
      <w:r w:rsidRPr="56943B1D">
        <w:rPr>
          <w:rFonts w:cs="Arial"/>
          <w:sz w:val="22"/>
          <w:szCs w:val="22"/>
        </w:rPr>
        <w:t xml:space="preserve">The RBA may benefit from working with </w:t>
      </w:r>
      <w:r w:rsidR="000816DF" w:rsidRPr="56943B1D">
        <w:rPr>
          <w:rFonts w:cs="Arial"/>
          <w:sz w:val="22"/>
          <w:szCs w:val="22"/>
        </w:rPr>
        <w:t xml:space="preserve">the </w:t>
      </w:r>
      <w:r w:rsidRPr="56943B1D">
        <w:rPr>
          <w:rFonts w:cs="Arial"/>
          <w:sz w:val="22"/>
          <w:szCs w:val="22"/>
        </w:rPr>
        <w:t>industry</w:t>
      </w:r>
      <w:r w:rsidR="000816DF" w:rsidRPr="56943B1D">
        <w:rPr>
          <w:rFonts w:cs="Arial"/>
          <w:sz w:val="22"/>
          <w:szCs w:val="22"/>
        </w:rPr>
        <w:t xml:space="preserve">, through AusPayNet </w:t>
      </w:r>
      <w:r w:rsidRPr="56943B1D">
        <w:rPr>
          <w:rFonts w:cs="Arial"/>
          <w:sz w:val="22"/>
          <w:szCs w:val="22"/>
        </w:rPr>
        <w:t>to</w:t>
      </w:r>
      <w:r w:rsidR="003E098C" w:rsidRPr="56943B1D">
        <w:rPr>
          <w:rFonts w:cs="Arial"/>
          <w:sz w:val="22"/>
          <w:szCs w:val="22"/>
        </w:rPr>
        <w:t xml:space="preserve"> </w:t>
      </w:r>
      <w:r w:rsidRPr="56943B1D">
        <w:rPr>
          <w:rFonts w:cs="Arial"/>
          <w:sz w:val="22"/>
          <w:szCs w:val="22"/>
        </w:rPr>
        <w:t>enable data collection that</w:t>
      </w:r>
      <w:r w:rsidR="003E098C" w:rsidRPr="56943B1D">
        <w:rPr>
          <w:rFonts w:cs="Arial"/>
          <w:sz w:val="22"/>
          <w:szCs w:val="22"/>
        </w:rPr>
        <w:t xml:space="preserve"> provide</w:t>
      </w:r>
      <w:r w:rsidRPr="56943B1D">
        <w:rPr>
          <w:rFonts w:cs="Arial"/>
          <w:sz w:val="22"/>
          <w:szCs w:val="22"/>
        </w:rPr>
        <w:t>s</w:t>
      </w:r>
      <w:r w:rsidR="003E098C" w:rsidRPr="56943B1D">
        <w:rPr>
          <w:rFonts w:cs="Arial"/>
          <w:sz w:val="22"/>
          <w:szCs w:val="22"/>
        </w:rPr>
        <w:t xml:space="preserve"> the RBA and Industry with more</w:t>
      </w:r>
      <w:r w:rsidRPr="56943B1D">
        <w:rPr>
          <w:rFonts w:cs="Arial"/>
          <w:sz w:val="22"/>
          <w:szCs w:val="22"/>
        </w:rPr>
        <w:t xml:space="preserve"> accurate and</w:t>
      </w:r>
      <w:r w:rsidR="003E098C" w:rsidRPr="56943B1D">
        <w:rPr>
          <w:rFonts w:cs="Arial"/>
          <w:sz w:val="22"/>
          <w:szCs w:val="22"/>
        </w:rPr>
        <w:t xml:space="preserve"> timely information to </w:t>
      </w:r>
      <w:r w:rsidR="0EFA08B4" w:rsidRPr="56943B1D">
        <w:rPr>
          <w:rFonts w:cs="Arial"/>
          <w:sz w:val="22"/>
          <w:szCs w:val="22"/>
        </w:rPr>
        <w:t>enable forward looking monitoring.  To provide a comprehensive picture</w:t>
      </w:r>
      <w:r w:rsidR="376FEFF5" w:rsidRPr="56943B1D">
        <w:rPr>
          <w:rFonts w:cs="Arial"/>
          <w:sz w:val="22"/>
          <w:szCs w:val="22"/>
        </w:rPr>
        <w:t>,</w:t>
      </w:r>
      <w:r w:rsidR="0EFA08B4" w:rsidRPr="56943B1D">
        <w:rPr>
          <w:rFonts w:cs="Arial"/>
          <w:sz w:val="22"/>
          <w:szCs w:val="22"/>
        </w:rPr>
        <w:t xml:space="preserve"> monitoring should include BNPL and Digital Wallets as well as the impacts on the payment system from</w:t>
      </w:r>
      <w:r w:rsidR="350CF899" w:rsidRPr="56943B1D">
        <w:rPr>
          <w:rFonts w:cs="Arial"/>
          <w:sz w:val="22"/>
          <w:szCs w:val="22"/>
        </w:rPr>
        <w:t xml:space="preserve"> other payments innovation such as</w:t>
      </w:r>
      <w:r w:rsidR="007A5A25">
        <w:rPr>
          <w:rFonts w:cs="Arial"/>
          <w:sz w:val="22"/>
          <w:szCs w:val="22"/>
        </w:rPr>
        <w:t xml:space="preserve"> open banking and </w:t>
      </w:r>
      <w:r w:rsidR="0EFA08B4" w:rsidRPr="56943B1D">
        <w:rPr>
          <w:rFonts w:cs="Arial"/>
          <w:sz w:val="22"/>
          <w:szCs w:val="22"/>
        </w:rPr>
        <w:t>action initiation.</w:t>
      </w:r>
    </w:p>
    <w:p w14:paraId="42044764" w14:textId="77777777" w:rsidR="000457A5" w:rsidRPr="00FE2058" w:rsidRDefault="000457A5" w:rsidP="00076744">
      <w:pPr>
        <w:jc w:val="both"/>
        <w:rPr>
          <w:rFonts w:cs="Arial"/>
          <w:sz w:val="22"/>
          <w:szCs w:val="22"/>
          <w:u w:val="single"/>
        </w:rPr>
      </w:pPr>
      <w:r w:rsidRPr="79DDA045">
        <w:rPr>
          <w:rFonts w:cs="Arial"/>
          <w:sz w:val="22"/>
          <w:szCs w:val="22"/>
          <w:u w:val="single"/>
        </w:rPr>
        <w:t xml:space="preserve">Competition in </w:t>
      </w:r>
      <w:r w:rsidR="00FE2058" w:rsidRPr="79DDA045">
        <w:rPr>
          <w:rFonts w:cs="Arial"/>
          <w:sz w:val="22"/>
          <w:szCs w:val="22"/>
          <w:u w:val="single"/>
        </w:rPr>
        <w:t>Acquiring</w:t>
      </w:r>
      <w:r w:rsidRPr="79DDA045">
        <w:rPr>
          <w:rFonts w:cs="Arial"/>
          <w:sz w:val="22"/>
          <w:szCs w:val="22"/>
          <w:u w:val="single"/>
        </w:rPr>
        <w:t xml:space="preserve">.  </w:t>
      </w:r>
    </w:p>
    <w:p w14:paraId="74A676DD" w14:textId="3A075B23" w:rsidR="00E57D64" w:rsidRDefault="00FE2058" w:rsidP="00076744">
      <w:pPr>
        <w:spacing w:line="276" w:lineRule="auto"/>
        <w:jc w:val="both"/>
        <w:rPr>
          <w:rFonts w:cs="Arial"/>
          <w:sz w:val="22"/>
          <w:szCs w:val="22"/>
        </w:rPr>
      </w:pPr>
      <w:r w:rsidRPr="79DDA045">
        <w:rPr>
          <w:rFonts w:cs="Arial"/>
          <w:sz w:val="22"/>
          <w:szCs w:val="22"/>
        </w:rPr>
        <w:t xml:space="preserve">CBA believes competition in the merchant acquiring space is very strong.  </w:t>
      </w:r>
      <w:r w:rsidR="005D79EE" w:rsidRPr="79DDA045">
        <w:rPr>
          <w:rFonts w:cs="Arial"/>
          <w:sz w:val="22"/>
          <w:szCs w:val="22"/>
        </w:rPr>
        <w:t>The number of merchant acquiring service providers has continued to increase through the entry of large overseas platforms and emergence of local new players</w:t>
      </w:r>
      <w:r w:rsidR="007A5A25">
        <w:rPr>
          <w:rFonts w:cs="Arial"/>
          <w:sz w:val="22"/>
          <w:szCs w:val="22"/>
        </w:rPr>
        <w:t>,</w:t>
      </w:r>
      <w:r w:rsidR="005D79EE" w:rsidRPr="79DDA045">
        <w:rPr>
          <w:rFonts w:cs="Arial"/>
          <w:sz w:val="22"/>
          <w:szCs w:val="22"/>
        </w:rPr>
        <w:t xml:space="preserve"> such </w:t>
      </w:r>
      <w:r w:rsidR="00040F56" w:rsidRPr="79DDA045">
        <w:rPr>
          <w:rFonts w:cs="Arial"/>
          <w:sz w:val="22"/>
          <w:szCs w:val="22"/>
        </w:rPr>
        <w:t xml:space="preserve">that </w:t>
      </w:r>
      <w:r w:rsidRPr="79DDA045">
        <w:rPr>
          <w:rFonts w:cs="Arial"/>
          <w:sz w:val="22"/>
          <w:szCs w:val="22"/>
        </w:rPr>
        <w:t xml:space="preserve">merchants have </w:t>
      </w:r>
      <w:r w:rsidR="005D79EE" w:rsidRPr="79DDA045">
        <w:rPr>
          <w:rFonts w:cs="Arial"/>
          <w:sz w:val="22"/>
          <w:szCs w:val="22"/>
        </w:rPr>
        <w:t xml:space="preserve">no shortage of </w:t>
      </w:r>
      <w:r w:rsidRPr="79DDA045">
        <w:rPr>
          <w:rFonts w:cs="Arial"/>
          <w:sz w:val="22"/>
          <w:szCs w:val="22"/>
        </w:rPr>
        <w:t xml:space="preserve">choice and </w:t>
      </w:r>
      <w:r w:rsidR="003B5C25" w:rsidRPr="79DDA045">
        <w:rPr>
          <w:rFonts w:cs="Arial"/>
          <w:sz w:val="22"/>
          <w:szCs w:val="22"/>
        </w:rPr>
        <w:t xml:space="preserve">have access </w:t>
      </w:r>
      <w:r w:rsidR="00040F56" w:rsidRPr="79DDA045">
        <w:rPr>
          <w:rFonts w:cs="Arial"/>
          <w:sz w:val="22"/>
          <w:szCs w:val="22"/>
        </w:rPr>
        <w:t xml:space="preserve">to </w:t>
      </w:r>
      <w:r w:rsidRPr="79DDA045">
        <w:rPr>
          <w:rFonts w:cs="Arial"/>
          <w:sz w:val="22"/>
          <w:szCs w:val="22"/>
        </w:rPr>
        <w:t xml:space="preserve">detailed information to </w:t>
      </w:r>
      <w:r w:rsidR="003B5C25" w:rsidRPr="79DDA045">
        <w:rPr>
          <w:rFonts w:cs="Arial"/>
          <w:sz w:val="22"/>
          <w:szCs w:val="22"/>
        </w:rPr>
        <w:t xml:space="preserve">assist them to </w:t>
      </w:r>
      <w:r w:rsidRPr="79DDA045">
        <w:rPr>
          <w:rFonts w:cs="Arial"/>
          <w:sz w:val="22"/>
          <w:szCs w:val="22"/>
        </w:rPr>
        <w:t xml:space="preserve">‘shop around’ if they choose.  </w:t>
      </w:r>
    </w:p>
    <w:p w14:paraId="34CE0A41" w14:textId="7FB93F2C" w:rsidR="000A6407" w:rsidRDefault="003B5C25" w:rsidP="00076744">
      <w:pPr>
        <w:spacing w:line="276" w:lineRule="auto"/>
        <w:jc w:val="both"/>
        <w:rPr>
          <w:rFonts w:cs="Arial"/>
          <w:sz w:val="22"/>
          <w:szCs w:val="22"/>
        </w:rPr>
      </w:pPr>
      <w:r w:rsidRPr="79DDA045">
        <w:rPr>
          <w:rFonts w:cs="Arial"/>
          <w:sz w:val="22"/>
          <w:szCs w:val="22"/>
        </w:rPr>
        <w:t xml:space="preserve">The extension of </w:t>
      </w:r>
      <w:r w:rsidR="00FE2058" w:rsidRPr="79DDA045">
        <w:rPr>
          <w:rFonts w:cs="Arial"/>
          <w:sz w:val="22"/>
          <w:szCs w:val="22"/>
        </w:rPr>
        <w:t xml:space="preserve">CDR to </w:t>
      </w:r>
      <w:r w:rsidRPr="79DDA045">
        <w:rPr>
          <w:rFonts w:cs="Arial"/>
          <w:sz w:val="22"/>
          <w:szCs w:val="22"/>
        </w:rPr>
        <w:t>acquiring should be considered in the context of the broader CDR regime and not as a standalone initiative</w:t>
      </w:r>
      <w:r w:rsidR="00FE2058" w:rsidRPr="79DDA045">
        <w:rPr>
          <w:rFonts w:cs="Arial"/>
          <w:sz w:val="22"/>
          <w:szCs w:val="22"/>
        </w:rPr>
        <w:t xml:space="preserve">.  The RBA will be familiar with the </w:t>
      </w:r>
      <w:r w:rsidRPr="79DDA045">
        <w:rPr>
          <w:rFonts w:cs="Arial"/>
          <w:sz w:val="22"/>
          <w:szCs w:val="22"/>
        </w:rPr>
        <w:t xml:space="preserve">extensive set of </w:t>
      </w:r>
      <w:r w:rsidR="00FE2058" w:rsidRPr="79DDA045">
        <w:rPr>
          <w:rFonts w:cs="Arial"/>
          <w:sz w:val="22"/>
          <w:szCs w:val="22"/>
        </w:rPr>
        <w:t xml:space="preserve">current </w:t>
      </w:r>
      <w:r w:rsidRPr="79DDA045">
        <w:rPr>
          <w:rFonts w:cs="Arial"/>
          <w:sz w:val="22"/>
          <w:szCs w:val="22"/>
        </w:rPr>
        <w:t xml:space="preserve">and future </w:t>
      </w:r>
      <w:r w:rsidR="00FE2058" w:rsidRPr="79DDA045">
        <w:rPr>
          <w:rFonts w:cs="Arial"/>
          <w:sz w:val="22"/>
          <w:szCs w:val="22"/>
        </w:rPr>
        <w:t xml:space="preserve">priorities </w:t>
      </w:r>
      <w:r w:rsidRPr="79DDA045">
        <w:rPr>
          <w:rFonts w:cs="Arial"/>
          <w:sz w:val="22"/>
          <w:szCs w:val="22"/>
        </w:rPr>
        <w:t xml:space="preserve">for </w:t>
      </w:r>
      <w:r w:rsidR="00FE2058" w:rsidRPr="79DDA045">
        <w:rPr>
          <w:rFonts w:cs="Arial"/>
          <w:sz w:val="22"/>
          <w:szCs w:val="22"/>
        </w:rPr>
        <w:t xml:space="preserve">CDR </w:t>
      </w:r>
      <w:r w:rsidRPr="79DDA045">
        <w:rPr>
          <w:rFonts w:cs="Arial"/>
          <w:sz w:val="22"/>
          <w:szCs w:val="22"/>
        </w:rPr>
        <w:t xml:space="preserve">as articulated by the government, including not least of all, </w:t>
      </w:r>
      <w:r w:rsidR="00FE2058" w:rsidRPr="79DDA045">
        <w:rPr>
          <w:rFonts w:cs="Arial"/>
          <w:sz w:val="22"/>
          <w:szCs w:val="22"/>
        </w:rPr>
        <w:t xml:space="preserve">payment </w:t>
      </w:r>
      <w:r w:rsidRPr="79DDA045">
        <w:rPr>
          <w:rFonts w:cs="Arial"/>
          <w:sz w:val="22"/>
          <w:szCs w:val="22"/>
        </w:rPr>
        <w:t xml:space="preserve">and other action </w:t>
      </w:r>
      <w:r w:rsidR="00FE2058" w:rsidRPr="79DDA045">
        <w:rPr>
          <w:rFonts w:cs="Arial"/>
          <w:sz w:val="22"/>
          <w:szCs w:val="22"/>
        </w:rPr>
        <w:t xml:space="preserve">initiation. </w:t>
      </w:r>
      <w:r w:rsidRPr="79DDA045">
        <w:rPr>
          <w:rFonts w:cs="Arial"/>
          <w:sz w:val="22"/>
          <w:szCs w:val="22"/>
        </w:rPr>
        <w:t xml:space="preserve"> Any additions to the regime should be assessed against other priorities </w:t>
      </w:r>
      <w:r w:rsidR="00040F56" w:rsidRPr="79DDA045">
        <w:rPr>
          <w:rFonts w:cs="Arial"/>
          <w:sz w:val="22"/>
          <w:szCs w:val="22"/>
        </w:rPr>
        <w:t>and</w:t>
      </w:r>
      <w:r w:rsidRPr="79DDA045">
        <w:rPr>
          <w:rFonts w:cs="Arial"/>
          <w:sz w:val="22"/>
          <w:szCs w:val="22"/>
        </w:rPr>
        <w:t xml:space="preserve"> objectives and sequenced accordingly, with sufficient consideration given to the significant effort required to implement such an initiative.</w:t>
      </w:r>
    </w:p>
    <w:p w14:paraId="510A36F3" w14:textId="77777777" w:rsidR="006C2018" w:rsidRPr="006C2018" w:rsidRDefault="006C2018" w:rsidP="00076744">
      <w:pPr>
        <w:spacing w:line="276" w:lineRule="auto"/>
        <w:jc w:val="both"/>
        <w:rPr>
          <w:rFonts w:cs="Arial"/>
          <w:sz w:val="22"/>
          <w:szCs w:val="22"/>
          <w:u w:val="single"/>
        </w:rPr>
      </w:pPr>
      <w:r w:rsidRPr="006C2018">
        <w:rPr>
          <w:rFonts w:cs="Arial"/>
          <w:sz w:val="22"/>
          <w:szCs w:val="22"/>
          <w:u w:val="single"/>
        </w:rPr>
        <w:t>Collection of Merchant Level Data</w:t>
      </w:r>
    </w:p>
    <w:p w14:paraId="1DAE5374" w14:textId="77777777" w:rsidR="00076744" w:rsidRDefault="006C2018" w:rsidP="00076744">
      <w:pPr>
        <w:spacing w:line="276" w:lineRule="auto"/>
        <w:jc w:val="both"/>
        <w:rPr>
          <w:rFonts w:cs="Arial"/>
          <w:sz w:val="22"/>
          <w:szCs w:val="22"/>
        </w:rPr>
      </w:pPr>
      <w:r w:rsidRPr="79DDA045">
        <w:rPr>
          <w:rFonts w:cs="Arial"/>
          <w:sz w:val="22"/>
          <w:szCs w:val="22"/>
        </w:rPr>
        <w:t xml:space="preserve">CBA supports the collection of merchant level data and the RBA’s intention to publish this information along with merchant education.  We would suggest that AusPayNet be engaged to coordinate and define the exact information required and materials needed to educate merchants on acquiring pricing. </w:t>
      </w:r>
    </w:p>
    <w:p w14:paraId="07ED0264" w14:textId="7820CEE6" w:rsidR="00FE2058" w:rsidRPr="00FE2058" w:rsidRDefault="00FE2058" w:rsidP="00076744">
      <w:pPr>
        <w:spacing w:line="276" w:lineRule="auto"/>
        <w:jc w:val="both"/>
        <w:rPr>
          <w:rFonts w:cs="Arial"/>
          <w:sz w:val="22"/>
          <w:szCs w:val="22"/>
          <w:u w:val="single"/>
        </w:rPr>
      </w:pPr>
      <w:r w:rsidRPr="00FE2058">
        <w:rPr>
          <w:rFonts w:cs="Arial"/>
          <w:sz w:val="22"/>
          <w:szCs w:val="22"/>
          <w:u w:val="single"/>
        </w:rPr>
        <w:t>Net Compensation Draft Standards 1, 2 and 3.</w:t>
      </w:r>
    </w:p>
    <w:p w14:paraId="17197E55" w14:textId="77777777" w:rsidR="00FE2058" w:rsidRDefault="00FE2058" w:rsidP="00076744">
      <w:pPr>
        <w:spacing w:line="276" w:lineRule="auto"/>
        <w:jc w:val="both"/>
        <w:rPr>
          <w:rFonts w:cs="Arial"/>
          <w:sz w:val="22"/>
          <w:szCs w:val="22"/>
        </w:rPr>
      </w:pPr>
      <w:r>
        <w:rPr>
          <w:rFonts w:cs="Arial"/>
          <w:sz w:val="22"/>
          <w:szCs w:val="22"/>
        </w:rPr>
        <w:t xml:space="preserve">CBA is supportive of the amendments to the Draft Standards for Debit, Credit and Merchant Pricing. </w:t>
      </w:r>
    </w:p>
    <w:p w14:paraId="6D98A12B" w14:textId="77777777" w:rsidR="0036403C" w:rsidRDefault="0036403C" w:rsidP="00076744">
      <w:pPr>
        <w:jc w:val="both"/>
        <w:rPr>
          <w:rFonts w:cs="Arial"/>
          <w:b/>
          <w:sz w:val="24"/>
          <w:szCs w:val="24"/>
        </w:rPr>
      </w:pPr>
    </w:p>
    <w:p w14:paraId="519E31CD" w14:textId="77777777" w:rsidR="00F54A60" w:rsidRPr="00076744" w:rsidRDefault="00F54A60" w:rsidP="00076744">
      <w:pPr>
        <w:spacing w:line="276" w:lineRule="auto"/>
        <w:jc w:val="both"/>
        <w:rPr>
          <w:rFonts w:cs="Arial"/>
          <w:b/>
          <w:sz w:val="22"/>
          <w:szCs w:val="22"/>
        </w:rPr>
      </w:pPr>
      <w:r w:rsidRPr="00076744">
        <w:rPr>
          <w:rFonts w:cs="Arial"/>
          <w:b/>
          <w:sz w:val="22"/>
          <w:szCs w:val="22"/>
        </w:rPr>
        <w:t>RBA General Questions</w:t>
      </w:r>
    </w:p>
    <w:p w14:paraId="5A97970A" w14:textId="77777777" w:rsidR="00F54A60" w:rsidRPr="00076744" w:rsidRDefault="00F54A60" w:rsidP="00076744">
      <w:pPr>
        <w:spacing w:line="276" w:lineRule="auto"/>
        <w:jc w:val="both"/>
        <w:rPr>
          <w:i/>
          <w:sz w:val="22"/>
          <w:szCs w:val="22"/>
        </w:rPr>
      </w:pPr>
      <w:r w:rsidRPr="00076744">
        <w:rPr>
          <w:i/>
          <w:sz w:val="22"/>
          <w:szCs w:val="22"/>
        </w:rPr>
        <w:t>Is the proposed approach appropriate? Does</w:t>
      </w:r>
      <w:r w:rsidR="006F2652" w:rsidRPr="00076744">
        <w:rPr>
          <w:i/>
          <w:sz w:val="22"/>
          <w:szCs w:val="22"/>
        </w:rPr>
        <w:t xml:space="preserve"> it meet the public interest? Are there factors that have not been properly addressed or considered, either in the general approach or the specific drafting? </w:t>
      </w:r>
    </w:p>
    <w:p w14:paraId="225FD1E7" w14:textId="7B86C7B3" w:rsidR="00D74CD8" w:rsidRPr="00076744" w:rsidRDefault="0060222B" w:rsidP="00076744">
      <w:pPr>
        <w:pStyle w:val="NoSpacing"/>
        <w:spacing w:line="276" w:lineRule="auto"/>
        <w:jc w:val="both"/>
        <w:rPr>
          <w:rFonts w:cs="Arial"/>
        </w:rPr>
      </w:pPr>
      <w:r w:rsidRPr="00076744">
        <w:rPr>
          <w:rFonts w:cs="Arial"/>
        </w:rPr>
        <w:lastRenderedPageBreak/>
        <w:t>As the payments system progressively becomes more diverse with a range of new entrants and payment methods, a holistic approach to managing the payments system will be</w:t>
      </w:r>
      <w:r w:rsidR="00D77E1F" w:rsidRPr="00076744">
        <w:rPr>
          <w:rFonts w:cs="Arial"/>
        </w:rPr>
        <w:t>come</w:t>
      </w:r>
      <w:r w:rsidRPr="00076744">
        <w:rPr>
          <w:rFonts w:cs="Arial"/>
        </w:rPr>
        <w:t xml:space="preserve"> more and more important</w:t>
      </w:r>
      <w:r w:rsidR="7613C5B9" w:rsidRPr="00076744">
        <w:rPr>
          <w:rFonts w:cs="Arial"/>
        </w:rPr>
        <w:t xml:space="preserve"> to maintain the </w:t>
      </w:r>
      <w:r w:rsidR="7613C5B9" w:rsidRPr="00076744">
        <w:rPr>
          <w:rFonts w:eastAsia="Calibri" w:cs="Calibri"/>
        </w:rPr>
        <w:t>productivity and competitiveness of the Australian economy</w:t>
      </w:r>
      <w:r w:rsidRPr="00076744">
        <w:rPr>
          <w:rFonts w:cs="Arial"/>
        </w:rPr>
        <w:t>. The regulatory measures proposed in this Consultation Paper, while important, are disproportionately focussed on fine-tuning regulations which affect only parts of the payments system. To manage risks to the payments system in a digital economy the RBA needs to monitor the overall impacts on efficiency of the payments system as a whole, rather than singling out costs associated with specific payment methods. Payments regulation should ensure end-to-end operational and financial resilience across the entire payment chain. Regulation targeted exclusively at particular payment types, such as interchange regulation</w:t>
      </w:r>
      <w:r w:rsidR="00CB3809">
        <w:rPr>
          <w:rFonts w:cs="Arial"/>
        </w:rPr>
        <w:t>,</w:t>
      </w:r>
      <w:r w:rsidRPr="00076744">
        <w:rPr>
          <w:rFonts w:cs="Arial"/>
        </w:rPr>
        <w:t xml:space="preserve"> only encourages new entrants to innovate and operate outside of the regulatory framework. </w:t>
      </w:r>
      <w:r w:rsidR="00D74CD8" w:rsidRPr="00076744">
        <w:rPr>
          <w:rFonts w:cs="Arial"/>
        </w:rPr>
        <w:t xml:space="preserve">It is critical that regulatory and policy levers encourage innovation that makes payments cheaper, faster and more convenient. </w:t>
      </w:r>
    </w:p>
    <w:p w14:paraId="2946DB82" w14:textId="77777777" w:rsidR="00D77E1F" w:rsidRPr="00076744" w:rsidRDefault="00D77E1F" w:rsidP="00076744">
      <w:pPr>
        <w:pStyle w:val="NoSpacing"/>
        <w:spacing w:line="276" w:lineRule="auto"/>
        <w:jc w:val="both"/>
        <w:rPr>
          <w:rFonts w:cs="Arial"/>
        </w:rPr>
      </w:pPr>
    </w:p>
    <w:p w14:paraId="0F1BA430" w14:textId="4BC0BCB7" w:rsidR="00F54A60" w:rsidRPr="00076744" w:rsidRDefault="00D77E1F" w:rsidP="00076744">
      <w:pPr>
        <w:pStyle w:val="Default"/>
        <w:spacing w:line="276" w:lineRule="auto"/>
        <w:jc w:val="both"/>
        <w:rPr>
          <w:sz w:val="22"/>
          <w:szCs w:val="22"/>
        </w:rPr>
      </w:pPr>
      <w:r w:rsidRPr="00076744">
        <w:rPr>
          <w:rFonts w:asciiTheme="minorHAnsi" w:hAnsiTheme="minorHAnsi"/>
          <w:color w:val="auto"/>
          <w:sz w:val="22"/>
          <w:szCs w:val="22"/>
        </w:rPr>
        <w:t>The RBA will need to adapt supervisory and regulatory approaches to the challenges created by newer entrants to the payments system.</w:t>
      </w:r>
      <w:r w:rsidR="021AB67E" w:rsidRPr="00076744">
        <w:rPr>
          <w:rFonts w:asciiTheme="minorHAnsi" w:hAnsiTheme="minorHAnsi"/>
          <w:color w:val="auto"/>
          <w:sz w:val="22"/>
          <w:szCs w:val="22"/>
        </w:rPr>
        <w:t xml:space="preserve"> </w:t>
      </w:r>
      <w:r w:rsidRPr="00076744">
        <w:rPr>
          <w:rFonts w:asciiTheme="minorHAnsi" w:hAnsiTheme="minorHAnsi"/>
          <w:color w:val="auto"/>
          <w:sz w:val="22"/>
          <w:szCs w:val="22"/>
        </w:rPr>
        <w:t xml:space="preserve"> As the RBA has recognised, transparency is an important mechanism for improving efficiency and promoting competition in the payments system. This is more challenging with newer payment providers that tend to blur payme</w:t>
      </w:r>
      <w:r w:rsidR="004A34DF" w:rsidRPr="00076744">
        <w:rPr>
          <w:rFonts w:asciiTheme="minorHAnsi" w:hAnsiTheme="minorHAnsi"/>
          <w:color w:val="auto"/>
          <w:sz w:val="22"/>
          <w:szCs w:val="22"/>
        </w:rPr>
        <w:t xml:space="preserve">nts processing costs with other </w:t>
      </w:r>
      <w:r w:rsidRPr="00076744">
        <w:rPr>
          <w:rFonts w:asciiTheme="minorHAnsi" w:hAnsiTheme="minorHAnsi"/>
          <w:color w:val="auto"/>
          <w:sz w:val="22"/>
          <w:szCs w:val="22"/>
        </w:rPr>
        <w:t xml:space="preserve">fees/services. </w:t>
      </w:r>
      <w:r w:rsidR="004A34DF" w:rsidRPr="00076744">
        <w:rPr>
          <w:rFonts w:asciiTheme="minorHAnsi" w:hAnsiTheme="minorHAnsi"/>
          <w:color w:val="auto"/>
          <w:sz w:val="22"/>
          <w:szCs w:val="22"/>
        </w:rPr>
        <w:t xml:space="preserve">Consistent with CBA’s submission to Treasury’s review of the Australian Payments System, the complex challenges arising from changing payments landscape will require a co-ordinated approach between </w:t>
      </w:r>
      <w:r w:rsidR="00D74CD8" w:rsidRPr="00076744">
        <w:rPr>
          <w:rFonts w:asciiTheme="minorHAnsi" w:hAnsiTheme="minorHAnsi"/>
          <w:color w:val="auto"/>
          <w:sz w:val="22"/>
          <w:szCs w:val="22"/>
        </w:rPr>
        <w:t xml:space="preserve">the </w:t>
      </w:r>
      <w:r w:rsidR="004A34DF" w:rsidRPr="00076744">
        <w:rPr>
          <w:rFonts w:asciiTheme="minorHAnsi" w:hAnsiTheme="minorHAnsi"/>
          <w:color w:val="auto"/>
          <w:sz w:val="22"/>
          <w:szCs w:val="22"/>
        </w:rPr>
        <w:t xml:space="preserve">RBA </w:t>
      </w:r>
      <w:r w:rsidR="00D74CD8" w:rsidRPr="00076744">
        <w:rPr>
          <w:rFonts w:asciiTheme="minorHAnsi" w:hAnsiTheme="minorHAnsi"/>
          <w:color w:val="auto"/>
          <w:sz w:val="22"/>
          <w:szCs w:val="22"/>
        </w:rPr>
        <w:t>and</w:t>
      </w:r>
      <w:r w:rsidR="004A34DF" w:rsidRPr="00076744">
        <w:rPr>
          <w:rFonts w:asciiTheme="minorHAnsi" w:hAnsiTheme="minorHAnsi"/>
          <w:color w:val="auto"/>
          <w:sz w:val="22"/>
          <w:szCs w:val="22"/>
        </w:rPr>
        <w:t xml:space="preserve"> other regulators such as APRA, ASIC and ACCC to solve areas where market distortion is occurring and causing possible consumer harm.</w:t>
      </w:r>
    </w:p>
    <w:p w14:paraId="5997CC1D" w14:textId="77777777" w:rsidR="00D77E1F" w:rsidRPr="00076744" w:rsidRDefault="00D77E1F" w:rsidP="00076744">
      <w:pPr>
        <w:pStyle w:val="NoSpacing"/>
        <w:spacing w:line="276" w:lineRule="auto"/>
        <w:jc w:val="both"/>
        <w:rPr>
          <w:rFonts w:cs="Arial"/>
        </w:rPr>
      </w:pPr>
    </w:p>
    <w:p w14:paraId="117C52B2" w14:textId="77777777" w:rsidR="00076744" w:rsidRPr="00076744" w:rsidRDefault="00F54A60" w:rsidP="00076744">
      <w:pPr>
        <w:spacing w:line="276" w:lineRule="auto"/>
        <w:jc w:val="both"/>
        <w:rPr>
          <w:i/>
          <w:iCs/>
          <w:sz w:val="22"/>
          <w:szCs w:val="22"/>
        </w:rPr>
      </w:pPr>
      <w:r w:rsidRPr="00076744">
        <w:rPr>
          <w:i/>
          <w:iCs/>
          <w:sz w:val="22"/>
          <w:szCs w:val="22"/>
        </w:rPr>
        <w:t xml:space="preserve">What impact will the proposed policy changes have on your regulatory compliance costs? (Please provide dollar estimates.) </w:t>
      </w:r>
      <w:r w:rsidR="006F2652" w:rsidRPr="00076744">
        <w:rPr>
          <w:i/>
          <w:iCs/>
          <w:sz w:val="22"/>
          <w:szCs w:val="22"/>
        </w:rPr>
        <w:t xml:space="preserve"> </w:t>
      </w:r>
      <w:r w:rsidRPr="00076744">
        <w:rPr>
          <w:i/>
          <w:iCs/>
          <w:sz w:val="22"/>
          <w:szCs w:val="22"/>
        </w:rPr>
        <w:t xml:space="preserve">Are there alternatives that would achieve the policy objectives at lower cost? </w:t>
      </w:r>
    </w:p>
    <w:p w14:paraId="725A1E36" w14:textId="27B6237E" w:rsidR="00F54A60" w:rsidRPr="00076744" w:rsidRDefault="00D61624" w:rsidP="00076744">
      <w:pPr>
        <w:spacing w:line="276" w:lineRule="auto"/>
        <w:jc w:val="both"/>
        <w:rPr>
          <w:sz w:val="22"/>
          <w:szCs w:val="22"/>
        </w:rPr>
      </w:pPr>
      <w:r w:rsidRPr="00076744">
        <w:rPr>
          <w:sz w:val="22"/>
          <w:szCs w:val="22"/>
        </w:rPr>
        <w:t xml:space="preserve">We will provide this in the spreadsheet as requested.  However, </w:t>
      </w:r>
      <w:r w:rsidR="006913B5" w:rsidRPr="00076744">
        <w:rPr>
          <w:sz w:val="22"/>
          <w:szCs w:val="22"/>
        </w:rPr>
        <w:t>CBA emphasise</w:t>
      </w:r>
      <w:r w:rsidR="005F08FE" w:rsidRPr="00076744">
        <w:rPr>
          <w:sz w:val="22"/>
          <w:szCs w:val="22"/>
        </w:rPr>
        <w:t>s that</w:t>
      </w:r>
      <w:r w:rsidR="006913B5" w:rsidRPr="00076744">
        <w:rPr>
          <w:sz w:val="22"/>
          <w:szCs w:val="22"/>
        </w:rPr>
        <w:t xml:space="preserve"> </w:t>
      </w:r>
      <w:r w:rsidR="00040F56" w:rsidRPr="00076744">
        <w:rPr>
          <w:sz w:val="22"/>
          <w:szCs w:val="22"/>
        </w:rPr>
        <w:t xml:space="preserve">the technical complexity </w:t>
      </w:r>
      <w:r w:rsidR="005F08FE" w:rsidRPr="00076744">
        <w:rPr>
          <w:sz w:val="22"/>
          <w:szCs w:val="22"/>
        </w:rPr>
        <w:t>involved to</w:t>
      </w:r>
      <w:r w:rsidR="00040F56" w:rsidRPr="00076744">
        <w:rPr>
          <w:sz w:val="22"/>
          <w:szCs w:val="22"/>
        </w:rPr>
        <w:t xml:space="preserve"> </w:t>
      </w:r>
      <w:r w:rsidRPr="00076744">
        <w:rPr>
          <w:sz w:val="22"/>
          <w:szCs w:val="22"/>
        </w:rPr>
        <w:t>extend LCR</w:t>
      </w:r>
      <w:r w:rsidR="005F08FE" w:rsidRPr="00076744">
        <w:rPr>
          <w:sz w:val="22"/>
          <w:szCs w:val="22"/>
        </w:rPr>
        <w:t xml:space="preserve"> online</w:t>
      </w:r>
      <w:r w:rsidRPr="00076744">
        <w:rPr>
          <w:sz w:val="22"/>
          <w:szCs w:val="22"/>
        </w:rPr>
        <w:t xml:space="preserve"> </w:t>
      </w:r>
      <w:r w:rsidR="00040F56" w:rsidRPr="00076744">
        <w:rPr>
          <w:sz w:val="22"/>
          <w:szCs w:val="22"/>
        </w:rPr>
        <w:t>demands a cost effective, industry led and practical approach</w:t>
      </w:r>
      <w:r w:rsidR="006F2652" w:rsidRPr="00076744">
        <w:rPr>
          <w:sz w:val="22"/>
          <w:szCs w:val="22"/>
        </w:rPr>
        <w:t>.</w:t>
      </w:r>
    </w:p>
    <w:p w14:paraId="75DB8F13" w14:textId="77777777" w:rsidR="00F54A60" w:rsidRPr="00076744" w:rsidRDefault="00F54A60" w:rsidP="00076744">
      <w:pPr>
        <w:spacing w:line="276" w:lineRule="auto"/>
        <w:jc w:val="both"/>
        <w:rPr>
          <w:i/>
          <w:sz w:val="22"/>
          <w:szCs w:val="22"/>
        </w:rPr>
      </w:pPr>
      <w:r w:rsidRPr="00076744">
        <w:rPr>
          <w:i/>
          <w:sz w:val="22"/>
          <w:szCs w:val="22"/>
        </w:rPr>
        <w:t>How much time should be allowed between any final decisions being made on the interchange standards and the effective date of any new or revised standards? What factors are relevant to the length of this implementation period?</w:t>
      </w:r>
    </w:p>
    <w:p w14:paraId="110FFD37" w14:textId="1328A622" w:rsidR="000A6407" w:rsidRPr="00076744" w:rsidRDefault="00F54A60" w:rsidP="00076744">
      <w:pPr>
        <w:spacing w:line="276" w:lineRule="auto"/>
        <w:jc w:val="both"/>
        <w:rPr>
          <w:rFonts w:cs="Arial"/>
          <w:b/>
          <w:bCs/>
          <w:sz w:val="22"/>
          <w:szCs w:val="22"/>
        </w:rPr>
      </w:pPr>
      <w:r w:rsidRPr="00076744">
        <w:rPr>
          <w:sz w:val="22"/>
          <w:szCs w:val="22"/>
        </w:rPr>
        <w:t>CBA believes a 6 month implementation period is appropriate for implementation of any interchange standards and the revised Standards 1, 2 &amp; 3.  Given the RBA currently proposes final determination at the November PSB meeting, we would suggest an effective date of 1 July 202</w:t>
      </w:r>
      <w:r w:rsidR="00CB3809">
        <w:rPr>
          <w:sz w:val="22"/>
          <w:szCs w:val="22"/>
        </w:rPr>
        <w:t>2</w:t>
      </w:r>
      <w:r w:rsidR="00076744">
        <w:rPr>
          <w:sz w:val="22"/>
          <w:szCs w:val="22"/>
        </w:rPr>
        <w:t>.</w:t>
      </w:r>
    </w:p>
    <w:p w14:paraId="46010996" w14:textId="77777777" w:rsidR="00E57D64" w:rsidRDefault="00E57D64" w:rsidP="00076744">
      <w:pPr>
        <w:spacing w:line="276" w:lineRule="auto"/>
        <w:jc w:val="both"/>
        <w:rPr>
          <w:rFonts w:cs="Arial"/>
          <w:b/>
          <w:bCs/>
          <w:sz w:val="22"/>
          <w:szCs w:val="22"/>
        </w:rPr>
      </w:pPr>
      <w:r w:rsidRPr="79DDA045">
        <w:rPr>
          <w:rFonts w:cs="Arial"/>
          <w:b/>
          <w:bCs/>
          <w:sz w:val="22"/>
          <w:szCs w:val="22"/>
        </w:rPr>
        <w:br w:type="page"/>
      </w:r>
      <w:r w:rsidRPr="79DDA045">
        <w:rPr>
          <w:rFonts w:cs="Arial"/>
          <w:b/>
          <w:bCs/>
          <w:sz w:val="22"/>
          <w:szCs w:val="22"/>
        </w:rPr>
        <w:lastRenderedPageBreak/>
        <w:t>CBA’s Recommendations</w:t>
      </w:r>
    </w:p>
    <w:p w14:paraId="6D13B481" w14:textId="77777777" w:rsidR="00530A98" w:rsidRPr="004D1DEB" w:rsidRDefault="00530A98" w:rsidP="00076744">
      <w:pPr>
        <w:pStyle w:val="ListParagraph"/>
        <w:numPr>
          <w:ilvl w:val="0"/>
          <w:numId w:val="28"/>
        </w:numPr>
        <w:spacing w:line="276" w:lineRule="auto"/>
        <w:jc w:val="both"/>
        <w:rPr>
          <w:rFonts w:eastAsiaTheme="minorEastAsia"/>
          <w:sz w:val="22"/>
          <w:szCs w:val="22"/>
        </w:rPr>
      </w:pPr>
      <w:r w:rsidRPr="004D1DEB">
        <w:rPr>
          <w:sz w:val="22"/>
          <w:szCs w:val="22"/>
        </w:rPr>
        <w:t xml:space="preserve">The extension of LCR </w:t>
      </w:r>
      <w:r w:rsidR="000A6407" w:rsidRPr="004D1DEB">
        <w:rPr>
          <w:sz w:val="22"/>
          <w:szCs w:val="22"/>
        </w:rPr>
        <w:t xml:space="preserve">to </w:t>
      </w:r>
      <w:r w:rsidRPr="004D1DEB">
        <w:rPr>
          <w:sz w:val="22"/>
          <w:szCs w:val="22"/>
        </w:rPr>
        <w:t>online</w:t>
      </w:r>
      <w:r w:rsidR="000A6407" w:rsidRPr="004D1DEB">
        <w:rPr>
          <w:sz w:val="22"/>
          <w:szCs w:val="22"/>
        </w:rPr>
        <w:t xml:space="preserve"> payments</w:t>
      </w:r>
      <w:r w:rsidRPr="004D1DEB">
        <w:rPr>
          <w:sz w:val="22"/>
          <w:szCs w:val="22"/>
        </w:rPr>
        <w:t xml:space="preserve"> should be industry led to ensure that the consumer and merchant experience is not adversely impacted. eftpos’ capability will be critical to the ability of acquirers to deliver LCR in the online environment.</w:t>
      </w:r>
    </w:p>
    <w:p w14:paraId="6B699379" w14:textId="77777777" w:rsidR="009108DD" w:rsidRPr="00530A98" w:rsidRDefault="009108DD" w:rsidP="00076744">
      <w:pPr>
        <w:pStyle w:val="ListParagraph"/>
        <w:spacing w:after="0" w:line="276" w:lineRule="auto"/>
        <w:jc w:val="both"/>
        <w:rPr>
          <w:sz w:val="22"/>
          <w:szCs w:val="22"/>
        </w:rPr>
      </w:pPr>
    </w:p>
    <w:p w14:paraId="4726B579" w14:textId="77777777" w:rsidR="009108DD" w:rsidRPr="004D1DEB" w:rsidRDefault="00530A98" w:rsidP="00076744">
      <w:pPr>
        <w:pStyle w:val="ListParagraph"/>
        <w:numPr>
          <w:ilvl w:val="0"/>
          <w:numId w:val="28"/>
        </w:numPr>
        <w:spacing w:after="0" w:line="276" w:lineRule="auto"/>
        <w:jc w:val="both"/>
        <w:rPr>
          <w:sz w:val="22"/>
          <w:szCs w:val="22"/>
        </w:rPr>
      </w:pPr>
      <w:r w:rsidRPr="004D1DEB">
        <w:rPr>
          <w:sz w:val="22"/>
          <w:szCs w:val="22"/>
        </w:rPr>
        <w:t>Interchange should be maintained at a level and in a form that will facilitate ongoing maintenance, upgrading and innovation of the underlying card payments infrastructure to ensure that Australians continue to benefit from world class payment services.</w:t>
      </w:r>
    </w:p>
    <w:p w14:paraId="3FE9F23F" w14:textId="77777777" w:rsidR="009108DD" w:rsidRPr="009108DD" w:rsidRDefault="009108DD" w:rsidP="00076744">
      <w:pPr>
        <w:spacing w:after="0" w:line="276" w:lineRule="auto"/>
        <w:jc w:val="both"/>
        <w:rPr>
          <w:sz w:val="22"/>
          <w:szCs w:val="22"/>
        </w:rPr>
      </w:pPr>
    </w:p>
    <w:p w14:paraId="3D887567" w14:textId="77777777" w:rsidR="00530A98" w:rsidRPr="004D1DEB" w:rsidRDefault="00530A98" w:rsidP="00076744">
      <w:pPr>
        <w:pStyle w:val="ListParagraph"/>
        <w:numPr>
          <w:ilvl w:val="0"/>
          <w:numId w:val="28"/>
        </w:numPr>
        <w:spacing w:after="0" w:line="276" w:lineRule="auto"/>
        <w:jc w:val="both"/>
        <w:rPr>
          <w:sz w:val="22"/>
          <w:szCs w:val="22"/>
        </w:rPr>
      </w:pPr>
      <w:r w:rsidRPr="004D1DEB">
        <w:rPr>
          <w:sz w:val="22"/>
          <w:szCs w:val="22"/>
        </w:rPr>
        <w:t>Meaningful disclosure and monitoring of the costs associated with payments should apply consistently to both existing and newer payment types to prevent regulatory arbitrage, improve cost efficiency and promote competition in the payment system.</w:t>
      </w:r>
    </w:p>
    <w:p w14:paraId="1F72F646" w14:textId="77777777" w:rsidR="009108DD" w:rsidRPr="009108DD" w:rsidRDefault="009108DD" w:rsidP="00076744">
      <w:pPr>
        <w:spacing w:after="0" w:line="276" w:lineRule="auto"/>
        <w:jc w:val="both"/>
        <w:rPr>
          <w:sz w:val="22"/>
          <w:szCs w:val="22"/>
        </w:rPr>
      </w:pPr>
    </w:p>
    <w:p w14:paraId="26E4AE5D" w14:textId="327F5C4C" w:rsidR="00530A98" w:rsidRPr="004D1DEB" w:rsidRDefault="00530A98" w:rsidP="00076744">
      <w:pPr>
        <w:pStyle w:val="ListParagraph"/>
        <w:numPr>
          <w:ilvl w:val="0"/>
          <w:numId w:val="28"/>
        </w:numPr>
        <w:spacing w:after="0" w:line="276" w:lineRule="auto"/>
        <w:jc w:val="both"/>
        <w:rPr>
          <w:sz w:val="22"/>
          <w:szCs w:val="22"/>
        </w:rPr>
      </w:pPr>
      <w:r w:rsidRPr="56943B1D">
        <w:rPr>
          <w:sz w:val="22"/>
          <w:szCs w:val="22"/>
        </w:rPr>
        <w:t>RBA monitoring of current and emerging payment trends should provide timely and accurate information to enable regulatory and policy responses that keep pace with technological change. Information sharing and co-ordination of regulatory responses with other financial regulators is needed to ensure coherent polic</w:t>
      </w:r>
      <w:r w:rsidR="65FAAF57" w:rsidRPr="56943B1D">
        <w:rPr>
          <w:sz w:val="22"/>
          <w:szCs w:val="22"/>
        </w:rPr>
        <w:t xml:space="preserve">y that </w:t>
      </w:r>
      <w:r w:rsidR="6D618F70" w:rsidRPr="56943B1D">
        <w:rPr>
          <w:sz w:val="22"/>
          <w:szCs w:val="22"/>
        </w:rPr>
        <w:t>produce the</w:t>
      </w:r>
      <w:r w:rsidR="6A2811E2" w:rsidRPr="56943B1D">
        <w:rPr>
          <w:sz w:val="22"/>
          <w:szCs w:val="22"/>
        </w:rPr>
        <w:t xml:space="preserve"> best outcomes for Australian consumers and the economy</w:t>
      </w:r>
      <w:r w:rsidRPr="56943B1D">
        <w:rPr>
          <w:sz w:val="22"/>
          <w:szCs w:val="22"/>
        </w:rPr>
        <w:t>.</w:t>
      </w:r>
    </w:p>
    <w:p w14:paraId="08CE6F91" w14:textId="77777777" w:rsidR="009108DD" w:rsidRPr="009108DD" w:rsidRDefault="009108DD" w:rsidP="00076744">
      <w:pPr>
        <w:spacing w:after="0" w:line="276" w:lineRule="auto"/>
        <w:jc w:val="both"/>
        <w:rPr>
          <w:sz w:val="22"/>
          <w:szCs w:val="22"/>
        </w:rPr>
      </w:pPr>
    </w:p>
    <w:p w14:paraId="6C392C9A" w14:textId="77777777" w:rsidR="00530A98" w:rsidRPr="004D1DEB" w:rsidRDefault="00530A98" w:rsidP="00076744">
      <w:pPr>
        <w:pStyle w:val="ListParagraph"/>
        <w:numPr>
          <w:ilvl w:val="0"/>
          <w:numId w:val="28"/>
        </w:numPr>
        <w:spacing w:line="276" w:lineRule="auto"/>
        <w:jc w:val="both"/>
        <w:rPr>
          <w:sz w:val="22"/>
          <w:szCs w:val="22"/>
        </w:rPr>
      </w:pPr>
      <w:r w:rsidRPr="004D1DEB">
        <w:rPr>
          <w:sz w:val="22"/>
          <w:szCs w:val="22"/>
        </w:rPr>
        <w:t>Measures to improve fee transparency should entail minimal compliance burden or duplication and be delivered via co-ordinated industry collection where possible.</w:t>
      </w:r>
    </w:p>
    <w:p w14:paraId="61CDCEAD" w14:textId="77777777" w:rsidR="006C2018" w:rsidRPr="004D1DEB" w:rsidRDefault="006C2018" w:rsidP="00076744">
      <w:pPr>
        <w:spacing w:line="276" w:lineRule="auto"/>
        <w:ind w:left="360" w:firstLine="60"/>
        <w:jc w:val="both"/>
        <w:rPr>
          <w:rFonts w:eastAsiaTheme="minorEastAsia"/>
          <w:sz w:val="22"/>
          <w:szCs w:val="22"/>
        </w:rPr>
      </w:pPr>
    </w:p>
    <w:p w14:paraId="7287C3BA" w14:textId="1DA4D3E8" w:rsidR="00C05661" w:rsidRPr="000457A5" w:rsidRDefault="009108DD" w:rsidP="00076744">
      <w:pPr>
        <w:spacing w:line="276" w:lineRule="auto"/>
        <w:jc w:val="both"/>
        <w:rPr>
          <w:rFonts w:ascii="Arial" w:hAnsi="Arial" w:cs="Arial"/>
          <w:sz w:val="22"/>
          <w:szCs w:val="22"/>
        </w:rPr>
      </w:pPr>
      <w:r w:rsidRPr="79DDA045">
        <w:rPr>
          <w:rFonts w:cs="Arial"/>
          <w:sz w:val="22"/>
          <w:szCs w:val="22"/>
        </w:rPr>
        <w:t>We look forward to discussing these recommendations with the RBA in more detail.</w:t>
      </w:r>
    </w:p>
    <w:sectPr w:rsidR="00C05661" w:rsidRPr="000457A5" w:rsidSect="003E460E">
      <w:headerReference w:type="default" r:id="rId18"/>
      <w:footerReference w:type="default" r:id="rId19"/>
      <w:pgSz w:w="11906" w:h="16838" w:code="9"/>
      <w:pgMar w:top="1644" w:right="1259" w:bottom="1701" w:left="1259" w:header="851" w:footer="646" w:gutter="0"/>
      <w:cols w:space="708"/>
      <w:docGrid w:linePitch="360"/>
    </w:sectPr>
  </w:body>
</w:document>
</file>

<file path=word/commentsIds.xml><?xml version="1.0" encoding="utf-8"?>
<w16cid:commentsIds xmlns:mc="http://schemas.openxmlformats.org/markup-compatibility/2006" xmlns:w16cid="http://schemas.microsoft.com/office/word/2016/wordml/cid" mc:Ignorable="w16cid">
  <w16cid:commentId w16cid:paraId="70D11F71" w16cid:durableId="5028BE68"/>
  <w16cid:commentId w16cid:paraId="2C43397E" w16cid:durableId="02F33330"/>
  <w16cid:commentId w16cid:paraId="6C9C93FB" w16cid:durableId="30CC4398"/>
  <w16cid:commentId w16cid:paraId="30D09835" w16cid:durableId="38EA93A8"/>
  <w16cid:commentId w16cid:paraId="270BCE1F" w16cid:durableId="19DED310"/>
  <w16cid:commentId w16cid:paraId="24116B06" w16cid:durableId="0F3894C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7AA92F" w14:textId="77777777" w:rsidR="00DC1C18" w:rsidRDefault="00DC1C18" w:rsidP="00064101">
      <w:r>
        <w:separator/>
      </w:r>
    </w:p>
  </w:endnote>
  <w:endnote w:type="continuationSeparator" w:id="0">
    <w:p w14:paraId="15755D48" w14:textId="77777777" w:rsidR="00DC1C18" w:rsidRDefault="00DC1C18" w:rsidP="00064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BA Beacon Sans">
    <w:altName w:val="Cambria Math"/>
    <w:panose1 w:val="00000000000000000000"/>
    <w:charset w:val="00"/>
    <w:family w:val="modern"/>
    <w:notTrueType/>
    <w:pitch w:val="variable"/>
    <w:sig w:usb0="00000001" w:usb1="02000001" w:usb2="00000000" w:usb3="00000000" w:csb0="000001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embedRegular r:id="rId1" w:fontKey="{3D363113-A0D0-48F3-A681-547A801299C2}"/>
  </w:font>
  <w:font w:name="CBA Beacon Sans Bold">
    <w:altName w:val="Cambria Math"/>
    <w:panose1 w:val="00000000000000000000"/>
    <w:charset w:val="00"/>
    <w:family w:val="modern"/>
    <w:notTrueType/>
    <w:pitch w:val="variable"/>
    <w:sig w:usb0="00000001" w:usb1="02000001" w:usb2="00000000" w:usb3="00000000" w:csb0="00000193" w:csb1="00000000"/>
  </w:font>
  <w:font w:name="CBA Beacon Sans Extra Bold">
    <w:altName w:val="Cambria Math"/>
    <w:panose1 w:val="00000000000000000000"/>
    <w:charset w:val="00"/>
    <w:family w:val="modern"/>
    <w:notTrueType/>
    <w:pitch w:val="variable"/>
    <w:sig w:usb0="00000001" w:usb1="02000001" w:usb2="00000000" w:usb3="00000000" w:csb0="00000193" w:csb1="00000000"/>
  </w:font>
  <w:font w:name="Dotum">
    <w:altName w:val="돋움"/>
    <w:panose1 w:val="020B0600000101010101"/>
    <w:charset w:val="81"/>
    <w:family w:val="modern"/>
    <w:notTrueType/>
    <w:pitch w:val="fixed"/>
    <w:sig w:usb0="00000001" w:usb1="09060000" w:usb2="00000010" w:usb3="00000000" w:csb0="00080000" w:csb1="00000000"/>
  </w:font>
  <w:font w:name="Segoe UI">
    <w:panose1 w:val="020B0502040204020203"/>
    <w:charset w:val="00"/>
    <w:family w:val="swiss"/>
    <w:pitch w:val="variable"/>
    <w:sig w:usb0="E4002EFF" w:usb1="C000E47F" w:usb2="00000009" w:usb3="00000000" w:csb0="000001FF" w:csb1="00000000"/>
    <w:embedRegular r:id="rId2" w:fontKey="{82DDD143-2E95-49A7-B1AF-169934A0D913}"/>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3" w:fontKey="{A9D239D5-D9C9-4926-BFA7-CB9BF899D5BC}"/>
    <w:embedBold r:id="rId4" w:fontKey="{0231C036-ECE9-43C0-AD23-CAFC07F51D4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F0FCAF" w14:textId="77777777" w:rsidR="00BB2562" w:rsidRDefault="00BB256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E685B9" w14:textId="77777777" w:rsidR="00BB2562" w:rsidRDefault="00BB256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0CAA82" w14:textId="77777777" w:rsidR="00BB2562" w:rsidRDefault="00BB256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Footertable"/>
      <w:tblW w:w="7797" w:type="dxa"/>
      <w:tblLook w:val="04A0" w:firstRow="1" w:lastRow="0" w:firstColumn="1" w:lastColumn="0" w:noHBand="0" w:noVBand="1"/>
    </w:tblPr>
    <w:tblGrid>
      <w:gridCol w:w="426"/>
      <w:gridCol w:w="7371"/>
    </w:tblGrid>
    <w:tr w:rsidR="00040F56" w14:paraId="6528AB70" w14:textId="77777777" w:rsidTr="00A831FA">
      <w:tc>
        <w:tcPr>
          <w:tcW w:w="426" w:type="dxa"/>
          <w:tcMar>
            <w:left w:w="0" w:type="dxa"/>
          </w:tcMar>
        </w:tcPr>
        <w:p w14:paraId="50230CC7" w14:textId="44CF8326" w:rsidR="00040F56" w:rsidRDefault="00040F56">
          <w:pPr>
            <w:pStyle w:val="Footer"/>
          </w:pPr>
          <w:r w:rsidRPr="00EA30C7">
            <w:rPr>
              <w:rFonts w:asciiTheme="majorHAnsi" w:hAnsiTheme="majorHAnsi"/>
              <w:bCs/>
              <w:color w:val="1E1E1E" w:themeColor="text1"/>
            </w:rPr>
            <w:fldChar w:fldCharType="begin"/>
          </w:r>
          <w:r w:rsidRPr="00EA30C7">
            <w:rPr>
              <w:rFonts w:asciiTheme="majorHAnsi" w:hAnsiTheme="majorHAnsi"/>
              <w:bCs/>
              <w:color w:val="1E1E1E" w:themeColor="text1"/>
            </w:rPr>
            <w:instrText xml:space="preserve"> PAGE   \* MERGEFORMAT </w:instrText>
          </w:r>
          <w:r w:rsidRPr="00EA30C7">
            <w:rPr>
              <w:rFonts w:asciiTheme="majorHAnsi" w:hAnsiTheme="majorHAnsi"/>
              <w:bCs/>
              <w:color w:val="1E1E1E" w:themeColor="text1"/>
            </w:rPr>
            <w:fldChar w:fldCharType="separate"/>
          </w:r>
          <w:r w:rsidR="00EF2B18">
            <w:rPr>
              <w:rFonts w:asciiTheme="majorHAnsi" w:hAnsiTheme="majorHAnsi"/>
              <w:bCs/>
              <w:noProof/>
              <w:color w:val="1E1E1E" w:themeColor="text1"/>
            </w:rPr>
            <w:t>4</w:t>
          </w:r>
          <w:r w:rsidRPr="00EA30C7">
            <w:rPr>
              <w:rFonts w:asciiTheme="majorHAnsi" w:hAnsiTheme="majorHAnsi"/>
              <w:bCs/>
              <w:noProof/>
              <w:color w:val="1E1E1E" w:themeColor="text1"/>
            </w:rPr>
            <w:fldChar w:fldCharType="end"/>
          </w:r>
        </w:p>
      </w:tc>
      <w:tc>
        <w:tcPr>
          <w:tcW w:w="7371" w:type="dxa"/>
        </w:tcPr>
        <w:p w14:paraId="3CFFA5E4" w14:textId="47C6D8F8" w:rsidR="00040F56" w:rsidRDefault="00040F56">
          <w:pPr>
            <w:pStyle w:val="Footer"/>
          </w:pPr>
          <w:r>
            <w:t xml:space="preserve">Commonwealth Bank of Australia  </w:t>
          </w:r>
          <w:r w:rsidRPr="00EA30C7">
            <w:rPr>
              <w:rStyle w:val="CBABeaconSansBold"/>
            </w:rPr>
            <w:t>|</w:t>
          </w:r>
          <w:r>
            <w:t xml:space="preserve">  </w:t>
          </w:r>
          <w:r w:rsidR="00DC1C18">
            <w:rPr>
              <w:noProof/>
            </w:rPr>
            <w:fldChar w:fldCharType="begin"/>
          </w:r>
          <w:r w:rsidR="00DC1C18">
            <w:rPr>
              <w:noProof/>
            </w:rPr>
            <w:instrText>STYLEREF  "Cover document status"  \* MERGEFORMAT</w:instrText>
          </w:r>
          <w:r w:rsidR="00DC1C18">
            <w:rPr>
              <w:noProof/>
            </w:rPr>
            <w:fldChar w:fldCharType="separate"/>
          </w:r>
          <w:r w:rsidR="00EF2B18">
            <w:rPr>
              <w:noProof/>
            </w:rPr>
            <w:t>Public</w:t>
          </w:r>
          <w:r w:rsidR="00DC1C18">
            <w:rPr>
              <w:noProof/>
            </w:rPr>
            <w:fldChar w:fldCharType="end"/>
          </w:r>
          <w:r>
            <w:t xml:space="preserve">  </w:t>
          </w:r>
          <w:r w:rsidRPr="003764FC">
            <w:rPr>
              <w:rStyle w:val="CBABeaconSansBold"/>
            </w:rPr>
            <w:t>|</w:t>
          </w:r>
          <w:r>
            <w:t xml:space="preserve">  </w:t>
          </w:r>
          <w:r w:rsidR="00DC1C18">
            <w:rPr>
              <w:noProof/>
            </w:rPr>
            <w:fldChar w:fldCharType="begin"/>
          </w:r>
          <w:r w:rsidR="00DC1C18">
            <w:rPr>
              <w:noProof/>
            </w:rPr>
            <w:instrText>STYLEREF  "Cover Date"  \* MERGEFORMAT</w:instrText>
          </w:r>
          <w:r w:rsidR="00DC1C18">
            <w:rPr>
              <w:noProof/>
            </w:rPr>
            <w:fldChar w:fldCharType="separate"/>
          </w:r>
          <w:r w:rsidR="00EF2B18">
            <w:rPr>
              <w:noProof/>
            </w:rPr>
            <w:t>9 July 2021</w:t>
          </w:r>
          <w:r w:rsidR="00DC1C18">
            <w:rPr>
              <w:noProof/>
            </w:rPr>
            <w:fldChar w:fldCharType="end"/>
          </w:r>
        </w:p>
      </w:tc>
    </w:tr>
  </w:tbl>
  <w:p w14:paraId="04B6CDC8" w14:textId="77777777" w:rsidR="00040F56" w:rsidRDefault="00040F56" w:rsidP="00495022">
    <w:pPr>
      <w:pStyle w:val="Footer-Commbank"/>
      <w:tabs>
        <w:tab w:val="left" w:pos="6070"/>
      </w:tabs>
    </w:pPr>
    <w:r w:rsidRPr="00495022">
      <w:rPr>
        <w:noProof/>
        <w:lang w:eastAsia="en-AU"/>
      </w:rPr>
      <mc:AlternateContent>
        <mc:Choice Requires="wpg">
          <w:drawing>
            <wp:anchor distT="0" distB="0" distL="114300" distR="114300" simplePos="0" relativeHeight="251662336" behindDoc="0" locked="0" layoutInCell="1" allowOverlap="1" wp14:anchorId="2A5EA298" wp14:editId="0B906BB3">
              <wp:simplePos x="0" y="0"/>
              <wp:positionH relativeFrom="page">
                <wp:posOffset>6361430</wp:posOffset>
              </wp:positionH>
              <wp:positionV relativeFrom="page">
                <wp:posOffset>9698355</wp:posOffset>
              </wp:positionV>
              <wp:extent cx="702000" cy="720000"/>
              <wp:effectExtent l="0" t="0" r="3175" b="4445"/>
              <wp:wrapNone/>
              <wp:docPr id="13" name="Group 3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702000" cy="720000"/>
                        <a:chOff x="0" y="0"/>
                        <a:chExt cx="1980864" cy="1969256"/>
                      </a:xfrm>
                    </wpg:grpSpPr>
                    <wps:wsp>
                      <wps:cNvPr id="14" name="Freeform 24"/>
                      <wps:cNvSpPr/>
                      <wps:spPr>
                        <a:xfrm>
                          <a:off x="139" y="0"/>
                          <a:ext cx="1980724" cy="1969256"/>
                        </a:xfrm>
                        <a:custGeom>
                          <a:avLst/>
                          <a:gdLst>
                            <a:gd name="connsiteX0" fmla="*/ 990223 w 1980724"/>
                            <a:gd name="connsiteY0" fmla="*/ 0 h 1969256"/>
                            <a:gd name="connsiteX1" fmla="*/ 1980725 w 1980724"/>
                            <a:gd name="connsiteY1" fmla="*/ 984628 h 1969256"/>
                            <a:gd name="connsiteX2" fmla="*/ 990223 w 1980724"/>
                            <a:gd name="connsiteY2" fmla="*/ 1969256 h 1969256"/>
                            <a:gd name="connsiteX3" fmla="*/ 0 w 1980724"/>
                            <a:gd name="connsiteY3" fmla="*/ 984628 h 1969256"/>
                            <a:gd name="connsiteX4" fmla="*/ 990223 w 1980724"/>
                            <a:gd name="connsiteY4" fmla="*/ 0 h 196925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80724" h="1969256">
                              <a:moveTo>
                                <a:pt x="990223" y="0"/>
                              </a:moveTo>
                              <a:lnTo>
                                <a:pt x="1980725" y="984628"/>
                              </a:lnTo>
                              <a:lnTo>
                                <a:pt x="990223" y="1969256"/>
                              </a:lnTo>
                              <a:lnTo>
                                <a:pt x="0" y="984628"/>
                              </a:lnTo>
                              <a:lnTo>
                                <a:pt x="990223" y="0"/>
                              </a:lnTo>
                            </a:path>
                          </a:pathLst>
                        </a:custGeom>
                        <a:gradFill flip="none" rotWithShape="1">
                          <a:gsLst>
                            <a:gs pos="56000">
                              <a:srgbClr val="FFFF00"/>
                            </a:gs>
                            <a:gs pos="78000">
                              <a:srgbClr val="FFCC00"/>
                            </a:gs>
                          </a:gsLst>
                          <a:lin ang="0" scaled="1"/>
                          <a:tileRect/>
                        </a:gradFill>
                        <a:ln w="27931" cap="flat">
                          <a:noFill/>
                          <a:prstDash val="solid"/>
                          <a:miter/>
                        </a:ln>
                      </wps:spPr>
                      <wps:bodyPr rtlCol="0" anchor="ctr"/>
                    </wps:wsp>
                    <wps:wsp>
                      <wps:cNvPr id="15" name="Freeform 54"/>
                      <wps:cNvSpPr/>
                      <wps:spPr>
                        <a:xfrm>
                          <a:off x="0" y="0"/>
                          <a:ext cx="1980724" cy="1969256"/>
                        </a:xfrm>
                        <a:custGeom>
                          <a:avLst/>
                          <a:gdLst>
                            <a:gd name="connsiteX0" fmla="*/ 990223 w 1980724"/>
                            <a:gd name="connsiteY0" fmla="*/ 0 h 1969256"/>
                            <a:gd name="connsiteX1" fmla="*/ 1980725 w 1980724"/>
                            <a:gd name="connsiteY1" fmla="*/ 984628 h 1969256"/>
                            <a:gd name="connsiteX2" fmla="*/ 990223 w 1980724"/>
                            <a:gd name="connsiteY2" fmla="*/ 1969256 h 1969256"/>
                            <a:gd name="connsiteX3" fmla="*/ 0 w 1980724"/>
                            <a:gd name="connsiteY3" fmla="*/ 984628 h 1969256"/>
                            <a:gd name="connsiteX4" fmla="*/ 990223 w 1980724"/>
                            <a:gd name="connsiteY4" fmla="*/ 0 h 196925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80724" h="1969256">
                              <a:moveTo>
                                <a:pt x="990223" y="0"/>
                              </a:moveTo>
                              <a:lnTo>
                                <a:pt x="1980725" y="984628"/>
                              </a:lnTo>
                              <a:lnTo>
                                <a:pt x="990223" y="1969256"/>
                              </a:lnTo>
                              <a:lnTo>
                                <a:pt x="0" y="984628"/>
                              </a:lnTo>
                              <a:lnTo>
                                <a:pt x="990223" y="0"/>
                              </a:lnTo>
                            </a:path>
                          </a:pathLst>
                        </a:custGeom>
                        <a:gradFill flip="none" rotWithShape="1">
                          <a:gsLst>
                            <a:gs pos="31000">
                              <a:srgbClr val="FFFF00"/>
                            </a:gs>
                            <a:gs pos="58000">
                              <a:srgbClr val="FED508">
                                <a:alpha val="46000"/>
                              </a:srgbClr>
                            </a:gs>
                            <a:gs pos="100000">
                              <a:srgbClr val="FFCC00">
                                <a:alpha val="0"/>
                              </a:srgbClr>
                            </a:gs>
                          </a:gsLst>
                          <a:lin ang="2700000" scaled="0"/>
                          <a:tileRect/>
                        </a:gradFill>
                        <a:ln w="27931" cap="flat">
                          <a:noFill/>
                          <a:prstDash val="solid"/>
                          <a:miter/>
                        </a:ln>
                      </wps:spPr>
                      <wps:bodyPr rtlCol="0" anchor="ctr"/>
                    </wps:wsp>
                    <wps:wsp>
                      <wps:cNvPr id="16" name="Freeform 26"/>
                      <wps:cNvSpPr/>
                      <wps:spPr>
                        <a:xfrm>
                          <a:off x="990363" y="728675"/>
                          <a:ext cx="990501" cy="1240581"/>
                        </a:xfrm>
                        <a:custGeom>
                          <a:avLst/>
                          <a:gdLst>
                            <a:gd name="connsiteX0" fmla="*/ 376190 w 990502"/>
                            <a:gd name="connsiteY0" fmla="*/ 355722 h 1240581"/>
                            <a:gd name="connsiteX1" fmla="*/ 0 w 990502"/>
                            <a:gd name="connsiteY1" fmla="*/ 1240581 h 1240581"/>
                            <a:gd name="connsiteX2" fmla="*/ 0 w 990502"/>
                            <a:gd name="connsiteY2" fmla="*/ 1240581 h 1240581"/>
                            <a:gd name="connsiteX3" fmla="*/ 990502 w 990502"/>
                            <a:gd name="connsiteY3" fmla="*/ 255953 h 1240581"/>
                            <a:gd name="connsiteX4" fmla="*/ 733374 w 990502"/>
                            <a:gd name="connsiteY4" fmla="*/ 0 h 1240581"/>
                            <a:gd name="connsiteX5" fmla="*/ 376190 w 990502"/>
                            <a:gd name="connsiteY5" fmla="*/ 355722 h 1240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990502" h="1240581">
                              <a:moveTo>
                                <a:pt x="376190" y="355722"/>
                              </a:moveTo>
                              <a:lnTo>
                                <a:pt x="0" y="1240581"/>
                              </a:lnTo>
                              <a:lnTo>
                                <a:pt x="0" y="1240581"/>
                              </a:lnTo>
                              <a:lnTo>
                                <a:pt x="990502" y="255953"/>
                              </a:lnTo>
                              <a:lnTo>
                                <a:pt x="733374" y="0"/>
                              </a:lnTo>
                              <a:lnTo>
                                <a:pt x="376190" y="355722"/>
                              </a:lnTo>
                              <a:close/>
                            </a:path>
                          </a:pathLst>
                        </a:custGeom>
                        <a:gradFill flip="none" rotWithShape="1">
                          <a:gsLst>
                            <a:gs pos="17000">
                              <a:srgbClr val="874400">
                                <a:alpha val="90000"/>
                              </a:srgbClr>
                            </a:gs>
                            <a:gs pos="35000">
                              <a:srgbClr val="CD8107"/>
                            </a:gs>
                            <a:gs pos="46000">
                              <a:srgbClr val="FABC08"/>
                            </a:gs>
                            <a:gs pos="55000">
                              <a:srgbClr val="FEE103"/>
                            </a:gs>
                          </a:gsLst>
                          <a:lin ang="1920000" scaled="0"/>
                          <a:tileRect/>
                        </a:gradFill>
                        <a:ln w="27931" cap="flat">
                          <a:noFill/>
                          <a:prstDash val="solid"/>
                          <a:miter/>
                        </a:ln>
                      </wps:spPr>
                      <wps:bodyPr rtlCol="0" anchor="ctr"/>
                    </wps:wsp>
                    <wps:wsp>
                      <wps:cNvPr id="8" name="Freeform 27"/>
                      <wps:cNvSpPr/>
                      <wps:spPr>
                        <a:xfrm>
                          <a:off x="990362" y="728675"/>
                          <a:ext cx="990501" cy="1240581"/>
                        </a:xfrm>
                        <a:custGeom>
                          <a:avLst/>
                          <a:gdLst>
                            <a:gd name="connsiteX0" fmla="*/ 376190 w 990502"/>
                            <a:gd name="connsiteY0" fmla="*/ 355722 h 1240581"/>
                            <a:gd name="connsiteX1" fmla="*/ 0 w 990502"/>
                            <a:gd name="connsiteY1" fmla="*/ 1240581 h 1240581"/>
                            <a:gd name="connsiteX2" fmla="*/ 0 w 990502"/>
                            <a:gd name="connsiteY2" fmla="*/ 1240581 h 1240581"/>
                            <a:gd name="connsiteX3" fmla="*/ 990502 w 990502"/>
                            <a:gd name="connsiteY3" fmla="*/ 255953 h 1240581"/>
                            <a:gd name="connsiteX4" fmla="*/ 733374 w 990502"/>
                            <a:gd name="connsiteY4" fmla="*/ 0 h 1240581"/>
                            <a:gd name="connsiteX5" fmla="*/ 376190 w 990502"/>
                            <a:gd name="connsiteY5" fmla="*/ 355722 h 1240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990502" h="1240581">
                              <a:moveTo>
                                <a:pt x="376190" y="355722"/>
                              </a:moveTo>
                              <a:lnTo>
                                <a:pt x="0" y="1240581"/>
                              </a:lnTo>
                              <a:lnTo>
                                <a:pt x="0" y="1240581"/>
                              </a:lnTo>
                              <a:lnTo>
                                <a:pt x="990502" y="255953"/>
                              </a:lnTo>
                              <a:lnTo>
                                <a:pt x="733374" y="0"/>
                              </a:lnTo>
                              <a:lnTo>
                                <a:pt x="376190" y="355722"/>
                              </a:lnTo>
                              <a:close/>
                            </a:path>
                          </a:pathLst>
                        </a:custGeom>
                        <a:gradFill flip="none" rotWithShape="1">
                          <a:gsLst>
                            <a:gs pos="34000">
                              <a:schemeClr val="tx1">
                                <a:alpha val="39000"/>
                              </a:schemeClr>
                            </a:gs>
                            <a:gs pos="46000">
                              <a:srgbClr val="F2B400">
                                <a:alpha val="0"/>
                              </a:srgbClr>
                            </a:gs>
                            <a:gs pos="38000">
                              <a:srgbClr val="D88A00">
                                <a:alpha val="0"/>
                              </a:srgbClr>
                            </a:gs>
                            <a:gs pos="52000">
                              <a:srgbClr val="FAD202">
                                <a:alpha val="0"/>
                              </a:srgbClr>
                            </a:gs>
                            <a:gs pos="57000">
                              <a:srgbClr val="FEDF03">
                                <a:alpha val="0"/>
                              </a:srgbClr>
                            </a:gs>
                          </a:gsLst>
                          <a:lin ang="1920000" scaled="0"/>
                          <a:tileRect/>
                        </a:gradFill>
                        <a:ln w="27931" cap="flat">
                          <a:noFill/>
                          <a:prstDash val="solid"/>
                          <a:miter/>
                        </a:ln>
                      </wps:spPr>
                      <wps:bodyPr rtlCol="0" anchor="ctr"/>
                    </wps:wsp>
                  </wpg:wgp>
                </a:graphicData>
              </a:graphic>
              <wp14:sizeRelH relativeFrom="margin">
                <wp14:pctWidth>0</wp14:pctWidth>
              </wp14:sizeRelH>
              <wp14:sizeRelV relativeFrom="margin">
                <wp14:pctHeight>0</wp14:pctHeight>
              </wp14:sizeRelV>
            </wp:anchor>
          </w:drawing>
        </mc:Choice>
        <mc:Fallback xmlns:a="http://schemas.openxmlformats.org/drawingml/2006/main" xmlns:wp14="http://schemas.microsoft.com/office/word/2010/wordml" xmlns:w16se="http://schemas.microsoft.com/office/word/2015/wordml/symex" xmlns:cx1="http://schemas.microsoft.com/office/drawing/2015/9/8/chartex" xmlns:cx="http://schemas.microsoft.com/office/drawing/2014/chartex">
          <w:pict w14:anchorId="041CB568">
            <v:group id="Group 36" style="position:absolute;margin-left:500.9pt;margin-top:763.65pt;width:55.3pt;height:56.7pt;z-index:251662336;mso-position-horizontal-relative:page;mso-position-vertical-relative:page;mso-width-relative:margin;mso-height-relative:margin" coordsize="19808,19692" o:spid="_x0000_s1026" w14:anchorId="4EFE29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">
              <o:lock v:ext="edit" aspectratio="t"/>
              <v:shape id="Freeform 24" style="position:absolute;left:1;width:19807;height:19692;visibility:visible;mso-wrap-style:square;v-text-anchor:middle" coordsize="1980724,1969256" o:spid="_x0000_s1027" fillcolor="yellow" stroked="f" strokeweight=".77586mm" path="m990223,r990502,984628l990223,1969256,,984628,990223,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">
                <v:fill type="gradient" color2="#fc0" colors="0 yellow;36700f yellow" angle="90" focus="100%" rotate="t"/>
                <v:stroke joinstyle="miter"/>
                <v:path arrowok="t" o:connecttype="custom" o:connectlocs="990223,0;1980725,984628;990223,1969256;0,984628;990223,0" o:connectangles="0,0,0,0,0"/>
              </v:shape>
              <v:shape id="Freeform 54" style="position:absolute;width:19807;height:19692;visibility:visible;mso-wrap-style:square;v-text-anchor:middle" coordsize="1980724,1969256" o:spid="_x0000_s1028" fillcolor="yellow" stroked="f" strokeweight=".77586mm" path="m990223,r990502,984628l990223,1969256,,984628,990223,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">
                <v:fill type="gradient" opacity="0" color2="#fc0" colors="0 yellow;20316f yellow;38011f #fed508" angle="45" focus="100%" rotate="t">
                  <o:fill v:ext="view" type="gradientUnscaled"/>
                </v:fill>
                <v:stroke joinstyle="miter"/>
                <v:path arrowok="t" o:connecttype="custom" o:connectlocs="990223,0;1980725,984628;990223,1969256;0,984628;990223,0" o:connectangles="0,0,0,0,0"/>
              </v:shape>
              <v:shape id="Freeform 26" style="position:absolute;left:9903;top:7286;width:9905;height:12406;visibility:visible;mso-wrap-style:square;v-text-anchor:middle" coordsize="990502,1240581" o:spid="_x0000_s1029" fillcolor="#874400" stroked="f" strokeweight=".77586mm" path="m376190,355722l,1240581r,l990502,255953,733374,,376190,35572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">
                <v:fill type="gradient" color2="#fee103" colors="0 #874400;11141f #874400;22938f #cd8107;30147f #fabc08" angle="58" focus="100%" o:opacity2="58982f" rotate="t">
                  <o:fill v:ext="view" type="gradientUnscaled"/>
                </v:fill>
                <v:stroke joinstyle="miter"/>
                <v:path arrowok="t" o:connecttype="custom" o:connectlocs="376190,355722;0,1240581;0,1240581;990501,255953;733373,0;376190,355722" o:connectangles="0,0,0,0,0,0"/>
              </v:shape>
              <v:shape id="Freeform 27" style="position:absolute;left:9903;top:7286;width:9905;height:12406;visibility:visible;mso-wrap-style:square;v-text-anchor:middle" coordsize="990502,1240581" o:spid="_x0000_s1030" fillcolor="#1e1e1e [3213]" stroked="f" strokeweight=".77586mm" path="m376190,355722l,1240581r,l990502,255953,733374,,376190,35572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">
                <v:fill type="gradient" opacity="0" color2="#fedf03" colors="0 #1e1e1e;22282f #1e1e1e;24904f #d88a00;30147f #f2b400;34079f #fad202" angle="58" focus="100%" o:opacity2="25559f" rotate="t">
                  <o:fill v:ext="view" type="gradientUnscaled"/>
                </v:fill>
                <v:stroke joinstyle="miter"/>
                <v:path arrowok="t" o:connecttype="custom" o:connectlocs="376190,355722;0,1240581;0,1240581;990501,255953;733373,0;376190,355722" o:connectangles="0,0,0,0,0,0"/>
              </v:shape>
              <w10:wrap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21C9B8" w14:textId="77777777" w:rsidR="00DC1C18" w:rsidRPr="006A08FE" w:rsidRDefault="00DC1C18" w:rsidP="00064101">
      <w:pPr>
        <w:rPr>
          <w:color w:val="BEBEB9" w:themeColor="accent6"/>
        </w:rPr>
      </w:pPr>
      <w:bookmarkStart w:id="0" w:name="_Hlk477344342"/>
      <w:bookmarkEnd w:id="0"/>
      <w:r w:rsidRPr="006A08FE">
        <w:rPr>
          <w:color w:val="BEBEB9" w:themeColor="accent6"/>
        </w:rPr>
        <w:separator/>
      </w:r>
    </w:p>
  </w:footnote>
  <w:footnote w:type="continuationSeparator" w:id="0">
    <w:p w14:paraId="5AF793CC" w14:textId="77777777" w:rsidR="00DC1C18" w:rsidRDefault="00DC1C18" w:rsidP="00064101">
      <w:r>
        <w:continuationSeparator/>
      </w:r>
    </w:p>
  </w:footnote>
  <w:footnote w:id="1">
    <w:p w14:paraId="60C23841" w14:textId="77777777" w:rsidR="00040F56" w:rsidRDefault="00040F56">
      <w:pPr>
        <w:pStyle w:val="FootnoteText"/>
      </w:pPr>
      <w:r>
        <w:rPr>
          <w:rStyle w:val="FootnoteReference"/>
        </w:rPr>
        <w:footnoteRef/>
      </w:r>
      <w:r>
        <w:t xml:space="preserve"> </w:t>
      </w:r>
      <w:r w:rsidRPr="004D1DEB">
        <w:rPr>
          <w:bCs/>
          <w:color w:val="000000"/>
          <w:sz w:val="20"/>
        </w:rPr>
        <w:t>(</w:t>
      </w:r>
      <w:hyperlink r:id="rId1" w:history="1">
        <w:r w:rsidRPr="004D1DEB">
          <w:rPr>
            <w:bCs/>
            <w:color w:val="000000"/>
            <w:sz w:val="20"/>
          </w:rPr>
          <w:t>https://www.pwc.com/us/en/advisory-services/publications/consumer-intelligence-series/pwc-consumer-intelligence-series-customer-experience.pdf</w:t>
        </w:r>
      </w:hyperlink>
      <w:r w:rsidRPr="004D1DEB">
        <w:rPr>
          <w:bCs/>
          <w:color w:val="000000"/>
          <w:sz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1E260D" w14:textId="77777777" w:rsidR="00BB2562" w:rsidRDefault="00BB256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B5651D" w14:textId="77777777" w:rsidR="00040F56" w:rsidRDefault="00040F56">
    <w:pPr>
      <w:pStyle w:val="Header"/>
    </w:pPr>
    <w:r>
      <w:rPr>
        <w:noProof/>
        <w:lang w:eastAsia="en-AU"/>
      </w:rPr>
      <w:drawing>
        <wp:anchor distT="0" distB="0" distL="114300" distR="114300" simplePos="0" relativeHeight="251658240" behindDoc="1" locked="1" layoutInCell="1" allowOverlap="1" wp14:anchorId="74346101" wp14:editId="187A6418">
          <wp:simplePos x="0" y="0"/>
          <wp:positionH relativeFrom="page">
            <wp:posOffset>0</wp:posOffset>
          </wp:positionH>
          <wp:positionV relativeFrom="page">
            <wp:posOffset>0</wp:posOffset>
          </wp:positionV>
          <wp:extent cx="7560000" cy="10688400"/>
          <wp:effectExtent l="0" t="0" r="3175" b="0"/>
          <wp:wrapNone/>
          <wp:docPr id="2" name="Picture 2">
            <a:extLst xmlns:a="http://schemas.openxmlformats.org/drawingml/2006/main">
              <a:ext uri="{C183D7F6-B498-43B3-948B-1728B52AA6E4}">
                <adec:decorative xmlns:pic="http://schemas.openxmlformats.org/drawingml/2006/pictur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dec="http://schemas.microsoft.com/office/drawing/2017/decorative" xmlns:w16se="http://schemas.microsoft.com/office/word/2015/wordml/symex" xmlns:cx1="http://schemas.microsoft.com/office/drawing/2015/9/8/chartex" xmlns:cx="http://schemas.microsoft.com/office/drawing/2014/chartex"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a:extLst>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dec="http://schemas.microsoft.com/office/drawing/2017/decorative" xmlns:w16se="http://schemas.microsoft.com/office/word/2015/wordml/symex" xmlns:cx1="http://schemas.microsoft.com/office/drawing/2015/9/8/chartex" xmlns:cx="http://schemas.microsoft.com/office/drawing/2014/chartex" val="1"/>
                      </a:ext>
                    </a:extLst>
                  </pic:cNvPr>
                  <pic:cNvPicPr/>
                </pic:nvPicPr>
                <pic:blipFill>
                  <a:blip r:embed="rId1"/>
                  <a:stretch>
                    <a:fillRect/>
                  </a:stretch>
                </pic:blipFill>
                <pic:spPr>
                  <a:xfrm>
                    <a:off x="0" y="0"/>
                    <a:ext cx="7560000" cy="10688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9740C" w14:textId="77777777" w:rsidR="00BB2562" w:rsidRDefault="00BB256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B9E253" w14:textId="77777777" w:rsidR="00040F56" w:rsidRDefault="00040F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F4C0F58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93E67A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9047B5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01CD6F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B601AA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B4ADB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4387606"/>
    <w:lvl w:ilvl="0">
      <w:start w:val="1"/>
      <w:numFmt w:val="bullet"/>
      <w:lvlText w:val="›"/>
      <w:lvlJc w:val="left"/>
      <w:pPr>
        <w:tabs>
          <w:tab w:val="num" w:pos="926"/>
        </w:tabs>
        <w:ind w:left="926" w:hanging="360"/>
      </w:pPr>
      <w:rPr>
        <w:rFonts w:ascii="CBA Beacon Sans" w:hAnsi="CBA Beacon Sans" w:hint="default"/>
        <w:sz w:val="24"/>
        <w:szCs w:val="24"/>
      </w:rPr>
    </w:lvl>
  </w:abstractNum>
  <w:abstractNum w:abstractNumId="7" w15:restartNumberingAfterBreak="0">
    <w:nsid w:val="FFFFFF83"/>
    <w:multiLevelType w:val="singleLevel"/>
    <w:tmpl w:val="E932CC1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E5A754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E28835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1E03A4"/>
    <w:multiLevelType w:val="hybridMultilevel"/>
    <w:tmpl w:val="FBF6BC3A"/>
    <w:lvl w:ilvl="0" w:tplc="7FEA91D0">
      <w:start w:val="1"/>
      <w:numFmt w:val="bullet"/>
      <w:lvlText w:val="›"/>
      <w:lvlJc w:val="left"/>
      <w:pPr>
        <w:ind w:left="720" w:hanging="360"/>
      </w:pPr>
      <w:rPr>
        <w:rFonts w:ascii="CBA Beacon Sans" w:hAnsi="CBA Beacon Sans"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02BD2F01"/>
    <w:multiLevelType w:val="hybridMultilevel"/>
    <w:tmpl w:val="E8C0C09E"/>
    <w:lvl w:ilvl="0" w:tplc="FFFFFFF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034B0597"/>
    <w:multiLevelType w:val="hybridMultilevel"/>
    <w:tmpl w:val="5E7E6908"/>
    <w:lvl w:ilvl="0" w:tplc="0C090001">
      <w:start w:val="1"/>
      <w:numFmt w:val="bullet"/>
      <w:lvlText w:val=""/>
      <w:lvlJc w:val="left"/>
      <w:pPr>
        <w:ind w:left="360" w:hanging="360"/>
      </w:pPr>
      <w:rPr>
        <w:rFonts w:ascii="Symbol" w:hAnsi="Symbol" w:hint="default"/>
      </w:rPr>
    </w:lvl>
    <w:lvl w:ilvl="1" w:tplc="0C090005">
      <w:start w:val="1"/>
      <w:numFmt w:val="bullet"/>
      <w:lvlText w:val=""/>
      <w:lvlJc w:val="left"/>
      <w:pPr>
        <w:ind w:left="1080" w:hanging="360"/>
      </w:pPr>
      <w:rPr>
        <w:rFonts w:ascii="Wingdings" w:hAnsi="Wingdings"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0E5D317F"/>
    <w:multiLevelType w:val="multilevel"/>
    <w:tmpl w:val="9CE47A4C"/>
    <w:lvl w:ilvl="0">
      <w:start w:val="1"/>
      <w:numFmt w:val="bullet"/>
      <w:pStyle w:val="ListBullet"/>
      <w:lvlText w:val=""/>
      <w:lvlJc w:val="left"/>
      <w:pPr>
        <w:ind w:left="284" w:hanging="284"/>
      </w:pPr>
      <w:rPr>
        <w:rFonts w:ascii="Symbol" w:hAnsi="Symbol" w:hint="default"/>
        <w:sz w:val="24"/>
      </w:rPr>
    </w:lvl>
    <w:lvl w:ilvl="1">
      <w:start w:val="1"/>
      <w:numFmt w:val="bullet"/>
      <w:pStyle w:val="ListBullet2"/>
      <w:lvlText w:val="›"/>
      <w:lvlJc w:val="left"/>
      <w:pPr>
        <w:ind w:left="567" w:hanging="283"/>
      </w:pPr>
      <w:rPr>
        <w:rFonts w:ascii="CBA Beacon Sans" w:hAnsi="CBA Beacon Sans" w:hint="default"/>
        <w:sz w:val="24"/>
      </w:rPr>
    </w:lvl>
    <w:lvl w:ilvl="2">
      <w:start w:val="1"/>
      <w:numFmt w:val="bullet"/>
      <w:pStyle w:val="ListBullet3"/>
      <w:lvlText w:val="›"/>
      <w:lvlJc w:val="left"/>
      <w:pPr>
        <w:ind w:left="851" w:hanging="284"/>
      </w:pPr>
      <w:rPr>
        <w:rFonts w:ascii="CBA Beacon Sans" w:hAnsi="CBA Beacon Sans" w:hint="default"/>
        <w:color w:val="8E8E8E" w:themeColor="text1" w:themeTint="80"/>
        <w:sz w:val="24"/>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24840B28"/>
    <w:multiLevelType w:val="multilevel"/>
    <w:tmpl w:val="6BE83392"/>
    <w:lvl w:ilvl="0">
      <w:start w:val="1"/>
      <w:numFmt w:val="bullet"/>
      <w:lvlText w:val=""/>
      <w:lvlJc w:val="left"/>
      <w:pPr>
        <w:tabs>
          <w:tab w:val="num" w:pos="1701"/>
        </w:tabs>
        <w:ind w:left="1701" w:hanging="567"/>
      </w:pPr>
      <w:rPr>
        <w:rFonts w:ascii="Wingdings 2" w:hAnsi="Wingdings 2" w:hint="default"/>
      </w:rPr>
    </w:lvl>
    <w:lvl w:ilvl="1">
      <w:start w:val="1"/>
      <w:numFmt w:val="bullet"/>
      <w:lvlText w:val=""/>
      <w:lvlJc w:val="left"/>
      <w:pPr>
        <w:tabs>
          <w:tab w:val="num" w:pos="2268"/>
        </w:tabs>
        <w:ind w:left="2268" w:hanging="567"/>
      </w:pPr>
      <w:rPr>
        <w:rFonts w:ascii="Symbol" w:hAnsi="Symbol" w:hint="default"/>
      </w:rPr>
    </w:lvl>
    <w:lvl w:ilvl="2">
      <w:start w:val="1"/>
      <w:numFmt w:val="bullet"/>
      <w:lvlText w:val=""/>
      <w:lvlJc w:val="left"/>
      <w:pPr>
        <w:tabs>
          <w:tab w:val="num" w:pos="2835"/>
        </w:tabs>
        <w:ind w:left="2835" w:hanging="567"/>
      </w:pPr>
      <w:rPr>
        <w:rFonts w:ascii="Symbol" w:hAnsi="Symbol"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
      <w:lvlJc w:val="left"/>
      <w:pPr>
        <w:tabs>
          <w:tab w:val="num" w:pos="3402"/>
        </w:tabs>
        <w:ind w:left="3402" w:hanging="567"/>
      </w:pPr>
      <w:rPr>
        <w:rFonts w:hint="default"/>
      </w:rPr>
    </w:lvl>
    <w:lvl w:ilvl="7">
      <w:start w:val="1"/>
      <w:numFmt w:val="none"/>
      <w:lvlText w:val=""/>
      <w:lvlJc w:val="left"/>
      <w:pPr>
        <w:tabs>
          <w:tab w:val="num" w:pos="3969"/>
        </w:tabs>
        <w:ind w:left="3969" w:hanging="567"/>
      </w:pPr>
      <w:rPr>
        <w:rFonts w:hint="default"/>
      </w:rPr>
    </w:lvl>
    <w:lvl w:ilvl="8">
      <w:start w:val="1"/>
      <w:numFmt w:val="none"/>
      <w:lvlText w:val=""/>
      <w:lvlJc w:val="left"/>
      <w:pPr>
        <w:tabs>
          <w:tab w:val="num" w:pos="5103"/>
        </w:tabs>
        <w:ind w:left="5103" w:hanging="567"/>
      </w:pPr>
      <w:rPr>
        <w:rFonts w:hint="default"/>
      </w:rPr>
    </w:lvl>
  </w:abstractNum>
  <w:abstractNum w:abstractNumId="15" w15:restartNumberingAfterBreak="0">
    <w:nsid w:val="2AFB1E84"/>
    <w:multiLevelType w:val="multilevel"/>
    <w:tmpl w:val="09FC7376"/>
    <w:lvl w:ilvl="0">
      <w:start w:val="1"/>
      <w:numFmt w:val="lowerLetter"/>
      <w:pStyle w:val="List"/>
      <w:lvlText w:val="%1."/>
      <w:lvlJc w:val="left"/>
      <w:pPr>
        <w:ind w:left="284" w:hanging="284"/>
      </w:pPr>
      <w:rPr>
        <w:rFonts w:hint="default"/>
      </w:rPr>
    </w:lvl>
    <w:lvl w:ilvl="1">
      <w:start w:val="1"/>
      <w:numFmt w:val="lowerRoman"/>
      <w:pStyle w:val="List2"/>
      <w:lvlText w:val="%2."/>
      <w:lvlJc w:val="left"/>
      <w:pPr>
        <w:tabs>
          <w:tab w:val="num" w:pos="340"/>
        </w:tabs>
        <w:ind w:left="567" w:hanging="283"/>
      </w:pPr>
      <w:rPr>
        <w:rFonts w:hint="default"/>
      </w:rPr>
    </w:lvl>
    <w:lvl w:ilvl="2">
      <w:start w:val="1"/>
      <w:numFmt w:val="upperLetter"/>
      <w:pStyle w:val="List3"/>
      <w:lvlText w:val="%3."/>
      <w:lvlJc w:val="left"/>
      <w:pPr>
        <w:ind w:left="851" w:hanging="284"/>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6" w15:restartNumberingAfterBreak="0">
    <w:nsid w:val="399E1180"/>
    <w:multiLevelType w:val="hybridMultilevel"/>
    <w:tmpl w:val="09264F4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06C1F63"/>
    <w:multiLevelType w:val="hybridMultilevel"/>
    <w:tmpl w:val="F1586BD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3BB6202"/>
    <w:multiLevelType w:val="multilevel"/>
    <w:tmpl w:val="59E06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400283"/>
    <w:multiLevelType w:val="multilevel"/>
    <w:tmpl w:val="0B12323E"/>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pStyle w:val="Heading5"/>
      <w:lvlText w:val="%5."/>
      <w:lvlJc w:val="left"/>
      <w:pPr>
        <w:ind w:left="284" w:hanging="284"/>
      </w:pPr>
      <w:rPr>
        <w:rFonts w:hint="default"/>
      </w:rPr>
    </w:lvl>
    <w:lvl w:ilvl="5">
      <w:start w:val="1"/>
      <w:numFmt w:val="lowerRoman"/>
      <w:pStyle w:val="Heading6"/>
      <w:lvlText w:val="%6."/>
      <w:lvlJc w:val="left"/>
      <w:pPr>
        <w:tabs>
          <w:tab w:val="num" w:pos="284"/>
        </w:tabs>
        <w:ind w:left="567" w:hanging="283"/>
      </w:pPr>
      <w:rPr>
        <w:rFonts w:hint="default"/>
      </w:rPr>
    </w:lvl>
    <w:lvl w:ilvl="6">
      <w:start w:val="1"/>
      <w:numFmt w:val="upperLetter"/>
      <w:pStyle w:val="Heading7"/>
      <w:lvlText w:val="%7."/>
      <w:lvlJc w:val="left"/>
      <w:pPr>
        <w:ind w:left="851" w:hanging="284"/>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0" w15:restartNumberingAfterBreak="0">
    <w:nsid w:val="75BE5142"/>
    <w:multiLevelType w:val="multilevel"/>
    <w:tmpl w:val="0C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3"/>
  </w:num>
  <w:num w:numId="12">
    <w:abstractNumId w:val="10"/>
  </w:num>
  <w:num w:numId="13">
    <w:abstractNumId w:val="10"/>
    <w:lvlOverride w:ilvl="0">
      <w:startOverride w:val="1"/>
    </w:lvlOverride>
  </w:num>
  <w:num w:numId="14">
    <w:abstractNumId w:val="6"/>
    <w:lvlOverride w:ilvl="0">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19"/>
  </w:num>
  <w:num w:numId="18">
    <w:abstractNumId w:val="19"/>
  </w:num>
  <w:num w:numId="19">
    <w:abstractNumId w:val="19"/>
  </w:num>
  <w:num w:numId="2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num>
  <w:num w:numId="22">
    <w:abstractNumId w:val="14"/>
  </w:num>
  <w:num w:numId="23">
    <w:abstractNumId w:val="20"/>
  </w:num>
  <w:num w:numId="24">
    <w:abstractNumId w:val="18"/>
  </w:num>
  <w:num w:numId="25">
    <w:abstractNumId w:val="11"/>
  </w:num>
  <w:num w:numId="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embedTrueTypeFonts/>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B03"/>
    <w:rsid w:val="000020EB"/>
    <w:rsid w:val="00003E2B"/>
    <w:rsid w:val="00015CB1"/>
    <w:rsid w:val="0002247A"/>
    <w:rsid w:val="000334E7"/>
    <w:rsid w:val="00040F56"/>
    <w:rsid w:val="000457A5"/>
    <w:rsid w:val="00046BE6"/>
    <w:rsid w:val="0004759D"/>
    <w:rsid w:val="000535B7"/>
    <w:rsid w:val="00054639"/>
    <w:rsid w:val="0006045D"/>
    <w:rsid w:val="00064101"/>
    <w:rsid w:val="000644D5"/>
    <w:rsid w:val="00076744"/>
    <w:rsid w:val="00080138"/>
    <w:rsid w:val="000816DF"/>
    <w:rsid w:val="00083E6F"/>
    <w:rsid w:val="000841B1"/>
    <w:rsid w:val="00094653"/>
    <w:rsid w:val="00095775"/>
    <w:rsid w:val="000A4165"/>
    <w:rsid w:val="000A5DA1"/>
    <w:rsid w:val="000A6407"/>
    <w:rsid w:val="000A7851"/>
    <w:rsid w:val="000C16A1"/>
    <w:rsid w:val="000C4F54"/>
    <w:rsid w:val="000C5B3D"/>
    <w:rsid w:val="000C745C"/>
    <w:rsid w:val="000C7750"/>
    <w:rsid w:val="000D4F17"/>
    <w:rsid w:val="000E13C2"/>
    <w:rsid w:val="000E4CDD"/>
    <w:rsid w:val="000E4E91"/>
    <w:rsid w:val="000E6270"/>
    <w:rsid w:val="000F72C3"/>
    <w:rsid w:val="0010231A"/>
    <w:rsid w:val="00104EE0"/>
    <w:rsid w:val="00121FE0"/>
    <w:rsid w:val="00123F54"/>
    <w:rsid w:val="00137077"/>
    <w:rsid w:val="00145F40"/>
    <w:rsid w:val="001510A2"/>
    <w:rsid w:val="00151740"/>
    <w:rsid w:val="00171F51"/>
    <w:rsid w:val="00174B83"/>
    <w:rsid w:val="00174F67"/>
    <w:rsid w:val="001759A7"/>
    <w:rsid w:val="001812B1"/>
    <w:rsid w:val="001839F2"/>
    <w:rsid w:val="0018576F"/>
    <w:rsid w:val="0019711E"/>
    <w:rsid w:val="001A0241"/>
    <w:rsid w:val="001A26C1"/>
    <w:rsid w:val="001A79E6"/>
    <w:rsid w:val="001B359A"/>
    <w:rsid w:val="001B7832"/>
    <w:rsid w:val="001C11FF"/>
    <w:rsid w:val="001D2585"/>
    <w:rsid w:val="001D4998"/>
    <w:rsid w:val="001D5B4B"/>
    <w:rsid w:val="001D7F12"/>
    <w:rsid w:val="001E210C"/>
    <w:rsid w:val="00203145"/>
    <w:rsid w:val="00204809"/>
    <w:rsid w:val="00205C32"/>
    <w:rsid w:val="00215441"/>
    <w:rsid w:val="002155AA"/>
    <w:rsid w:val="00225F5D"/>
    <w:rsid w:val="0024165E"/>
    <w:rsid w:val="00244A5A"/>
    <w:rsid w:val="00252196"/>
    <w:rsid w:val="0025245A"/>
    <w:rsid w:val="00272C8C"/>
    <w:rsid w:val="0027384A"/>
    <w:rsid w:val="002841D2"/>
    <w:rsid w:val="00296353"/>
    <w:rsid w:val="002A0124"/>
    <w:rsid w:val="002A163D"/>
    <w:rsid w:val="002B158F"/>
    <w:rsid w:val="002B371E"/>
    <w:rsid w:val="002B4365"/>
    <w:rsid w:val="002C24BC"/>
    <w:rsid w:val="002C5EA3"/>
    <w:rsid w:val="002C639B"/>
    <w:rsid w:val="002D26EC"/>
    <w:rsid w:val="002D529E"/>
    <w:rsid w:val="002D58FC"/>
    <w:rsid w:val="002D64A0"/>
    <w:rsid w:val="002E2AEA"/>
    <w:rsid w:val="002E3846"/>
    <w:rsid w:val="002F5219"/>
    <w:rsid w:val="00300E72"/>
    <w:rsid w:val="00306D82"/>
    <w:rsid w:val="00324182"/>
    <w:rsid w:val="00326A2A"/>
    <w:rsid w:val="003450F4"/>
    <w:rsid w:val="0034585B"/>
    <w:rsid w:val="00347A9C"/>
    <w:rsid w:val="00352005"/>
    <w:rsid w:val="00356F71"/>
    <w:rsid w:val="0036403C"/>
    <w:rsid w:val="0036661D"/>
    <w:rsid w:val="00370C7B"/>
    <w:rsid w:val="003723A0"/>
    <w:rsid w:val="0037259D"/>
    <w:rsid w:val="003764FC"/>
    <w:rsid w:val="00381EDA"/>
    <w:rsid w:val="00381FE6"/>
    <w:rsid w:val="003A2894"/>
    <w:rsid w:val="003A51A7"/>
    <w:rsid w:val="003A5315"/>
    <w:rsid w:val="003B1FCB"/>
    <w:rsid w:val="003B27F9"/>
    <w:rsid w:val="003B5841"/>
    <w:rsid w:val="003B5C25"/>
    <w:rsid w:val="003C2CA0"/>
    <w:rsid w:val="003C6CE8"/>
    <w:rsid w:val="003E098C"/>
    <w:rsid w:val="003E2E26"/>
    <w:rsid w:val="003E460E"/>
    <w:rsid w:val="003E4B1D"/>
    <w:rsid w:val="003E5215"/>
    <w:rsid w:val="003F1139"/>
    <w:rsid w:val="003F1D5A"/>
    <w:rsid w:val="003F2FCE"/>
    <w:rsid w:val="003F59DB"/>
    <w:rsid w:val="00400F9A"/>
    <w:rsid w:val="00413C85"/>
    <w:rsid w:val="004150A6"/>
    <w:rsid w:val="004232FF"/>
    <w:rsid w:val="00426E2E"/>
    <w:rsid w:val="004368D5"/>
    <w:rsid w:val="004411CA"/>
    <w:rsid w:val="00443388"/>
    <w:rsid w:val="0047761A"/>
    <w:rsid w:val="004776B6"/>
    <w:rsid w:val="00480277"/>
    <w:rsid w:val="004873D2"/>
    <w:rsid w:val="00492A8A"/>
    <w:rsid w:val="00495022"/>
    <w:rsid w:val="004A34DF"/>
    <w:rsid w:val="004A54C0"/>
    <w:rsid w:val="004B170C"/>
    <w:rsid w:val="004C6F6A"/>
    <w:rsid w:val="004D1DEB"/>
    <w:rsid w:val="004D7723"/>
    <w:rsid w:val="004D7BE9"/>
    <w:rsid w:val="004E6745"/>
    <w:rsid w:val="00507574"/>
    <w:rsid w:val="00511E0C"/>
    <w:rsid w:val="0051268E"/>
    <w:rsid w:val="005136A9"/>
    <w:rsid w:val="00517FEC"/>
    <w:rsid w:val="0052423C"/>
    <w:rsid w:val="0052514B"/>
    <w:rsid w:val="00527E91"/>
    <w:rsid w:val="00530A98"/>
    <w:rsid w:val="005342E0"/>
    <w:rsid w:val="005406C4"/>
    <w:rsid w:val="00545C65"/>
    <w:rsid w:val="005478DD"/>
    <w:rsid w:val="005502B1"/>
    <w:rsid w:val="00552904"/>
    <w:rsid w:val="005556F2"/>
    <w:rsid w:val="005563BC"/>
    <w:rsid w:val="00572840"/>
    <w:rsid w:val="00580BBA"/>
    <w:rsid w:val="005971FB"/>
    <w:rsid w:val="00597FAC"/>
    <w:rsid w:val="005A2910"/>
    <w:rsid w:val="005B76D5"/>
    <w:rsid w:val="005C01EA"/>
    <w:rsid w:val="005D1C20"/>
    <w:rsid w:val="005D79EE"/>
    <w:rsid w:val="005E05D1"/>
    <w:rsid w:val="005E7E2E"/>
    <w:rsid w:val="005F08FE"/>
    <w:rsid w:val="005F6B3C"/>
    <w:rsid w:val="005F6D3F"/>
    <w:rsid w:val="0060222B"/>
    <w:rsid w:val="00603AD6"/>
    <w:rsid w:val="0060564C"/>
    <w:rsid w:val="00611B84"/>
    <w:rsid w:val="006346CC"/>
    <w:rsid w:val="00655ACF"/>
    <w:rsid w:val="00676A88"/>
    <w:rsid w:val="006811BC"/>
    <w:rsid w:val="006913B5"/>
    <w:rsid w:val="006A08FE"/>
    <w:rsid w:val="006A2961"/>
    <w:rsid w:val="006A4051"/>
    <w:rsid w:val="006A5388"/>
    <w:rsid w:val="006B31D9"/>
    <w:rsid w:val="006B5C99"/>
    <w:rsid w:val="006C03DE"/>
    <w:rsid w:val="006C2018"/>
    <w:rsid w:val="006C7ED8"/>
    <w:rsid w:val="006F2652"/>
    <w:rsid w:val="00700C76"/>
    <w:rsid w:val="007013C3"/>
    <w:rsid w:val="00701968"/>
    <w:rsid w:val="00711F5D"/>
    <w:rsid w:val="00721E7B"/>
    <w:rsid w:val="007272B8"/>
    <w:rsid w:val="00734083"/>
    <w:rsid w:val="0073458E"/>
    <w:rsid w:val="00737049"/>
    <w:rsid w:val="007371A3"/>
    <w:rsid w:val="00737D58"/>
    <w:rsid w:val="00744EE9"/>
    <w:rsid w:val="00762321"/>
    <w:rsid w:val="00766666"/>
    <w:rsid w:val="00766EFC"/>
    <w:rsid w:val="007732C9"/>
    <w:rsid w:val="00773DC4"/>
    <w:rsid w:val="00774B1F"/>
    <w:rsid w:val="00775DD3"/>
    <w:rsid w:val="00777CC7"/>
    <w:rsid w:val="00785597"/>
    <w:rsid w:val="00796955"/>
    <w:rsid w:val="007A23C4"/>
    <w:rsid w:val="007A5A25"/>
    <w:rsid w:val="007A6791"/>
    <w:rsid w:val="007B266A"/>
    <w:rsid w:val="007C19EA"/>
    <w:rsid w:val="007C5965"/>
    <w:rsid w:val="007D18EA"/>
    <w:rsid w:val="007D218F"/>
    <w:rsid w:val="007D79DF"/>
    <w:rsid w:val="007E0560"/>
    <w:rsid w:val="007E1386"/>
    <w:rsid w:val="007E2F09"/>
    <w:rsid w:val="007E64D7"/>
    <w:rsid w:val="007E69D7"/>
    <w:rsid w:val="0080314D"/>
    <w:rsid w:val="008034F4"/>
    <w:rsid w:val="00807263"/>
    <w:rsid w:val="00812379"/>
    <w:rsid w:val="00813FAA"/>
    <w:rsid w:val="00816522"/>
    <w:rsid w:val="00816940"/>
    <w:rsid w:val="00821416"/>
    <w:rsid w:val="008221A3"/>
    <w:rsid w:val="00824D9F"/>
    <w:rsid w:val="00824FA4"/>
    <w:rsid w:val="008312D4"/>
    <w:rsid w:val="00836990"/>
    <w:rsid w:val="00847427"/>
    <w:rsid w:val="00847B29"/>
    <w:rsid w:val="00850A36"/>
    <w:rsid w:val="00852941"/>
    <w:rsid w:val="00860FB6"/>
    <w:rsid w:val="0086597E"/>
    <w:rsid w:val="0088053D"/>
    <w:rsid w:val="00893DE8"/>
    <w:rsid w:val="0089417E"/>
    <w:rsid w:val="00897C0A"/>
    <w:rsid w:val="008C043D"/>
    <w:rsid w:val="008D2221"/>
    <w:rsid w:val="008D226E"/>
    <w:rsid w:val="008D3725"/>
    <w:rsid w:val="008F1D89"/>
    <w:rsid w:val="009108DD"/>
    <w:rsid w:val="00914545"/>
    <w:rsid w:val="009150E1"/>
    <w:rsid w:val="009246A5"/>
    <w:rsid w:val="0092481E"/>
    <w:rsid w:val="009460D6"/>
    <w:rsid w:val="0095183E"/>
    <w:rsid w:val="0095745E"/>
    <w:rsid w:val="009578E7"/>
    <w:rsid w:val="009652E9"/>
    <w:rsid w:val="009776F5"/>
    <w:rsid w:val="00982615"/>
    <w:rsid w:val="00986801"/>
    <w:rsid w:val="0099429B"/>
    <w:rsid w:val="00994CE3"/>
    <w:rsid w:val="009A14F1"/>
    <w:rsid w:val="009B0441"/>
    <w:rsid w:val="009E148B"/>
    <w:rsid w:val="009E22A4"/>
    <w:rsid w:val="009F0A92"/>
    <w:rsid w:val="00A0470D"/>
    <w:rsid w:val="00A0489C"/>
    <w:rsid w:val="00A06B69"/>
    <w:rsid w:val="00A1209A"/>
    <w:rsid w:val="00A143A6"/>
    <w:rsid w:val="00A26059"/>
    <w:rsid w:val="00A26E18"/>
    <w:rsid w:val="00A309C4"/>
    <w:rsid w:val="00A4014D"/>
    <w:rsid w:val="00A428CA"/>
    <w:rsid w:val="00A46DAA"/>
    <w:rsid w:val="00A535E3"/>
    <w:rsid w:val="00A63380"/>
    <w:rsid w:val="00A641C6"/>
    <w:rsid w:val="00A651C0"/>
    <w:rsid w:val="00A66E8F"/>
    <w:rsid w:val="00A746EB"/>
    <w:rsid w:val="00A83013"/>
    <w:rsid w:val="00A831FA"/>
    <w:rsid w:val="00A84B3E"/>
    <w:rsid w:val="00A9141D"/>
    <w:rsid w:val="00A935D7"/>
    <w:rsid w:val="00A95E7E"/>
    <w:rsid w:val="00AA0993"/>
    <w:rsid w:val="00AA261B"/>
    <w:rsid w:val="00AA3A5C"/>
    <w:rsid w:val="00AA5139"/>
    <w:rsid w:val="00AB42BC"/>
    <w:rsid w:val="00AC346D"/>
    <w:rsid w:val="00AC3515"/>
    <w:rsid w:val="00AE7D86"/>
    <w:rsid w:val="00AF666D"/>
    <w:rsid w:val="00AF75F3"/>
    <w:rsid w:val="00B04603"/>
    <w:rsid w:val="00B10295"/>
    <w:rsid w:val="00B10807"/>
    <w:rsid w:val="00B31F7C"/>
    <w:rsid w:val="00B341FE"/>
    <w:rsid w:val="00B40221"/>
    <w:rsid w:val="00B4183B"/>
    <w:rsid w:val="00B420A8"/>
    <w:rsid w:val="00B45F81"/>
    <w:rsid w:val="00B5381F"/>
    <w:rsid w:val="00B55D9A"/>
    <w:rsid w:val="00B56730"/>
    <w:rsid w:val="00B62FAC"/>
    <w:rsid w:val="00B642E7"/>
    <w:rsid w:val="00B74A51"/>
    <w:rsid w:val="00B84D01"/>
    <w:rsid w:val="00B93C71"/>
    <w:rsid w:val="00B957AF"/>
    <w:rsid w:val="00BB15DF"/>
    <w:rsid w:val="00BB2562"/>
    <w:rsid w:val="00BB5990"/>
    <w:rsid w:val="00BB66FA"/>
    <w:rsid w:val="00BC4AE4"/>
    <w:rsid w:val="00BC7419"/>
    <w:rsid w:val="00BD2E32"/>
    <w:rsid w:val="00BD5772"/>
    <w:rsid w:val="00BE3A0F"/>
    <w:rsid w:val="00BE455D"/>
    <w:rsid w:val="00BE669D"/>
    <w:rsid w:val="00BF23DA"/>
    <w:rsid w:val="00C05661"/>
    <w:rsid w:val="00C1442A"/>
    <w:rsid w:val="00C210C9"/>
    <w:rsid w:val="00C35517"/>
    <w:rsid w:val="00C36A8D"/>
    <w:rsid w:val="00C604DA"/>
    <w:rsid w:val="00C7486F"/>
    <w:rsid w:val="00C77066"/>
    <w:rsid w:val="00C86A12"/>
    <w:rsid w:val="00C9105F"/>
    <w:rsid w:val="00C93E27"/>
    <w:rsid w:val="00CB3809"/>
    <w:rsid w:val="00CB6B03"/>
    <w:rsid w:val="00CB70A3"/>
    <w:rsid w:val="00CC2275"/>
    <w:rsid w:val="00CC3833"/>
    <w:rsid w:val="00CD03DB"/>
    <w:rsid w:val="00CD2F5A"/>
    <w:rsid w:val="00CD3070"/>
    <w:rsid w:val="00CD6775"/>
    <w:rsid w:val="00CD6D09"/>
    <w:rsid w:val="00CD78DC"/>
    <w:rsid w:val="00CE3C30"/>
    <w:rsid w:val="00CE51B9"/>
    <w:rsid w:val="00CF780C"/>
    <w:rsid w:val="00D0170F"/>
    <w:rsid w:val="00D2004B"/>
    <w:rsid w:val="00D22C86"/>
    <w:rsid w:val="00D26F32"/>
    <w:rsid w:val="00D30F2A"/>
    <w:rsid w:val="00D42090"/>
    <w:rsid w:val="00D46CD7"/>
    <w:rsid w:val="00D52268"/>
    <w:rsid w:val="00D55DDC"/>
    <w:rsid w:val="00D61624"/>
    <w:rsid w:val="00D61F2E"/>
    <w:rsid w:val="00D62FAD"/>
    <w:rsid w:val="00D65ADC"/>
    <w:rsid w:val="00D7453F"/>
    <w:rsid w:val="00D74CD8"/>
    <w:rsid w:val="00D77E1F"/>
    <w:rsid w:val="00D83A6A"/>
    <w:rsid w:val="00D94248"/>
    <w:rsid w:val="00DA1987"/>
    <w:rsid w:val="00DA34A5"/>
    <w:rsid w:val="00DB04E2"/>
    <w:rsid w:val="00DB6742"/>
    <w:rsid w:val="00DB779E"/>
    <w:rsid w:val="00DC1C18"/>
    <w:rsid w:val="00DD2DE1"/>
    <w:rsid w:val="00DE1E1E"/>
    <w:rsid w:val="00DF0636"/>
    <w:rsid w:val="00DF3E14"/>
    <w:rsid w:val="00DF5075"/>
    <w:rsid w:val="00E01749"/>
    <w:rsid w:val="00E15A07"/>
    <w:rsid w:val="00E20333"/>
    <w:rsid w:val="00E23ED3"/>
    <w:rsid w:val="00E313BA"/>
    <w:rsid w:val="00E35B11"/>
    <w:rsid w:val="00E37F6A"/>
    <w:rsid w:val="00E4107E"/>
    <w:rsid w:val="00E442F1"/>
    <w:rsid w:val="00E56748"/>
    <w:rsid w:val="00E56A6D"/>
    <w:rsid w:val="00E57D64"/>
    <w:rsid w:val="00E71523"/>
    <w:rsid w:val="00E83BA3"/>
    <w:rsid w:val="00E84C37"/>
    <w:rsid w:val="00E86D93"/>
    <w:rsid w:val="00E943C0"/>
    <w:rsid w:val="00EA2C43"/>
    <w:rsid w:val="00EA30C7"/>
    <w:rsid w:val="00EA401F"/>
    <w:rsid w:val="00EB045E"/>
    <w:rsid w:val="00EB28FA"/>
    <w:rsid w:val="00EB6011"/>
    <w:rsid w:val="00EC0D3E"/>
    <w:rsid w:val="00ED12CB"/>
    <w:rsid w:val="00ED4AF0"/>
    <w:rsid w:val="00EF1C6E"/>
    <w:rsid w:val="00EF2B18"/>
    <w:rsid w:val="00EF7B9B"/>
    <w:rsid w:val="00F25CD5"/>
    <w:rsid w:val="00F310EC"/>
    <w:rsid w:val="00F34F07"/>
    <w:rsid w:val="00F478EB"/>
    <w:rsid w:val="00F53847"/>
    <w:rsid w:val="00F54A60"/>
    <w:rsid w:val="00F80FE6"/>
    <w:rsid w:val="00F81D1A"/>
    <w:rsid w:val="00FA43C6"/>
    <w:rsid w:val="00FA574D"/>
    <w:rsid w:val="00FB0801"/>
    <w:rsid w:val="00FB1290"/>
    <w:rsid w:val="00FB247A"/>
    <w:rsid w:val="00FC4F91"/>
    <w:rsid w:val="00FC7245"/>
    <w:rsid w:val="00FD0693"/>
    <w:rsid w:val="00FE2058"/>
    <w:rsid w:val="00FE2778"/>
    <w:rsid w:val="00FE708F"/>
    <w:rsid w:val="00FF5BEB"/>
    <w:rsid w:val="00FF7D86"/>
    <w:rsid w:val="021AB67E"/>
    <w:rsid w:val="0E60CCCA"/>
    <w:rsid w:val="0EFA08B4"/>
    <w:rsid w:val="12E08DD3"/>
    <w:rsid w:val="16C82989"/>
    <w:rsid w:val="1B9B9AAC"/>
    <w:rsid w:val="1DC193D3"/>
    <w:rsid w:val="23EA7490"/>
    <w:rsid w:val="2D4E5F15"/>
    <w:rsid w:val="300264F8"/>
    <w:rsid w:val="34520F5B"/>
    <w:rsid w:val="350CF899"/>
    <w:rsid w:val="376FEFF5"/>
    <w:rsid w:val="3F9E431F"/>
    <w:rsid w:val="472624C1"/>
    <w:rsid w:val="4F83D410"/>
    <w:rsid w:val="56943B1D"/>
    <w:rsid w:val="5DAA2F3E"/>
    <w:rsid w:val="5F1F551C"/>
    <w:rsid w:val="608BFCEC"/>
    <w:rsid w:val="611085DA"/>
    <w:rsid w:val="65FAAF57"/>
    <w:rsid w:val="6887CC38"/>
    <w:rsid w:val="6A2811E2"/>
    <w:rsid w:val="6C50E2BC"/>
    <w:rsid w:val="6CDB9AE3"/>
    <w:rsid w:val="6D618F70"/>
    <w:rsid w:val="7093E83F"/>
    <w:rsid w:val="7102B0E9"/>
    <w:rsid w:val="7613C5B9"/>
    <w:rsid w:val="79A0F58E"/>
    <w:rsid w:val="79DDA045"/>
    <w:rsid w:val="7A96E390"/>
  </w:rsids>
  <m:mathPr>
    <m:mathFont m:val="Cambria Math"/>
    <m:brkBin m:val="before"/>
    <m:brkBinSub m:val="--"/>
    <m:smallFrac m:val="0"/>
    <m:dispDef/>
    <m:lMargin m:val="0"/>
    <m:rMargin m:val="0"/>
    <m:defJc m:val="centerGroup"/>
    <m:wrapIndent m:val="1440"/>
    <m:intLim m:val="subSup"/>
    <m:naryLim m:val="undOvr"/>
  </m:mathPr>
  <w:themeFontLang w:val="en-AU"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43412F"/>
  <w15:chartTrackingRefBased/>
  <w15:docId w15:val="{A5BB8183-AC37-4218-985E-8151B70E6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3"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iPriority="0" w:unhideWhenUsed="1" w:qFormat="1"/>
    <w:lsdException w:name="List Number" w:semiHidden="1" w:unhideWhenUsed="1"/>
    <w:lsdException w:name="List 2" w:qFormat="1"/>
    <w:lsdException w:name="List 3" w:qFormat="1"/>
    <w:lsdException w:name="List 4" w:semiHidden="1" w:unhideWhenUsed="1"/>
    <w:lsdException w:name="List 5" w:semiHidden="1" w:unhideWhenUsed="1"/>
    <w:lsdException w:name="List Bullet 2" w:semiHidden="1" w:uiPriority="1" w:unhideWhenUsed="1" w:qFormat="1"/>
    <w:lsdException w:name="List Bullet 3" w:uiPriority="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Strong" w:semiHidden="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5661"/>
    <w:rPr>
      <w:sz w:val="20"/>
      <w:szCs w:val="20"/>
    </w:rPr>
  </w:style>
  <w:style w:type="paragraph" w:styleId="Heading1">
    <w:name w:val="heading 1"/>
    <w:aliases w:val="Num heading 1"/>
    <w:basedOn w:val="Normal"/>
    <w:next w:val="Normal"/>
    <w:link w:val="Heading1Char"/>
    <w:uiPriority w:val="3"/>
    <w:qFormat/>
    <w:rsid w:val="0025245A"/>
    <w:pPr>
      <w:keepNext/>
      <w:keepLines/>
      <w:numPr>
        <w:numId w:val="19"/>
      </w:numPr>
      <w:spacing w:after="240"/>
      <w:outlineLvl w:val="0"/>
    </w:pPr>
    <w:rPr>
      <w:rFonts w:asciiTheme="majorHAnsi" w:hAnsiTheme="majorHAnsi"/>
      <w:sz w:val="32"/>
      <w:szCs w:val="36"/>
    </w:rPr>
  </w:style>
  <w:style w:type="paragraph" w:styleId="Heading2">
    <w:name w:val="heading 2"/>
    <w:aliases w:val="Num heading 2"/>
    <w:basedOn w:val="Normal"/>
    <w:next w:val="Normal"/>
    <w:link w:val="Heading2Char"/>
    <w:uiPriority w:val="3"/>
    <w:unhideWhenUsed/>
    <w:qFormat/>
    <w:rsid w:val="0025245A"/>
    <w:pPr>
      <w:keepNext/>
      <w:keepLines/>
      <w:numPr>
        <w:ilvl w:val="1"/>
        <w:numId w:val="19"/>
      </w:numPr>
      <w:spacing w:after="240"/>
      <w:outlineLvl w:val="1"/>
    </w:pPr>
    <w:rPr>
      <w:rFonts w:ascii="CBA Beacon Sans Extra Bold" w:hAnsi="CBA Beacon Sans Extra Bold"/>
      <w:sz w:val="28"/>
      <w:szCs w:val="36"/>
    </w:rPr>
  </w:style>
  <w:style w:type="paragraph" w:styleId="Heading3">
    <w:name w:val="heading 3"/>
    <w:aliases w:val="Num heading 3"/>
    <w:basedOn w:val="Normal"/>
    <w:next w:val="Normal"/>
    <w:link w:val="Heading3Char"/>
    <w:uiPriority w:val="3"/>
    <w:unhideWhenUsed/>
    <w:qFormat/>
    <w:rsid w:val="0025245A"/>
    <w:pPr>
      <w:keepNext/>
      <w:keepLines/>
      <w:numPr>
        <w:ilvl w:val="2"/>
        <w:numId w:val="19"/>
      </w:numPr>
      <w:spacing w:after="240"/>
      <w:outlineLvl w:val="2"/>
    </w:pPr>
    <w:rPr>
      <w:rFonts w:asciiTheme="majorHAnsi" w:hAnsiTheme="majorHAnsi"/>
      <w:b/>
      <w:bCs/>
      <w:sz w:val="24"/>
      <w:szCs w:val="24"/>
    </w:rPr>
  </w:style>
  <w:style w:type="paragraph" w:styleId="Heading4">
    <w:name w:val="heading 4"/>
    <w:aliases w:val="Num heading 4"/>
    <w:basedOn w:val="Heading3"/>
    <w:next w:val="Normal"/>
    <w:link w:val="Heading4Char"/>
    <w:uiPriority w:val="3"/>
    <w:unhideWhenUsed/>
    <w:qFormat/>
    <w:rsid w:val="00E56748"/>
    <w:pPr>
      <w:numPr>
        <w:ilvl w:val="3"/>
      </w:numPr>
      <w:spacing w:after="160"/>
      <w:outlineLvl w:val="3"/>
    </w:pPr>
    <w:rPr>
      <w:b w:val="0"/>
      <w:bCs w:val="0"/>
      <w:sz w:val="20"/>
      <w:szCs w:val="20"/>
    </w:rPr>
  </w:style>
  <w:style w:type="paragraph" w:styleId="Heading5">
    <w:name w:val="heading 5"/>
    <w:aliases w:val="Subpara 1"/>
    <w:basedOn w:val="Normal"/>
    <w:next w:val="Normal"/>
    <w:link w:val="Heading5Char"/>
    <w:uiPriority w:val="3"/>
    <w:unhideWhenUsed/>
    <w:qFormat/>
    <w:rsid w:val="00F81D1A"/>
    <w:pPr>
      <w:numPr>
        <w:ilvl w:val="4"/>
        <w:numId w:val="19"/>
      </w:numPr>
      <w:outlineLvl w:val="4"/>
    </w:pPr>
    <w:rPr>
      <w:rFonts w:eastAsiaTheme="majorEastAsia" w:cstheme="majorBidi"/>
      <w:color w:val="1E1E1E" w:themeColor="text1"/>
    </w:rPr>
  </w:style>
  <w:style w:type="paragraph" w:styleId="Heading6">
    <w:name w:val="heading 6"/>
    <w:aliases w:val="Subpara 2"/>
    <w:basedOn w:val="Normal"/>
    <w:next w:val="Normal"/>
    <w:link w:val="Heading6Char"/>
    <w:uiPriority w:val="3"/>
    <w:unhideWhenUsed/>
    <w:qFormat/>
    <w:rsid w:val="00F81D1A"/>
    <w:pPr>
      <w:numPr>
        <w:ilvl w:val="5"/>
        <w:numId w:val="19"/>
      </w:numPr>
      <w:outlineLvl w:val="5"/>
    </w:pPr>
    <w:rPr>
      <w:rFonts w:eastAsiaTheme="majorEastAsia" w:cstheme="majorBidi"/>
      <w:color w:val="1E1E1E" w:themeColor="text1"/>
    </w:rPr>
  </w:style>
  <w:style w:type="paragraph" w:styleId="Heading7">
    <w:name w:val="heading 7"/>
    <w:aliases w:val="Subpara 3"/>
    <w:basedOn w:val="Normal"/>
    <w:next w:val="Normal"/>
    <w:link w:val="Heading7Char"/>
    <w:uiPriority w:val="3"/>
    <w:unhideWhenUsed/>
    <w:qFormat/>
    <w:rsid w:val="00F81D1A"/>
    <w:pPr>
      <w:numPr>
        <w:ilvl w:val="6"/>
        <w:numId w:val="19"/>
      </w:numPr>
      <w:outlineLvl w:val="6"/>
    </w:pPr>
    <w:rPr>
      <w:rFonts w:eastAsiaTheme="majorEastAsia" w:cstheme="majorBidi"/>
      <w:color w:val="1E1E1E" w:themeColor="text1"/>
    </w:rPr>
  </w:style>
  <w:style w:type="paragraph" w:styleId="Heading8">
    <w:name w:val="heading 8"/>
    <w:basedOn w:val="Normal"/>
    <w:next w:val="Normal"/>
    <w:link w:val="Heading8Char"/>
    <w:uiPriority w:val="9"/>
    <w:semiHidden/>
    <w:qFormat/>
    <w:rsid w:val="0006045D"/>
    <w:pPr>
      <w:outlineLvl w:val="7"/>
    </w:pPr>
  </w:style>
  <w:style w:type="paragraph" w:styleId="Heading9">
    <w:name w:val="heading 9"/>
    <w:basedOn w:val="Normal"/>
    <w:next w:val="Normal"/>
    <w:link w:val="Heading9Char"/>
    <w:uiPriority w:val="9"/>
    <w:semiHidden/>
    <w:qFormat/>
    <w:rsid w:val="0006045D"/>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7D86"/>
    <w:rPr>
      <w:color w:val="808080"/>
    </w:rPr>
  </w:style>
  <w:style w:type="table" w:styleId="TableGrid">
    <w:name w:val="Table Grid"/>
    <w:basedOn w:val="TableNormal"/>
    <w:uiPriority w:val="39"/>
    <w:rsid w:val="005126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heme="minorHAnsi" w:hAnsiTheme="minorHAnsi"/>
        <w:b/>
        <w:sz w:val="22"/>
      </w:rPr>
    </w:tblStylePr>
  </w:style>
  <w:style w:type="paragraph" w:styleId="Header">
    <w:name w:val="header"/>
    <w:basedOn w:val="Normal"/>
    <w:link w:val="HeaderChar"/>
    <w:uiPriority w:val="99"/>
    <w:unhideWhenUsed/>
    <w:rsid w:val="000946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4653"/>
  </w:style>
  <w:style w:type="paragraph" w:styleId="Footer">
    <w:name w:val="footer"/>
    <w:link w:val="FooterChar"/>
    <w:uiPriority w:val="99"/>
    <w:unhideWhenUsed/>
    <w:rsid w:val="00EA30C7"/>
    <w:pPr>
      <w:tabs>
        <w:tab w:val="center" w:pos="4513"/>
        <w:tab w:val="right" w:pos="9026"/>
      </w:tabs>
      <w:spacing w:after="0" w:line="240" w:lineRule="auto"/>
    </w:pPr>
    <w:rPr>
      <w:sz w:val="16"/>
      <w:szCs w:val="20"/>
    </w:rPr>
  </w:style>
  <w:style w:type="character" w:customStyle="1" w:styleId="FooterChar">
    <w:name w:val="Footer Char"/>
    <w:basedOn w:val="DefaultParagraphFont"/>
    <w:link w:val="Footer"/>
    <w:uiPriority w:val="99"/>
    <w:rsid w:val="00EA30C7"/>
    <w:rPr>
      <w:sz w:val="16"/>
      <w:szCs w:val="20"/>
    </w:rPr>
  </w:style>
  <w:style w:type="paragraph" w:customStyle="1" w:styleId="CoverTitle">
    <w:name w:val="Cover Title"/>
    <w:basedOn w:val="Normal"/>
    <w:link w:val="CoverTitleChar"/>
    <w:uiPriority w:val="4"/>
    <w:qFormat/>
    <w:rsid w:val="00C35517"/>
    <w:pPr>
      <w:spacing w:before="2920" w:after="1440" w:line="240" w:lineRule="auto"/>
      <w:contextualSpacing/>
    </w:pPr>
    <w:rPr>
      <w:rFonts w:asciiTheme="majorHAnsi" w:eastAsiaTheme="majorEastAsia" w:hAnsiTheme="majorHAnsi" w:cstheme="majorBidi"/>
      <w:color w:val="1E1E1E" w:themeColor="text1"/>
      <w:spacing w:val="-10"/>
      <w:kern w:val="28"/>
      <w:sz w:val="72"/>
      <w:szCs w:val="72"/>
    </w:rPr>
  </w:style>
  <w:style w:type="paragraph" w:customStyle="1" w:styleId="CoverDate">
    <w:name w:val="Cover Date"/>
    <w:basedOn w:val="Normal"/>
    <w:uiPriority w:val="4"/>
    <w:qFormat/>
    <w:rsid w:val="00C35517"/>
    <w:pPr>
      <w:spacing w:before="480" w:after="200"/>
    </w:pPr>
    <w:rPr>
      <w:rFonts w:asciiTheme="majorHAnsi" w:hAnsiTheme="majorHAnsi"/>
      <w:sz w:val="28"/>
      <w:szCs w:val="28"/>
    </w:rPr>
  </w:style>
  <w:style w:type="paragraph" w:customStyle="1" w:styleId="CoverContactInfo">
    <w:name w:val="Cover Contact Info"/>
    <w:basedOn w:val="Normal"/>
    <w:uiPriority w:val="4"/>
    <w:qFormat/>
    <w:rsid w:val="00C35517"/>
    <w:rPr>
      <w:sz w:val="28"/>
    </w:rPr>
  </w:style>
  <w:style w:type="paragraph" w:styleId="Caption">
    <w:name w:val="caption"/>
    <w:basedOn w:val="Normal"/>
    <w:next w:val="Normal"/>
    <w:uiPriority w:val="2"/>
    <w:qFormat/>
    <w:rsid w:val="00777CC7"/>
    <w:pPr>
      <w:keepNext/>
      <w:keepLines/>
      <w:spacing w:after="200" w:line="240" w:lineRule="auto"/>
    </w:pPr>
    <w:rPr>
      <w:rFonts w:ascii="CBA Beacon Sans Extra Bold" w:hAnsi="CBA Beacon Sans Extra Bold"/>
      <w:iCs/>
      <w:sz w:val="18"/>
      <w:szCs w:val="18"/>
    </w:rPr>
  </w:style>
  <w:style w:type="paragraph" w:styleId="ListBullet3">
    <w:name w:val="List Bullet 3"/>
    <w:basedOn w:val="Normal"/>
    <w:uiPriority w:val="1"/>
    <w:qFormat/>
    <w:rsid w:val="007C5965"/>
    <w:pPr>
      <w:numPr>
        <w:ilvl w:val="2"/>
        <w:numId w:val="11"/>
      </w:numPr>
      <w:contextualSpacing/>
    </w:pPr>
  </w:style>
  <w:style w:type="character" w:customStyle="1" w:styleId="Heading1Char">
    <w:name w:val="Heading 1 Char"/>
    <w:aliases w:val="Num heading 1 Char"/>
    <w:basedOn w:val="DefaultParagraphFont"/>
    <w:link w:val="Heading1"/>
    <w:uiPriority w:val="3"/>
    <w:rsid w:val="00DA34A5"/>
    <w:rPr>
      <w:rFonts w:asciiTheme="majorHAnsi" w:hAnsiTheme="majorHAnsi"/>
      <w:sz w:val="32"/>
      <w:szCs w:val="36"/>
    </w:rPr>
  </w:style>
  <w:style w:type="paragraph" w:styleId="BalloonText">
    <w:name w:val="Balloon Text"/>
    <w:basedOn w:val="Normal"/>
    <w:link w:val="BalloonTextChar"/>
    <w:uiPriority w:val="99"/>
    <w:semiHidden/>
    <w:unhideWhenUsed/>
    <w:rsid w:val="000641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4101"/>
    <w:rPr>
      <w:rFonts w:ascii="Segoe UI" w:hAnsi="Segoe UI" w:cs="Segoe UI"/>
      <w:sz w:val="18"/>
      <w:szCs w:val="18"/>
    </w:rPr>
  </w:style>
  <w:style w:type="character" w:customStyle="1" w:styleId="Heading2Char">
    <w:name w:val="Heading 2 Char"/>
    <w:aliases w:val="Num heading 2 Char"/>
    <w:basedOn w:val="DefaultParagraphFont"/>
    <w:link w:val="Heading2"/>
    <w:uiPriority w:val="3"/>
    <w:rsid w:val="00DA34A5"/>
    <w:rPr>
      <w:rFonts w:ascii="CBA Beacon Sans Extra Bold" w:hAnsi="CBA Beacon Sans Extra Bold"/>
      <w:sz w:val="28"/>
      <w:szCs w:val="36"/>
    </w:rPr>
  </w:style>
  <w:style w:type="character" w:customStyle="1" w:styleId="Heading3Char">
    <w:name w:val="Heading 3 Char"/>
    <w:aliases w:val="Num heading 3 Char"/>
    <w:basedOn w:val="DefaultParagraphFont"/>
    <w:link w:val="Heading3"/>
    <w:uiPriority w:val="3"/>
    <w:rsid w:val="00DA34A5"/>
    <w:rPr>
      <w:rFonts w:asciiTheme="majorHAnsi" w:hAnsiTheme="majorHAnsi"/>
      <w:b/>
      <w:bCs/>
      <w:sz w:val="24"/>
      <w:szCs w:val="24"/>
    </w:rPr>
  </w:style>
  <w:style w:type="paragraph" w:styleId="ListParagraph">
    <w:name w:val="List Paragraph"/>
    <w:aliases w:val="Table Txt,Recommendation,List Paragraph1,List Paragraph11,L,Number,#List Paragraph,Level 1 list,PRI Bullets,Paragraphe de liste,List Paragraph - bullets,Executive Summary List,List Level 1,List - Bullet points,FooterText,列出段落1,Bullet List"/>
    <w:basedOn w:val="Normal"/>
    <w:link w:val="ListParagraphChar"/>
    <w:uiPriority w:val="34"/>
    <w:qFormat/>
    <w:rsid w:val="00AA0993"/>
    <w:pPr>
      <w:ind w:left="720"/>
      <w:contextualSpacing/>
    </w:pPr>
  </w:style>
  <w:style w:type="paragraph" w:styleId="ListBullet">
    <w:name w:val="List Bullet"/>
    <w:basedOn w:val="ListParagraph"/>
    <w:qFormat/>
    <w:rsid w:val="007C5965"/>
    <w:pPr>
      <w:numPr>
        <w:numId w:val="11"/>
      </w:numPr>
    </w:pPr>
  </w:style>
  <w:style w:type="paragraph" w:styleId="ListBullet2">
    <w:name w:val="List Bullet 2"/>
    <w:basedOn w:val="ListParagraph"/>
    <w:uiPriority w:val="1"/>
    <w:qFormat/>
    <w:rsid w:val="007C5965"/>
    <w:pPr>
      <w:numPr>
        <w:ilvl w:val="1"/>
        <w:numId w:val="11"/>
      </w:numPr>
      <w:ind w:left="568" w:hanging="284"/>
    </w:pPr>
  </w:style>
  <w:style w:type="paragraph" w:styleId="Quote">
    <w:name w:val="Quote"/>
    <w:basedOn w:val="Normal"/>
    <w:next w:val="Normal"/>
    <w:link w:val="QuoteChar"/>
    <w:uiPriority w:val="2"/>
    <w:qFormat/>
    <w:rsid w:val="00860FB6"/>
    <w:pPr>
      <w:framePr w:w="4536" w:hSpace="340" w:wrap="around" w:vAnchor="text" w:hAnchor="margin" w:xAlign="right" w:y="1"/>
      <w:pBdr>
        <w:left w:val="single" w:sz="6" w:space="4" w:color="auto"/>
      </w:pBdr>
    </w:pPr>
    <w:rPr>
      <w:sz w:val="40"/>
      <w:szCs w:val="40"/>
    </w:rPr>
  </w:style>
  <w:style w:type="paragraph" w:customStyle="1" w:styleId="Footer-Commbank">
    <w:name w:val="Footer - Commbank"/>
    <w:uiPriority w:val="99"/>
    <w:rsid w:val="003E460E"/>
    <w:pPr>
      <w:spacing w:before="20" w:after="0" w:line="240" w:lineRule="auto"/>
    </w:pPr>
    <w:rPr>
      <w:color w:val="C00000"/>
      <w:sz w:val="12"/>
      <w:szCs w:val="12"/>
    </w:rPr>
  </w:style>
  <w:style w:type="paragraph" w:customStyle="1" w:styleId="BackCover-Heading">
    <w:name w:val="Back Cover - Heading"/>
    <w:qFormat/>
    <w:rsid w:val="00A535E3"/>
    <w:pPr>
      <w:spacing w:before="1800"/>
      <w:ind w:right="4568"/>
    </w:pPr>
    <w:rPr>
      <w:noProof/>
      <w:sz w:val="48"/>
      <w:szCs w:val="48"/>
      <w:lang w:eastAsia="en-AU"/>
    </w:rPr>
  </w:style>
  <w:style w:type="paragraph" w:customStyle="1" w:styleId="BackCover-ContactInformationText">
    <w:name w:val="Back Cover - Contact Information Text"/>
    <w:uiPriority w:val="5"/>
    <w:qFormat/>
    <w:rsid w:val="00A535E3"/>
    <w:pPr>
      <w:spacing w:before="120"/>
      <w:ind w:right="4568"/>
    </w:pPr>
    <w:rPr>
      <w:sz w:val="28"/>
      <w:szCs w:val="28"/>
    </w:rPr>
  </w:style>
  <w:style w:type="paragraph" w:customStyle="1" w:styleId="BackCover-Disclaimer">
    <w:name w:val="Back Cover - Disclaimer"/>
    <w:qFormat/>
    <w:rsid w:val="004776B6"/>
    <w:pPr>
      <w:spacing w:after="0" w:line="276" w:lineRule="auto"/>
    </w:pPr>
    <w:rPr>
      <w:color w:val="1E1E1E" w:themeColor="text1"/>
      <w:sz w:val="16"/>
      <w:szCs w:val="16"/>
    </w:rPr>
  </w:style>
  <w:style w:type="paragraph" w:customStyle="1" w:styleId="Dividersubtitle">
    <w:name w:val="Divider subtitle"/>
    <w:basedOn w:val="DividerTitle"/>
    <w:uiPriority w:val="4"/>
    <w:qFormat/>
    <w:rsid w:val="00A309C4"/>
    <w:pPr>
      <w:spacing w:before="0"/>
    </w:pPr>
    <w:rPr>
      <w:rFonts w:asciiTheme="minorHAnsi" w:hAnsiTheme="minorHAnsi"/>
      <w:sz w:val="36"/>
      <w:szCs w:val="36"/>
    </w:rPr>
  </w:style>
  <w:style w:type="table" w:customStyle="1" w:styleId="Footertable">
    <w:name w:val="Footer table"/>
    <w:basedOn w:val="TableNormal"/>
    <w:uiPriority w:val="99"/>
    <w:rsid w:val="00EA30C7"/>
    <w:pPr>
      <w:spacing w:after="0" w:line="240" w:lineRule="auto"/>
    </w:pPr>
    <w:tblPr/>
  </w:style>
  <w:style w:type="table" w:customStyle="1" w:styleId="CBACustomTable">
    <w:name w:val="CBA Custom Table"/>
    <w:basedOn w:val="TableGrid"/>
    <w:uiPriority w:val="42"/>
    <w:rsid w:val="007A23C4"/>
    <w:pPr>
      <w:jc w:val="center"/>
    </w:pPr>
    <w:tblPr>
      <w:tblStyleRowBandSize w:val="1"/>
      <w:tblStyleCol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85" w:type="dxa"/>
        <w:bottom w:w="57" w:type="dxa"/>
        <w:right w:w="85" w:type="dxa"/>
      </w:tblCellMar>
    </w:tblPr>
    <w:tcPr>
      <w:vAlign w:val="center"/>
    </w:tcPr>
    <w:tblStylePr w:type="firstRow">
      <w:rPr>
        <w:rFonts w:asciiTheme="majorHAnsi" w:hAnsiTheme="majorHAnsi"/>
        <w:b w:val="0"/>
        <w:bCs/>
        <w:color w:val="1E1E1E" w:themeColor="text1"/>
        <w:sz w:val="22"/>
      </w:rPr>
      <w:tblPr/>
      <w:trPr>
        <w:tblHeader/>
      </w:trPr>
      <w:tcPr>
        <w:tcBorders>
          <w:top w:val="nil"/>
          <w:left w:val="nil"/>
          <w:bottom w:val="single" w:sz="6" w:space="0" w:color="auto"/>
          <w:right w:val="nil"/>
          <w:insideH w:val="single" w:sz="4" w:space="0" w:color="FFCC00" w:themeColor="accent1"/>
          <w:insideV w:val="nil"/>
          <w:tl2br w:val="nil"/>
          <w:tr2bl w:val="nil"/>
        </w:tcBorders>
      </w:tcPr>
    </w:tblStylePr>
    <w:tblStylePr w:type="lastRow">
      <w:rPr>
        <w:rFonts w:asciiTheme="majorHAnsi" w:hAnsiTheme="majorHAnsi"/>
        <w:b w:val="0"/>
        <w:bCs/>
        <w:sz w:val="20"/>
      </w:rPr>
      <w:tblPr/>
      <w:tcPr>
        <w:tcBorders>
          <w:top w:val="nil"/>
          <w:left w:val="nil"/>
          <w:bottom w:val="nil"/>
          <w:right w:val="nil"/>
          <w:insideH w:val="nil"/>
          <w:insideV w:val="nil"/>
          <w:tl2br w:val="nil"/>
          <w:tr2bl w:val="nil"/>
        </w:tcBorders>
        <w:shd w:val="clear" w:color="auto" w:fill="F2F2F2" w:themeFill="background1" w:themeFillShade="F2"/>
      </w:tcPr>
    </w:tblStylePr>
    <w:tblStylePr w:type="firstCol">
      <w:pPr>
        <w:jc w:val="left"/>
      </w:pPr>
      <w:rPr>
        <w:rFonts w:asciiTheme="minorHAnsi" w:hAnsiTheme="minorHAnsi"/>
        <w:b w:val="0"/>
        <w:bCs/>
        <w:sz w:val="20"/>
      </w:rPr>
      <w:tblPr/>
      <w:tcPr>
        <w:vAlign w:val="center"/>
      </w:tcPr>
    </w:tblStylePr>
    <w:tblStylePr w:type="lastCol">
      <w:rPr>
        <w:rFonts w:asciiTheme="majorHAnsi" w:hAnsiTheme="majorHAnsi"/>
        <w:b w:val="0"/>
        <w:bCs/>
      </w:rPr>
    </w:tblStylePr>
    <w:tblStylePr w:type="band1Vert">
      <w:pPr>
        <w:wordWrap/>
        <w:spacing w:line="240" w:lineRule="auto"/>
      </w:pPr>
      <w:tblPr/>
      <w:tcPr>
        <w:tcBorders>
          <w:top w:val="nil"/>
          <w:left w:val="nil"/>
          <w:bottom w:val="nil"/>
          <w:right w:val="nil"/>
          <w:insideH w:val="nil"/>
          <w:insideV w:val="nil"/>
          <w:tl2br w:val="nil"/>
          <w:tr2bl w:val="nil"/>
        </w:tcBorders>
      </w:tcPr>
    </w:tblStylePr>
    <w:tblStylePr w:type="band2Vert">
      <w:pPr>
        <w:wordWrap/>
      </w:pPr>
      <w:tblPr/>
      <w:tcPr>
        <w:tcBorders>
          <w:top w:val="nil"/>
          <w:left w:val="nil"/>
          <w:bottom w:val="nil"/>
          <w:right w:val="nil"/>
          <w:insideH w:val="nil"/>
          <w:insideV w:val="nil"/>
        </w:tcBorders>
      </w:tcPr>
    </w:tblStylePr>
    <w:tblStylePr w:type="band1Horz">
      <w:rPr>
        <w:rFonts w:asciiTheme="minorHAnsi" w:hAnsiTheme="minorHAnsi"/>
        <w:sz w:val="20"/>
      </w:rPr>
      <w:tblPr/>
      <w:tcPr>
        <w:tcBorders>
          <w:top w:val="nil"/>
          <w:left w:val="nil"/>
          <w:bottom w:val="nil"/>
          <w:right w:val="nil"/>
          <w:insideH w:val="nil"/>
          <w:insideV w:val="nil"/>
          <w:tl2br w:val="nil"/>
          <w:tr2bl w:val="nil"/>
        </w:tcBorders>
      </w:tcPr>
    </w:tblStylePr>
    <w:tblStylePr w:type="band2Horz">
      <w:rPr>
        <w:rFonts w:asciiTheme="minorHAnsi" w:hAnsiTheme="minorHAnsi"/>
        <w:sz w:val="20"/>
      </w:rPr>
      <w:tblPr/>
      <w:tcPr>
        <w:tcBorders>
          <w:top w:val="nil"/>
          <w:left w:val="nil"/>
          <w:bottom w:val="nil"/>
          <w:right w:val="nil"/>
          <w:insideH w:val="nil"/>
          <w:insideV w:val="nil"/>
          <w:tl2br w:val="nil"/>
          <w:tr2bl w:val="nil"/>
        </w:tcBorders>
      </w:tcPr>
    </w:tblStylePr>
    <w:tblStylePr w:type="swCell">
      <w:rPr>
        <w:rFonts w:asciiTheme="minorHAnsi" w:hAnsiTheme="minorHAnsi"/>
        <w:b/>
        <w:sz w:val="20"/>
      </w:rPr>
    </w:tblStylePr>
  </w:style>
  <w:style w:type="table" w:styleId="PlainTable1">
    <w:name w:val="Plain Table 1"/>
    <w:basedOn w:val="TableNormal"/>
    <w:uiPriority w:val="41"/>
    <w:rsid w:val="0092481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ableFirstRow">
    <w:name w:val="Table First Row"/>
    <w:basedOn w:val="Normal"/>
    <w:rsid w:val="001D2585"/>
    <w:pPr>
      <w:spacing w:after="0" w:line="240" w:lineRule="auto"/>
    </w:pPr>
    <w:rPr>
      <w:bCs/>
      <w:color w:val="1E1E1E" w:themeColor="text1"/>
      <w:sz w:val="22"/>
    </w:rPr>
  </w:style>
  <w:style w:type="character" w:customStyle="1" w:styleId="CoverTitleChar">
    <w:name w:val="Cover Title Char"/>
    <w:basedOn w:val="DefaultParagraphFont"/>
    <w:link w:val="CoverTitle"/>
    <w:uiPriority w:val="4"/>
    <w:rsid w:val="00D55DDC"/>
    <w:rPr>
      <w:rFonts w:asciiTheme="majorHAnsi" w:eastAsiaTheme="majorEastAsia" w:hAnsiTheme="majorHAnsi" w:cstheme="majorBidi"/>
      <w:color w:val="1E1E1E" w:themeColor="text1"/>
      <w:spacing w:val="-10"/>
      <w:kern w:val="28"/>
      <w:sz w:val="72"/>
      <w:szCs w:val="72"/>
    </w:rPr>
  </w:style>
  <w:style w:type="paragraph" w:styleId="NormalWeb">
    <w:name w:val="Normal (Web)"/>
    <w:basedOn w:val="Normal"/>
    <w:uiPriority w:val="99"/>
    <w:unhideWhenUsed/>
    <w:rsid w:val="006B5C99"/>
    <w:pPr>
      <w:spacing w:before="100" w:beforeAutospacing="1" w:after="100" w:afterAutospacing="1" w:line="240" w:lineRule="auto"/>
    </w:pPr>
    <w:rPr>
      <w:rFonts w:ascii="Times New Roman" w:eastAsiaTheme="minorEastAsia" w:hAnsi="Times New Roman" w:cs="Times New Roman"/>
      <w:sz w:val="24"/>
      <w:szCs w:val="24"/>
      <w:lang w:eastAsia="en-AU"/>
    </w:rPr>
  </w:style>
  <w:style w:type="paragraph" w:styleId="TOCHeading">
    <w:name w:val="TOC Heading"/>
    <w:basedOn w:val="Heading1"/>
    <w:next w:val="Normal"/>
    <w:uiPriority w:val="99"/>
    <w:rsid w:val="00F81D1A"/>
    <w:pPr>
      <w:numPr>
        <w:numId w:val="0"/>
      </w:numPr>
      <w:outlineLvl w:val="9"/>
    </w:pPr>
    <w:rPr>
      <w:rFonts w:eastAsiaTheme="majorEastAsia" w:cstheme="majorBidi"/>
      <w:szCs w:val="32"/>
    </w:rPr>
  </w:style>
  <w:style w:type="paragraph" w:styleId="TOC1">
    <w:name w:val="toc 1"/>
    <w:basedOn w:val="Normal"/>
    <w:next w:val="Normal"/>
    <w:autoRedefine/>
    <w:uiPriority w:val="39"/>
    <w:rsid w:val="002D58FC"/>
    <w:pPr>
      <w:tabs>
        <w:tab w:val="right" w:pos="9378"/>
      </w:tabs>
      <w:spacing w:before="240" w:after="100"/>
    </w:pPr>
    <w:rPr>
      <w:b/>
      <w:noProof/>
    </w:rPr>
  </w:style>
  <w:style w:type="paragraph" w:styleId="TOC2">
    <w:name w:val="toc 2"/>
    <w:basedOn w:val="Normal"/>
    <w:next w:val="Normal"/>
    <w:autoRedefine/>
    <w:uiPriority w:val="39"/>
    <w:rsid w:val="00CD03DB"/>
    <w:pPr>
      <w:tabs>
        <w:tab w:val="right" w:pos="9378"/>
      </w:tabs>
      <w:spacing w:after="100"/>
    </w:pPr>
    <w:rPr>
      <w:noProof/>
    </w:rPr>
  </w:style>
  <w:style w:type="paragraph" w:styleId="TOC3">
    <w:name w:val="toc 3"/>
    <w:basedOn w:val="Normal"/>
    <w:next w:val="Normal"/>
    <w:autoRedefine/>
    <w:uiPriority w:val="39"/>
    <w:rsid w:val="00CD03DB"/>
    <w:pPr>
      <w:tabs>
        <w:tab w:val="right" w:pos="9378"/>
      </w:tabs>
      <w:spacing w:after="100"/>
    </w:pPr>
    <w:rPr>
      <w:i/>
      <w:noProof/>
    </w:rPr>
  </w:style>
  <w:style w:type="character" w:styleId="Hyperlink">
    <w:name w:val="Hyperlink"/>
    <w:basedOn w:val="DefaultParagraphFont"/>
    <w:uiPriority w:val="99"/>
    <w:qFormat/>
    <w:rsid w:val="00C05661"/>
    <w:rPr>
      <w:color w:val="126C8B"/>
      <w:u w:val="single"/>
    </w:rPr>
  </w:style>
  <w:style w:type="paragraph" w:styleId="Title">
    <w:name w:val="Title"/>
    <w:basedOn w:val="Normal"/>
    <w:next w:val="Normal"/>
    <w:link w:val="TitleChar"/>
    <w:uiPriority w:val="99"/>
    <w:semiHidden/>
    <w:rsid w:val="00C3551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semiHidden/>
    <w:rsid w:val="00DA34A5"/>
    <w:rPr>
      <w:rFonts w:asciiTheme="majorHAnsi" w:eastAsiaTheme="majorEastAsia" w:hAnsiTheme="majorHAnsi" w:cstheme="majorBidi"/>
      <w:spacing w:val="-10"/>
      <w:kern w:val="28"/>
      <w:sz w:val="56"/>
      <w:szCs w:val="56"/>
    </w:rPr>
  </w:style>
  <w:style w:type="paragraph" w:customStyle="1" w:styleId="CoverName">
    <w:name w:val="Cover Name"/>
    <w:basedOn w:val="Normal"/>
    <w:uiPriority w:val="4"/>
    <w:qFormat/>
    <w:rsid w:val="00C35517"/>
    <w:pPr>
      <w:spacing w:after="240"/>
    </w:pPr>
    <w:rPr>
      <w:rFonts w:asciiTheme="majorHAnsi" w:hAnsiTheme="majorHAnsi"/>
      <w:sz w:val="28"/>
      <w:szCs w:val="28"/>
    </w:rPr>
  </w:style>
  <w:style w:type="paragraph" w:customStyle="1" w:styleId="CoverJobTitle">
    <w:name w:val="Cover Job Title"/>
    <w:basedOn w:val="Normal"/>
    <w:uiPriority w:val="4"/>
    <w:qFormat/>
    <w:rsid w:val="009F0A92"/>
    <w:rPr>
      <w:sz w:val="28"/>
      <w:szCs w:val="28"/>
    </w:rPr>
  </w:style>
  <w:style w:type="character" w:customStyle="1" w:styleId="CBABeaconSansExtraBold">
    <w:name w:val="*CBA Beacon Sans Extra Bold"/>
    <w:basedOn w:val="DefaultParagraphFont"/>
    <w:uiPriority w:val="99"/>
    <w:qFormat/>
    <w:rsid w:val="00EA30C7"/>
    <w:rPr>
      <w:rFonts w:ascii="CBA Beacon Sans Extra Bold" w:hAnsi="CBA Beacon Sans Extra Bold"/>
    </w:rPr>
  </w:style>
  <w:style w:type="character" w:customStyle="1" w:styleId="CBABeaconSansBold">
    <w:name w:val="*CBA Beacon Sans Bold"/>
    <w:basedOn w:val="DefaultParagraphFont"/>
    <w:uiPriority w:val="99"/>
    <w:qFormat/>
    <w:rsid w:val="00EA30C7"/>
    <w:rPr>
      <w:rFonts w:asciiTheme="majorHAnsi" w:hAnsiTheme="majorHAnsi"/>
    </w:rPr>
  </w:style>
  <w:style w:type="character" w:customStyle="1" w:styleId="QuoteChar">
    <w:name w:val="Quote Char"/>
    <w:basedOn w:val="DefaultParagraphFont"/>
    <w:link w:val="Quote"/>
    <w:uiPriority w:val="2"/>
    <w:rsid w:val="00DA34A5"/>
    <w:rPr>
      <w:sz w:val="40"/>
      <w:szCs w:val="40"/>
    </w:rPr>
  </w:style>
  <w:style w:type="character" w:styleId="Emphasis">
    <w:name w:val="Emphasis"/>
    <w:aliases w:val="*Italic"/>
    <w:basedOn w:val="DefaultParagraphFont"/>
    <w:uiPriority w:val="99"/>
    <w:qFormat/>
    <w:rsid w:val="00AC346D"/>
    <w:rPr>
      <w:i/>
      <w:iCs/>
    </w:rPr>
  </w:style>
  <w:style w:type="character" w:customStyle="1" w:styleId="Heading4Char">
    <w:name w:val="Heading 4 Char"/>
    <w:aliases w:val="Num heading 4 Char"/>
    <w:basedOn w:val="DefaultParagraphFont"/>
    <w:link w:val="Heading4"/>
    <w:uiPriority w:val="3"/>
    <w:rsid w:val="00DA34A5"/>
    <w:rPr>
      <w:rFonts w:asciiTheme="majorHAnsi" w:hAnsiTheme="majorHAnsi"/>
      <w:sz w:val="20"/>
      <w:szCs w:val="20"/>
    </w:rPr>
  </w:style>
  <w:style w:type="character" w:customStyle="1" w:styleId="Heading5Char">
    <w:name w:val="Heading 5 Char"/>
    <w:aliases w:val="Subpara 1 Char"/>
    <w:basedOn w:val="DefaultParagraphFont"/>
    <w:link w:val="Heading5"/>
    <w:uiPriority w:val="3"/>
    <w:rsid w:val="00DA34A5"/>
    <w:rPr>
      <w:rFonts w:eastAsiaTheme="majorEastAsia" w:cstheme="majorBidi"/>
      <w:color w:val="1E1E1E" w:themeColor="text1"/>
      <w:sz w:val="20"/>
      <w:szCs w:val="20"/>
    </w:rPr>
  </w:style>
  <w:style w:type="character" w:customStyle="1" w:styleId="Heading6Char">
    <w:name w:val="Heading 6 Char"/>
    <w:aliases w:val="Subpara 2 Char"/>
    <w:basedOn w:val="DefaultParagraphFont"/>
    <w:link w:val="Heading6"/>
    <w:uiPriority w:val="3"/>
    <w:rsid w:val="00DA34A5"/>
    <w:rPr>
      <w:rFonts w:eastAsiaTheme="majorEastAsia" w:cstheme="majorBidi"/>
      <w:color w:val="1E1E1E" w:themeColor="text1"/>
      <w:sz w:val="20"/>
      <w:szCs w:val="20"/>
    </w:rPr>
  </w:style>
  <w:style w:type="character" w:customStyle="1" w:styleId="Heading7Char">
    <w:name w:val="Heading 7 Char"/>
    <w:aliases w:val="Subpara 3 Char"/>
    <w:basedOn w:val="DefaultParagraphFont"/>
    <w:link w:val="Heading7"/>
    <w:uiPriority w:val="3"/>
    <w:rsid w:val="00DA34A5"/>
    <w:rPr>
      <w:rFonts w:eastAsiaTheme="majorEastAsia" w:cstheme="majorBidi"/>
      <w:color w:val="1E1E1E" w:themeColor="text1"/>
      <w:sz w:val="20"/>
      <w:szCs w:val="20"/>
    </w:rPr>
  </w:style>
  <w:style w:type="character" w:customStyle="1" w:styleId="Heading8Char">
    <w:name w:val="Heading 8 Char"/>
    <w:basedOn w:val="DefaultParagraphFont"/>
    <w:link w:val="Heading8"/>
    <w:uiPriority w:val="9"/>
    <w:semiHidden/>
    <w:rsid w:val="0006045D"/>
    <w:rPr>
      <w:sz w:val="20"/>
      <w:szCs w:val="20"/>
    </w:rPr>
  </w:style>
  <w:style w:type="character" w:customStyle="1" w:styleId="Heading9Char">
    <w:name w:val="Heading 9 Char"/>
    <w:basedOn w:val="DefaultParagraphFont"/>
    <w:link w:val="Heading9"/>
    <w:uiPriority w:val="9"/>
    <w:semiHidden/>
    <w:rsid w:val="0006045D"/>
    <w:rPr>
      <w:sz w:val="20"/>
      <w:szCs w:val="20"/>
    </w:rPr>
  </w:style>
  <w:style w:type="paragraph" w:styleId="List">
    <w:name w:val="List"/>
    <w:basedOn w:val="Normal"/>
    <w:uiPriority w:val="2"/>
    <w:qFormat/>
    <w:rsid w:val="005136A9"/>
    <w:pPr>
      <w:numPr>
        <w:numId w:val="16"/>
      </w:numPr>
      <w:contextualSpacing/>
    </w:pPr>
  </w:style>
  <w:style w:type="paragraph" w:styleId="List2">
    <w:name w:val="List 2"/>
    <w:basedOn w:val="Normal"/>
    <w:uiPriority w:val="2"/>
    <w:qFormat/>
    <w:rsid w:val="005136A9"/>
    <w:pPr>
      <w:numPr>
        <w:ilvl w:val="1"/>
        <w:numId w:val="16"/>
      </w:numPr>
      <w:contextualSpacing/>
    </w:pPr>
  </w:style>
  <w:style w:type="paragraph" w:styleId="List3">
    <w:name w:val="List 3"/>
    <w:basedOn w:val="Normal"/>
    <w:uiPriority w:val="2"/>
    <w:qFormat/>
    <w:rsid w:val="005136A9"/>
    <w:pPr>
      <w:numPr>
        <w:ilvl w:val="2"/>
        <w:numId w:val="16"/>
      </w:numPr>
      <w:contextualSpacing/>
    </w:pPr>
  </w:style>
  <w:style w:type="paragraph" w:customStyle="1" w:styleId="Header1">
    <w:name w:val="Header 1"/>
    <w:basedOn w:val="Heading1"/>
    <w:next w:val="Normal"/>
    <w:uiPriority w:val="3"/>
    <w:qFormat/>
    <w:rsid w:val="000C7750"/>
    <w:pPr>
      <w:numPr>
        <w:numId w:val="0"/>
      </w:numPr>
    </w:pPr>
  </w:style>
  <w:style w:type="paragraph" w:customStyle="1" w:styleId="Header2">
    <w:name w:val="Header 2"/>
    <w:basedOn w:val="Heading2"/>
    <w:next w:val="Normal"/>
    <w:uiPriority w:val="3"/>
    <w:qFormat/>
    <w:rsid w:val="000C7750"/>
    <w:pPr>
      <w:numPr>
        <w:ilvl w:val="0"/>
        <w:numId w:val="0"/>
      </w:numPr>
    </w:pPr>
  </w:style>
  <w:style w:type="paragraph" w:customStyle="1" w:styleId="Header3">
    <w:name w:val="Header 3"/>
    <w:basedOn w:val="Heading3"/>
    <w:next w:val="Normal"/>
    <w:uiPriority w:val="3"/>
    <w:qFormat/>
    <w:rsid w:val="000C7750"/>
    <w:pPr>
      <w:numPr>
        <w:ilvl w:val="0"/>
        <w:numId w:val="0"/>
      </w:numPr>
    </w:pPr>
  </w:style>
  <w:style w:type="paragraph" w:customStyle="1" w:styleId="Header4">
    <w:name w:val="Header 4"/>
    <w:basedOn w:val="Heading4"/>
    <w:next w:val="Normal"/>
    <w:uiPriority w:val="3"/>
    <w:qFormat/>
    <w:rsid w:val="000C7750"/>
    <w:pPr>
      <w:numPr>
        <w:ilvl w:val="0"/>
        <w:numId w:val="0"/>
      </w:numPr>
    </w:pPr>
  </w:style>
  <w:style w:type="paragraph" w:customStyle="1" w:styleId="DividerTitle">
    <w:name w:val="Divider Title"/>
    <w:basedOn w:val="Normal"/>
    <w:uiPriority w:val="4"/>
    <w:qFormat/>
    <w:rsid w:val="00A309C4"/>
    <w:pPr>
      <w:spacing w:before="6360" w:after="0"/>
    </w:pPr>
    <w:rPr>
      <w:rFonts w:asciiTheme="majorHAnsi" w:hAnsiTheme="majorHAnsi"/>
      <w:sz w:val="48"/>
      <w:szCs w:val="48"/>
    </w:rPr>
  </w:style>
  <w:style w:type="paragraph" w:customStyle="1" w:styleId="Coverdocumentstatus">
    <w:name w:val="Cover document status"/>
    <w:basedOn w:val="CoverContactInfo"/>
    <w:uiPriority w:val="4"/>
    <w:qFormat/>
    <w:rsid w:val="00A46DAA"/>
    <w:rPr>
      <w:sz w:val="20"/>
    </w:rPr>
  </w:style>
  <w:style w:type="paragraph" w:styleId="FootnoteText">
    <w:name w:val="footnote text"/>
    <w:basedOn w:val="Normal"/>
    <w:link w:val="FootnoteTextChar"/>
    <w:rsid w:val="007E1386"/>
    <w:pPr>
      <w:spacing w:after="0" w:line="240" w:lineRule="auto"/>
    </w:pPr>
    <w:rPr>
      <w:sz w:val="16"/>
    </w:rPr>
  </w:style>
  <w:style w:type="character" w:customStyle="1" w:styleId="FootnoteTextChar">
    <w:name w:val="Footnote Text Char"/>
    <w:basedOn w:val="DefaultParagraphFont"/>
    <w:link w:val="FootnoteText"/>
    <w:rsid w:val="007E1386"/>
    <w:rPr>
      <w:sz w:val="16"/>
      <w:szCs w:val="20"/>
    </w:rPr>
  </w:style>
  <w:style w:type="character" w:styleId="FootnoteReference">
    <w:name w:val="footnote reference"/>
    <w:basedOn w:val="DefaultParagraphFont"/>
    <w:rsid w:val="007E1386"/>
    <w:rPr>
      <w:vertAlign w:val="superscript"/>
    </w:rPr>
  </w:style>
  <w:style w:type="character" w:customStyle="1" w:styleId="UnresolvedMention">
    <w:name w:val="Unresolved Mention"/>
    <w:basedOn w:val="DefaultParagraphFont"/>
    <w:uiPriority w:val="99"/>
    <w:semiHidden/>
    <w:unhideWhenUsed/>
    <w:rsid w:val="00C05661"/>
    <w:rPr>
      <w:color w:val="605E5C"/>
      <w:shd w:val="clear" w:color="auto" w:fill="E1DFDD"/>
    </w:rPr>
  </w:style>
  <w:style w:type="paragraph" w:customStyle="1" w:styleId="Default">
    <w:name w:val="Default"/>
    <w:rsid w:val="00CB6B03"/>
    <w:pPr>
      <w:autoSpaceDE w:val="0"/>
      <w:autoSpaceDN w:val="0"/>
      <w:adjustRightInd w:val="0"/>
      <w:spacing w:after="0" w:line="240" w:lineRule="auto"/>
    </w:pPr>
    <w:rPr>
      <w:rFonts w:ascii="Arial" w:hAnsi="Arial" w:cs="Arial"/>
      <w:color w:val="000000"/>
      <w:sz w:val="24"/>
      <w:szCs w:val="24"/>
    </w:rPr>
  </w:style>
  <w:style w:type="paragraph" w:styleId="BodyText">
    <w:name w:val="Body Text"/>
    <w:basedOn w:val="Normal"/>
    <w:link w:val="BodyTextChar"/>
    <w:qFormat/>
    <w:rsid w:val="00CB6B03"/>
    <w:pPr>
      <w:spacing w:after="240" w:line="240" w:lineRule="atLeast"/>
      <w:ind w:left="1134"/>
    </w:pPr>
    <w:rPr>
      <w:rFonts w:ascii="Arial" w:eastAsia="Times New Roman" w:hAnsi="Arial" w:cs="Times New Roman"/>
    </w:rPr>
  </w:style>
  <w:style w:type="character" w:customStyle="1" w:styleId="BodyTextChar">
    <w:name w:val="Body Text Char"/>
    <w:basedOn w:val="DefaultParagraphFont"/>
    <w:link w:val="BodyText"/>
    <w:rsid w:val="00CB6B03"/>
    <w:rPr>
      <w:rFonts w:ascii="Arial" w:eastAsia="Times New Roman" w:hAnsi="Arial" w:cs="Times New Roman"/>
      <w:sz w:val="20"/>
      <w:szCs w:val="20"/>
    </w:rPr>
  </w:style>
  <w:style w:type="character" w:styleId="CommentReference">
    <w:name w:val="annotation reference"/>
    <w:basedOn w:val="DefaultParagraphFont"/>
    <w:uiPriority w:val="99"/>
    <w:semiHidden/>
    <w:unhideWhenUsed/>
    <w:rsid w:val="00A428CA"/>
    <w:rPr>
      <w:sz w:val="16"/>
      <w:szCs w:val="16"/>
    </w:rPr>
  </w:style>
  <w:style w:type="paragraph" w:styleId="CommentText">
    <w:name w:val="annotation text"/>
    <w:basedOn w:val="Normal"/>
    <w:link w:val="CommentTextChar"/>
    <w:uiPriority w:val="99"/>
    <w:unhideWhenUsed/>
    <w:rsid w:val="00A428CA"/>
    <w:pPr>
      <w:spacing w:line="240" w:lineRule="auto"/>
    </w:pPr>
  </w:style>
  <w:style w:type="character" w:customStyle="1" w:styleId="CommentTextChar">
    <w:name w:val="Comment Text Char"/>
    <w:basedOn w:val="DefaultParagraphFont"/>
    <w:link w:val="CommentText"/>
    <w:uiPriority w:val="99"/>
    <w:rsid w:val="00A428CA"/>
    <w:rPr>
      <w:sz w:val="20"/>
      <w:szCs w:val="20"/>
    </w:rPr>
  </w:style>
  <w:style w:type="paragraph" w:styleId="CommentSubject">
    <w:name w:val="annotation subject"/>
    <w:basedOn w:val="CommentText"/>
    <w:next w:val="CommentText"/>
    <w:link w:val="CommentSubjectChar"/>
    <w:uiPriority w:val="99"/>
    <w:semiHidden/>
    <w:unhideWhenUsed/>
    <w:rsid w:val="00A428CA"/>
    <w:rPr>
      <w:b/>
      <w:bCs/>
    </w:rPr>
  </w:style>
  <w:style w:type="character" w:customStyle="1" w:styleId="CommentSubjectChar">
    <w:name w:val="Comment Subject Char"/>
    <w:basedOn w:val="CommentTextChar"/>
    <w:link w:val="CommentSubject"/>
    <w:uiPriority w:val="99"/>
    <w:semiHidden/>
    <w:rsid w:val="00A428CA"/>
    <w:rPr>
      <w:b/>
      <w:bCs/>
      <w:sz w:val="20"/>
      <w:szCs w:val="20"/>
    </w:rPr>
  </w:style>
  <w:style w:type="table" w:styleId="GridTable5Dark-Accent4">
    <w:name w:val="Grid Table 5 Dark Accent 4"/>
    <w:basedOn w:val="TableNormal"/>
    <w:uiPriority w:val="50"/>
    <w:rsid w:val="000535B7"/>
    <w:pPr>
      <w:spacing w:after="0" w:line="240" w:lineRule="auto"/>
    </w:pPr>
    <w:rPr>
      <w:rFonts w:eastAsia="Times New Roma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DE7"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AA87"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AA87"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AA87"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AA87" w:themeFill="accent4"/>
      </w:tcPr>
    </w:tblStylePr>
    <w:tblStylePr w:type="band1Vert">
      <w:tblPr/>
      <w:tcPr>
        <w:shd w:val="clear" w:color="auto" w:fill="FFDCCF" w:themeFill="accent4" w:themeFillTint="66"/>
      </w:tcPr>
    </w:tblStylePr>
    <w:tblStylePr w:type="band1Horz">
      <w:tblPr/>
      <w:tcPr>
        <w:shd w:val="clear" w:color="auto" w:fill="FFDCCF" w:themeFill="accent4" w:themeFillTint="66"/>
      </w:tcPr>
    </w:tblStylePr>
  </w:style>
  <w:style w:type="numbering" w:styleId="ArticleSection">
    <w:name w:val="Outline List 3"/>
    <w:basedOn w:val="NoList"/>
    <w:semiHidden/>
    <w:rsid w:val="00C36A8D"/>
    <w:pPr>
      <w:numPr>
        <w:numId w:val="23"/>
      </w:numPr>
    </w:pPr>
  </w:style>
  <w:style w:type="table" w:styleId="GridTable5Dark-Accent1">
    <w:name w:val="Grid Table 5 Dark Accent 1"/>
    <w:basedOn w:val="TableNormal"/>
    <w:uiPriority w:val="50"/>
    <w:rsid w:val="002D26E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4CC"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C0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C0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C0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C00" w:themeFill="accent1"/>
      </w:tcPr>
    </w:tblStylePr>
    <w:tblStylePr w:type="band1Vert">
      <w:tblPr/>
      <w:tcPr>
        <w:shd w:val="clear" w:color="auto" w:fill="FFEA99" w:themeFill="accent1" w:themeFillTint="66"/>
      </w:tcPr>
    </w:tblStylePr>
    <w:tblStylePr w:type="band1Horz">
      <w:tblPr/>
      <w:tcPr>
        <w:shd w:val="clear" w:color="auto" w:fill="FFEA99" w:themeFill="accent1" w:themeFillTint="66"/>
      </w:tcPr>
    </w:tblStylePr>
  </w:style>
  <w:style w:type="table" w:styleId="GridTable5Dark-Accent5">
    <w:name w:val="Grid Table 5 Dark Accent 5"/>
    <w:basedOn w:val="TableNormal"/>
    <w:uiPriority w:val="50"/>
    <w:rsid w:val="00BB5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F7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BEB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BEB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BEB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BEB0" w:themeFill="accent5"/>
      </w:tcPr>
    </w:tblStylePr>
    <w:tblStylePr w:type="band1Vert">
      <w:tblPr/>
      <w:tcPr>
        <w:shd w:val="clear" w:color="auto" w:fill="99EFE7" w:themeFill="accent5" w:themeFillTint="66"/>
      </w:tcPr>
    </w:tblStylePr>
    <w:tblStylePr w:type="band1Horz">
      <w:tblPr/>
      <w:tcPr>
        <w:shd w:val="clear" w:color="auto" w:fill="99EFE7" w:themeFill="accent5" w:themeFillTint="66"/>
      </w:tcPr>
    </w:tblStylePr>
  </w:style>
  <w:style w:type="paragraph" w:styleId="NoSpacing">
    <w:name w:val="No Spacing"/>
    <w:uiPriority w:val="1"/>
    <w:qFormat/>
    <w:rsid w:val="000457A5"/>
    <w:pPr>
      <w:spacing w:after="0" w:line="240" w:lineRule="auto"/>
    </w:pPr>
  </w:style>
  <w:style w:type="character" w:customStyle="1" w:styleId="ListParagraphChar">
    <w:name w:val="List Paragraph Char"/>
    <w:aliases w:val="Table Txt Char,Recommendation Char,List Paragraph1 Char,List Paragraph11 Char,L Char,Number Char,#List Paragraph Char,Level 1 list Char,PRI Bullets Char,Paragraphe de liste Char,List Paragraph - bullets Char,List Level 1 Char"/>
    <w:basedOn w:val="DefaultParagraphFont"/>
    <w:link w:val="ListParagraph"/>
    <w:uiPriority w:val="34"/>
    <w:locked/>
    <w:rsid w:val="000457A5"/>
    <w:rPr>
      <w:sz w:val="20"/>
      <w:szCs w:val="20"/>
    </w:rPr>
  </w:style>
  <w:style w:type="paragraph" w:styleId="Revision">
    <w:name w:val="Revision"/>
    <w:hidden/>
    <w:uiPriority w:val="99"/>
    <w:semiHidden/>
    <w:rsid w:val="00CE3C30"/>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7887173">
      <w:bodyDiv w:val="1"/>
      <w:marLeft w:val="0"/>
      <w:marRight w:val="0"/>
      <w:marTop w:val="0"/>
      <w:marBottom w:val="0"/>
      <w:divBdr>
        <w:top w:val="none" w:sz="0" w:space="0" w:color="auto"/>
        <w:left w:val="none" w:sz="0" w:space="0" w:color="auto"/>
        <w:bottom w:val="none" w:sz="0" w:space="0" w:color="auto"/>
        <w:right w:val="none" w:sz="0" w:space="0" w:color="auto"/>
      </w:divBdr>
    </w:div>
    <w:div w:id="1052270163">
      <w:bodyDiv w:val="1"/>
      <w:marLeft w:val="0"/>
      <w:marRight w:val="0"/>
      <w:marTop w:val="0"/>
      <w:marBottom w:val="0"/>
      <w:divBdr>
        <w:top w:val="none" w:sz="0" w:space="0" w:color="auto"/>
        <w:left w:val="none" w:sz="0" w:space="0" w:color="auto"/>
        <w:bottom w:val="none" w:sz="0" w:space="0" w:color="auto"/>
        <w:right w:val="none" w:sz="0" w:space="0" w:color="auto"/>
      </w:divBdr>
    </w:div>
    <w:div w:id="1618831582">
      <w:bodyDiv w:val="1"/>
      <w:marLeft w:val="0"/>
      <w:marRight w:val="0"/>
      <w:marTop w:val="0"/>
      <w:marBottom w:val="0"/>
      <w:divBdr>
        <w:top w:val="none" w:sz="0" w:space="0" w:color="auto"/>
        <w:left w:val="none" w:sz="0" w:space="0" w:color="auto"/>
        <w:bottom w:val="none" w:sz="0" w:space="0" w:color="auto"/>
        <w:right w:val="none" w:sz="0" w:space="0" w:color="auto"/>
      </w:divBdr>
    </w:div>
    <w:div w:id="2065715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77fb765713db44b3"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1" Type="http://schemas.openxmlformats.org/officeDocument/2006/relationships/hyperlink" Target="https://www.pwc.com/us/en/advisory-services/publications/consumer-intelligence-series/pwc-consumer-intelligence-series-customer-experience.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nghg19\Downloads\CBAGroup%20Word%20Template_Beacon%20(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A7571B8C2D844A19CC451923C16C55B"/>
        <w:category>
          <w:name w:val="General"/>
          <w:gallery w:val="placeholder"/>
        </w:category>
        <w:types>
          <w:type w:val="bbPlcHdr"/>
        </w:types>
        <w:behaviors>
          <w:behavior w:val="content"/>
        </w:behaviors>
        <w:guid w:val="{D83A683D-796E-4F03-8DD0-C5A5D10C5A8A}"/>
      </w:docPartPr>
      <w:docPartBody>
        <w:p w:rsidR="00F310EC" w:rsidRDefault="00F310EC">
          <w:pPr>
            <w:pStyle w:val="EA7571B8C2D844A19CC451923C16C55B"/>
          </w:pPr>
          <w:r w:rsidRPr="00300E72">
            <w:t>Click or tap to enter a date.</w:t>
          </w:r>
        </w:p>
      </w:docPartBody>
    </w:docPart>
    <w:docPart>
      <w:docPartPr>
        <w:name w:val="699AF0BE40E0422198C7D41FFB428CB1"/>
        <w:category>
          <w:name w:val="General"/>
          <w:gallery w:val="placeholder"/>
        </w:category>
        <w:types>
          <w:type w:val="bbPlcHdr"/>
        </w:types>
        <w:behaviors>
          <w:behavior w:val="content"/>
        </w:behaviors>
        <w:guid w:val="{0C5C4E95-A9FA-4D38-966F-87E74748FB04}"/>
      </w:docPartPr>
      <w:docPartBody>
        <w:p w:rsidR="00F310EC" w:rsidRDefault="00F310EC">
          <w:pPr>
            <w:pStyle w:val="699AF0BE40E0422198C7D41FFB428CB1"/>
          </w:pPr>
          <w:r w:rsidRPr="00EE5705">
            <w:rPr>
              <w:rStyle w:val="PlaceholderText"/>
            </w:rPr>
            <w:t>Choose a</w:t>
          </w:r>
          <w:r>
            <w:rPr>
              <w:rStyle w:val="PlaceholderText"/>
            </w:rPr>
            <w:t xml:space="preserve"> document status</w:t>
          </w:r>
          <w:r w:rsidRPr="00EE5705">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BA Beacon Sans">
    <w:altName w:val="Cambria Math"/>
    <w:panose1 w:val="00000000000000000000"/>
    <w:charset w:val="00"/>
    <w:family w:val="modern"/>
    <w:notTrueType/>
    <w:pitch w:val="variable"/>
    <w:sig w:usb0="00000001" w:usb1="02000001" w:usb2="00000000" w:usb3="00000000" w:csb0="000001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BA Beacon Sans Bold">
    <w:altName w:val="Cambria Math"/>
    <w:panose1 w:val="00000000000000000000"/>
    <w:charset w:val="00"/>
    <w:family w:val="modern"/>
    <w:notTrueType/>
    <w:pitch w:val="variable"/>
    <w:sig w:usb0="00000001" w:usb1="02000001" w:usb2="00000000" w:usb3="00000000" w:csb0="00000193" w:csb1="00000000"/>
  </w:font>
  <w:font w:name="CBA Beacon Sans Extra Bold">
    <w:altName w:val="Cambria Math"/>
    <w:panose1 w:val="00000000000000000000"/>
    <w:charset w:val="00"/>
    <w:family w:val="modern"/>
    <w:notTrueType/>
    <w:pitch w:val="variable"/>
    <w:sig w:usb0="00000001" w:usb1="02000001" w:usb2="00000000" w:usb3="00000000" w:csb0="00000193" w:csb1="00000000"/>
  </w:font>
  <w:font w:name="Dotum">
    <w:altName w:val="돋움"/>
    <w:panose1 w:val="020B0600000101010101"/>
    <w:charset w:val="81"/>
    <w:family w:val="modern"/>
    <w:notTrueType/>
    <w:pitch w:val="fixed"/>
    <w:sig w:usb0="00000001" w:usb1="09060000" w:usb2="00000010" w:usb3="00000000" w:csb0="00080000"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0EC"/>
    <w:rsid w:val="000829EB"/>
    <w:rsid w:val="00444F3F"/>
    <w:rsid w:val="004E544D"/>
    <w:rsid w:val="00646F57"/>
    <w:rsid w:val="006D4FAE"/>
    <w:rsid w:val="009C764A"/>
    <w:rsid w:val="009D2B7E"/>
    <w:rsid w:val="009F2BA9"/>
    <w:rsid w:val="00C10026"/>
    <w:rsid w:val="00C23D00"/>
    <w:rsid w:val="00D90FF7"/>
    <w:rsid w:val="00F310EC"/>
    <w:rsid w:val="00F6066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A7571B8C2D844A19CC451923C16C55B">
    <w:name w:val="EA7571B8C2D844A19CC451923C16C55B"/>
  </w:style>
  <w:style w:type="character" w:styleId="PlaceholderText">
    <w:name w:val="Placeholder Text"/>
    <w:basedOn w:val="DefaultParagraphFont"/>
    <w:uiPriority w:val="99"/>
    <w:semiHidden/>
    <w:rPr>
      <w:color w:val="808080"/>
    </w:rPr>
  </w:style>
  <w:style w:type="paragraph" w:customStyle="1" w:styleId="699AF0BE40E0422198C7D41FFB428CB1">
    <w:name w:val="699AF0BE40E0422198C7D41FFB428CB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CBA">
      <a:dk1>
        <a:srgbClr val="1E1E1E"/>
      </a:dk1>
      <a:lt1>
        <a:srgbClr val="FFFFFF"/>
      </a:lt1>
      <a:dk2>
        <a:srgbClr val="FFFF00"/>
      </a:dk2>
      <a:lt2>
        <a:srgbClr val="EBEBEB"/>
      </a:lt2>
      <a:accent1>
        <a:srgbClr val="FFCC00"/>
      </a:accent1>
      <a:accent2>
        <a:srgbClr val="FA915A"/>
      </a:accent2>
      <a:accent3>
        <a:srgbClr val="54C2E8"/>
      </a:accent3>
      <a:accent4>
        <a:srgbClr val="FFAA87"/>
      </a:accent4>
      <a:accent5>
        <a:srgbClr val="1DBEB0"/>
      </a:accent5>
      <a:accent6>
        <a:srgbClr val="BEBEB9"/>
      </a:accent6>
      <a:hlink>
        <a:srgbClr val="126C8B"/>
      </a:hlink>
      <a:folHlink>
        <a:srgbClr val="1E1E1E"/>
      </a:folHlink>
    </a:clrScheme>
    <a:fontScheme name="CBA (fonts)">
      <a:majorFont>
        <a:latin typeface="CBA Beacon Sans Bold"/>
        <a:ea typeface=""/>
        <a:cs typeface=""/>
      </a:majorFont>
      <a:minorFont>
        <a:latin typeface="CBA Beacon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0bc43ce3-81ec-402b-80ba-78a9dd9e4ee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287C6A8F7E5B488ED28132C64A373D" ma:contentTypeVersion="12" ma:contentTypeDescription="Create a new document." ma:contentTypeScope="" ma:versionID="f5cf3c7e32d652dc1d6113a51a8cb672">
  <xsd:schema xmlns:xsd="http://www.w3.org/2001/XMLSchema" xmlns:xs="http://www.w3.org/2001/XMLSchema" xmlns:p="http://schemas.microsoft.com/office/2006/metadata/properties" xmlns:ns2="0bc43ce3-81ec-402b-80ba-78a9dd9e4eec" xmlns:ns3="0b47b865-0396-4799-a2b2-a6ca785fd5c0" targetNamespace="http://schemas.microsoft.com/office/2006/metadata/properties" ma:root="true" ma:fieldsID="33d7e83bb6aa56f8330a72ea31a553ff" ns2:_="" ns3:_="">
    <xsd:import namespace="0bc43ce3-81ec-402b-80ba-78a9dd9e4eec"/>
    <xsd:import namespace="0b47b865-0396-4799-a2b2-a6ca785fd5c0"/>
    <xsd:element name="properties">
      <xsd:complexType>
        <xsd:sequence>
          <xsd:element name="documentManagement">
            <xsd:complexType>
              <xsd:all>
                <xsd:element ref="ns2:_Flow_SignoffStatus" minOccurs="0"/>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c43ce3-81ec-402b-80ba-78a9dd9e4eec" elementFormDefault="qualified">
    <xsd:import namespace="http://schemas.microsoft.com/office/2006/documentManagement/types"/>
    <xsd:import namespace="http://schemas.microsoft.com/office/infopath/2007/PartnerControls"/>
    <xsd:element name="_Flow_SignoffStatus" ma:index="8" nillable="true" ma:displayName="Sign-off status" ma:internalName="Sign_x002d_off_x0020_status">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47b865-0396-4799-a2b2-a6ca785fd5c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CF63A4-F8CD-416A-8802-394273B76860}">
  <ds:schemaRefs>
    <ds:schemaRef ds:uri="http://schemas.microsoft.com/office/2006/metadata/properties"/>
    <ds:schemaRef ds:uri="http://schemas.microsoft.com/office/infopath/2007/PartnerControls"/>
    <ds:schemaRef ds:uri="0bc43ce3-81ec-402b-80ba-78a9dd9e4eec"/>
  </ds:schemaRefs>
</ds:datastoreItem>
</file>

<file path=customXml/itemProps2.xml><?xml version="1.0" encoding="utf-8"?>
<ds:datastoreItem xmlns:ds="http://schemas.openxmlformats.org/officeDocument/2006/customXml" ds:itemID="{18B9FA05-0248-4548-BF7E-DEADEC5DCE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c43ce3-81ec-402b-80ba-78a9dd9e4eec"/>
    <ds:schemaRef ds:uri="0b47b865-0396-4799-a2b2-a6ca785fd5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D8B8F1-8ADD-4EEA-A7EB-8E580FC5AC8C}">
  <ds:schemaRefs>
    <ds:schemaRef ds:uri="http://schemas.microsoft.com/sharepoint/v3/contenttype/forms"/>
  </ds:schemaRefs>
</ds:datastoreItem>
</file>

<file path=customXml/itemProps4.xml><?xml version="1.0" encoding="utf-8"?>
<ds:datastoreItem xmlns:ds="http://schemas.openxmlformats.org/officeDocument/2006/customXml" ds:itemID="{4F0440A8-7BC8-4CD0-8EC4-DD38B8CE8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CBAGroup Word Template_Beacon (3).dotx</Template>
  <TotalTime>0</TotalTime>
  <Pages>8</Pages>
  <Words>2533</Words>
  <Characters>14443</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 Gulshan</dc:creator>
  <cp:keywords/>
  <dc:description/>
  <cp:lastModifiedBy>WILEY, Georgia</cp:lastModifiedBy>
  <cp:revision>2</cp:revision>
  <cp:lastPrinted>2021-07-09T08:52:00Z</cp:lastPrinted>
  <dcterms:created xsi:type="dcterms:W3CDTF">2021-07-19T02:54:00Z</dcterms:created>
  <dcterms:modified xsi:type="dcterms:W3CDTF">2021-07-19T02:54:00Z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a6b3d44-d2fc-4c60-b811-b579f15d49e3_Enabled">
    <vt:lpwstr>True</vt:lpwstr>
  </property>
  <property fmtid="{D5CDD505-2E9C-101B-9397-08002B2CF9AE}" pid="3" name="MSIP_Label_fa6b3d44-d2fc-4c60-b811-b579f15d49e3_SiteId">
    <vt:lpwstr>dddffba0-6c17-4f34-9748-3fa5e08cc366</vt:lpwstr>
  </property>
  <property fmtid="{D5CDD505-2E9C-101B-9397-08002B2CF9AE}" pid="4" name="MSIP_Label_fa6b3d44-d2fc-4c60-b811-b579f15d49e3_Owner">
    <vt:lpwstr>Katreena.Tyson@cba.com.au</vt:lpwstr>
  </property>
  <property fmtid="{D5CDD505-2E9C-101B-9397-08002B2CF9AE}" pid="5" name="MSIP_Label_fa6b3d44-d2fc-4c60-b811-b579f15d49e3_SetDate">
    <vt:lpwstr>2020-10-12T22:22:23.0533737Z</vt:lpwstr>
  </property>
  <property fmtid="{D5CDD505-2E9C-101B-9397-08002B2CF9AE}" pid="6" name="MSIP_Label_fa6b3d44-d2fc-4c60-b811-b579f15d49e3_Name">
    <vt:lpwstr>Group Use</vt:lpwstr>
  </property>
  <property fmtid="{D5CDD505-2E9C-101B-9397-08002B2CF9AE}" pid="7" name="MSIP_Label_fa6b3d44-d2fc-4c60-b811-b579f15d49e3_Application">
    <vt:lpwstr>Microsoft Azure Information Protection</vt:lpwstr>
  </property>
  <property fmtid="{D5CDD505-2E9C-101B-9397-08002B2CF9AE}" pid="8" name="MSIP_Label_fa6b3d44-d2fc-4c60-b811-b579f15d49e3_ActionId">
    <vt:lpwstr>58dfc4a9-4296-4182-9208-b315dc042a53</vt:lpwstr>
  </property>
  <property fmtid="{D5CDD505-2E9C-101B-9397-08002B2CF9AE}" pid="9" name="MSIP_Label_fa6b3d44-d2fc-4c60-b811-b579f15d49e3_Extended_MSFT_Method">
    <vt:lpwstr>Manual</vt:lpwstr>
  </property>
  <property fmtid="{D5CDD505-2E9C-101B-9397-08002B2CF9AE}" pid="10" name="Sensitivity">
    <vt:lpwstr>Group Use</vt:lpwstr>
  </property>
  <property fmtid="{D5CDD505-2E9C-101B-9397-08002B2CF9AE}" pid="11" name="ContentTypeId">
    <vt:lpwstr>0x0101001A287C6A8F7E5B488ED28132C64A373D</vt:lpwstr>
  </property>
</Properties>
</file>