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5A056" w14:textId="77777777" w:rsidR="00974884" w:rsidRDefault="00974884" w:rsidP="005B1CCE">
      <w:pPr>
        <w:autoSpaceDE w:val="0"/>
        <w:autoSpaceDN w:val="0"/>
        <w:adjustRightInd w:val="0"/>
        <w:spacing w:after="0" w:line="240" w:lineRule="auto"/>
      </w:pPr>
    </w:p>
    <w:p w14:paraId="26F8AC5D" w14:textId="39E3872D" w:rsidR="005B1CCE" w:rsidRPr="005B1CCE" w:rsidRDefault="005B1CCE" w:rsidP="005B1CCE">
      <w:pPr>
        <w:autoSpaceDE w:val="0"/>
        <w:autoSpaceDN w:val="0"/>
        <w:adjustRightInd w:val="0"/>
        <w:spacing w:after="0" w:line="240" w:lineRule="auto"/>
      </w:pPr>
      <w:r w:rsidRPr="005B1CCE">
        <w:t>Dr. Tony Richards</w:t>
      </w:r>
    </w:p>
    <w:p w14:paraId="402B2B6B" w14:textId="057CFCBE" w:rsidR="005B1CCE" w:rsidRPr="005B1CCE" w:rsidRDefault="005B1CCE" w:rsidP="005B1CCE">
      <w:pPr>
        <w:autoSpaceDE w:val="0"/>
        <w:autoSpaceDN w:val="0"/>
        <w:adjustRightInd w:val="0"/>
        <w:spacing w:after="0" w:line="240" w:lineRule="auto"/>
      </w:pPr>
      <w:r w:rsidRPr="005B1CCE">
        <w:t>Head of Payments Policy Department</w:t>
      </w:r>
    </w:p>
    <w:p w14:paraId="532D9185" w14:textId="77777777" w:rsidR="005B1CCE" w:rsidRPr="005B1CCE" w:rsidRDefault="005B1CCE" w:rsidP="005B1CCE">
      <w:pPr>
        <w:autoSpaceDE w:val="0"/>
        <w:autoSpaceDN w:val="0"/>
        <w:adjustRightInd w:val="0"/>
        <w:spacing w:after="0" w:line="240" w:lineRule="auto"/>
      </w:pPr>
      <w:r w:rsidRPr="005B1CCE">
        <w:t>Reserve Bank of Australia</w:t>
      </w:r>
    </w:p>
    <w:p w14:paraId="16347981" w14:textId="77777777" w:rsidR="005B1CCE" w:rsidRPr="005B1CCE" w:rsidRDefault="005B1CCE" w:rsidP="005B1CCE">
      <w:pPr>
        <w:autoSpaceDE w:val="0"/>
        <w:autoSpaceDN w:val="0"/>
        <w:adjustRightInd w:val="0"/>
        <w:spacing w:after="0" w:line="240" w:lineRule="auto"/>
      </w:pPr>
      <w:r w:rsidRPr="005B1CCE">
        <w:t>GPO Box 3947</w:t>
      </w:r>
    </w:p>
    <w:p w14:paraId="762609B3" w14:textId="77777777" w:rsidR="005B1CCE" w:rsidRPr="005B1CCE" w:rsidRDefault="005B1CCE" w:rsidP="005B1CCE">
      <w:pPr>
        <w:autoSpaceDE w:val="0"/>
        <w:autoSpaceDN w:val="0"/>
        <w:adjustRightInd w:val="0"/>
        <w:spacing w:after="0" w:line="240" w:lineRule="auto"/>
      </w:pPr>
      <w:r w:rsidRPr="005B1CCE">
        <w:t>Sydney NSW 2001</w:t>
      </w:r>
    </w:p>
    <w:p w14:paraId="2C4F0EF1" w14:textId="30081877" w:rsidR="005B1CCE" w:rsidRDefault="005B1CCE" w:rsidP="005B1CC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1"/>
          <w:szCs w:val="21"/>
        </w:rPr>
      </w:pPr>
    </w:p>
    <w:p w14:paraId="6FFCF137" w14:textId="74A74C29" w:rsidR="005B1CCE" w:rsidRDefault="007E3D9D" w:rsidP="005B1CCE">
      <w:pPr>
        <w:rPr>
          <w:rFonts w:ascii="Times New Roman" w:hAnsi="Times New Roman" w:cs="Times New Roman"/>
          <w:color w:val="0000FF"/>
          <w:sz w:val="21"/>
          <w:szCs w:val="21"/>
        </w:rPr>
      </w:pPr>
      <w:hyperlink r:id="rId8" w:history="1">
        <w:r w:rsidR="005B1CCE" w:rsidRPr="007D1872">
          <w:rPr>
            <w:rStyle w:val="Hyperlink"/>
            <w:rFonts w:ascii="Times New Roman" w:hAnsi="Times New Roman" w:cs="Times New Roman"/>
            <w:sz w:val="21"/>
            <w:szCs w:val="21"/>
          </w:rPr>
          <w:t>pysubmissions@rba.gov.au</w:t>
        </w:r>
      </w:hyperlink>
    </w:p>
    <w:p w14:paraId="6E44E715" w14:textId="136F2068" w:rsidR="005B1CCE" w:rsidRPr="00523EC1" w:rsidRDefault="001849F0" w:rsidP="00523EC1">
      <w:pPr>
        <w:jc w:val="right"/>
      </w:pPr>
      <w:r>
        <w:t>9</w:t>
      </w:r>
      <w:r w:rsidRPr="00523EC1">
        <w:t xml:space="preserve"> </w:t>
      </w:r>
      <w:r w:rsidR="00523EC1" w:rsidRPr="00523EC1">
        <w:t>July 2021</w:t>
      </w:r>
    </w:p>
    <w:p w14:paraId="3172AF43" w14:textId="17BA6B58" w:rsidR="005B1CCE" w:rsidRDefault="005B1CCE" w:rsidP="005B1CCE">
      <w:pPr>
        <w:rPr>
          <w:rFonts w:ascii="Times New Roman" w:hAnsi="Times New Roman" w:cs="Times New Roman"/>
          <w:color w:val="0000FF"/>
          <w:sz w:val="21"/>
          <w:szCs w:val="21"/>
        </w:rPr>
      </w:pPr>
    </w:p>
    <w:p w14:paraId="65B4C5D0" w14:textId="47F3E71B" w:rsidR="005B1CCE" w:rsidRDefault="005B1CCE" w:rsidP="005B1CCE">
      <w:r>
        <w:t>Dear Dr. Richards</w:t>
      </w:r>
    </w:p>
    <w:p w14:paraId="47A6E486" w14:textId="5562C3D0" w:rsidR="00651144" w:rsidRPr="00651144" w:rsidRDefault="00651144" w:rsidP="00034C34">
      <w:pPr>
        <w:spacing w:after="240"/>
        <w:jc w:val="center"/>
        <w:rPr>
          <w:b/>
          <w:bCs/>
        </w:rPr>
      </w:pPr>
      <w:r w:rsidRPr="00651144">
        <w:rPr>
          <w:b/>
          <w:bCs/>
        </w:rPr>
        <w:t>Re: Review of Retail Payments Regulation: Consultation Paper, May 2021</w:t>
      </w:r>
    </w:p>
    <w:p w14:paraId="0A379EB9" w14:textId="1275BACC" w:rsidR="00651144" w:rsidRDefault="00C35923" w:rsidP="00034C34">
      <w:pPr>
        <w:spacing w:after="240"/>
        <w:jc w:val="both"/>
      </w:pPr>
      <w:r>
        <w:rPr>
          <w:rFonts w:ascii="Arial" w:hAnsi="Arial" w:cs="Arial"/>
          <w:color w:val="000000"/>
          <w:sz w:val="20"/>
          <w:szCs w:val="20"/>
          <w:lang w:eastAsia="en-AU"/>
        </w:rPr>
        <w:t>Macquarie Group Limited</w:t>
      </w:r>
      <w:r>
        <w:t xml:space="preserve"> </w:t>
      </w:r>
      <w:r w:rsidR="00651144">
        <w:t>(</w:t>
      </w:r>
      <w:r>
        <w:t>Macquarie</w:t>
      </w:r>
      <w:r w:rsidR="00651144">
        <w:t xml:space="preserve">) appreciates the opportunity to respond to the above </w:t>
      </w:r>
      <w:r w:rsidR="005E5785">
        <w:t>C</w:t>
      </w:r>
      <w:r w:rsidR="00651144">
        <w:t xml:space="preserve">onsultation </w:t>
      </w:r>
      <w:r w:rsidR="005E5785">
        <w:t>P</w:t>
      </w:r>
      <w:r w:rsidR="00651144">
        <w:t>aper issued by the Reserve Bank of Australia (RBA).</w:t>
      </w:r>
    </w:p>
    <w:p w14:paraId="73ECF200" w14:textId="660D8997" w:rsidR="00651144" w:rsidRPr="00651144" w:rsidRDefault="00651144" w:rsidP="00651144">
      <w:pPr>
        <w:rPr>
          <w:b/>
          <w:bCs/>
        </w:rPr>
      </w:pPr>
      <w:r w:rsidRPr="00651144">
        <w:rPr>
          <w:b/>
          <w:bCs/>
        </w:rPr>
        <w:t>Background</w:t>
      </w:r>
    </w:p>
    <w:p w14:paraId="12D0D096" w14:textId="0104BEBC" w:rsidR="00651144" w:rsidRDefault="00C35923" w:rsidP="00C35923">
      <w:pPr>
        <w:jc w:val="both"/>
      </w:pPr>
      <w:r>
        <w:t>Macquarie</w:t>
      </w:r>
      <w:r w:rsidR="00316E28">
        <w:t xml:space="preserve"> has </w:t>
      </w:r>
      <w:r w:rsidR="00651144">
        <w:t>an Authorised Deposit-taking Institution (ADI)</w:t>
      </w:r>
      <w:r w:rsidR="00316E28">
        <w:t>, Macquarie Bank Limited,</w:t>
      </w:r>
      <w:r w:rsidR="00651144">
        <w:t xml:space="preserve"> and</w:t>
      </w:r>
      <w:r w:rsidR="00316E28">
        <w:t>, at the subsidiary level,</w:t>
      </w:r>
      <w:r w:rsidR="00651144">
        <w:t xml:space="preserve"> also hold</w:t>
      </w:r>
      <w:r w:rsidR="00642168">
        <w:t>s</w:t>
      </w:r>
      <w:r w:rsidR="00651144">
        <w:t xml:space="preserve"> an Australian Financial Services Licence and Australian Credit Licence. </w:t>
      </w:r>
      <w:r w:rsidR="00ED5E97">
        <w:t>We operate a retail banking and financial services business, providing a range of personal banking, wealth management, business banking and vehicle finance products and services.</w:t>
      </w:r>
    </w:p>
    <w:p w14:paraId="71FC7EF7" w14:textId="27CB8B71" w:rsidR="00651144" w:rsidRDefault="008B367A" w:rsidP="003F6A8A">
      <w:pPr>
        <w:jc w:val="both"/>
      </w:pPr>
      <w:r>
        <w:t>Within our personal banking business, w</w:t>
      </w:r>
      <w:r w:rsidR="004D06DD">
        <w:t xml:space="preserve">e offer a range of banking products including transaction and savings accounts, debit and credit cards and home loans. We also offer access to a range of different payment methods, including the New Payments Platform (NPP), BPAY, Direct Entry, cards, and SWIFT. </w:t>
      </w:r>
      <w:r w:rsidR="003F6A8A">
        <w:t xml:space="preserve">Macquarie recently moved from </w:t>
      </w:r>
      <w:r w:rsidR="00883B58">
        <w:t xml:space="preserve">issuing </w:t>
      </w:r>
      <w:r w:rsidR="003F6A8A">
        <w:t>Multi Network Debit Cards (MNDC) to Single Network Debit Cards (SNDC) due to the additional costs that we were incurring to support two debit networks</w:t>
      </w:r>
      <w:r w:rsidR="003B1D20">
        <w:t>. T</w:t>
      </w:r>
      <w:r w:rsidR="00642168">
        <w:t>hese costs</w:t>
      </w:r>
      <w:r w:rsidR="003F6A8A">
        <w:t xml:space="preserve"> were significant on a “per card account” basis due to the small size of our debit card portfolio.</w:t>
      </w:r>
      <w:r w:rsidR="0012592C">
        <w:t xml:space="preserve">  We acknowledge that this problem has been recognised in the </w:t>
      </w:r>
      <w:r w:rsidR="0012592C" w:rsidRPr="0012592C">
        <w:t>Review of Retail Payments Regulation</w:t>
      </w:r>
      <w:r w:rsidR="0012592C">
        <w:t>’s</w:t>
      </w:r>
      <w:r w:rsidR="0012592C" w:rsidRPr="0012592C">
        <w:t xml:space="preserve"> Consultation Paper</w:t>
      </w:r>
      <w:r w:rsidR="0012592C">
        <w:t xml:space="preserve"> (as released on 28</w:t>
      </w:r>
      <w:r w:rsidR="0012592C" w:rsidRPr="0012592C">
        <w:t xml:space="preserve"> May 2021</w:t>
      </w:r>
      <w:r w:rsidR="0012592C">
        <w:t>) and support</w:t>
      </w:r>
      <w:r w:rsidR="00E363B4">
        <w:t xml:space="preserve"> the RBA’s</w:t>
      </w:r>
      <w:r w:rsidR="0012592C">
        <w:t xml:space="preserve"> recommendation that smaller card issuers should be allowed to issue SNDC.</w:t>
      </w:r>
    </w:p>
    <w:p w14:paraId="7715366E" w14:textId="14E9D86F" w:rsidR="00724C80" w:rsidRDefault="00724C80" w:rsidP="00651144">
      <w:pPr>
        <w:rPr>
          <w:b/>
          <w:bCs/>
        </w:rPr>
      </w:pPr>
      <w:r w:rsidRPr="00724C80">
        <w:rPr>
          <w:b/>
          <w:bCs/>
        </w:rPr>
        <w:t>Comment</w:t>
      </w:r>
      <w:r w:rsidR="00034C34">
        <w:rPr>
          <w:b/>
          <w:bCs/>
        </w:rPr>
        <w:t>s</w:t>
      </w:r>
      <w:r w:rsidRPr="00724C80">
        <w:rPr>
          <w:b/>
          <w:bCs/>
        </w:rPr>
        <w:t xml:space="preserve"> on Debit Card Recommendations</w:t>
      </w:r>
    </w:p>
    <w:p w14:paraId="4756DAAA" w14:textId="78D52AF1" w:rsidR="00034C34" w:rsidRPr="00034C34" w:rsidRDefault="00034C34" w:rsidP="00B840F8">
      <w:pPr>
        <w:jc w:val="both"/>
      </w:pPr>
      <w:r>
        <w:t>Macquarie make</w:t>
      </w:r>
      <w:r w:rsidR="00DC650A">
        <w:t>s</w:t>
      </w:r>
      <w:r>
        <w:t xml:space="preserve"> </w:t>
      </w:r>
      <w:r w:rsidR="00491AD3">
        <w:t>the following comments</w:t>
      </w:r>
      <w:r w:rsidR="00594AD8">
        <w:t xml:space="preserve"> in relation to </w:t>
      </w:r>
      <w:r>
        <w:t>the</w:t>
      </w:r>
      <w:r w:rsidR="008E7921">
        <w:t xml:space="preserve"> preliminary</w:t>
      </w:r>
      <w:r>
        <w:t xml:space="preserve"> </w:t>
      </w:r>
      <w:r w:rsidR="00FB1C96">
        <w:t xml:space="preserve">views taken by the RBA </w:t>
      </w:r>
      <w:r w:rsidR="008F7E7B">
        <w:t xml:space="preserve">on debit cards </w:t>
      </w:r>
      <w:r>
        <w:t>in the Consultation Paper</w:t>
      </w:r>
      <w:r w:rsidR="0028251D">
        <w:t>:</w:t>
      </w:r>
    </w:p>
    <w:p w14:paraId="21D26F46" w14:textId="7B3CE098" w:rsidR="0067449E" w:rsidRDefault="00B840F8" w:rsidP="00B840F8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>We believe that the t</w:t>
      </w:r>
      <w:r w:rsidR="0067449E">
        <w:t>wo</w:t>
      </w:r>
      <w:r>
        <w:t>-</w:t>
      </w:r>
      <w:r w:rsidR="0067449E">
        <w:t xml:space="preserve">tier cap system </w:t>
      </w:r>
      <w:r w:rsidR="006F515A">
        <w:t xml:space="preserve">that is </w:t>
      </w:r>
      <w:r>
        <w:t xml:space="preserve">proposed </w:t>
      </w:r>
      <w:r w:rsidR="0067449E">
        <w:t>on MNDC and SNDC interchange</w:t>
      </w:r>
      <w:r>
        <w:t xml:space="preserve"> rates</w:t>
      </w:r>
      <w:r w:rsidR="0067449E">
        <w:t xml:space="preserve"> is a good approach</w:t>
      </w:r>
      <w:r w:rsidR="006F515A">
        <w:t xml:space="preserve">, and that the </w:t>
      </w:r>
      <w:proofErr w:type="gramStart"/>
      <w:r w:rsidR="00316E28">
        <w:t>four</w:t>
      </w:r>
      <w:r w:rsidR="006F515A">
        <w:t xml:space="preserve"> cent</w:t>
      </w:r>
      <w:proofErr w:type="gramEnd"/>
      <w:r w:rsidR="006F515A">
        <w:t xml:space="preserve"> differential </w:t>
      </w:r>
      <w:r w:rsidR="00FF3EFE">
        <w:t>between these</w:t>
      </w:r>
      <w:r w:rsidR="0062644B">
        <w:t xml:space="preserve"> </w:t>
      </w:r>
      <w:r w:rsidR="006F515A">
        <w:t>caps</w:t>
      </w:r>
      <w:r w:rsidR="006E5D8D">
        <w:t xml:space="preserve"> should provide sufficient incentive for larger issuers to continue supporting MNDC.  Although our own portfolio will be held to interchange rates </w:t>
      </w:r>
      <w:r w:rsidR="00732E2C">
        <w:t>of</w:t>
      </w:r>
      <w:r w:rsidR="006E5D8D">
        <w:t xml:space="preserve"> </w:t>
      </w:r>
      <w:r w:rsidR="00316E28">
        <w:t>six</w:t>
      </w:r>
      <w:r w:rsidR="006E5D8D">
        <w:t xml:space="preserve"> cents per transaction or less, we understand and support the logic of SNDC economics being restricted in this way.</w:t>
      </w:r>
    </w:p>
    <w:p w14:paraId="3BA02CD8" w14:textId="60365EE1" w:rsidR="00471B91" w:rsidRDefault="00637FAD" w:rsidP="00B840F8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>If</w:t>
      </w:r>
      <w:r w:rsidRPr="00471B91">
        <w:t xml:space="preserve"> </w:t>
      </w:r>
      <w:r w:rsidR="0067449E" w:rsidRPr="00471B91">
        <w:t>the proposed caps</w:t>
      </w:r>
      <w:r w:rsidR="00A16DF2" w:rsidRPr="00471B91">
        <w:t xml:space="preserve"> on MNDC and SNDC interchange rates are enacted</w:t>
      </w:r>
      <w:r w:rsidR="0067449E" w:rsidRPr="00471B91">
        <w:t>, debit cards in general</w:t>
      </w:r>
      <w:r w:rsidR="002D5255" w:rsidRPr="00471B91">
        <w:t>,</w:t>
      </w:r>
      <w:r w:rsidR="0067449E" w:rsidRPr="00471B91">
        <w:t xml:space="preserve"> and </w:t>
      </w:r>
      <w:proofErr w:type="gramStart"/>
      <w:r w:rsidR="00A16DF2" w:rsidRPr="00471B91">
        <w:t xml:space="preserve">SNDC in </w:t>
      </w:r>
      <w:r w:rsidR="0067449E" w:rsidRPr="00471B91">
        <w:t>particular</w:t>
      </w:r>
      <w:r w:rsidR="002D5255" w:rsidRPr="00471B91">
        <w:t>,</w:t>
      </w:r>
      <w:r w:rsidR="0067449E" w:rsidRPr="00471B91">
        <w:t xml:space="preserve"> will</w:t>
      </w:r>
      <w:proofErr w:type="gramEnd"/>
      <w:r w:rsidR="0067449E" w:rsidRPr="00471B91">
        <w:t xml:space="preserve"> become a </w:t>
      </w:r>
      <w:r w:rsidR="00592C22" w:rsidRPr="00471B91">
        <w:t>low-cost</w:t>
      </w:r>
      <w:r w:rsidR="0067449E" w:rsidRPr="00471B91">
        <w:t xml:space="preserve"> </w:t>
      </w:r>
      <w:r w:rsidR="009C6EC3" w:rsidRPr="00471B91">
        <w:t>method of payment acceptance for merchants.</w:t>
      </w:r>
      <w:r w:rsidR="0067449E" w:rsidRPr="00471B91">
        <w:t xml:space="preserve"> </w:t>
      </w:r>
      <w:r w:rsidR="00B5115F" w:rsidRPr="00471B91">
        <w:t xml:space="preserve">Section 3.2.1 of the Consultation Paper notes that the average debit card transaction is now $50, against which </w:t>
      </w:r>
      <w:r w:rsidR="00471B91">
        <w:t>–</w:t>
      </w:r>
    </w:p>
    <w:p w14:paraId="22C575AE" w14:textId="777B5579" w:rsidR="00471B91" w:rsidRDefault="00471B91" w:rsidP="00471B91">
      <w:pPr>
        <w:pStyle w:val="ListParagraph"/>
        <w:numPr>
          <w:ilvl w:val="1"/>
          <w:numId w:val="2"/>
        </w:numPr>
        <w:contextualSpacing w:val="0"/>
        <w:jc w:val="both"/>
      </w:pPr>
      <w:r w:rsidRPr="00471B91">
        <w:lastRenderedPageBreak/>
        <w:t xml:space="preserve">the proposed </w:t>
      </w:r>
      <w:r>
        <w:t>10</w:t>
      </w:r>
      <w:r w:rsidRPr="00471B91">
        <w:t xml:space="preserve"> cent interchange cap on </w:t>
      </w:r>
      <w:r w:rsidR="005E5785">
        <w:t xml:space="preserve">a </w:t>
      </w:r>
      <w:r>
        <w:t>M</w:t>
      </w:r>
      <w:r w:rsidRPr="00471B91">
        <w:t>NDC would amount to 0.</w:t>
      </w:r>
      <w:r>
        <w:t>20</w:t>
      </w:r>
      <w:r w:rsidR="00316E28">
        <w:t xml:space="preserve"> </w:t>
      </w:r>
      <w:r w:rsidR="004E7026">
        <w:t>percent</w:t>
      </w:r>
      <w:r w:rsidR="001A67D2">
        <w:t xml:space="preserve"> per </w:t>
      </w:r>
      <w:r w:rsidR="007A4857">
        <w:t xml:space="preserve">average </w:t>
      </w:r>
      <w:r w:rsidR="001A67D2">
        <w:t>transaction</w:t>
      </w:r>
      <w:r>
        <w:t>; and</w:t>
      </w:r>
      <w:r w:rsidRPr="00471B91">
        <w:t xml:space="preserve"> </w:t>
      </w:r>
    </w:p>
    <w:p w14:paraId="4A172FFF" w14:textId="393B422C" w:rsidR="00471B91" w:rsidRDefault="00B5115F" w:rsidP="00471B91">
      <w:pPr>
        <w:pStyle w:val="ListParagraph"/>
        <w:numPr>
          <w:ilvl w:val="1"/>
          <w:numId w:val="2"/>
        </w:numPr>
        <w:contextualSpacing w:val="0"/>
        <w:jc w:val="both"/>
      </w:pPr>
      <w:r w:rsidRPr="00471B91">
        <w:t xml:space="preserve">the proposed </w:t>
      </w:r>
      <w:r w:rsidR="00316E28">
        <w:t>six</w:t>
      </w:r>
      <w:r w:rsidRPr="00471B91">
        <w:t xml:space="preserve"> cent interchange cap on </w:t>
      </w:r>
      <w:r w:rsidR="005E5785">
        <w:t xml:space="preserve">a </w:t>
      </w:r>
      <w:r w:rsidRPr="00471B91">
        <w:t>SNDC would amount to 0.12</w:t>
      </w:r>
      <w:r w:rsidR="004E7026">
        <w:t xml:space="preserve"> percent</w:t>
      </w:r>
      <w:r w:rsidR="001A67D2">
        <w:t xml:space="preserve"> per </w:t>
      </w:r>
      <w:r w:rsidR="007A4857">
        <w:t xml:space="preserve">average </w:t>
      </w:r>
      <w:r w:rsidR="001A67D2">
        <w:t>transaction</w:t>
      </w:r>
      <w:r w:rsidR="00471B91">
        <w:t>.</w:t>
      </w:r>
    </w:p>
    <w:p w14:paraId="4ED5FFD8" w14:textId="3BF2DFAD" w:rsidR="00B5115F" w:rsidRPr="00471B91" w:rsidRDefault="00C54739" w:rsidP="00073338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>Both</w:t>
      </w:r>
      <w:r w:rsidRPr="00471B91">
        <w:t xml:space="preserve"> </w:t>
      </w:r>
      <w:r>
        <w:t>percentage</w:t>
      </w:r>
      <w:r w:rsidR="00C51FD8">
        <w:t xml:space="preserve"> figures above are </w:t>
      </w:r>
      <w:r w:rsidR="00471B91">
        <w:t xml:space="preserve">at </w:t>
      </w:r>
      <w:proofErr w:type="gramStart"/>
      <w:r w:rsidR="00471B91">
        <w:t>or</w:t>
      </w:r>
      <w:proofErr w:type="gramEnd"/>
      <w:r w:rsidR="00B5115F" w:rsidRPr="00471B91">
        <w:t xml:space="preserve"> below the debit card interchange rate of 0.2</w:t>
      </w:r>
      <w:r w:rsidR="00DE408F">
        <w:t xml:space="preserve"> percent</w:t>
      </w:r>
      <w:r w:rsidR="00B5115F" w:rsidRPr="00471B91">
        <w:t xml:space="preserve"> </w:t>
      </w:r>
      <w:r w:rsidR="004119AE">
        <w:t xml:space="preserve">per </w:t>
      </w:r>
      <w:r w:rsidR="00736892">
        <w:t xml:space="preserve">average </w:t>
      </w:r>
      <w:r w:rsidR="004119AE">
        <w:t xml:space="preserve">transaction </w:t>
      </w:r>
      <w:r w:rsidR="00B5115F" w:rsidRPr="00471B91">
        <w:t xml:space="preserve">as regulated in the European Union (EU).  </w:t>
      </w:r>
      <w:r w:rsidR="00471B91">
        <w:t>Indeed</w:t>
      </w:r>
      <w:r w:rsidR="00C51FD8">
        <w:t>,</w:t>
      </w:r>
      <w:r w:rsidR="00471B91">
        <w:t xml:space="preserve"> o</w:t>
      </w:r>
      <w:r w:rsidR="00B5115F" w:rsidRPr="00471B91">
        <w:t xml:space="preserve">nly in transactions below $30 would the </w:t>
      </w:r>
      <w:proofErr w:type="gramStart"/>
      <w:r w:rsidR="00316E28">
        <w:t>six</w:t>
      </w:r>
      <w:r w:rsidR="00B5115F" w:rsidRPr="00471B91">
        <w:t xml:space="preserve"> cent</w:t>
      </w:r>
      <w:proofErr w:type="gramEnd"/>
      <w:r w:rsidR="00B5115F" w:rsidRPr="00471B91">
        <w:t xml:space="preserve"> interchange cap move above the EU regulated percentage</w:t>
      </w:r>
      <w:r w:rsidR="00EE28A6" w:rsidRPr="00471B91">
        <w:t>.</w:t>
      </w:r>
    </w:p>
    <w:p w14:paraId="21039C8F" w14:textId="04616402" w:rsidR="0067449E" w:rsidRDefault="00EE28A6" w:rsidP="00EE28A6">
      <w:pPr>
        <w:pStyle w:val="ListParagraph"/>
        <w:numPr>
          <w:ilvl w:val="0"/>
          <w:numId w:val="2"/>
        </w:numPr>
        <w:spacing w:after="240"/>
        <w:ind w:left="360" w:hanging="360"/>
        <w:contextualSpacing w:val="0"/>
        <w:jc w:val="both"/>
      </w:pPr>
      <w:r>
        <w:t>With more and more Australian</w:t>
      </w:r>
      <w:r w:rsidR="0067449E">
        <w:t xml:space="preserve"> merchants </w:t>
      </w:r>
      <w:r>
        <w:t>adopting a Merchant Service Fee (</w:t>
      </w:r>
      <w:r w:rsidR="0067449E">
        <w:t>MSF</w:t>
      </w:r>
      <w:r>
        <w:t xml:space="preserve">) structure of “Interchange +” </w:t>
      </w:r>
      <w:r w:rsidR="007C3B4C">
        <w:rPr>
          <w:rStyle w:val="FootnoteReference"/>
        </w:rPr>
        <w:footnoteReference w:id="2"/>
      </w:r>
      <w:r w:rsidR="0067449E">
        <w:t xml:space="preserve">, </w:t>
      </w:r>
      <w:r>
        <w:t xml:space="preserve">we </w:t>
      </w:r>
      <w:r w:rsidR="00DC650A">
        <w:t xml:space="preserve">expect </w:t>
      </w:r>
      <w:r>
        <w:t xml:space="preserve">that </w:t>
      </w:r>
      <w:r w:rsidR="0067449E">
        <w:t>the</w:t>
      </w:r>
      <w:r>
        <w:t xml:space="preserve"> lower interchange caps on MNDC and</w:t>
      </w:r>
      <w:r w:rsidR="0067449E">
        <w:t xml:space="preserve"> SNDC </w:t>
      </w:r>
      <w:r>
        <w:t>will result in lower costs for merchants.</w:t>
      </w:r>
      <w:r w:rsidR="004E0B19">
        <w:t xml:space="preserve">  The MSF statistics published by the RBA show that in March 2021, the average MSF on EFTPOS debit was 0.3</w:t>
      </w:r>
      <w:r w:rsidR="00B10B04">
        <w:t xml:space="preserve"> percent</w:t>
      </w:r>
      <w:r w:rsidR="004E0B19">
        <w:t xml:space="preserve"> and on Visa/Mastercard debit (including online and overseas transactions) was 0.5</w:t>
      </w:r>
      <w:r w:rsidR="00316E28">
        <w:t xml:space="preserve"> percent</w:t>
      </w:r>
      <w:r w:rsidR="00380AC7">
        <w:t>.</w:t>
      </w:r>
      <w:r w:rsidR="004E0B19">
        <w:t xml:space="preserve"> </w:t>
      </w:r>
      <w:proofErr w:type="gramStart"/>
      <w:r w:rsidR="00380AC7">
        <w:t>B</w:t>
      </w:r>
      <w:r w:rsidR="004E0B19">
        <w:t>oth of these</w:t>
      </w:r>
      <w:proofErr w:type="gramEnd"/>
      <w:r w:rsidR="004E0B19">
        <w:t xml:space="preserve"> figures should see downward pressure </w:t>
      </w:r>
      <w:r w:rsidR="003B4D78">
        <w:t>with</w:t>
      </w:r>
      <w:r w:rsidR="004E0B19">
        <w:t xml:space="preserve"> the enactment of the new caps.</w:t>
      </w:r>
    </w:p>
    <w:p w14:paraId="4050E925" w14:textId="5B9A33C2" w:rsidR="00EE28A6" w:rsidRPr="00EE28A6" w:rsidRDefault="00EE28A6" w:rsidP="00EE28A6">
      <w:pPr>
        <w:jc w:val="both"/>
        <w:rPr>
          <w:b/>
          <w:bCs/>
        </w:rPr>
      </w:pPr>
      <w:r w:rsidRPr="00EE28A6">
        <w:rPr>
          <w:b/>
          <w:bCs/>
        </w:rPr>
        <w:t>Lower Costs of Acceptance and Surcharging</w:t>
      </w:r>
    </w:p>
    <w:p w14:paraId="70F3A965" w14:textId="0790DF9A" w:rsidR="005D40B7" w:rsidRDefault="0067449E" w:rsidP="005D40B7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 xml:space="preserve">In the EU, when card interchange costs were </w:t>
      </w:r>
      <w:r w:rsidR="00F45E20">
        <w:t>regulated</w:t>
      </w:r>
      <w:r>
        <w:t xml:space="preserve"> lower to 0.2</w:t>
      </w:r>
      <w:r w:rsidR="004F480E">
        <w:t xml:space="preserve"> percent</w:t>
      </w:r>
      <w:r>
        <w:t xml:space="preserve"> </w:t>
      </w:r>
      <w:r w:rsidR="00F45E20">
        <w:t>d</w:t>
      </w:r>
      <w:r>
        <w:t>ebit and 0.3</w:t>
      </w:r>
      <w:r w:rsidR="004F480E">
        <w:t xml:space="preserve"> percent</w:t>
      </w:r>
      <w:r>
        <w:t xml:space="preserve"> </w:t>
      </w:r>
      <w:r w:rsidR="00F45E20">
        <w:t>c</w:t>
      </w:r>
      <w:r>
        <w:t xml:space="preserve">redit, surcharging on card transactions </w:t>
      </w:r>
      <w:r w:rsidR="00F45E20">
        <w:t xml:space="preserve">(EU card at EU merchant) </w:t>
      </w:r>
      <w:r>
        <w:t xml:space="preserve">was </w:t>
      </w:r>
      <w:r w:rsidR="006D1AA9">
        <w:t>not allowed</w:t>
      </w:r>
      <w:r>
        <w:t xml:space="preserve">, as the resultant transaction costs </w:t>
      </w:r>
      <w:r w:rsidR="00F45E20">
        <w:t xml:space="preserve">for a merchant </w:t>
      </w:r>
      <w:proofErr w:type="gramStart"/>
      <w:r>
        <w:t xml:space="preserve">were </w:t>
      </w:r>
      <w:r w:rsidR="00F45E20">
        <w:t>considered to be</w:t>
      </w:r>
      <w:proofErr w:type="gramEnd"/>
      <w:r w:rsidR="00F45E20">
        <w:t xml:space="preserve"> </w:t>
      </w:r>
      <w:r>
        <w:t>near that of accepting cash</w:t>
      </w:r>
      <w:r w:rsidR="00F45E20">
        <w:t>.  Cash has traditionally be</w:t>
      </w:r>
      <w:r w:rsidR="00C51FD8">
        <w:t>en</w:t>
      </w:r>
      <w:r w:rsidR="00F45E20">
        <w:t xml:space="preserve"> considered to have the lowest cost of acceptance by merchants and in most jurisdictions the surcharging of cash (the country’s “legal tender”)</w:t>
      </w:r>
      <w:r w:rsidR="00F45E20" w:rsidRPr="00F45E20">
        <w:t xml:space="preserve"> </w:t>
      </w:r>
      <w:r w:rsidR="00F45E20">
        <w:t>payments is not permitted.</w:t>
      </w:r>
    </w:p>
    <w:p w14:paraId="048F7C10" w14:textId="3A082AB6" w:rsidR="0067449E" w:rsidRDefault="0067449E" w:rsidP="00B840F8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 xml:space="preserve">In Australia today, when </w:t>
      </w:r>
      <w:r w:rsidR="00960ECE">
        <w:t xml:space="preserve">choosing to </w:t>
      </w:r>
      <w:r>
        <w:t xml:space="preserve">levy a surcharge on card payments, many small </w:t>
      </w:r>
      <w:r w:rsidR="00F45E20">
        <w:t>“</w:t>
      </w:r>
      <w:r>
        <w:t>bricks &amp; mortar</w:t>
      </w:r>
      <w:r w:rsidR="00F45E20">
        <w:t>”</w:t>
      </w:r>
      <w:r>
        <w:t xml:space="preserve"> merchants put a </w:t>
      </w:r>
      <w:r w:rsidR="0039440A">
        <w:t>“</w:t>
      </w:r>
      <w:r>
        <w:t>blended</w:t>
      </w:r>
      <w:r w:rsidR="0039440A">
        <w:t>”</w:t>
      </w:r>
      <w:r>
        <w:t xml:space="preserve"> surcharge on </w:t>
      </w:r>
      <w:r w:rsidR="0039440A">
        <w:t xml:space="preserve">both </w:t>
      </w:r>
      <w:r>
        <w:t>credit and debit transactions</w:t>
      </w:r>
      <w:r w:rsidR="005067B4">
        <w:t>.  Such an approach already</w:t>
      </w:r>
      <w:r>
        <w:t xml:space="preserve"> unfairly penalises the lower cost debit card transactions</w:t>
      </w:r>
      <w:r w:rsidR="005067B4">
        <w:t xml:space="preserve">, </w:t>
      </w:r>
      <w:r w:rsidR="001A5904">
        <w:t>being well above the true cost of acceptance of debit</w:t>
      </w:r>
      <w:r w:rsidR="00D64C09">
        <w:t>.</w:t>
      </w:r>
      <w:r w:rsidR="006147BD">
        <w:t xml:space="preserve"> </w:t>
      </w:r>
      <w:r w:rsidR="00D64C09">
        <w:t>I</w:t>
      </w:r>
      <w:r w:rsidR="006147BD">
        <w:t>f</w:t>
      </w:r>
      <w:r w:rsidR="005067B4">
        <w:t xml:space="preserve"> the new interchange caps are enacted on debit cards this will </w:t>
      </w:r>
      <w:r w:rsidR="00D64C09">
        <w:t xml:space="preserve">further widen the gap between the </w:t>
      </w:r>
      <w:r w:rsidR="00430FA8">
        <w:t xml:space="preserve">blended </w:t>
      </w:r>
      <w:r w:rsidR="00D64C09">
        <w:t>surcharge</w:t>
      </w:r>
      <w:r w:rsidR="00430FA8">
        <w:t xml:space="preserve"> and the true cost of acceptance of debit</w:t>
      </w:r>
      <w:r w:rsidR="005067B4">
        <w:t>.</w:t>
      </w:r>
    </w:p>
    <w:p w14:paraId="739E78BE" w14:textId="4ABCA8E4" w:rsidR="001A5904" w:rsidRDefault="001A5904" w:rsidP="00B840F8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 xml:space="preserve">Surcharging of debit card transactions </w:t>
      </w:r>
      <w:r w:rsidR="00651855">
        <w:t>encourages</w:t>
      </w:r>
      <w:r>
        <w:t xml:space="preserve"> some consumers into </w:t>
      </w:r>
      <w:r w:rsidR="0039440A">
        <w:t xml:space="preserve">switching to </w:t>
      </w:r>
      <w:r>
        <w:t>us</w:t>
      </w:r>
      <w:r w:rsidR="0039440A">
        <w:t>e</w:t>
      </w:r>
      <w:r>
        <w:t xml:space="preserve"> cash for the payment.  Above relatively modest payment </w:t>
      </w:r>
      <w:r w:rsidR="006446DA">
        <w:t>amounts</w:t>
      </w:r>
      <w:r>
        <w:t>, cash becomes an economically more expensive payment method than debit card</w:t>
      </w:r>
      <w:r w:rsidR="00922898">
        <w:t xml:space="preserve"> and</w:t>
      </w:r>
      <w:r w:rsidR="002F6667">
        <w:t xml:space="preserve"> can</w:t>
      </w:r>
      <w:r w:rsidR="008F59ED">
        <w:t xml:space="preserve"> also</w:t>
      </w:r>
      <w:r w:rsidR="00860A00">
        <w:t xml:space="preserve"> bring</w:t>
      </w:r>
      <w:r w:rsidR="002F6667">
        <w:t xml:space="preserve"> other </w:t>
      </w:r>
      <w:r w:rsidR="00AB36C3">
        <w:t>risks to the economy</w:t>
      </w:r>
      <w:r w:rsidR="00922898">
        <w:t>.</w:t>
      </w:r>
      <w:r w:rsidR="00860A00">
        <w:t xml:space="preserve"> </w:t>
      </w:r>
      <w:r w:rsidR="008F59ED">
        <w:t xml:space="preserve"> </w:t>
      </w:r>
    </w:p>
    <w:p w14:paraId="05AF6CA6" w14:textId="69F4EE36" w:rsidR="00F26FA0" w:rsidRDefault="00DC650A" w:rsidP="00B840F8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>T</w:t>
      </w:r>
      <w:r w:rsidR="00F26FA0">
        <w:t xml:space="preserve">he use of blended credit/debit surcharging can have the </w:t>
      </w:r>
      <w:r w:rsidR="004E685F">
        <w:t>potential</w:t>
      </w:r>
      <w:r w:rsidR="00F26FA0">
        <w:t xml:space="preserve"> consequence of driving the consumer from using a debit card to transacting with a premium credit card, having rewards and the highest interchange </w:t>
      </w:r>
      <w:r w:rsidR="00F218D8">
        <w:t>cost -</w:t>
      </w:r>
      <w:r w:rsidR="00F26FA0">
        <w:t xml:space="preserve"> </w:t>
      </w:r>
      <w:proofErr w:type="gramStart"/>
      <w:r w:rsidR="00F26FA0">
        <w:t>on the basis of</w:t>
      </w:r>
      <w:proofErr w:type="gramEnd"/>
      <w:r w:rsidR="00F26FA0">
        <w:t xml:space="preserve"> “If I’m going to pay a surcharge, I might as well earn some points”.</w:t>
      </w:r>
    </w:p>
    <w:p w14:paraId="594603C4" w14:textId="426725C3" w:rsidR="001849F0" w:rsidRDefault="00DC650A" w:rsidP="001849F0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 xml:space="preserve">We </w:t>
      </w:r>
      <w:r w:rsidR="0067449E">
        <w:t xml:space="preserve">believe that, if the </w:t>
      </w:r>
      <w:r w:rsidR="00547A86">
        <w:t xml:space="preserve">new </w:t>
      </w:r>
      <w:r w:rsidR="0067449E">
        <w:t xml:space="preserve">caps on debit card interchange </w:t>
      </w:r>
      <w:r w:rsidR="00B339C0">
        <w:t xml:space="preserve">rates </w:t>
      </w:r>
      <w:r w:rsidR="00547A86">
        <w:t xml:space="preserve">proposed in the Consultation Paper </w:t>
      </w:r>
      <w:r w:rsidR="0067449E">
        <w:t xml:space="preserve">are enacted, then </w:t>
      </w:r>
      <w:r w:rsidR="00B339C0">
        <w:t xml:space="preserve">the </w:t>
      </w:r>
      <w:r w:rsidR="0067449E">
        <w:t xml:space="preserve">surcharging </w:t>
      </w:r>
      <w:r w:rsidR="00B339C0">
        <w:t>of</w:t>
      </w:r>
      <w:r w:rsidR="0067449E">
        <w:t xml:space="preserve"> debit card</w:t>
      </w:r>
      <w:r w:rsidR="00B339C0">
        <w:t xml:space="preserve"> transaction</w:t>
      </w:r>
      <w:r w:rsidR="0067449E">
        <w:t xml:space="preserve">s </w:t>
      </w:r>
      <w:r w:rsidR="00B339C0">
        <w:t>in Australia</w:t>
      </w:r>
      <w:r w:rsidR="00651855">
        <w:rPr>
          <w:rStyle w:val="FootnoteReference"/>
        </w:rPr>
        <w:footnoteReference w:id="3"/>
      </w:r>
      <w:r w:rsidR="00B339C0">
        <w:t xml:space="preserve"> </w:t>
      </w:r>
      <w:r w:rsidR="0067449E">
        <w:t xml:space="preserve">should be banned (as </w:t>
      </w:r>
      <w:r w:rsidR="00547A86">
        <w:t>it is</w:t>
      </w:r>
      <w:r w:rsidR="0067449E">
        <w:t xml:space="preserve"> in the EU) - as the cost of debit card acceptance </w:t>
      </w:r>
      <w:r w:rsidR="00B339C0">
        <w:t xml:space="preserve">for a merchant </w:t>
      </w:r>
      <w:r w:rsidR="0067449E">
        <w:t xml:space="preserve">will be </w:t>
      </w:r>
      <w:proofErr w:type="gramStart"/>
      <w:r w:rsidR="00B339C0">
        <w:t>similar</w:t>
      </w:r>
      <w:r w:rsidR="00547A86">
        <w:t xml:space="preserve"> </w:t>
      </w:r>
      <w:r w:rsidR="00AC1B02">
        <w:t>to</w:t>
      </w:r>
      <w:proofErr w:type="gramEnd"/>
      <w:r w:rsidR="00AC1B02">
        <w:t xml:space="preserve"> </w:t>
      </w:r>
      <w:r w:rsidR="00547A86">
        <w:t xml:space="preserve">(and </w:t>
      </w:r>
      <w:r w:rsidR="00471B91">
        <w:t>at higher value</w:t>
      </w:r>
      <w:r w:rsidR="00AC1B02">
        <w:t>s</w:t>
      </w:r>
      <w:r w:rsidR="00547A86">
        <w:t xml:space="preserve"> </w:t>
      </w:r>
      <w:r w:rsidR="00471B91">
        <w:t xml:space="preserve">would be </w:t>
      </w:r>
      <w:r w:rsidR="00AC1B02">
        <w:t>below</w:t>
      </w:r>
      <w:r w:rsidR="00547A86">
        <w:t>)</w:t>
      </w:r>
      <w:r w:rsidR="0067449E">
        <w:t xml:space="preserve"> that of cash</w:t>
      </w:r>
      <w:r w:rsidR="00B339C0">
        <w:t>.</w:t>
      </w:r>
      <w:r w:rsidR="00651855">
        <w:t xml:space="preserve">  </w:t>
      </w:r>
      <w:r w:rsidR="00BF0609">
        <w:t>If the cost of accepting cash as payment sets the baseline for “no surcharge”</w:t>
      </w:r>
      <w:r w:rsidR="0039440A">
        <w:t xml:space="preserve"> at a merchant</w:t>
      </w:r>
      <w:r w:rsidR="00BF0609">
        <w:t xml:space="preserve">, then </w:t>
      </w:r>
      <w:r>
        <w:t xml:space="preserve">we </w:t>
      </w:r>
      <w:r w:rsidR="0039440A">
        <w:t>consider</w:t>
      </w:r>
      <w:r w:rsidR="00BF0609">
        <w:t xml:space="preserve"> that the new debit interchange regime </w:t>
      </w:r>
      <w:r w:rsidR="0039440A">
        <w:t>will</w:t>
      </w:r>
      <w:r w:rsidR="00BF0609">
        <w:t xml:space="preserve"> lower the cost of acceptance of these cards to </w:t>
      </w:r>
      <w:r w:rsidR="001849F0">
        <w:t>a similar</w:t>
      </w:r>
      <w:r w:rsidR="00BF0609">
        <w:t xml:space="preserve"> </w:t>
      </w:r>
      <w:proofErr w:type="gramStart"/>
      <w:r w:rsidR="00BF0609">
        <w:t>base;</w:t>
      </w:r>
      <w:proofErr w:type="gramEnd"/>
      <w:r w:rsidR="00BF0609">
        <w:t xml:space="preserve"> with no </w:t>
      </w:r>
      <w:r w:rsidR="001849F0">
        <w:t xml:space="preserve">material </w:t>
      </w:r>
      <w:r w:rsidR="00BF0609">
        <w:lastRenderedPageBreak/>
        <w:t xml:space="preserve">differential cost between the acceptance of cash or </w:t>
      </w:r>
      <w:r w:rsidR="00584C94">
        <w:t>a</w:t>
      </w:r>
      <w:r w:rsidR="0039440A">
        <w:t xml:space="preserve"> </w:t>
      </w:r>
      <w:r w:rsidR="00BF0609">
        <w:t>debit card</w:t>
      </w:r>
      <w:r w:rsidR="00584C94">
        <w:t>.</w:t>
      </w:r>
      <w:r w:rsidR="00BF0609">
        <w:t xml:space="preserve"> </w:t>
      </w:r>
      <w:r w:rsidR="00584C94">
        <w:t>Consequently, neither should</w:t>
      </w:r>
      <w:r w:rsidR="00BF0609">
        <w:t xml:space="preserve"> </w:t>
      </w:r>
      <w:r>
        <w:t xml:space="preserve">be allowed to </w:t>
      </w:r>
      <w:r w:rsidR="00584C94">
        <w:t xml:space="preserve">apply </w:t>
      </w:r>
      <w:r>
        <w:t xml:space="preserve">a </w:t>
      </w:r>
      <w:r w:rsidR="00BF0609">
        <w:t>surcharg</w:t>
      </w:r>
      <w:r>
        <w:t>e</w:t>
      </w:r>
      <w:r w:rsidR="00BF0609">
        <w:t>.</w:t>
      </w:r>
      <w:r w:rsidR="00584C94">
        <w:t xml:space="preserve"> </w:t>
      </w:r>
    </w:p>
    <w:p w14:paraId="76E277E9" w14:textId="6F7F8709" w:rsidR="00651855" w:rsidRDefault="00DC650A" w:rsidP="00651144">
      <w:pPr>
        <w:pStyle w:val="ListParagraph"/>
        <w:numPr>
          <w:ilvl w:val="0"/>
          <w:numId w:val="2"/>
        </w:numPr>
        <w:ind w:left="360" w:hanging="360"/>
        <w:contextualSpacing w:val="0"/>
        <w:jc w:val="both"/>
      </w:pPr>
      <w:r>
        <w:t xml:space="preserve">We </w:t>
      </w:r>
      <w:r w:rsidR="006446DA">
        <w:t>believe that t</w:t>
      </w:r>
      <w:r w:rsidR="00651855">
        <w:t>he removal of surcharg</w:t>
      </w:r>
      <w:r w:rsidR="006330E6">
        <w:t xml:space="preserve">es </w:t>
      </w:r>
      <w:r w:rsidR="00651855">
        <w:t xml:space="preserve">on Australian debit card transactions would help to continue </w:t>
      </w:r>
      <w:r w:rsidR="00BF0609">
        <w:t>to lower the overall cost of payments and would be welcomed by consumers</w:t>
      </w:r>
      <w:r w:rsidR="001D4683">
        <w:t>.</w:t>
      </w:r>
      <w:r w:rsidR="00BF0609">
        <w:t xml:space="preserve"> </w:t>
      </w:r>
    </w:p>
    <w:p w14:paraId="4808E82D" w14:textId="44A4BEC5" w:rsidR="00651144" w:rsidRDefault="00651144" w:rsidP="00384161">
      <w:pPr>
        <w:jc w:val="both"/>
      </w:pPr>
      <w:r>
        <w:t xml:space="preserve">We trust that our </w:t>
      </w:r>
      <w:r w:rsidR="00B339C0">
        <w:t xml:space="preserve">comments and suggestions </w:t>
      </w:r>
      <w:r>
        <w:t xml:space="preserve">above will assist the RBA in formulating its holistic review of the regulatory framework for </w:t>
      </w:r>
      <w:r w:rsidR="00B339C0">
        <w:t xml:space="preserve">debit </w:t>
      </w:r>
      <w:r>
        <w:t xml:space="preserve">card payments, and if we can be of any further assistance, please feel free to contact me at </w:t>
      </w:r>
      <w:hyperlink r:id="rId9" w:history="1">
        <w:r w:rsidR="006D3D66">
          <w:rPr>
            <w:rStyle w:val="Hyperlink"/>
            <w:rFonts w:ascii="Arial" w:hAnsi="Arial" w:cs="Arial"/>
            <w:sz w:val="20"/>
            <w:szCs w:val="20"/>
            <w:lang w:eastAsia="en-AU"/>
          </w:rPr>
          <w:t>Drew.Hall@macquarie.com</w:t>
        </w:r>
      </w:hyperlink>
      <w:r w:rsidR="00B339C0">
        <w:t xml:space="preserve"> </w:t>
      </w:r>
      <w:r>
        <w:t xml:space="preserve">or </w:t>
      </w:r>
      <w:r w:rsidR="00384161" w:rsidRPr="00384161">
        <w:t>+61 421 611 317</w:t>
      </w:r>
      <w:r w:rsidR="00384161">
        <w:t>.</w:t>
      </w:r>
      <w:r w:rsidR="001D4683">
        <w:t xml:space="preserve"> </w:t>
      </w:r>
      <w:r>
        <w:t>Yours sincerely,</w:t>
      </w:r>
    </w:p>
    <w:p w14:paraId="7D6AB505" w14:textId="77777777" w:rsidR="00073338" w:rsidRDefault="00073338" w:rsidP="00651144"/>
    <w:p w14:paraId="375A271C" w14:textId="2D3FA35B" w:rsidR="00B339C0" w:rsidRDefault="00384161" w:rsidP="00651144">
      <w:r>
        <w:t>Drew Hall</w:t>
      </w:r>
    </w:p>
    <w:p w14:paraId="7749D2D4" w14:textId="1041BAB7" w:rsidR="00651144" w:rsidRDefault="00227735" w:rsidP="00651144">
      <w:r w:rsidRPr="00227735">
        <w:t>Head of Banking Product</w:t>
      </w:r>
      <w:r w:rsidR="00B339C0" w:rsidRPr="00B339C0">
        <w:t>, Macquarie Group Limited</w:t>
      </w:r>
    </w:p>
    <w:p w14:paraId="4B7E7392" w14:textId="77777777" w:rsidR="00651144" w:rsidRDefault="00651144" w:rsidP="00651144"/>
    <w:p w14:paraId="190AA1F5" w14:textId="77777777" w:rsidR="005B1CCE" w:rsidRDefault="005B1CCE" w:rsidP="005B1CCE"/>
    <w:sectPr w:rsidR="005B1CCE" w:rsidSect="00F26533">
      <w:footerReference w:type="default" r:id="rId10"/>
      <w:pgSz w:w="11906" w:h="16838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8E0E4" w14:textId="77777777" w:rsidR="00414EFB" w:rsidRDefault="00414EFB" w:rsidP="00F26533">
      <w:pPr>
        <w:spacing w:after="0" w:line="240" w:lineRule="auto"/>
      </w:pPr>
      <w:r>
        <w:separator/>
      </w:r>
    </w:p>
  </w:endnote>
  <w:endnote w:type="continuationSeparator" w:id="0">
    <w:p w14:paraId="5E017A0A" w14:textId="77777777" w:rsidR="00414EFB" w:rsidRDefault="00414EFB" w:rsidP="00F26533">
      <w:pPr>
        <w:spacing w:after="0" w:line="240" w:lineRule="auto"/>
      </w:pPr>
      <w:r>
        <w:continuationSeparator/>
      </w:r>
    </w:p>
  </w:endnote>
  <w:endnote w:type="continuationNotice" w:id="1">
    <w:p w14:paraId="7EFF3905" w14:textId="77777777" w:rsidR="00414EFB" w:rsidRDefault="00414EF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7558818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4720D6" w14:textId="5CB1D196" w:rsidR="00F26533" w:rsidRDefault="00F26533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D7E365A" w14:textId="77777777" w:rsidR="00F26533" w:rsidRDefault="00F265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01742" w14:textId="77777777" w:rsidR="00414EFB" w:rsidRDefault="00414EFB" w:rsidP="00F26533">
      <w:pPr>
        <w:spacing w:after="0" w:line="240" w:lineRule="auto"/>
      </w:pPr>
      <w:r>
        <w:separator/>
      </w:r>
    </w:p>
  </w:footnote>
  <w:footnote w:type="continuationSeparator" w:id="0">
    <w:p w14:paraId="37D48DD5" w14:textId="77777777" w:rsidR="00414EFB" w:rsidRDefault="00414EFB" w:rsidP="00F26533">
      <w:pPr>
        <w:spacing w:after="0" w:line="240" w:lineRule="auto"/>
      </w:pPr>
      <w:r>
        <w:continuationSeparator/>
      </w:r>
    </w:p>
  </w:footnote>
  <w:footnote w:type="continuationNotice" w:id="1">
    <w:p w14:paraId="155BB2F7" w14:textId="77777777" w:rsidR="00414EFB" w:rsidRDefault="00414EFB">
      <w:pPr>
        <w:spacing w:after="0" w:line="240" w:lineRule="auto"/>
      </w:pPr>
    </w:p>
  </w:footnote>
  <w:footnote w:id="2">
    <w:p w14:paraId="1FD4C6E6" w14:textId="776096B8" w:rsidR="007C3B4C" w:rsidRPr="007C3B4C" w:rsidRDefault="007C3B4C" w:rsidP="007C3B4C">
      <w:pPr>
        <w:pStyle w:val="FootnoteText"/>
        <w:jc w:val="both"/>
      </w:pPr>
      <w:r>
        <w:rPr>
          <w:rStyle w:val="FootnoteReference"/>
        </w:rPr>
        <w:footnoteRef/>
      </w:r>
      <w:r>
        <w:t xml:space="preserve"> “Interchange +” comprising t</w:t>
      </w:r>
      <w:r w:rsidRPr="007C3B4C">
        <w:t>he actual interchange incurred on the transaction</w:t>
      </w:r>
      <w:r>
        <w:t xml:space="preserve"> (</w:t>
      </w:r>
      <w:r w:rsidRPr="007C3B4C">
        <w:t xml:space="preserve">which varies by card type, </w:t>
      </w:r>
      <w:proofErr w:type="gramStart"/>
      <w:r w:rsidRPr="007C3B4C">
        <w:t>channel</w:t>
      </w:r>
      <w:proofErr w:type="gramEnd"/>
      <w:r w:rsidRPr="007C3B4C">
        <w:t xml:space="preserve"> and merchant category</w:t>
      </w:r>
      <w:r>
        <w:t>)</w:t>
      </w:r>
      <w:r w:rsidRPr="007C3B4C">
        <w:t xml:space="preserve"> and</w:t>
      </w:r>
      <w:r>
        <w:t xml:space="preserve"> a</w:t>
      </w:r>
      <w:r w:rsidRPr="007C3B4C">
        <w:t xml:space="preserve"> margin covering the Scheme fees, processing costs and acquirer profit margin</w:t>
      </w:r>
      <w:r>
        <w:t>.</w:t>
      </w:r>
    </w:p>
  </w:footnote>
  <w:footnote w:id="3">
    <w:p w14:paraId="63306D5E" w14:textId="600D1AD4" w:rsidR="00651855" w:rsidRPr="00651855" w:rsidRDefault="00651855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en-US"/>
        </w:rPr>
        <w:t>Australian issued debit card being used at an Australian acquired merchant.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F96301"/>
    <w:multiLevelType w:val="hybridMultilevel"/>
    <w:tmpl w:val="ED7E88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1CB3796"/>
    <w:multiLevelType w:val="hybridMultilevel"/>
    <w:tmpl w:val="7F4C2CB8"/>
    <w:lvl w:ilvl="0" w:tplc="D7CC6D8E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hdrShapeDefaults>
    <o:shapedefaults v:ext="edit" spidmax="6145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CCE"/>
    <w:rsid w:val="00000DC3"/>
    <w:rsid w:val="0000615C"/>
    <w:rsid w:val="000324BE"/>
    <w:rsid w:val="00032FDE"/>
    <w:rsid w:val="00034C34"/>
    <w:rsid w:val="00050304"/>
    <w:rsid w:val="00055AED"/>
    <w:rsid w:val="00073338"/>
    <w:rsid w:val="000835A3"/>
    <w:rsid w:val="000A2343"/>
    <w:rsid w:val="000A56E2"/>
    <w:rsid w:val="000D152E"/>
    <w:rsid w:val="001016B8"/>
    <w:rsid w:val="00110078"/>
    <w:rsid w:val="0011557C"/>
    <w:rsid w:val="0012592C"/>
    <w:rsid w:val="001544EC"/>
    <w:rsid w:val="00177817"/>
    <w:rsid w:val="001849F0"/>
    <w:rsid w:val="00191648"/>
    <w:rsid w:val="001A0664"/>
    <w:rsid w:val="001A5904"/>
    <w:rsid w:val="001A67D2"/>
    <w:rsid w:val="001D1600"/>
    <w:rsid w:val="001D18FD"/>
    <w:rsid w:val="001D4683"/>
    <w:rsid w:val="001E04B8"/>
    <w:rsid w:val="002221C9"/>
    <w:rsid w:val="00224CCD"/>
    <w:rsid w:val="0022698C"/>
    <w:rsid w:val="00227735"/>
    <w:rsid w:val="002542BC"/>
    <w:rsid w:val="00255B4F"/>
    <w:rsid w:val="0026046E"/>
    <w:rsid w:val="00275826"/>
    <w:rsid w:val="0028251D"/>
    <w:rsid w:val="002C4FD6"/>
    <w:rsid w:val="002D19C4"/>
    <w:rsid w:val="002D5255"/>
    <w:rsid w:val="002F6667"/>
    <w:rsid w:val="00311EFF"/>
    <w:rsid w:val="00316E28"/>
    <w:rsid w:val="003464CA"/>
    <w:rsid w:val="00350C49"/>
    <w:rsid w:val="00363408"/>
    <w:rsid w:val="00364CAD"/>
    <w:rsid w:val="00380AC7"/>
    <w:rsid w:val="00384161"/>
    <w:rsid w:val="0039134D"/>
    <w:rsid w:val="0039440A"/>
    <w:rsid w:val="003B1D20"/>
    <w:rsid w:val="003B4D78"/>
    <w:rsid w:val="003D498C"/>
    <w:rsid w:val="003F0AB4"/>
    <w:rsid w:val="003F4AA7"/>
    <w:rsid w:val="003F6A8A"/>
    <w:rsid w:val="004068C4"/>
    <w:rsid w:val="004119AE"/>
    <w:rsid w:val="00414EFB"/>
    <w:rsid w:val="00430FA8"/>
    <w:rsid w:val="004368CB"/>
    <w:rsid w:val="004370A9"/>
    <w:rsid w:val="00461F4C"/>
    <w:rsid w:val="00471B91"/>
    <w:rsid w:val="0047228C"/>
    <w:rsid w:val="0048722D"/>
    <w:rsid w:val="00491AD3"/>
    <w:rsid w:val="004A18E0"/>
    <w:rsid w:val="004B03F3"/>
    <w:rsid w:val="004C263D"/>
    <w:rsid w:val="004D06DD"/>
    <w:rsid w:val="004E0B19"/>
    <w:rsid w:val="004E685F"/>
    <w:rsid w:val="004E7026"/>
    <w:rsid w:val="004F480E"/>
    <w:rsid w:val="005067B4"/>
    <w:rsid w:val="00515BD3"/>
    <w:rsid w:val="00523EC1"/>
    <w:rsid w:val="00547A86"/>
    <w:rsid w:val="0056312C"/>
    <w:rsid w:val="00572A76"/>
    <w:rsid w:val="005817A4"/>
    <w:rsid w:val="00584C94"/>
    <w:rsid w:val="00592C22"/>
    <w:rsid w:val="00594AD8"/>
    <w:rsid w:val="005B1CCE"/>
    <w:rsid w:val="005B4E39"/>
    <w:rsid w:val="005C2A37"/>
    <w:rsid w:val="005D40B7"/>
    <w:rsid w:val="005E0E06"/>
    <w:rsid w:val="005E5785"/>
    <w:rsid w:val="006104BA"/>
    <w:rsid w:val="0061401B"/>
    <w:rsid w:val="006147BD"/>
    <w:rsid w:val="0062644B"/>
    <w:rsid w:val="006330E6"/>
    <w:rsid w:val="00637FAD"/>
    <w:rsid w:val="00642168"/>
    <w:rsid w:val="006446DA"/>
    <w:rsid w:val="00650A1E"/>
    <w:rsid w:val="00651144"/>
    <w:rsid w:val="00651855"/>
    <w:rsid w:val="00653727"/>
    <w:rsid w:val="0066313F"/>
    <w:rsid w:val="00670ACD"/>
    <w:rsid w:val="00670FE9"/>
    <w:rsid w:val="0067449E"/>
    <w:rsid w:val="006C0F64"/>
    <w:rsid w:val="006C134F"/>
    <w:rsid w:val="006C4F19"/>
    <w:rsid w:val="006D1AA9"/>
    <w:rsid w:val="006D1F26"/>
    <w:rsid w:val="006D3D66"/>
    <w:rsid w:val="006E5D8D"/>
    <w:rsid w:val="006F0605"/>
    <w:rsid w:val="006F515A"/>
    <w:rsid w:val="00715EEB"/>
    <w:rsid w:val="007166A2"/>
    <w:rsid w:val="0072299F"/>
    <w:rsid w:val="00724C80"/>
    <w:rsid w:val="00732E2C"/>
    <w:rsid w:val="00736892"/>
    <w:rsid w:val="00743400"/>
    <w:rsid w:val="007515BC"/>
    <w:rsid w:val="00751E42"/>
    <w:rsid w:val="007A4857"/>
    <w:rsid w:val="007C3B4C"/>
    <w:rsid w:val="007E3D9D"/>
    <w:rsid w:val="00811835"/>
    <w:rsid w:val="008135E1"/>
    <w:rsid w:val="008462FA"/>
    <w:rsid w:val="00852299"/>
    <w:rsid w:val="00860A00"/>
    <w:rsid w:val="00862D59"/>
    <w:rsid w:val="00863279"/>
    <w:rsid w:val="008637FE"/>
    <w:rsid w:val="00883B58"/>
    <w:rsid w:val="00893FA7"/>
    <w:rsid w:val="008B367A"/>
    <w:rsid w:val="008E725A"/>
    <w:rsid w:val="008E7921"/>
    <w:rsid w:val="008F1B3D"/>
    <w:rsid w:val="008F59ED"/>
    <w:rsid w:val="008F7D98"/>
    <w:rsid w:val="008F7E7B"/>
    <w:rsid w:val="00922898"/>
    <w:rsid w:val="00926B6F"/>
    <w:rsid w:val="00947B13"/>
    <w:rsid w:val="00960ECE"/>
    <w:rsid w:val="00974884"/>
    <w:rsid w:val="009B70F2"/>
    <w:rsid w:val="009C6EC3"/>
    <w:rsid w:val="009E1EAB"/>
    <w:rsid w:val="00A16DF2"/>
    <w:rsid w:val="00A55A55"/>
    <w:rsid w:val="00A715F1"/>
    <w:rsid w:val="00AA5A42"/>
    <w:rsid w:val="00AB2151"/>
    <w:rsid w:val="00AB36C3"/>
    <w:rsid w:val="00AC1B02"/>
    <w:rsid w:val="00AC3F6D"/>
    <w:rsid w:val="00AF4446"/>
    <w:rsid w:val="00B10B04"/>
    <w:rsid w:val="00B339C0"/>
    <w:rsid w:val="00B5115F"/>
    <w:rsid w:val="00B840F8"/>
    <w:rsid w:val="00B9361C"/>
    <w:rsid w:val="00BB3BA3"/>
    <w:rsid w:val="00BF0609"/>
    <w:rsid w:val="00BF0FA9"/>
    <w:rsid w:val="00C01915"/>
    <w:rsid w:val="00C35923"/>
    <w:rsid w:val="00C51FD8"/>
    <w:rsid w:val="00C54739"/>
    <w:rsid w:val="00C57D10"/>
    <w:rsid w:val="00C84330"/>
    <w:rsid w:val="00C97AB5"/>
    <w:rsid w:val="00CC7D41"/>
    <w:rsid w:val="00D216A0"/>
    <w:rsid w:val="00D64C09"/>
    <w:rsid w:val="00D75CD6"/>
    <w:rsid w:val="00D8259F"/>
    <w:rsid w:val="00D83A29"/>
    <w:rsid w:val="00DC650A"/>
    <w:rsid w:val="00DD6FF5"/>
    <w:rsid w:val="00DE408F"/>
    <w:rsid w:val="00DE4BBA"/>
    <w:rsid w:val="00E363B4"/>
    <w:rsid w:val="00E46243"/>
    <w:rsid w:val="00E5008D"/>
    <w:rsid w:val="00E855B6"/>
    <w:rsid w:val="00EB431E"/>
    <w:rsid w:val="00EB443D"/>
    <w:rsid w:val="00EC5FAA"/>
    <w:rsid w:val="00ED5E97"/>
    <w:rsid w:val="00EE0565"/>
    <w:rsid w:val="00EE28A6"/>
    <w:rsid w:val="00F16BF3"/>
    <w:rsid w:val="00F218D8"/>
    <w:rsid w:val="00F23E90"/>
    <w:rsid w:val="00F26533"/>
    <w:rsid w:val="00F26FA0"/>
    <w:rsid w:val="00F45E20"/>
    <w:rsid w:val="00F51757"/>
    <w:rsid w:val="00F5334D"/>
    <w:rsid w:val="00F57E63"/>
    <w:rsid w:val="00F614DC"/>
    <w:rsid w:val="00FA66FA"/>
    <w:rsid w:val="00FB01E9"/>
    <w:rsid w:val="00FB1C96"/>
    <w:rsid w:val="00FB378A"/>
    <w:rsid w:val="00FF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6A384598"/>
  <w15:chartTrackingRefBased/>
  <w15:docId w15:val="{168198A5-464D-4DCD-BE5B-EECB7A7DC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B1CC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B1CCE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674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26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6533"/>
  </w:style>
  <w:style w:type="paragraph" w:styleId="Footer">
    <w:name w:val="footer"/>
    <w:basedOn w:val="Normal"/>
    <w:link w:val="FooterChar"/>
    <w:uiPriority w:val="99"/>
    <w:unhideWhenUsed/>
    <w:rsid w:val="00F265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6533"/>
  </w:style>
  <w:style w:type="character" w:styleId="CommentReference">
    <w:name w:val="annotation reference"/>
    <w:basedOn w:val="DefaultParagraphFont"/>
    <w:uiPriority w:val="99"/>
    <w:semiHidden/>
    <w:unhideWhenUsed/>
    <w:rsid w:val="00BB3BA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B3BA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B3BA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B3BA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B3BA3"/>
    <w:rPr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51855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51855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651855"/>
    <w:rPr>
      <w:vertAlign w:val="superscript"/>
    </w:rPr>
  </w:style>
  <w:style w:type="paragraph" w:styleId="NormalWeb">
    <w:name w:val="Normal (Web)"/>
    <w:basedOn w:val="Normal"/>
    <w:uiPriority w:val="99"/>
    <w:semiHidden/>
    <w:unhideWhenUsed/>
    <w:rsid w:val="005D40B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710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313788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3820">
          <w:marLeft w:val="108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708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4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44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83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ysubmissions@rba.gov.a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Lorenzo.Schirru@macquarie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F196C2-2C30-42F8-957D-4EEE4AD856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3</Pages>
  <Words>959</Words>
  <Characters>5472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6419</CharactersWithSpaces>
  <SharedDoc>false</SharedDoc>
  <HLinks>
    <vt:vector size="12" baseType="variant">
      <vt:variant>
        <vt:i4>196725</vt:i4>
      </vt:variant>
      <vt:variant>
        <vt:i4>6</vt:i4>
      </vt:variant>
      <vt:variant>
        <vt:i4>0</vt:i4>
      </vt:variant>
      <vt:variant>
        <vt:i4>5</vt:i4>
      </vt:variant>
      <vt:variant>
        <vt:lpwstr>mailto:Lorenzo.Schirru@macquarie.com</vt:lpwstr>
      </vt:variant>
      <vt:variant>
        <vt:lpwstr/>
      </vt:variant>
      <vt:variant>
        <vt:i4>6684690</vt:i4>
      </vt:variant>
      <vt:variant>
        <vt:i4>0</vt:i4>
      </vt:variant>
      <vt:variant>
        <vt:i4>0</vt:i4>
      </vt:variant>
      <vt:variant>
        <vt:i4>5</vt:i4>
      </vt:variant>
      <vt:variant>
        <vt:lpwstr>mailto:pysubmissions@rba.gov.au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Lance Blockley</dc:creator>
  <cp:keywords/>
  <dc:description/>
  <cp:lastModifiedBy>Lorenzo Schirru</cp:lastModifiedBy>
  <cp:revision>22</cp:revision>
  <cp:lastPrinted>2021-06-14T08:39:00Z</cp:lastPrinted>
  <dcterms:created xsi:type="dcterms:W3CDTF">2021-07-06T21:30:00Z</dcterms:created>
  <dcterms:modified xsi:type="dcterms:W3CDTF">2021-07-09T02:20:00Z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-365691057</vt:i4>
  </property>
  <property fmtid="{D5CDD505-2E9C-101B-9397-08002B2CF9AE}" pid="3" name="_NewReviewCycle">
    <vt:lpwstr/>
  </property>
  <property fmtid="{D5CDD505-2E9C-101B-9397-08002B2CF9AE}" pid="4" name="_EmailSubject">
    <vt:lpwstr>RBA submission</vt:lpwstr>
  </property>
  <property fmtid="{D5CDD505-2E9C-101B-9397-08002B2CF9AE}" pid="5" name="_AuthorEmail">
    <vt:lpwstr>Lorenzo.Schirru@macquarie.com</vt:lpwstr>
  </property>
  <property fmtid="{D5CDD505-2E9C-101B-9397-08002B2CF9AE}" pid="6" name="_AuthorEmailDisplayName">
    <vt:lpwstr>Lorenzo Schirru</vt:lpwstr>
  </property>
  <property fmtid="{D5CDD505-2E9C-101B-9397-08002B2CF9AE}" pid="7" name="_PreviousAdHocReviewCycleID">
    <vt:i4>708423624</vt:i4>
  </property>
  <property fmtid="{D5CDD505-2E9C-101B-9397-08002B2CF9AE}" pid="9" name="MSIP_Label_bff60613-a741-4790-ba46-c6813ca61c58_Enabled">
    <vt:lpwstr>true</vt:lpwstr>
  </property>
  <property fmtid="{D5CDD505-2E9C-101B-9397-08002B2CF9AE}" pid="10" name="MSIP_Label_bff60613-a741-4790-ba46-c6813ca61c58_SetDate">
    <vt:lpwstr>2021-07-01T04:36:02Z</vt:lpwstr>
  </property>
  <property fmtid="{D5CDD505-2E9C-101B-9397-08002B2CF9AE}" pid="11" name="MSIP_Label_bff60613-a741-4790-ba46-c6813ca61c58_Method">
    <vt:lpwstr>Standard</vt:lpwstr>
  </property>
  <property fmtid="{D5CDD505-2E9C-101B-9397-08002B2CF9AE}" pid="12" name="MSIP_Label_bff60613-a741-4790-ba46-c6813ca61c58_Name">
    <vt:lpwstr>Confidential</vt:lpwstr>
  </property>
  <property fmtid="{D5CDD505-2E9C-101B-9397-08002B2CF9AE}" pid="13" name="MSIP_Label_bff60613-a741-4790-ba46-c6813ca61c58_SiteId">
    <vt:lpwstr>568a5434-7d3f-4714-b824-fe722e2748c0</vt:lpwstr>
  </property>
  <property fmtid="{D5CDD505-2E9C-101B-9397-08002B2CF9AE}" pid="14" name="MSIP_Label_bff60613-a741-4790-ba46-c6813ca61c58_ActionId">
    <vt:lpwstr>d21fd5a8-6a68-4cd7-8c58-706d2cf27c49</vt:lpwstr>
  </property>
  <property fmtid="{D5CDD505-2E9C-101B-9397-08002B2CF9AE}" pid="15" name="MSIP_Label_bff60613-a741-4790-ba46-c6813ca61c58_ContentBits">
    <vt:lpwstr>0</vt:lpwstr>
  </property>
</Properties>
</file>