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Override PartName="/word/intelligence.xml" ContentType="application/vnd.ms-office.intelligenc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88928C0" w14:textId="0CF0EC47" w:rsidR="00C1252D" w:rsidRPr="00954DE4" w:rsidRDefault="00C1252D" w:rsidP="00C1252D">
      <w:pPr>
        <w:rPr>
          <w:sz w:val="20"/>
          <w:szCs w:val="20"/>
        </w:rPr>
      </w:pPr>
    </w:p>
    <w:p w14:paraId="10ED049A" w14:textId="77777777" w:rsidR="00C1252D" w:rsidRPr="00954DE4" w:rsidRDefault="00C1252D" w:rsidP="00C1252D">
      <w:pPr>
        <w:rPr>
          <w:sz w:val="20"/>
        </w:rPr>
      </w:pPr>
    </w:p>
    <w:p w14:paraId="6FD639EB" w14:textId="77777777" w:rsidR="00C1252D" w:rsidRPr="00954DE4" w:rsidRDefault="00C1252D" w:rsidP="00C1252D">
      <w:pPr>
        <w:rPr>
          <w:sz w:val="20"/>
        </w:rPr>
      </w:pPr>
    </w:p>
    <w:p w14:paraId="0878F27F" w14:textId="77777777" w:rsidR="00C1252D" w:rsidRPr="00954DE4" w:rsidRDefault="00C1252D" w:rsidP="00C1252D">
      <w:pPr>
        <w:rPr>
          <w:sz w:val="20"/>
        </w:rPr>
      </w:pPr>
    </w:p>
    <w:p w14:paraId="22FBAB02" w14:textId="77777777" w:rsidR="00C1252D" w:rsidRPr="00954DE4" w:rsidRDefault="00C1252D" w:rsidP="00C1252D">
      <w:pPr>
        <w:rPr>
          <w:sz w:val="20"/>
        </w:rPr>
      </w:pPr>
    </w:p>
    <w:p w14:paraId="2BDC4066" w14:textId="77777777" w:rsidR="00C1252D" w:rsidRPr="00954DE4" w:rsidRDefault="00C1252D" w:rsidP="00C1252D">
      <w:pPr>
        <w:rPr>
          <w:sz w:val="20"/>
        </w:rPr>
      </w:pPr>
    </w:p>
    <w:p w14:paraId="3B9F4646" w14:textId="77777777" w:rsidR="00C1252D" w:rsidRPr="00954DE4" w:rsidRDefault="00C1252D" w:rsidP="00C1252D">
      <w:pPr>
        <w:rPr>
          <w:sz w:val="20"/>
        </w:rPr>
      </w:pPr>
    </w:p>
    <w:p w14:paraId="6857AE43" w14:textId="77777777" w:rsidR="00C1252D" w:rsidRPr="00954DE4" w:rsidRDefault="00C1252D" w:rsidP="00C1252D">
      <w:pPr>
        <w:rPr>
          <w:sz w:val="20"/>
        </w:rPr>
      </w:pPr>
    </w:p>
    <w:p w14:paraId="06C54172" w14:textId="77777777" w:rsidR="00C1252D" w:rsidRPr="00954DE4" w:rsidRDefault="00C1252D" w:rsidP="00C1252D">
      <w:pPr>
        <w:rPr>
          <w:sz w:val="20"/>
        </w:rPr>
      </w:pPr>
    </w:p>
    <w:p w14:paraId="586C649D" w14:textId="77777777" w:rsidR="00C1252D" w:rsidRPr="00954DE4" w:rsidRDefault="00C1252D" w:rsidP="00C1252D">
      <w:pPr>
        <w:rPr>
          <w:sz w:val="20"/>
        </w:rPr>
      </w:pPr>
    </w:p>
    <w:p w14:paraId="515CCFB3" w14:textId="77777777" w:rsidR="00C1252D" w:rsidRPr="00954DE4" w:rsidRDefault="00C1252D" w:rsidP="00C1252D">
      <w:pPr>
        <w:rPr>
          <w:sz w:val="20"/>
        </w:rPr>
      </w:pPr>
    </w:p>
    <w:p w14:paraId="7098D8BF" w14:textId="77777777" w:rsidR="00C1252D" w:rsidRPr="00954DE4" w:rsidRDefault="00C1252D" w:rsidP="00C1252D">
      <w:pPr>
        <w:rPr>
          <w:sz w:val="20"/>
        </w:rPr>
      </w:pPr>
    </w:p>
    <w:p w14:paraId="32C0059B" w14:textId="77777777" w:rsidR="00C1252D" w:rsidRPr="00954DE4" w:rsidRDefault="00C1252D" w:rsidP="00C1252D">
      <w:pPr>
        <w:rPr>
          <w:sz w:val="20"/>
        </w:rPr>
      </w:pPr>
    </w:p>
    <w:p w14:paraId="0BA3ECA5" w14:textId="77777777" w:rsidR="00C1252D" w:rsidRPr="00954DE4" w:rsidRDefault="00C1252D" w:rsidP="00C1252D">
      <w:pPr>
        <w:rPr>
          <w:sz w:val="20"/>
        </w:rPr>
      </w:pPr>
    </w:p>
    <w:p w14:paraId="2ABA278C" w14:textId="77777777" w:rsidR="00C1252D" w:rsidRPr="00954DE4" w:rsidRDefault="00C1252D" w:rsidP="00C1252D">
      <w:pPr>
        <w:rPr>
          <w:sz w:val="20"/>
        </w:rPr>
      </w:pPr>
    </w:p>
    <w:p w14:paraId="428BE2C7" w14:textId="35C02332" w:rsidR="00C1252D" w:rsidRPr="00954DE4" w:rsidRDefault="00C1252D" w:rsidP="73DAEA76">
      <w:pPr>
        <w:spacing w:before="159"/>
        <w:rPr>
          <w:b/>
          <w:color w:val="00229F"/>
          <w:sz w:val="48"/>
          <w:szCs w:val="48"/>
        </w:rPr>
      </w:pPr>
      <w:r w:rsidRPr="00873E54">
        <w:rPr>
          <w:b/>
          <w:noProof/>
          <w:color w:val="2B579A"/>
          <w:shd w:val="clear" w:color="auto" w:fill="E6E6E6"/>
          <w:lang w:val="en-US"/>
        </w:rPr>
        <w:drawing>
          <wp:anchor distT="0" distB="0" distL="0" distR="0" simplePos="0" relativeHeight="251658244" behindDoc="0" locked="0" layoutInCell="1" allowOverlap="1" wp14:anchorId="11DFF679" wp14:editId="57FF3262">
            <wp:simplePos x="0" y="0"/>
            <wp:positionH relativeFrom="page">
              <wp:posOffset>5676900</wp:posOffset>
            </wp:positionH>
            <wp:positionV relativeFrom="paragraph">
              <wp:posOffset>-2337034</wp:posOffset>
            </wp:positionV>
            <wp:extent cx="2095500" cy="12954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1" cstate="print"/>
                    <a:stretch>
                      <a:fillRect/>
                    </a:stretch>
                  </pic:blipFill>
                  <pic:spPr>
                    <a:xfrm>
                      <a:off x="0" y="0"/>
                      <a:ext cx="2095500" cy="1295400"/>
                    </a:xfrm>
                    <a:prstGeom prst="rect">
                      <a:avLst/>
                    </a:prstGeom>
                  </pic:spPr>
                </pic:pic>
              </a:graphicData>
            </a:graphic>
          </wp:anchor>
        </w:drawing>
      </w:r>
      <w:r w:rsidR="76DE4FEE" w:rsidRPr="68ACA04F">
        <w:rPr>
          <w:b/>
          <w:bCs/>
          <w:color w:val="00229F"/>
          <w:sz w:val="48"/>
          <w:szCs w:val="48"/>
        </w:rPr>
        <w:t>Visa Inc.’s Response to</w:t>
      </w:r>
      <w:r w:rsidR="6FC9105F" w:rsidRPr="68ACA04F">
        <w:rPr>
          <w:b/>
          <w:bCs/>
          <w:color w:val="00229F"/>
          <w:sz w:val="48"/>
          <w:szCs w:val="48"/>
        </w:rPr>
        <w:t xml:space="preserve"> The </w:t>
      </w:r>
      <w:r w:rsidR="00872529" w:rsidRPr="68ACA04F">
        <w:rPr>
          <w:b/>
          <w:bCs/>
          <w:color w:val="00229F"/>
          <w:sz w:val="48"/>
          <w:szCs w:val="48"/>
        </w:rPr>
        <w:t>Reserve Bank of Australia’s Consultation Paper on Preliminary Conclusions to the Review of Retail Payments Regulation</w:t>
      </w:r>
    </w:p>
    <w:p w14:paraId="2E2523D4" w14:textId="77777777" w:rsidR="00C1252D" w:rsidRPr="00954DE4" w:rsidRDefault="00C1252D" w:rsidP="00C1252D">
      <w:pPr>
        <w:rPr>
          <w:sz w:val="20"/>
        </w:rPr>
      </w:pPr>
    </w:p>
    <w:p w14:paraId="61DC588D" w14:textId="77777777" w:rsidR="00C1252D" w:rsidRPr="00954DE4" w:rsidRDefault="00C1252D" w:rsidP="00C1252D">
      <w:pPr>
        <w:rPr>
          <w:sz w:val="20"/>
        </w:rPr>
      </w:pPr>
    </w:p>
    <w:p w14:paraId="5D3DFF93" w14:textId="77777777" w:rsidR="00C1252D" w:rsidRPr="00954DE4" w:rsidRDefault="00C1252D" w:rsidP="00C1252D">
      <w:pPr>
        <w:rPr>
          <w:sz w:val="20"/>
        </w:rPr>
      </w:pPr>
    </w:p>
    <w:p w14:paraId="2E8288E3" w14:textId="62B5EB0C" w:rsidR="00C1252D" w:rsidRPr="00954DE4" w:rsidRDefault="00C1252D" w:rsidP="00C1252D">
      <w:pPr>
        <w:rPr>
          <w:sz w:val="20"/>
        </w:rPr>
      </w:pPr>
    </w:p>
    <w:p w14:paraId="60CA482D" w14:textId="77777777" w:rsidR="00C1252D" w:rsidRPr="00954DE4" w:rsidRDefault="00C1252D" w:rsidP="00C1252D">
      <w:pPr>
        <w:rPr>
          <w:sz w:val="20"/>
        </w:rPr>
      </w:pPr>
    </w:p>
    <w:p w14:paraId="4B3FCCC6" w14:textId="77777777" w:rsidR="00C1252D" w:rsidRPr="00954DE4" w:rsidRDefault="000B0E37" w:rsidP="00C1252D">
      <w:pPr>
        <w:spacing w:before="7"/>
        <w:rPr>
          <w:sz w:val="19"/>
        </w:rPr>
      </w:pPr>
      <w:r w:rsidRPr="00873E54">
        <w:rPr>
          <w:noProof/>
          <w:color w:val="2B579A"/>
          <w:shd w:val="clear" w:color="auto" w:fill="E6E6E6"/>
          <w:lang w:val="en-US"/>
        </w:rPr>
        <mc:AlternateContent>
          <mc:Choice Requires="wpg">
            <w:drawing>
              <wp:anchor distT="0" distB="0" distL="0" distR="0" simplePos="0" relativeHeight="251658245" behindDoc="0" locked="0" layoutInCell="1" allowOverlap="1" wp14:anchorId="743CBCCE" wp14:editId="5924178E">
                <wp:simplePos x="0" y="0"/>
                <wp:positionH relativeFrom="page">
                  <wp:posOffset>3557270</wp:posOffset>
                </wp:positionH>
                <wp:positionV relativeFrom="paragraph">
                  <wp:posOffset>176530</wp:posOffset>
                </wp:positionV>
                <wp:extent cx="2551430" cy="452755"/>
                <wp:effectExtent l="0" t="0" r="0" b="0"/>
                <wp:wrapTopAndBottom/>
                <wp:docPr id="34" name="Group 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51430" cy="452755"/>
                          <a:chOff x="5602" y="278"/>
                          <a:chExt cx="4018" cy="713"/>
                        </a:xfrm>
                      </wpg:grpSpPr>
                      <pic:pic xmlns:pic="http://schemas.openxmlformats.org/drawingml/2006/picture">
                        <pic:nvPicPr>
                          <pic:cNvPr id="35" name="Picture 3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6618" y="519"/>
                            <a:ext cx="3001" cy="47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6" name="Picture 30"/>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5602" y="278"/>
                            <a:ext cx="2779" cy="47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7" name="Picture 29"/>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6618" y="519"/>
                            <a:ext cx="1763" cy="232"/>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028CEA02" id="Group 28" o:spid="_x0000_s1026" style="position:absolute;margin-left:280.1pt;margin-top:13.9pt;width:200.9pt;height:35.65pt;z-index:251658245;mso-wrap-distance-left:0;mso-wrap-distance-right:0;mso-position-horizontal-relative:page" coordorigin="5602,278" coordsize="4018,71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1" o:spid="_x0000_s1027" type="#_x0000_t75" style="position:absolute;left:6618;top:519;width:3001;height:47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">
                  <v:imagedata r:id="rId15" o:title=""/>
                </v:shape>
                <v:shape id="Picture 30" o:spid="_x0000_s1028" type="#_x0000_t75" style="position:absolute;left:5602;top:278;width:2779;height:4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">
                  <v:imagedata r:id="rId16" o:title=""/>
                </v:shape>
                <v:shape id="Picture 29" o:spid="_x0000_s1029" type="#_x0000_t75" style="position:absolute;left:6618;top:519;width:1763;height:2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">
                  <v:imagedata r:id="rId17" o:title=""/>
                </v:shape>
                <w10:wrap type="topAndBottom" anchorx="page"/>
              </v:group>
            </w:pict>
          </mc:Fallback>
        </mc:AlternateContent>
      </w:r>
    </w:p>
    <w:p w14:paraId="699FAD61" w14:textId="77777777" w:rsidR="00C1252D" w:rsidRPr="00954DE4" w:rsidRDefault="00C1252D" w:rsidP="00C1252D">
      <w:pPr>
        <w:rPr>
          <w:sz w:val="20"/>
        </w:rPr>
      </w:pPr>
    </w:p>
    <w:p w14:paraId="2DCB6032" w14:textId="77777777" w:rsidR="00C1252D" w:rsidRPr="00954DE4" w:rsidRDefault="00C1252D" w:rsidP="00C1252D">
      <w:pPr>
        <w:rPr>
          <w:sz w:val="20"/>
        </w:rPr>
      </w:pPr>
    </w:p>
    <w:p w14:paraId="6E361E9A" w14:textId="77777777" w:rsidR="00C1252D" w:rsidRPr="00954DE4" w:rsidRDefault="00C1252D" w:rsidP="00C1252D">
      <w:pPr>
        <w:rPr>
          <w:sz w:val="20"/>
        </w:rPr>
      </w:pPr>
    </w:p>
    <w:p w14:paraId="2D40DBE1" w14:textId="77777777" w:rsidR="00C1252D" w:rsidRPr="00954DE4" w:rsidRDefault="00C1252D" w:rsidP="00C1252D">
      <w:pPr>
        <w:spacing w:before="6"/>
        <w:rPr>
          <w:sz w:val="12"/>
        </w:rPr>
      </w:pPr>
      <w:r w:rsidRPr="00873E54">
        <w:rPr>
          <w:noProof/>
          <w:color w:val="2B579A"/>
          <w:shd w:val="clear" w:color="auto" w:fill="E6E6E6"/>
          <w:lang w:val="en-US"/>
        </w:rPr>
        <mc:AlternateContent>
          <mc:Choice Requires="wpg">
            <w:drawing>
              <wp:anchor distT="0" distB="0" distL="0" distR="0" simplePos="0" relativeHeight="251658246" behindDoc="0" locked="0" layoutInCell="1" allowOverlap="1" wp14:anchorId="58A89201" wp14:editId="55F60E06">
                <wp:simplePos x="0" y="0"/>
                <wp:positionH relativeFrom="page">
                  <wp:posOffset>4856480</wp:posOffset>
                </wp:positionH>
                <wp:positionV relativeFrom="paragraph">
                  <wp:posOffset>121920</wp:posOffset>
                </wp:positionV>
                <wp:extent cx="2260600" cy="455295"/>
                <wp:effectExtent l="0" t="0" r="0" b="1905"/>
                <wp:wrapTopAndBottom/>
                <wp:docPr id="30" name="Group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60600" cy="455295"/>
                          <a:chOff x="7648" y="192"/>
                          <a:chExt cx="3560" cy="717"/>
                        </a:xfrm>
                      </wpg:grpSpPr>
                      <pic:pic xmlns:pic="http://schemas.openxmlformats.org/drawingml/2006/picture">
                        <pic:nvPicPr>
                          <pic:cNvPr id="31" name="Picture 27"/>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8976" y="437"/>
                            <a:ext cx="2232" cy="47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2" name="Picture 26"/>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7648" y="192"/>
                            <a:ext cx="2152" cy="47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3" name="Picture 25"/>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8976" y="433"/>
                            <a:ext cx="824" cy="232"/>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343F09B4" id="Group 24" o:spid="_x0000_s1026" style="position:absolute;margin-left:382.4pt;margin-top:9.6pt;width:178pt;height:35.85pt;z-index:251658246;mso-wrap-distance-left:0;mso-wrap-distance-right:0;mso-position-horizontal-relative:page" coordorigin="7648,192" coordsize="3560,71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">
                <v:shape id="Picture 27" o:spid="_x0000_s1027" type="#_x0000_t75" style="position:absolute;left:8976;top:437;width:2232;height:47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">
                  <v:imagedata r:id="rId21" o:title=""/>
                </v:shape>
                <v:shape id="Picture 26" o:spid="_x0000_s1028" type="#_x0000_t75" style="position:absolute;left:7648;top:192;width:2152;height:47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">
                  <v:imagedata r:id="rId22" o:title=""/>
                </v:shape>
                <v:shape id="Picture 25" o:spid="_x0000_s1029" type="#_x0000_t75" style="position:absolute;left:8976;top:433;width:824;height:2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">
                  <v:imagedata r:id="rId23" o:title=""/>
                </v:shape>
                <w10:wrap type="topAndBottom" anchorx="page"/>
              </v:group>
            </w:pict>
          </mc:Fallback>
        </mc:AlternateContent>
      </w:r>
    </w:p>
    <w:p w14:paraId="2C4009CD" w14:textId="77777777" w:rsidR="00C1252D" w:rsidRPr="00954DE4" w:rsidRDefault="00C1252D" w:rsidP="00C1252D">
      <w:pPr>
        <w:rPr>
          <w:sz w:val="20"/>
        </w:rPr>
      </w:pPr>
    </w:p>
    <w:p w14:paraId="2FC4C6C1" w14:textId="77777777" w:rsidR="00C1252D" w:rsidRPr="00954DE4" w:rsidRDefault="00C1252D" w:rsidP="00C1252D">
      <w:pPr>
        <w:spacing w:before="5"/>
        <w:rPr>
          <w:sz w:val="13"/>
        </w:rPr>
      </w:pPr>
      <w:r w:rsidRPr="00873E54">
        <w:rPr>
          <w:noProof/>
          <w:color w:val="2B579A"/>
          <w:shd w:val="clear" w:color="auto" w:fill="E6E6E6"/>
          <w:lang w:val="en-US"/>
        </w:rPr>
        <w:drawing>
          <wp:anchor distT="0" distB="0" distL="0" distR="0" simplePos="0" relativeHeight="251658242" behindDoc="0" locked="0" layoutInCell="1" allowOverlap="1" wp14:anchorId="5B84D7F7" wp14:editId="125E0C21">
            <wp:simplePos x="0" y="0"/>
            <wp:positionH relativeFrom="page">
              <wp:posOffset>5321934</wp:posOffset>
            </wp:positionH>
            <wp:positionV relativeFrom="paragraph">
              <wp:posOffset>128815</wp:posOffset>
            </wp:positionV>
            <wp:extent cx="1475739" cy="300354"/>
            <wp:effectExtent l="0" t="0" r="0" b="0"/>
            <wp:wrapTopAndBottom/>
            <wp:docPr id="3"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8.png"/>
                    <pic:cNvPicPr/>
                  </pic:nvPicPr>
                  <pic:blipFill>
                    <a:blip r:embed="rId24" cstate="print"/>
                    <a:stretch>
                      <a:fillRect/>
                    </a:stretch>
                  </pic:blipFill>
                  <pic:spPr>
                    <a:xfrm>
                      <a:off x="0" y="0"/>
                      <a:ext cx="1475739" cy="300354"/>
                    </a:xfrm>
                    <a:prstGeom prst="rect">
                      <a:avLst/>
                    </a:prstGeom>
                  </pic:spPr>
                </pic:pic>
              </a:graphicData>
            </a:graphic>
          </wp:anchor>
        </w:drawing>
      </w:r>
    </w:p>
    <w:p w14:paraId="2B09A651" w14:textId="77777777" w:rsidR="00C1252D" w:rsidRPr="00954DE4" w:rsidRDefault="00C1252D" w:rsidP="00C1252D">
      <w:pPr>
        <w:rPr>
          <w:sz w:val="20"/>
        </w:rPr>
      </w:pPr>
    </w:p>
    <w:p w14:paraId="2C3E40DA" w14:textId="77777777" w:rsidR="00C1252D" w:rsidRPr="00954DE4" w:rsidRDefault="00C1252D" w:rsidP="001C368F">
      <w:pPr>
        <w:spacing w:before="6"/>
        <w:rPr>
          <w:sz w:val="14"/>
        </w:rPr>
      </w:pPr>
      <w:r w:rsidRPr="00873E54">
        <w:rPr>
          <w:noProof/>
          <w:color w:val="2B579A"/>
          <w:shd w:val="clear" w:color="auto" w:fill="E6E6E6"/>
          <w:lang w:val="en-US"/>
        </w:rPr>
        <w:drawing>
          <wp:anchor distT="0" distB="0" distL="0" distR="0" simplePos="0" relativeHeight="251658243" behindDoc="0" locked="0" layoutInCell="1" allowOverlap="1" wp14:anchorId="3D0408F5" wp14:editId="5ED876F8">
            <wp:simplePos x="0" y="0"/>
            <wp:positionH relativeFrom="page">
              <wp:posOffset>6223000</wp:posOffset>
            </wp:positionH>
            <wp:positionV relativeFrom="paragraph">
              <wp:posOffset>137705</wp:posOffset>
            </wp:positionV>
            <wp:extent cx="893445" cy="300355"/>
            <wp:effectExtent l="0" t="0" r="0" b="0"/>
            <wp:wrapTopAndBottom/>
            <wp:docPr id="5"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9.png"/>
                    <pic:cNvPicPr/>
                  </pic:nvPicPr>
                  <pic:blipFill>
                    <a:blip r:embed="rId25" cstate="print"/>
                    <a:stretch>
                      <a:fillRect/>
                    </a:stretch>
                  </pic:blipFill>
                  <pic:spPr>
                    <a:xfrm>
                      <a:off x="0" y="0"/>
                      <a:ext cx="893445" cy="300355"/>
                    </a:xfrm>
                    <a:prstGeom prst="rect">
                      <a:avLst/>
                    </a:prstGeom>
                  </pic:spPr>
                </pic:pic>
              </a:graphicData>
            </a:graphic>
          </wp:anchor>
        </w:drawing>
      </w:r>
    </w:p>
    <w:p w14:paraId="6B4AB359" w14:textId="77777777" w:rsidR="00C1252D" w:rsidRPr="00954DE4" w:rsidRDefault="00C1252D" w:rsidP="00C1252D">
      <w:pPr>
        <w:spacing w:before="85" w:after="17"/>
        <w:rPr>
          <w:b/>
          <w:color w:val="000099"/>
          <w:sz w:val="32"/>
        </w:rPr>
        <w:sectPr w:rsidR="00C1252D" w:rsidRPr="00954DE4">
          <w:headerReference w:type="default" r:id="rId26"/>
          <w:footerReference w:type="default" r:id="rId27"/>
          <w:pgSz w:w="12240" w:h="15840"/>
          <w:pgMar w:top="1440" w:right="1440" w:bottom="1440" w:left="1440" w:header="720" w:footer="720" w:gutter="0"/>
          <w:cols w:space="720"/>
          <w:docGrid w:linePitch="360"/>
        </w:sectPr>
      </w:pPr>
    </w:p>
    <w:p w14:paraId="4CCE47E5" w14:textId="00A02154" w:rsidR="00C1252D" w:rsidRPr="00143628" w:rsidRDefault="00C1252D" w:rsidP="00C1252D">
      <w:pPr>
        <w:spacing w:before="85" w:after="17"/>
        <w:rPr>
          <w:rFonts w:cstheme="minorHAnsi"/>
          <w:b/>
          <w:sz w:val="32"/>
        </w:rPr>
      </w:pPr>
      <w:r w:rsidRPr="00143628">
        <w:rPr>
          <w:rFonts w:cstheme="minorHAnsi"/>
          <w:b/>
          <w:color w:val="000099"/>
          <w:sz w:val="32"/>
        </w:rPr>
        <w:lastRenderedPageBreak/>
        <w:t>Table of Contents</w:t>
      </w:r>
    </w:p>
    <w:p w14:paraId="0B8C12BF" w14:textId="464BADC9" w:rsidR="00C1252D" w:rsidRPr="00261196" w:rsidRDefault="00C1252D" w:rsidP="00261196">
      <w:pPr>
        <w:spacing w:line="44" w:lineRule="exact"/>
        <w:rPr>
          <w:sz w:val="4"/>
        </w:rPr>
      </w:pPr>
      <w:r w:rsidRPr="00954DE4">
        <w:rPr>
          <w:noProof/>
          <w:color w:val="2B579A"/>
          <w:sz w:val="4"/>
          <w:shd w:val="clear" w:color="auto" w:fill="E6E6E6"/>
          <w:lang w:val="en-US"/>
        </w:rPr>
        <mc:AlternateContent>
          <mc:Choice Requires="wpg">
            <w:drawing>
              <wp:inline distT="0" distB="0" distL="0" distR="0" wp14:anchorId="3158EB60" wp14:editId="3B4A8F34">
                <wp:extent cx="6009005" cy="27940"/>
                <wp:effectExtent l="5715" t="1905" r="5080" b="8255"/>
                <wp:docPr id="26"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09005" cy="27940"/>
                          <a:chOff x="0" y="0"/>
                          <a:chExt cx="9463" cy="44"/>
                        </a:xfrm>
                      </wpg:grpSpPr>
                      <wps:wsp>
                        <wps:cNvPr id="27" name="Line 21"/>
                        <wps:cNvCnPr>
                          <a:cxnSpLocks noChangeShapeType="1"/>
                        </wps:cNvCnPr>
                        <wps:spPr bwMode="auto">
                          <a:xfrm>
                            <a:off x="22" y="22"/>
                            <a:ext cx="9419" cy="0"/>
                          </a:xfrm>
                          <a:prstGeom prst="line">
                            <a:avLst/>
                          </a:prstGeom>
                          <a:noFill/>
                          <a:ln w="27432">
                            <a:solidFill>
                              <a:srgbClr val="F7B6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7578735C" id="Group 20" o:spid="_x0000_s1026" style="width:473.15pt;height:2.2pt;mso-position-horizontal-relative:char;mso-position-vertical-relative:line" coordsize="9463,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">
                <v:line id="Line 21" o:spid="_x0000_s1027" style="position:absolute;visibility:visible;mso-wrap-style:square" from="22,22" to="9441,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" strokecolor="#f7b600" strokeweight="2.16pt"/>
                <w10:anchorlock/>
              </v:group>
            </w:pict>
          </mc:Fallback>
        </mc:AlternateContent>
      </w:r>
    </w:p>
    <w:sdt>
      <w:sdtPr>
        <w:rPr>
          <w:rFonts w:asciiTheme="minorHAnsi" w:eastAsiaTheme="minorHAnsi" w:hAnsiTheme="minorHAnsi" w:cstheme="minorBidi"/>
          <w:color w:val="auto"/>
          <w:sz w:val="22"/>
          <w:szCs w:val="22"/>
        </w:rPr>
        <w:id w:val="249619355"/>
        <w:docPartObj>
          <w:docPartGallery w:val="Table of Contents"/>
          <w:docPartUnique/>
        </w:docPartObj>
      </w:sdtPr>
      <w:sdtEndPr>
        <w:rPr>
          <w:b/>
          <w:bCs/>
          <w:noProof/>
        </w:rPr>
      </w:sdtEndPr>
      <w:sdtContent>
        <w:p w14:paraId="6BFE9FCF" w14:textId="2CA47AEA" w:rsidR="005C2B42" w:rsidRPr="00261196" w:rsidRDefault="005C2B42" w:rsidP="00261196">
          <w:pPr>
            <w:pStyle w:val="TOCHeading"/>
            <w:rPr>
              <w:sz w:val="28"/>
              <w:szCs w:val="28"/>
            </w:rPr>
          </w:pPr>
        </w:p>
        <w:p w14:paraId="5846F542" w14:textId="111AB28E" w:rsidR="00800201" w:rsidRDefault="0003462E">
          <w:pPr>
            <w:pStyle w:val="TOC1"/>
            <w:rPr>
              <w:rFonts w:eastAsiaTheme="minorEastAsia"/>
              <w:noProof/>
              <w:lang w:val="en-US"/>
            </w:rPr>
          </w:pPr>
          <w:r w:rsidRPr="00135062">
            <w:rPr>
              <w:sz w:val="28"/>
              <w:szCs w:val="28"/>
            </w:rPr>
            <w:fldChar w:fldCharType="begin"/>
          </w:r>
          <w:r w:rsidRPr="00135062">
            <w:rPr>
              <w:sz w:val="28"/>
              <w:szCs w:val="28"/>
            </w:rPr>
            <w:instrText xml:space="preserve"> TOC \o "1-3" \h \z \u </w:instrText>
          </w:r>
          <w:r w:rsidRPr="00135062">
            <w:rPr>
              <w:sz w:val="28"/>
              <w:szCs w:val="28"/>
            </w:rPr>
            <w:fldChar w:fldCharType="separate"/>
          </w:r>
          <w:hyperlink w:anchor="_Toc76743587" w:history="1">
            <w:r w:rsidR="00800201" w:rsidRPr="0083425B">
              <w:rPr>
                <w:rStyle w:val="Hyperlink"/>
                <w:rFonts w:cs="Segoe UI"/>
                <w:b/>
                <w:noProof/>
              </w:rPr>
              <w:t>Group Country Manager Letter</w:t>
            </w:r>
            <w:r w:rsidR="00800201">
              <w:rPr>
                <w:noProof/>
                <w:webHidden/>
              </w:rPr>
              <w:tab/>
            </w:r>
            <w:r w:rsidR="00800201">
              <w:rPr>
                <w:noProof/>
                <w:webHidden/>
              </w:rPr>
              <w:fldChar w:fldCharType="begin"/>
            </w:r>
            <w:r w:rsidR="00800201">
              <w:rPr>
                <w:noProof/>
                <w:webHidden/>
              </w:rPr>
              <w:instrText xml:space="preserve"> PAGEREF _Toc76743587 \h </w:instrText>
            </w:r>
            <w:r w:rsidR="00800201">
              <w:rPr>
                <w:noProof/>
                <w:webHidden/>
              </w:rPr>
            </w:r>
            <w:r w:rsidR="00800201">
              <w:rPr>
                <w:noProof/>
                <w:webHidden/>
              </w:rPr>
              <w:fldChar w:fldCharType="separate"/>
            </w:r>
            <w:r w:rsidR="00080163">
              <w:rPr>
                <w:noProof/>
                <w:webHidden/>
              </w:rPr>
              <w:t>3</w:t>
            </w:r>
            <w:r w:rsidR="00800201">
              <w:rPr>
                <w:noProof/>
                <w:webHidden/>
              </w:rPr>
              <w:fldChar w:fldCharType="end"/>
            </w:r>
          </w:hyperlink>
        </w:p>
        <w:p w14:paraId="353BCE40" w14:textId="6147AA8B" w:rsidR="00800201" w:rsidRDefault="00080163">
          <w:pPr>
            <w:pStyle w:val="TOC1"/>
            <w:rPr>
              <w:rFonts w:eastAsiaTheme="minorEastAsia"/>
              <w:noProof/>
              <w:lang w:val="en-US"/>
            </w:rPr>
          </w:pPr>
          <w:hyperlink w:anchor="_Toc76743588" w:history="1">
            <w:r w:rsidR="00800201" w:rsidRPr="0083425B">
              <w:rPr>
                <w:rStyle w:val="Hyperlink"/>
                <w:rFonts w:cs="Segoe UI"/>
                <w:b/>
                <w:noProof/>
              </w:rPr>
              <w:t>Overview</w:t>
            </w:r>
            <w:r w:rsidR="00800201">
              <w:rPr>
                <w:noProof/>
                <w:webHidden/>
              </w:rPr>
              <w:tab/>
            </w:r>
            <w:r w:rsidR="00800201">
              <w:rPr>
                <w:noProof/>
                <w:webHidden/>
              </w:rPr>
              <w:fldChar w:fldCharType="begin"/>
            </w:r>
            <w:r w:rsidR="00800201">
              <w:rPr>
                <w:noProof/>
                <w:webHidden/>
              </w:rPr>
              <w:instrText xml:space="preserve"> PAGEREF _Toc76743588 \h </w:instrText>
            </w:r>
            <w:r w:rsidR="00800201">
              <w:rPr>
                <w:noProof/>
                <w:webHidden/>
              </w:rPr>
            </w:r>
            <w:r w:rsidR="00800201">
              <w:rPr>
                <w:noProof/>
                <w:webHidden/>
              </w:rPr>
              <w:fldChar w:fldCharType="separate"/>
            </w:r>
            <w:r>
              <w:rPr>
                <w:noProof/>
                <w:webHidden/>
              </w:rPr>
              <w:t>4</w:t>
            </w:r>
            <w:r w:rsidR="00800201">
              <w:rPr>
                <w:noProof/>
                <w:webHidden/>
              </w:rPr>
              <w:fldChar w:fldCharType="end"/>
            </w:r>
          </w:hyperlink>
        </w:p>
        <w:p w14:paraId="52644EF5" w14:textId="1764A435" w:rsidR="00800201" w:rsidRDefault="00080163">
          <w:pPr>
            <w:pStyle w:val="TOC1"/>
            <w:rPr>
              <w:rFonts w:eastAsiaTheme="minorEastAsia"/>
              <w:noProof/>
              <w:lang w:val="en-US"/>
            </w:rPr>
          </w:pPr>
          <w:hyperlink w:anchor="_Toc76743589" w:history="1">
            <w:r w:rsidR="00800201" w:rsidRPr="0083425B">
              <w:rPr>
                <w:rStyle w:val="Hyperlink"/>
                <w:rFonts w:cstheme="minorHAnsi"/>
                <w:b/>
                <w:noProof/>
              </w:rPr>
              <w:t>1.</w:t>
            </w:r>
            <w:r w:rsidR="00800201">
              <w:rPr>
                <w:rFonts w:eastAsiaTheme="minorEastAsia"/>
                <w:noProof/>
                <w:lang w:val="en-US"/>
              </w:rPr>
              <w:tab/>
            </w:r>
            <w:r w:rsidR="00800201" w:rsidRPr="0083425B">
              <w:rPr>
                <w:rStyle w:val="Hyperlink"/>
                <w:rFonts w:cs="Segoe UI"/>
                <w:b/>
                <w:noProof/>
              </w:rPr>
              <w:t xml:space="preserve">Dual-Network Debit Cards and </w:t>
            </w:r>
            <w:r w:rsidR="00800201" w:rsidRPr="0083425B">
              <w:rPr>
                <w:rStyle w:val="Hyperlink"/>
                <w:rFonts w:cs="Segoe UI"/>
                <w:b/>
                <w:bCs/>
                <w:noProof/>
              </w:rPr>
              <w:t>Merchant Choice Routing</w:t>
            </w:r>
            <w:r w:rsidR="00800201">
              <w:rPr>
                <w:noProof/>
                <w:webHidden/>
              </w:rPr>
              <w:tab/>
            </w:r>
            <w:r w:rsidR="00800201">
              <w:rPr>
                <w:noProof/>
                <w:webHidden/>
              </w:rPr>
              <w:fldChar w:fldCharType="begin"/>
            </w:r>
            <w:r w:rsidR="00800201">
              <w:rPr>
                <w:noProof/>
                <w:webHidden/>
              </w:rPr>
              <w:instrText xml:space="preserve"> PAGEREF _Toc76743589 \h </w:instrText>
            </w:r>
            <w:r w:rsidR="00800201">
              <w:rPr>
                <w:noProof/>
                <w:webHidden/>
              </w:rPr>
            </w:r>
            <w:r w:rsidR="00800201">
              <w:rPr>
                <w:noProof/>
                <w:webHidden/>
              </w:rPr>
              <w:fldChar w:fldCharType="separate"/>
            </w:r>
            <w:r>
              <w:rPr>
                <w:noProof/>
                <w:webHidden/>
              </w:rPr>
              <w:t>8</w:t>
            </w:r>
            <w:r w:rsidR="00800201">
              <w:rPr>
                <w:noProof/>
                <w:webHidden/>
              </w:rPr>
              <w:fldChar w:fldCharType="end"/>
            </w:r>
          </w:hyperlink>
        </w:p>
        <w:p w14:paraId="6D35E172" w14:textId="0A10647D" w:rsidR="00800201" w:rsidRDefault="00080163">
          <w:pPr>
            <w:pStyle w:val="TOC1"/>
            <w:rPr>
              <w:rFonts w:eastAsiaTheme="minorEastAsia"/>
              <w:noProof/>
              <w:lang w:val="en-US"/>
            </w:rPr>
          </w:pPr>
          <w:hyperlink w:anchor="_Toc76743590" w:history="1">
            <w:r w:rsidR="00800201" w:rsidRPr="0083425B">
              <w:rPr>
                <w:rStyle w:val="Hyperlink"/>
                <w:rFonts w:cstheme="minorHAnsi"/>
                <w:b/>
                <w:noProof/>
              </w:rPr>
              <w:t>2.</w:t>
            </w:r>
            <w:r w:rsidR="00800201">
              <w:rPr>
                <w:rFonts w:eastAsiaTheme="minorEastAsia"/>
                <w:noProof/>
                <w:lang w:val="en-US"/>
              </w:rPr>
              <w:tab/>
            </w:r>
            <w:r w:rsidR="00800201" w:rsidRPr="0083425B">
              <w:rPr>
                <w:rStyle w:val="Hyperlink"/>
                <w:rFonts w:cs="Segoe UI"/>
                <w:b/>
                <w:noProof/>
              </w:rPr>
              <w:t xml:space="preserve">Interchange </w:t>
            </w:r>
            <w:r w:rsidR="00800201" w:rsidRPr="0083425B">
              <w:rPr>
                <w:rStyle w:val="Hyperlink"/>
                <w:rFonts w:cs="Segoe UI"/>
                <w:b/>
                <w:bCs/>
                <w:noProof/>
              </w:rPr>
              <w:t>Fees</w:t>
            </w:r>
            <w:r w:rsidR="00800201">
              <w:rPr>
                <w:noProof/>
                <w:webHidden/>
              </w:rPr>
              <w:tab/>
            </w:r>
            <w:r w:rsidR="00800201">
              <w:rPr>
                <w:noProof/>
                <w:webHidden/>
              </w:rPr>
              <w:fldChar w:fldCharType="begin"/>
            </w:r>
            <w:r w:rsidR="00800201">
              <w:rPr>
                <w:noProof/>
                <w:webHidden/>
              </w:rPr>
              <w:instrText xml:space="preserve"> PAGEREF _Toc76743590 \h </w:instrText>
            </w:r>
            <w:r w:rsidR="00800201">
              <w:rPr>
                <w:noProof/>
                <w:webHidden/>
              </w:rPr>
            </w:r>
            <w:r w:rsidR="00800201">
              <w:rPr>
                <w:noProof/>
                <w:webHidden/>
              </w:rPr>
              <w:fldChar w:fldCharType="separate"/>
            </w:r>
            <w:r>
              <w:rPr>
                <w:noProof/>
                <w:webHidden/>
              </w:rPr>
              <w:t>18</w:t>
            </w:r>
            <w:r w:rsidR="00800201">
              <w:rPr>
                <w:noProof/>
                <w:webHidden/>
              </w:rPr>
              <w:fldChar w:fldCharType="end"/>
            </w:r>
          </w:hyperlink>
        </w:p>
        <w:p w14:paraId="4716C774" w14:textId="3B3060B1" w:rsidR="00800201" w:rsidRDefault="00080163">
          <w:pPr>
            <w:pStyle w:val="TOC1"/>
            <w:rPr>
              <w:rFonts w:eastAsiaTheme="minorEastAsia"/>
              <w:noProof/>
              <w:lang w:val="en-US"/>
            </w:rPr>
          </w:pPr>
          <w:hyperlink w:anchor="_Toc76743591" w:history="1">
            <w:r w:rsidR="00800201" w:rsidRPr="0083425B">
              <w:rPr>
                <w:rStyle w:val="Hyperlink"/>
                <w:rFonts w:cstheme="minorHAnsi"/>
                <w:b/>
                <w:noProof/>
              </w:rPr>
              <w:t>3.</w:t>
            </w:r>
            <w:r w:rsidR="00800201">
              <w:rPr>
                <w:rFonts w:eastAsiaTheme="minorEastAsia"/>
                <w:noProof/>
                <w:lang w:val="en-US"/>
              </w:rPr>
              <w:tab/>
            </w:r>
            <w:r w:rsidR="00800201" w:rsidRPr="0083425B">
              <w:rPr>
                <w:rStyle w:val="Hyperlink"/>
                <w:rFonts w:cs="Segoe UI"/>
                <w:b/>
                <w:noProof/>
              </w:rPr>
              <w:t>Other Issues</w:t>
            </w:r>
            <w:r w:rsidR="00800201">
              <w:rPr>
                <w:noProof/>
                <w:webHidden/>
              </w:rPr>
              <w:tab/>
            </w:r>
            <w:r w:rsidR="00800201">
              <w:rPr>
                <w:noProof/>
                <w:webHidden/>
              </w:rPr>
              <w:fldChar w:fldCharType="begin"/>
            </w:r>
            <w:r w:rsidR="00800201">
              <w:rPr>
                <w:noProof/>
                <w:webHidden/>
              </w:rPr>
              <w:instrText xml:space="preserve"> PAGEREF _Toc76743591 \h </w:instrText>
            </w:r>
            <w:r w:rsidR="00800201">
              <w:rPr>
                <w:noProof/>
                <w:webHidden/>
              </w:rPr>
            </w:r>
            <w:r w:rsidR="00800201">
              <w:rPr>
                <w:noProof/>
                <w:webHidden/>
              </w:rPr>
              <w:fldChar w:fldCharType="separate"/>
            </w:r>
            <w:r>
              <w:rPr>
                <w:noProof/>
                <w:webHidden/>
              </w:rPr>
              <w:t>21</w:t>
            </w:r>
            <w:r w:rsidR="00800201">
              <w:rPr>
                <w:noProof/>
                <w:webHidden/>
              </w:rPr>
              <w:fldChar w:fldCharType="end"/>
            </w:r>
          </w:hyperlink>
        </w:p>
        <w:p w14:paraId="4FEE7C7D" w14:textId="1EFA4815" w:rsidR="00800201" w:rsidRDefault="00080163">
          <w:pPr>
            <w:pStyle w:val="TOC1"/>
            <w:rPr>
              <w:rFonts w:eastAsiaTheme="minorEastAsia"/>
              <w:noProof/>
              <w:lang w:val="en-US"/>
            </w:rPr>
          </w:pPr>
          <w:hyperlink w:anchor="_Toc76743592" w:history="1">
            <w:r w:rsidR="00800201" w:rsidRPr="0083425B">
              <w:rPr>
                <w:rStyle w:val="Hyperlink"/>
                <w:rFonts w:cstheme="minorHAnsi"/>
                <w:b/>
                <w:noProof/>
              </w:rPr>
              <w:t>4.</w:t>
            </w:r>
            <w:r w:rsidR="00800201">
              <w:rPr>
                <w:rFonts w:eastAsiaTheme="minorEastAsia"/>
                <w:noProof/>
                <w:lang w:val="en-US"/>
              </w:rPr>
              <w:tab/>
            </w:r>
            <w:r w:rsidR="00800201" w:rsidRPr="0083425B">
              <w:rPr>
                <w:rStyle w:val="Hyperlink"/>
                <w:rFonts w:cs="Segoe UI"/>
                <w:b/>
                <w:noProof/>
              </w:rPr>
              <w:t>Draft Standards</w:t>
            </w:r>
            <w:r w:rsidR="00800201">
              <w:rPr>
                <w:noProof/>
                <w:webHidden/>
              </w:rPr>
              <w:tab/>
            </w:r>
            <w:r w:rsidR="00800201">
              <w:rPr>
                <w:noProof/>
                <w:webHidden/>
              </w:rPr>
              <w:fldChar w:fldCharType="begin"/>
            </w:r>
            <w:r w:rsidR="00800201">
              <w:rPr>
                <w:noProof/>
                <w:webHidden/>
              </w:rPr>
              <w:instrText xml:space="preserve"> PAGEREF _Toc76743592 \h </w:instrText>
            </w:r>
            <w:r w:rsidR="00800201">
              <w:rPr>
                <w:noProof/>
                <w:webHidden/>
              </w:rPr>
            </w:r>
            <w:r w:rsidR="00800201">
              <w:rPr>
                <w:noProof/>
                <w:webHidden/>
              </w:rPr>
              <w:fldChar w:fldCharType="separate"/>
            </w:r>
            <w:r>
              <w:rPr>
                <w:noProof/>
                <w:webHidden/>
              </w:rPr>
              <w:t>23</w:t>
            </w:r>
            <w:r w:rsidR="00800201">
              <w:rPr>
                <w:noProof/>
                <w:webHidden/>
              </w:rPr>
              <w:fldChar w:fldCharType="end"/>
            </w:r>
          </w:hyperlink>
        </w:p>
        <w:p w14:paraId="0B2AAEF7" w14:textId="1DE6A123" w:rsidR="00800201" w:rsidRDefault="00080163">
          <w:pPr>
            <w:pStyle w:val="TOC1"/>
            <w:rPr>
              <w:rFonts w:eastAsiaTheme="minorEastAsia"/>
              <w:noProof/>
              <w:lang w:val="en-US"/>
            </w:rPr>
          </w:pPr>
          <w:hyperlink w:anchor="_Toc76743593" w:history="1">
            <w:r w:rsidR="00800201" w:rsidRPr="0083425B">
              <w:rPr>
                <w:rStyle w:val="Hyperlink"/>
                <w:rFonts w:cs="Segoe UI"/>
                <w:b/>
                <w:bCs/>
                <w:noProof/>
              </w:rPr>
              <w:t>Conclusion</w:t>
            </w:r>
            <w:r w:rsidR="00800201">
              <w:rPr>
                <w:noProof/>
                <w:webHidden/>
              </w:rPr>
              <w:tab/>
            </w:r>
            <w:r w:rsidR="00800201">
              <w:rPr>
                <w:noProof/>
                <w:webHidden/>
              </w:rPr>
              <w:fldChar w:fldCharType="begin"/>
            </w:r>
            <w:r w:rsidR="00800201">
              <w:rPr>
                <w:noProof/>
                <w:webHidden/>
              </w:rPr>
              <w:instrText xml:space="preserve"> PAGEREF _Toc76743593 \h </w:instrText>
            </w:r>
            <w:r w:rsidR="00800201">
              <w:rPr>
                <w:noProof/>
                <w:webHidden/>
              </w:rPr>
            </w:r>
            <w:r w:rsidR="00800201">
              <w:rPr>
                <w:noProof/>
                <w:webHidden/>
              </w:rPr>
              <w:fldChar w:fldCharType="separate"/>
            </w:r>
            <w:r>
              <w:rPr>
                <w:noProof/>
                <w:webHidden/>
              </w:rPr>
              <w:t>24</w:t>
            </w:r>
            <w:r w:rsidR="00800201">
              <w:rPr>
                <w:noProof/>
                <w:webHidden/>
              </w:rPr>
              <w:fldChar w:fldCharType="end"/>
            </w:r>
          </w:hyperlink>
        </w:p>
        <w:p w14:paraId="7F86EE40" w14:textId="7814D7DF" w:rsidR="00800201" w:rsidRDefault="00080163">
          <w:pPr>
            <w:pStyle w:val="TOC1"/>
            <w:rPr>
              <w:rFonts w:eastAsiaTheme="minorEastAsia"/>
              <w:noProof/>
              <w:lang w:val="en-US"/>
            </w:rPr>
          </w:pPr>
          <w:hyperlink w:anchor="_Toc76743594" w:history="1">
            <w:r w:rsidR="00800201" w:rsidRPr="0083425B">
              <w:rPr>
                <w:rStyle w:val="Hyperlink"/>
                <w:rFonts w:cs="Segoe UI"/>
                <w:b/>
                <w:noProof/>
              </w:rPr>
              <w:t>About Visa</w:t>
            </w:r>
            <w:r w:rsidR="00800201">
              <w:rPr>
                <w:noProof/>
                <w:webHidden/>
              </w:rPr>
              <w:tab/>
            </w:r>
            <w:r w:rsidR="00800201">
              <w:rPr>
                <w:noProof/>
                <w:webHidden/>
              </w:rPr>
              <w:fldChar w:fldCharType="begin"/>
            </w:r>
            <w:r w:rsidR="00800201">
              <w:rPr>
                <w:noProof/>
                <w:webHidden/>
              </w:rPr>
              <w:instrText xml:space="preserve"> PAGEREF _Toc76743594 \h </w:instrText>
            </w:r>
            <w:r w:rsidR="00800201">
              <w:rPr>
                <w:noProof/>
                <w:webHidden/>
              </w:rPr>
            </w:r>
            <w:r w:rsidR="00800201">
              <w:rPr>
                <w:noProof/>
                <w:webHidden/>
              </w:rPr>
              <w:fldChar w:fldCharType="separate"/>
            </w:r>
            <w:r>
              <w:rPr>
                <w:noProof/>
                <w:webHidden/>
              </w:rPr>
              <w:t>25</w:t>
            </w:r>
            <w:r w:rsidR="00800201">
              <w:rPr>
                <w:noProof/>
                <w:webHidden/>
              </w:rPr>
              <w:fldChar w:fldCharType="end"/>
            </w:r>
          </w:hyperlink>
        </w:p>
        <w:p w14:paraId="766F1A1D" w14:textId="6F7F053E" w:rsidR="00800201" w:rsidRDefault="00080163">
          <w:pPr>
            <w:pStyle w:val="TOC1"/>
            <w:rPr>
              <w:rFonts w:eastAsiaTheme="minorEastAsia"/>
              <w:noProof/>
              <w:lang w:val="en-US"/>
            </w:rPr>
          </w:pPr>
          <w:hyperlink w:anchor="_Toc76743595" w:history="1">
            <w:r w:rsidR="00800201" w:rsidRPr="0083425B">
              <w:rPr>
                <w:rStyle w:val="Hyperlink"/>
                <w:rFonts w:cs="Segoe UI"/>
                <w:b/>
                <w:bCs/>
                <w:noProof/>
              </w:rPr>
              <w:t>Appendix</w:t>
            </w:r>
            <w:r w:rsidR="00800201">
              <w:rPr>
                <w:noProof/>
                <w:webHidden/>
              </w:rPr>
              <w:tab/>
            </w:r>
            <w:r w:rsidR="00800201">
              <w:rPr>
                <w:noProof/>
                <w:webHidden/>
              </w:rPr>
              <w:fldChar w:fldCharType="begin"/>
            </w:r>
            <w:r w:rsidR="00800201">
              <w:rPr>
                <w:noProof/>
                <w:webHidden/>
              </w:rPr>
              <w:instrText xml:space="preserve"> PAGEREF _Toc76743595 \h </w:instrText>
            </w:r>
            <w:r w:rsidR="00800201">
              <w:rPr>
                <w:noProof/>
                <w:webHidden/>
              </w:rPr>
            </w:r>
            <w:r w:rsidR="00800201">
              <w:rPr>
                <w:noProof/>
                <w:webHidden/>
              </w:rPr>
              <w:fldChar w:fldCharType="separate"/>
            </w:r>
            <w:r>
              <w:rPr>
                <w:noProof/>
                <w:webHidden/>
              </w:rPr>
              <w:t>26</w:t>
            </w:r>
            <w:r w:rsidR="00800201">
              <w:rPr>
                <w:noProof/>
                <w:webHidden/>
              </w:rPr>
              <w:fldChar w:fldCharType="end"/>
            </w:r>
          </w:hyperlink>
        </w:p>
        <w:p w14:paraId="2245C39C" w14:textId="1F49B6F5" w:rsidR="0003462E" w:rsidRDefault="0003462E" w:rsidP="00261196">
          <w:r w:rsidRPr="00135062">
            <w:rPr>
              <w:b/>
              <w:bCs/>
              <w:noProof/>
              <w:sz w:val="28"/>
              <w:szCs w:val="28"/>
            </w:rPr>
            <w:fldChar w:fldCharType="end"/>
          </w:r>
        </w:p>
      </w:sdtContent>
    </w:sdt>
    <w:p w14:paraId="5DE01D97" w14:textId="60EE0570" w:rsidR="00143628" w:rsidRPr="006A0390" w:rsidRDefault="00143628" w:rsidP="00C1252D">
      <w:pPr>
        <w:spacing w:before="3"/>
        <w:rPr>
          <w:rFonts w:cstheme="minorHAnsi"/>
          <w:sz w:val="24"/>
          <w:szCs w:val="24"/>
        </w:rPr>
      </w:pPr>
    </w:p>
    <w:p w14:paraId="57B7F727" w14:textId="77777777" w:rsidR="00143628" w:rsidRPr="006A0390" w:rsidRDefault="00143628" w:rsidP="00C1252D">
      <w:pPr>
        <w:spacing w:before="3"/>
        <w:rPr>
          <w:rFonts w:cstheme="minorHAnsi"/>
          <w:b/>
          <w:sz w:val="24"/>
          <w:szCs w:val="24"/>
        </w:rPr>
      </w:pPr>
    </w:p>
    <w:p w14:paraId="0BB3CD3A" w14:textId="2ECD9DC7" w:rsidR="00C1252D" w:rsidRDefault="00C1252D" w:rsidP="00C1252D">
      <w:pPr>
        <w:sectPr w:rsidR="00C1252D">
          <w:headerReference w:type="default" r:id="rId28"/>
          <w:footerReference w:type="default" r:id="rId29"/>
          <w:pgSz w:w="12240" w:h="15840"/>
          <w:pgMar w:top="1440" w:right="1440" w:bottom="1440" w:left="1440" w:header="720" w:footer="720" w:gutter="0"/>
          <w:cols w:space="720"/>
          <w:docGrid w:linePitch="360"/>
        </w:sectPr>
      </w:pPr>
      <w:r w:rsidRPr="00873E54">
        <w:br w:type="page"/>
      </w:r>
    </w:p>
    <w:p w14:paraId="57867AC7" w14:textId="79AAE873" w:rsidR="00261196" w:rsidRPr="007A4078" w:rsidRDefault="00261196" w:rsidP="00261196">
      <w:pPr>
        <w:pStyle w:val="Heading1"/>
        <w:rPr>
          <w:rFonts w:asciiTheme="minorHAnsi" w:hAnsiTheme="minorHAnsi" w:cs="Segoe UI"/>
          <w:b/>
          <w:color w:val="002060"/>
        </w:rPr>
      </w:pPr>
      <w:bookmarkStart w:id="0" w:name="_Toc76743587"/>
      <w:r>
        <w:rPr>
          <w:rFonts w:asciiTheme="minorHAnsi" w:hAnsiTheme="minorHAnsi" w:cs="Segoe UI"/>
          <w:b/>
          <w:color w:val="002060"/>
        </w:rPr>
        <w:lastRenderedPageBreak/>
        <w:t>Group Country Manager Letter</w:t>
      </w:r>
      <w:bookmarkEnd w:id="0"/>
    </w:p>
    <w:p w14:paraId="7D3EE8D6" w14:textId="4B9F8DCB" w:rsidR="004A424E" w:rsidRDefault="001A3E60" w:rsidP="00F65609">
      <w:pPr>
        <w:rPr>
          <w:rFonts w:cs="Segoe UI"/>
        </w:rPr>
      </w:pPr>
      <w:r>
        <w:rPr>
          <w:rFonts w:cs="Segoe UI"/>
          <w:noProof/>
        </w:rPr>
        <w:drawing>
          <wp:anchor distT="0" distB="0" distL="114300" distR="114300" simplePos="0" relativeHeight="251664398" behindDoc="0" locked="0" layoutInCell="1" allowOverlap="1" wp14:anchorId="4506E93E" wp14:editId="716DAA52">
            <wp:simplePos x="0" y="0"/>
            <wp:positionH relativeFrom="margin">
              <wp:posOffset>5049139</wp:posOffset>
            </wp:positionH>
            <wp:positionV relativeFrom="margin">
              <wp:posOffset>-756920</wp:posOffset>
            </wp:positionV>
            <wp:extent cx="1477010" cy="829945"/>
            <wp:effectExtent l="0" t="0" r="8890" b="8255"/>
            <wp:wrapSquare wrapText="bothSides"/>
            <wp:docPr id="10" name="Picture 10" descr="New VB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New VBM"/>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477010" cy="82994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50C1C08" w14:textId="2BDB1E25" w:rsidR="001A3E60" w:rsidRDefault="001A3E60" w:rsidP="00F65609">
      <w:pPr>
        <w:rPr>
          <w:rFonts w:cs="Segoe UI"/>
        </w:rPr>
      </w:pPr>
    </w:p>
    <w:p w14:paraId="10202C1D" w14:textId="71F49FA7" w:rsidR="00322352" w:rsidRDefault="00322352" w:rsidP="00F65609">
      <w:pPr>
        <w:rPr>
          <w:rFonts w:cs="Segoe UI"/>
        </w:rPr>
      </w:pPr>
    </w:p>
    <w:p w14:paraId="509DC2FA" w14:textId="4F4DCDA8" w:rsidR="00322352" w:rsidRDefault="00322352" w:rsidP="00F65609">
      <w:pPr>
        <w:rPr>
          <w:rFonts w:cs="Segoe UI"/>
        </w:rPr>
      </w:pPr>
    </w:p>
    <w:p w14:paraId="76D781E4" w14:textId="77777777" w:rsidR="00322352" w:rsidRPr="00954DE4" w:rsidRDefault="00322352" w:rsidP="00F65609">
      <w:pPr>
        <w:rPr>
          <w:rFonts w:cs="Segoe UI"/>
        </w:rPr>
      </w:pPr>
    </w:p>
    <w:p w14:paraId="4238E097" w14:textId="6D2CD89B" w:rsidR="004A424E" w:rsidRPr="00954DE4" w:rsidRDefault="00C1128E" w:rsidP="00F65609">
      <w:pPr>
        <w:rPr>
          <w:rFonts w:cs="Segoe UI"/>
        </w:rPr>
      </w:pPr>
      <w:r w:rsidRPr="00954DE4">
        <w:rPr>
          <w:rFonts w:cs="Segoe UI"/>
        </w:rPr>
        <w:t xml:space="preserve">9 July 2021 </w:t>
      </w:r>
    </w:p>
    <w:p w14:paraId="2C9D2DCD" w14:textId="77777777" w:rsidR="00B30069" w:rsidRPr="00954DE4" w:rsidRDefault="00B30069" w:rsidP="00F65609">
      <w:pPr>
        <w:rPr>
          <w:rFonts w:cs="Segoe UI"/>
        </w:rPr>
      </w:pPr>
    </w:p>
    <w:p w14:paraId="581F870A" w14:textId="27FE34CF" w:rsidR="009745A6" w:rsidRPr="00954DE4" w:rsidRDefault="009745A6" w:rsidP="004A424E">
      <w:pPr>
        <w:rPr>
          <w:rFonts w:cs="Segoe UI"/>
        </w:rPr>
      </w:pPr>
      <w:r w:rsidRPr="00954DE4">
        <w:rPr>
          <w:rFonts w:cs="Segoe UI"/>
        </w:rPr>
        <w:t>Dr Tony Richards</w:t>
      </w:r>
    </w:p>
    <w:p w14:paraId="38C63E49" w14:textId="347DC5F1" w:rsidR="000A796A" w:rsidRPr="00954DE4" w:rsidRDefault="00066F5C" w:rsidP="004A424E">
      <w:pPr>
        <w:rPr>
          <w:rFonts w:cs="Segoe UI"/>
        </w:rPr>
      </w:pPr>
      <w:r w:rsidRPr="00954DE4">
        <w:rPr>
          <w:rFonts w:cs="Segoe UI"/>
        </w:rPr>
        <w:t xml:space="preserve">Head of Payments Policy Department </w:t>
      </w:r>
    </w:p>
    <w:p w14:paraId="599E35ED" w14:textId="6C03C06B" w:rsidR="000A796A" w:rsidRPr="00954DE4" w:rsidRDefault="00066F5C" w:rsidP="004A424E">
      <w:pPr>
        <w:rPr>
          <w:rFonts w:cs="Segoe UI"/>
        </w:rPr>
      </w:pPr>
      <w:r w:rsidRPr="00954DE4">
        <w:rPr>
          <w:rFonts w:cs="Segoe UI"/>
        </w:rPr>
        <w:t xml:space="preserve">Reserve Bank of Australia </w:t>
      </w:r>
    </w:p>
    <w:p w14:paraId="67F99529" w14:textId="052B687B" w:rsidR="000A796A" w:rsidRPr="00954DE4" w:rsidRDefault="00066F5C" w:rsidP="004A424E">
      <w:pPr>
        <w:rPr>
          <w:rFonts w:cs="Segoe UI"/>
        </w:rPr>
      </w:pPr>
      <w:r w:rsidRPr="00954DE4">
        <w:rPr>
          <w:rFonts w:cs="Segoe UI"/>
        </w:rPr>
        <w:t>GPO Box 3947</w:t>
      </w:r>
    </w:p>
    <w:p w14:paraId="7F2ED110" w14:textId="3899FD62" w:rsidR="000A796A" w:rsidRPr="00954DE4" w:rsidRDefault="00066F5C" w:rsidP="004A424E">
      <w:pPr>
        <w:rPr>
          <w:rFonts w:cs="Segoe UI"/>
        </w:rPr>
      </w:pPr>
      <w:r w:rsidRPr="00954DE4">
        <w:rPr>
          <w:rFonts w:cs="Segoe UI"/>
        </w:rPr>
        <w:t>Sydney NSW 2001</w:t>
      </w:r>
    </w:p>
    <w:p w14:paraId="03F3CB66" w14:textId="1E1EAA28" w:rsidR="00253780" w:rsidRPr="00954DE4" w:rsidRDefault="00253780" w:rsidP="004A424E">
      <w:pPr>
        <w:rPr>
          <w:rFonts w:cs="Segoe UI"/>
        </w:rPr>
      </w:pPr>
    </w:p>
    <w:p w14:paraId="7CC72D9A" w14:textId="3F751C98" w:rsidR="004A424E" w:rsidRPr="00DA0BC0" w:rsidRDefault="004A424E" w:rsidP="004A424E">
      <w:pPr>
        <w:rPr>
          <w:rFonts w:cs="Segoe UI"/>
          <w:lang w:val="en-US"/>
        </w:rPr>
      </w:pPr>
      <w:r w:rsidRPr="00DA0BC0">
        <w:rPr>
          <w:rFonts w:cs="Segoe UI"/>
          <w:lang w:val="en-US"/>
        </w:rPr>
        <w:t xml:space="preserve">Via email: </w:t>
      </w:r>
      <w:hyperlink r:id="rId31" w:history="1">
        <w:r w:rsidR="00066F5C" w:rsidRPr="00DA0BC0">
          <w:rPr>
            <w:rStyle w:val="Hyperlink"/>
            <w:rFonts w:cs="Segoe UI"/>
            <w:lang w:val="en-US"/>
          </w:rPr>
          <w:t>pysubmissions@rba.gov.au</w:t>
        </w:r>
      </w:hyperlink>
      <w:r w:rsidR="00066F5C" w:rsidRPr="00DA0BC0">
        <w:rPr>
          <w:rFonts w:cs="Segoe UI"/>
          <w:lang w:val="en-US"/>
        </w:rPr>
        <w:t xml:space="preserve"> </w:t>
      </w:r>
    </w:p>
    <w:p w14:paraId="0EB7646A" w14:textId="01029F3B" w:rsidR="00B30069" w:rsidRPr="00954DE4" w:rsidRDefault="00B30069" w:rsidP="004A424E">
      <w:pPr>
        <w:rPr>
          <w:rFonts w:cs="Segoe UI"/>
        </w:rPr>
      </w:pPr>
    </w:p>
    <w:p w14:paraId="120A6EFC" w14:textId="77777777" w:rsidR="009745A6" w:rsidRPr="00954DE4" w:rsidRDefault="009745A6" w:rsidP="004A424E">
      <w:pPr>
        <w:rPr>
          <w:rFonts w:cs="Segoe UI"/>
        </w:rPr>
      </w:pPr>
    </w:p>
    <w:p w14:paraId="59DE263D" w14:textId="52A94108" w:rsidR="004A424E" w:rsidRPr="00954DE4" w:rsidRDefault="009745A6" w:rsidP="004A424E">
      <w:pPr>
        <w:rPr>
          <w:rFonts w:cs="Segoe UI"/>
        </w:rPr>
      </w:pPr>
      <w:r w:rsidRPr="00954DE4">
        <w:rPr>
          <w:rFonts w:cs="Segoe UI"/>
        </w:rPr>
        <w:t xml:space="preserve">Dear Tony, </w:t>
      </w:r>
    </w:p>
    <w:p w14:paraId="13B49954" w14:textId="77777777" w:rsidR="004A424E" w:rsidRPr="00954DE4" w:rsidRDefault="004A424E" w:rsidP="00F65609">
      <w:pPr>
        <w:rPr>
          <w:rFonts w:cs="Segoe UI"/>
        </w:rPr>
      </w:pPr>
    </w:p>
    <w:p w14:paraId="71AC0D83" w14:textId="27E8784A" w:rsidR="004A424E" w:rsidRPr="00954DE4" w:rsidRDefault="004A424E" w:rsidP="004A424E">
      <w:pPr>
        <w:rPr>
          <w:rFonts w:cs="Segoe UI"/>
          <w:b/>
        </w:rPr>
      </w:pPr>
      <w:r w:rsidRPr="00954DE4">
        <w:rPr>
          <w:rFonts w:cs="Segoe UI"/>
          <w:b/>
        </w:rPr>
        <w:t xml:space="preserve">Visa submission </w:t>
      </w:r>
      <w:r w:rsidR="000A796A" w:rsidRPr="00954DE4">
        <w:rPr>
          <w:rFonts w:cs="Segoe UI"/>
          <w:b/>
        </w:rPr>
        <w:t xml:space="preserve">to RBA Consultation Paper on Preliminary Conclusions to the Review of Retail Payments Regulation   </w:t>
      </w:r>
    </w:p>
    <w:p w14:paraId="708F58D7" w14:textId="77777777" w:rsidR="004A424E" w:rsidRPr="00954DE4" w:rsidRDefault="004A424E" w:rsidP="004A424E">
      <w:pPr>
        <w:rPr>
          <w:rFonts w:cs="Segoe UI"/>
          <w:b/>
        </w:rPr>
      </w:pPr>
    </w:p>
    <w:p w14:paraId="2B36C682" w14:textId="126D69E7" w:rsidR="000A796A" w:rsidRPr="00954DE4" w:rsidRDefault="00C1128E" w:rsidP="004A424E">
      <w:pPr>
        <w:jc w:val="both"/>
        <w:rPr>
          <w:rFonts w:cs="Segoe UI"/>
        </w:rPr>
      </w:pPr>
      <w:r w:rsidRPr="00954DE4">
        <w:rPr>
          <w:rFonts w:cs="Segoe UI"/>
        </w:rPr>
        <w:t>Visa welcomes the opportunity to respond to the Reserve Bank of Australia (RBA</w:t>
      </w:r>
      <w:r w:rsidR="55D79F71" w:rsidRPr="4DE859D8">
        <w:rPr>
          <w:rFonts w:cs="Segoe UI"/>
        </w:rPr>
        <w:t xml:space="preserve"> or Bank</w:t>
      </w:r>
      <w:r w:rsidRPr="00954DE4">
        <w:rPr>
          <w:rFonts w:cs="Segoe UI"/>
        </w:rPr>
        <w:t xml:space="preserve">) Consultation Paper on the Review of Retail Payments Regulation (released on 28 May 2021), and we appreciate </w:t>
      </w:r>
      <w:r w:rsidR="0032173E" w:rsidRPr="00954DE4">
        <w:rPr>
          <w:rFonts w:cs="Segoe UI"/>
        </w:rPr>
        <w:t xml:space="preserve">the </w:t>
      </w:r>
      <w:r w:rsidRPr="00954DE4">
        <w:rPr>
          <w:rFonts w:cs="Segoe UI"/>
        </w:rPr>
        <w:t>ongoing engagement with the Bank on Australia’s payment</w:t>
      </w:r>
      <w:r w:rsidR="00F65272">
        <w:rPr>
          <w:rFonts w:cs="Segoe UI"/>
        </w:rPr>
        <w:t>s</w:t>
      </w:r>
      <w:r w:rsidRPr="00954DE4">
        <w:rPr>
          <w:rFonts w:cs="Segoe UI"/>
        </w:rPr>
        <w:t xml:space="preserve"> ecosystem. </w:t>
      </w:r>
    </w:p>
    <w:p w14:paraId="2DBFB444" w14:textId="2E73567E" w:rsidR="000A796A" w:rsidRPr="00954DE4" w:rsidRDefault="000A796A" w:rsidP="004A424E">
      <w:pPr>
        <w:jc w:val="both"/>
        <w:rPr>
          <w:rFonts w:cs="Segoe UI"/>
        </w:rPr>
      </w:pPr>
    </w:p>
    <w:p w14:paraId="35B9E736" w14:textId="4693D416" w:rsidR="0098496C" w:rsidRPr="00954DE4" w:rsidRDefault="00F30E8D" w:rsidP="00F30E8D">
      <w:pPr>
        <w:jc w:val="both"/>
        <w:rPr>
          <w:rFonts w:cs="Segoe UI"/>
        </w:rPr>
      </w:pPr>
      <w:bookmarkStart w:id="1" w:name="_Hlk76044747"/>
      <w:r w:rsidRPr="6EBC522A">
        <w:rPr>
          <w:rFonts w:cs="Segoe UI"/>
        </w:rPr>
        <w:t xml:space="preserve">Visa has participated in a wide range of reviews and other consultations conducted by the RBA over many years. In each submission, we have highlighted the need for </w:t>
      </w:r>
      <w:r w:rsidR="00173718">
        <w:rPr>
          <w:rFonts w:cs="Segoe UI"/>
        </w:rPr>
        <w:t xml:space="preserve">approaches to digital payments regulation which </w:t>
      </w:r>
      <w:r w:rsidR="00173718" w:rsidRPr="00030040">
        <w:rPr>
          <w:rFonts w:cs="Segoe UI"/>
        </w:rPr>
        <w:t xml:space="preserve">focus on </w:t>
      </w:r>
      <w:r w:rsidR="00934EF4" w:rsidRPr="00030040">
        <w:rPr>
          <w:rFonts w:eastAsia="Times New Roman"/>
        </w:rPr>
        <w:t xml:space="preserve">consumer choice; balanced economics; </w:t>
      </w:r>
      <w:r w:rsidR="00164D6D" w:rsidRPr="00030040">
        <w:rPr>
          <w:rFonts w:eastAsia="Times New Roman"/>
        </w:rPr>
        <w:t xml:space="preserve">and </w:t>
      </w:r>
      <w:r w:rsidR="00934EF4" w:rsidRPr="00030040">
        <w:rPr>
          <w:rFonts w:eastAsia="Times New Roman"/>
        </w:rPr>
        <w:t>continuous innovation and security</w:t>
      </w:r>
      <w:r w:rsidR="0098496C" w:rsidRPr="00030040">
        <w:rPr>
          <w:rFonts w:eastAsia="Times New Roman"/>
        </w:rPr>
        <w:t>,</w:t>
      </w:r>
      <w:r w:rsidR="00934EF4" w:rsidRPr="00030040">
        <w:rPr>
          <w:rFonts w:eastAsia="Times New Roman"/>
        </w:rPr>
        <w:t xml:space="preserve"> all in the context of a level playing field</w:t>
      </w:r>
      <w:r w:rsidR="001D0430" w:rsidRPr="00030040">
        <w:rPr>
          <w:rFonts w:eastAsia="Times New Roman"/>
        </w:rPr>
        <w:t>.</w:t>
      </w:r>
      <w:r w:rsidR="001D0430">
        <w:rPr>
          <w:rFonts w:eastAsia="Times New Roman"/>
        </w:rPr>
        <w:t xml:space="preserve"> </w:t>
      </w:r>
    </w:p>
    <w:bookmarkEnd w:id="1"/>
    <w:p w14:paraId="284B249A" w14:textId="77777777" w:rsidR="00785A17" w:rsidRDefault="00785A17" w:rsidP="000A796A">
      <w:pPr>
        <w:jc w:val="both"/>
        <w:rPr>
          <w:rFonts w:cs="Segoe UI"/>
        </w:rPr>
      </w:pPr>
    </w:p>
    <w:p w14:paraId="559E07EA" w14:textId="3A5466BB" w:rsidR="000A796A" w:rsidRPr="00954DE4" w:rsidRDefault="009E3FD6" w:rsidP="000A796A">
      <w:pPr>
        <w:jc w:val="both"/>
        <w:rPr>
          <w:rFonts w:cs="Segoe UI"/>
        </w:rPr>
      </w:pPr>
      <w:r w:rsidRPr="00954DE4">
        <w:rPr>
          <w:rFonts w:cs="Segoe UI"/>
        </w:rPr>
        <w:t>In responding to the RBA’s Consultation Paper, this submission focus</w:t>
      </w:r>
      <w:r w:rsidR="0032173E" w:rsidRPr="00954DE4">
        <w:rPr>
          <w:rFonts w:cs="Segoe UI"/>
        </w:rPr>
        <w:t>es</w:t>
      </w:r>
      <w:r w:rsidRPr="00954DE4">
        <w:rPr>
          <w:rFonts w:cs="Segoe UI"/>
        </w:rPr>
        <w:t xml:space="preserve"> on </w:t>
      </w:r>
      <w:r w:rsidR="00DD3C8A">
        <w:rPr>
          <w:rFonts w:cs="Segoe UI"/>
        </w:rPr>
        <w:t>several</w:t>
      </w:r>
      <w:r w:rsidR="0032173E" w:rsidRPr="00954DE4">
        <w:rPr>
          <w:rFonts w:cs="Segoe UI"/>
        </w:rPr>
        <w:t xml:space="preserve"> key</w:t>
      </w:r>
      <w:r w:rsidRPr="00954DE4">
        <w:rPr>
          <w:rFonts w:cs="Segoe UI"/>
        </w:rPr>
        <w:t xml:space="preserve"> topics, including </w:t>
      </w:r>
      <w:r w:rsidR="00FE4A9D">
        <w:rPr>
          <w:rFonts w:cs="Segoe UI"/>
        </w:rPr>
        <w:t>S</w:t>
      </w:r>
      <w:r w:rsidR="00E8596B">
        <w:rPr>
          <w:rFonts w:cs="Segoe UI"/>
        </w:rPr>
        <w:t>ingle</w:t>
      </w:r>
      <w:r w:rsidRPr="00954DE4">
        <w:rPr>
          <w:rFonts w:cs="Segoe UI"/>
        </w:rPr>
        <w:t>-</w:t>
      </w:r>
      <w:r w:rsidR="00FE4A9D">
        <w:rPr>
          <w:rFonts w:cs="Segoe UI"/>
        </w:rPr>
        <w:t>N</w:t>
      </w:r>
      <w:r w:rsidRPr="00954DE4">
        <w:rPr>
          <w:rFonts w:cs="Segoe UI"/>
        </w:rPr>
        <w:t xml:space="preserve">etwork </w:t>
      </w:r>
      <w:r w:rsidR="00FE4A9D">
        <w:rPr>
          <w:rFonts w:cs="Segoe UI"/>
        </w:rPr>
        <w:t>D</w:t>
      </w:r>
      <w:r w:rsidRPr="00954DE4">
        <w:rPr>
          <w:rFonts w:cs="Segoe UI"/>
        </w:rPr>
        <w:t xml:space="preserve">ebit </w:t>
      </w:r>
      <w:r w:rsidR="00FE4A9D">
        <w:rPr>
          <w:rFonts w:cs="Segoe UI"/>
        </w:rPr>
        <w:t>C</w:t>
      </w:r>
      <w:r w:rsidRPr="00954DE4">
        <w:rPr>
          <w:rFonts w:cs="Segoe UI"/>
        </w:rPr>
        <w:t xml:space="preserve">ards, </w:t>
      </w:r>
      <w:r w:rsidR="00FE4A9D">
        <w:rPr>
          <w:rFonts w:cs="Segoe UI"/>
        </w:rPr>
        <w:t>M</w:t>
      </w:r>
      <w:r w:rsidRPr="00954DE4">
        <w:rPr>
          <w:rFonts w:cs="Segoe UI"/>
        </w:rPr>
        <w:t xml:space="preserve">erchant </w:t>
      </w:r>
      <w:r w:rsidR="00FE4A9D">
        <w:rPr>
          <w:rFonts w:cs="Segoe UI"/>
        </w:rPr>
        <w:t>C</w:t>
      </w:r>
      <w:r w:rsidRPr="00954DE4">
        <w:rPr>
          <w:rFonts w:cs="Segoe UI"/>
        </w:rPr>
        <w:t xml:space="preserve">hoice </w:t>
      </w:r>
      <w:r w:rsidR="00FE4A9D">
        <w:rPr>
          <w:rFonts w:cs="Segoe UI"/>
        </w:rPr>
        <w:t>R</w:t>
      </w:r>
      <w:r w:rsidRPr="00954DE4">
        <w:rPr>
          <w:rFonts w:cs="Segoe UI"/>
        </w:rPr>
        <w:t xml:space="preserve">outing, interchange, </w:t>
      </w:r>
      <w:r w:rsidR="000745EA">
        <w:rPr>
          <w:rFonts w:cs="Segoe UI"/>
        </w:rPr>
        <w:t xml:space="preserve">and </w:t>
      </w:r>
      <w:r w:rsidR="1693E1D2" w:rsidRPr="311A5699">
        <w:rPr>
          <w:rFonts w:cs="Segoe UI"/>
        </w:rPr>
        <w:t>tying conduct</w:t>
      </w:r>
      <w:r w:rsidRPr="00954DE4">
        <w:rPr>
          <w:rFonts w:cs="Segoe UI"/>
        </w:rPr>
        <w:t xml:space="preserve">. </w:t>
      </w:r>
    </w:p>
    <w:p w14:paraId="3649069D" w14:textId="77777777" w:rsidR="000A796A" w:rsidRPr="00954DE4" w:rsidRDefault="000A796A" w:rsidP="000A796A">
      <w:pPr>
        <w:jc w:val="both"/>
        <w:rPr>
          <w:rFonts w:cs="Segoe UI"/>
        </w:rPr>
      </w:pPr>
    </w:p>
    <w:p w14:paraId="450832ED" w14:textId="79DBFDF0" w:rsidR="000A796A" w:rsidRPr="00954DE4" w:rsidRDefault="009E3FD6" w:rsidP="000A796A">
      <w:pPr>
        <w:jc w:val="both"/>
        <w:rPr>
          <w:rFonts w:cs="Segoe UI"/>
        </w:rPr>
      </w:pPr>
      <w:r w:rsidRPr="00954DE4">
        <w:rPr>
          <w:rFonts w:cs="Segoe UI"/>
        </w:rPr>
        <w:t>Following the Bank’s review of Visa’s submission, we would welcome the opportunity to provide any additional information or support to help ensure that Australia’s payment</w:t>
      </w:r>
      <w:r w:rsidR="00E8596B">
        <w:rPr>
          <w:rFonts w:cs="Segoe UI"/>
        </w:rPr>
        <w:t>s</w:t>
      </w:r>
      <w:r w:rsidRPr="00954DE4">
        <w:rPr>
          <w:rFonts w:cs="Segoe UI"/>
        </w:rPr>
        <w:t xml:space="preserve"> system </w:t>
      </w:r>
      <w:r w:rsidR="00E8596B">
        <w:rPr>
          <w:rFonts w:cs="Segoe UI"/>
        </w:rPr>
        <w:t>continues to</w:t>
      </w:r>
      <w:r w:rsidR="00353410">
        <w:rPr>
          <w:rFonts w:cs="Segoe UI"/>
        </w:rPr>
        <w:t xml:space="preserve"> drive economic growth and</w:t>
      </w:r>
      <w:r w:rsidR="00E37259">
        <w:rPr>
          <w:rFonts w:cs="Segoe UI"/>
        </w:rPr>
        <w:t xml:space="preserve"> deliver benefit</w:t>
      </w:r>
      <w:r w:rsidR="00353410">
        <w:rPr>
          <w:rFonts w:cs="Segoe UI"/>
        </w:rPr>
        <w:t>s</w:t>
      </w:r>
      <w:r w:rsidR="00E37259">
        <w:rPr>
          <w:rFonts w:cs="Segoe UI"/>
        </w:rPr>
        <w:t xml:space="preserve"> for </w:t>
      </w:r>
      <w:r w:rsidR="000D79AF">
        <w:rPr>
          <w:rFonts w:cs="Segoe UI"/>
        </w:rPr>
        <w:t xml:space="preserve">both consumers and </w:t>
      </w:r>
      <w:r w:rsidR="00E37259">
        <w:rPr>
          <w:rFonts w:cs="Segoe UI"/>
        </w:rPr>
        <w:t>businesses</w:t>
      </w:r>
      <w:r w:rsidR="000D79AF">
        <w:rPr>
          <w:rFonts w:cs="Segoe UI"/>
        </w:rPr>
        <w:t xml:space="preserve"> </w:t>
      </w:r>
      <w:r w:rsidR="00C41993">
        <w:rPr>
          <w:rFonts w:cs="Segoe UI"/>
        </w:rPr>
        <w:t>across the country</w:t>
      </w:r>
      <w:r w:rsidRPr="00954DE4">
        <w:rPr>
          <w:rFonts w:cs="Segoe UI"/>
        </w:rPr>
        <w:t xml:space="preserve">. </w:t>
      </w:r>
    </w:p>
    <w:p w14:paraId="1115F474" w14:textId="09637911" w:rsidR="004A424E" w:rsidRPr="00954DE4" w:rsidRDefault="004A424E" w:rsidP="00F65609">
      <w:pPr>
        <w:rPr>
          <w:rFonts w:cs="Segoe UI"/>
        </w:rPr>
      </w:pPr>
    </w:p>
    <w:p w14:paraId="124FADA2" w14:textId="47FA790B" w:rsidR="004A424E" w:rsidRPr="00954DE4" w:rsidRDefault="004A424E" w:rsidP="00F65609">
      <w:pPr>
        <w:rPr>
          <w:rFonts w:cs="Segoe UI"/>
        </w:rPr>
      </w:pPr>
      <w:r w:rsidRPr="00954DE4">
        <w:rPr>
          <w:rFonts w:cs="Segoe UI"/>
        </w:rPr>
        <w:t>Yours sincerely,</w:t>
      </w:r>
    </w:p>
    <w:p w14:paraId="50472B3E" w14:textId="22F1EDE1" w:rsidR="004A424E" w:rsidRPr="00954DE4" w:rsidRDefault="001A3E60" w:rsidP="00F65609">
      <w:pPr>
        <w:rPr>
          <w:rFonts w:cs="Segoe UI"/>
        </w:rPr>
      </w:pPr>
      <w:r>
        <w:rPr>
          <w:rFonts w:cs="Segoe UI"/>
          <w:noProof/>
        </w:rPr>
        <w:drawing>
          <wp:inline distT="0" distB="0" distL="0" distR="0" wp14:anchorId="363F9034" wp14:editId="7514B825">
            <wp:extent cx="1426464" cy="639023"/>
            <wp:effectExtent l="0" t="0" r="2540" b="8890"/>
            <wp:docPr id="13" name="Picture 13"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Text, letter&#10;&#10;Description automatically generated"/>
                    <pic:cNvPicPr/>
                  </pic:nvPicPr>
                  <pic:blipFill>
                    <a:blip r:embed="rId32">
                      <a:extLst>
                        <a:ext uri="{28A0092B-C50C-407E-A947-70E740481C1C}">
                          <a14:useLocalDpi xmlns:a14="http://schemas.microsoft.com/office/drawing/2010/main" val="0"/>
                        </a:ext>
                      </a:extLst>
                    </a:blip>
                    <a:stretch>
                      <a:fillRect/>
                    </a:stretch>
                  </pic:blipFill>
                  <pic:spPr>
                    <a:xfrm>
                      <a:off x="0" y="0"/>
                      <a:ext cx="1444888" cy="647277"/>
                    </a:xfrm>
                    <a:prstGeom prst="rect">
                      <a:avLst/>
                    </a:prstGeom>
                  </pic:spPr>
                </pic:pic>
              </a:graphicData>
            </a:graphic>
          </wp:inline>
        </w:drawing>
      </w:r>
    </w:p>
    <w:p w14:paraId="0BD2BA2F" w14:textId="424138E8" w:rsidR="001A3E60" w:rsidRDefault="001A3E60" w:rsidP="00F65609">
      <w:pPr>
        <w:rPr>
          <w:rFonts w:cs="Segoe UI"/>
        </w:rPr>
      </w:pPr>
      <w:r>
        <w:rPr>
          <w:rFonts w:cs="Segoe UI"/>
        </w:rPr>
        <w:t>Julian Potter</w:t>
      </w:r>
    </w:p>
    <w:p w14:paraId="5B31028F" w14:textId="5328F676" w:rsidR="001A3E60" w:rsidRDefault="001A3E60" w:rsidP="00F65609">
      <w:pPr>
        <w:rPr>
          <w:rFonts w:cs="Segoe UI"/>
        </w:rPr>
      </w:pPr>
      <w:r>
        <w:rPr>
          <w:rFonts w:cs="Segoe UI"/>
        </w:rPr>
        <w:t>Group Country Manager</w:t>
      </w:r>
    </w:p>
    <w:p w14:paraId="6583FADC" w14:textId="64CDE97C" w:rsidR="001A3E60" w:rsidRDefault="001A3E60" w:rsidP="00F65609">
      <w:pPr>
        <w:rPr>
          <w:rFonts w:cs="Segoe UI"/>
        </w:rPr>
      </w:pPr>
      <w:r>
        <w:rPr>
          <w:rFonts w:cs="Segoe UI"/>
        </w:rPr>
        <w:t>Australia, New Zealand &amp; South Pacific</w:t>
      </w:r>
    </w:p>
    <w:p w14:paraId="27F615AC" w14:textId="62C8A7B0" w:rsidR="004A424E" w:rsidRPr="00954DE4" w:rsidRDefault="004A424E" w:rsidP="00F65609">
      <w:pPr>
        <w:rPr>
          <w:rFonts w:cs="Segoe UI"/>
        </w:rPr>
        <w:sectPr w:rsidR="004A424E" w:rsidRPr="00954DE4" w:rsidSect="00F65609">
          <w:headerReference w:type="default" r:id="rId33"/>
          <w:footerReference w:type="even" r:id="rId34"/>
          <w:footerReference w:type="default" r:id="rId35"/>
          <w:footerReference w:type="first" r:id="rId36"/>
          <w:pgSz w:w="12240" w:h="15840"/>
          <w:pgMar w:top="1440" w:right="1440" w:bottom="1440" w:left="1440" w:header="720" w:footer="720" w:gutter="0"/>
          <w:cols w:space="720"/>
          <w:docGrid w:linePitch="360"/>
        </w:sectPr>
      </w:pPr>
    </w:p>
    <w:p w14:paraId="642EEB03" w14:textId="5478E00B" w:rsidR="00AA5E87" w:rsidRPr="007A4078" w:rsidRDefault="00471284" w:rsidP="004F3AC9">
      <w:pPr>
        <w:pStyle w:val="Heading1"/>
        <w:rPr>
          <w:rFonts w:asciiTheme="minorHAnsi" w:hAnsiTheme="minorHAnsi" w:cs="Segoe UI"/>
          <w:b/>
          <w:color w:val="002060"/>
        </w:rPr>
      </w:pPr>
      <w:bookmarkStart w:id="2" w:name="_Toc76743588"/>
      <w:bookmarkStart w:id="3" w:name="_Toc74838193"/>
      <w:r w:rsidRPr="007A4078">
        <w:rPr>
          <w:rFonts w:asciiTheme="minorHAnsi" w:hAnsiTheme="minorHAnsi" w:cs="Segoe UI"/>
          <w:b/>
          <w:color w:val="002060"/>
        </w:rPr>
        <w:lastRenderedPageBreak/>
        <w:t>Overview</w:t>
      </w:r>
      <w:bookmarkEnd w:id="2"/>
    </w:p>
    <w:bookmarkEnd w:id="3"/>
    <w:p w14:paraId="76FAC95F" w14:textId="77777777" w:rsidR="00BB7F37" w:rsidRPr="001A3E60" w:rsidRDefault="00BB7F37">
      <w:pPr>
        <w:rPr>
          <w:rFonts w:cs="Segoe UI"/>
          <w:iCs/>
        </w:rPr>
      </w:pPr>
    </w:p>
    <w:p w14:paraId="22431FE7" w14:textId="22762654" w:rsidR="00677CA1" w:rsidRDefault="00DC64AB" w:rsidP="5EF72EAC">
      <w:pPr>
        <w:pStyle w:val="Default"/>
        <w:jc w:val="both"/>
        <w:rPr>
          <w:rFonts w:asciiTheme="minorHAnsi" w:hAnsiTheme="minorHAnsi" w:cs="Segoe UI"/>
          <w:color w:val="auto"/>
          <w:sz w:val="22"/>
          <w:szCs w:val="22"/>
        </w:rPr>
      </w:pPr>
      <w:r w:rsidRPr="5EF72EAC">
        <w:rPr>
          <w:rFonts w:asciiTheme="minorHAnsi" w:hAnsiTheme="minorHAnsi" w:cs="Segoe UI"/>
          <w:color w:val="auto"/>
          <w:sz w:val="22"/>
          <w:szCs w:val="22"/>
          <w:lang w:val="en-AU"/>
        </w:rPr>
        <w:t xml:space="preserve">Visa shares the RBA’s </w:t>
      </w:r>
      <w:r w:rsidRPr="5EF72EAC">
        <w:rPr>
          <w:rFonts w:asciiTheme="minorHAnsi" w:hAnsiTheme="minorHAnsi" w:cs="Segoe UI"/>
          <w:color w:val="auto"/>
          <w:sz w:val="22"/>
          <w:szCs w:val="22"/>
        </w:rPr>
        <w:t xml:space="preserve">vision of contributing to Australia’s economic prosperity, including for the country’s citizens, through an efficient payments system. In our view, the ongoing development of a </w:t>
      </w:r>
      <w:r w:rsidR="003F3A1D" w:rsidRPr="5EF72EAC">
        <w:rPr>
          <w:rFonts w:asciiTheme="minorHAnsi" w:hAnsiTheme="minorHAnsi" w:cs="Segoe UI"/>
          <w:color w:val="auto"/>
          <w:sz w:val="22"/>
          <w:szCs w:val="22"/>
        </w:rPr>
        <w:t>secure</w:t>
      </w:r>
      <w:r w:rsidRPr="5EF72EAC">
        <w:rPr>
          <w:rFonts w:asciiTheme="minorHAnsi" w:hAnsiTheme="minorHAnsi" w:cs="Segoe UI"/>
          <w:color w:val="auto"/>
          <w:sz w:val="22"/>
          <w:szCs w:val="22"/>
        </w:rPr>
        <w:t xml:space="preserve">, efficient, </w:t>
      </w:r>
      <w:proofErr w:type="gramStart"/>
      <w:r w:rsidRPr="5EF72EAC">
        <w:rPr>
          <w:rFonts w:asciiTheme="minorHAnsi" w:hAnsiTheme="minorHAnsi" w:cs="Segoe UI"/>
          <w:color w:val="auto"/>
          <w:sz w:val="22"/>
          <w:szCs w:val="22"/>
        </w:rPr>
        <w:t>competitive</w:t>
      </w:r>
      <w:proofErr w:type="gramEnd"/>
      <w:r w:rsidRPr="5EF72EAC">
        <w:rPr>
          <w:rFonts w:asciiTheme="minorHAnsi" w:hAnsiTheme="minorHAnsi" w:cs="Segoe UI"/>
          <w:color w:val="auto"/>
          <w:sz w:val="22"/>
          <w:szCs w:val="22"/>
        </w:rPr>
        <w:t xml:space="preserve"> </w:t>
      </w:r>
      <w:r w:rsidR="00954833" w:rsidRPr="5EF72EAC">
        <w:rPr>
          <w:rFonts w:asciiTheme="minorHAnsi" w:hAnsiTheme="minorHAnsi" w:cs="Segoe UI"/>
          <w:color w:val="auto"/>
          <w:sz w:val="22"/>
          <w:szCs w:val="22"/>
        </w:rPr>
        <w:t>and innovative</w:t>
      </w:r>
      <w:r w:rsidRPr="5EF72EAC">
        <w:rPr>
          <w:rFonts w:asciiTheme="minorHAnsi" w:hAnsiTheme="minorHAnsi" w:cs="Segoe UI"/>
          <w:color w:val="auto"/>
          <w:sz w:val="22"/>
          <w:szCs w:val="22"/>
        </w:rPr>
        <w:t xml:space="preserve"> electronic payment</w:t>
      </w:r>
      <w:r w:rsidR="00F175CF" w:rsidRPr="5EF72EAC">
        <w:rPr>
          <w:rFonts w:asciiTheme="minorHAnsi" w:hAnsiTheme="minorHAnsi" w:cs="Segoe UI"/>
          <w:color w:val="auto"/>
          <w:sz w:val="22"/>
          <w:szCs w:val="22"/>
        </w:rPr>
        <w:t>s</w:t>
      </w:r>
      <w:r w:rsidRPr="5EF72EAC">
        <w:rPr>
          <w:rFonts w:asciiTheme="minorHAnsi" w:hAnsiTheme="minorHAnsi" w:cs="Segoe UI"/>
          <w:color w:val="auto"/>
          <w:sz w:val="22"/>
          <w:szCs w:val="22"/>
        </w:rPr>
        <w:t xml:space="preserve"> system is essential to the growth</w:t>
      </w:r>
      <w:r w:rsidR="004F4C77" w:rsidRPr="5EF72EAC">
        <w:rPr>
          <w:rFonts w:asciiTheme="minorHAnsi" w:hAnsiTheme="minorHAnsi" w:cs="Segoe UI"/>
          <w:color w:val="auto"/>
          <w:sz w:val="22"/>
          <w:szCs w:val="22"/>
        </w:rPr>
        <w:t>,</w:t>
      </w:r>
      <w:r w:rsidRPr="5EF72EAC">
        <w:rPr>
          <w:rFonts w:asciiTheme="minorHAnsi" w:hAnsiTheme="minorHAnsi" w:cs="Segoe UI"/>
          <w:color w:val="auto"/>
          <w:sz w:val="22"/>
          <w:szCs w:val="22"/>
        </w:rPr>
        <w:t xml:space="preserve"> stability</w:t>
      </w:r>
      <w:r w:rsidR="004F4C77" w:rsidRPr="5EF72EAC">
        <w:rPr>
          <w:rFonts w:asciiTheme="minorHAnsi" w:hAnsiTheme="minorHAnsi" w:cs="Segoe UI"/>
          <w:color w:val="auto"/>
          <w:sz w:val="22"/>
          <w:szCs w:val="22"/>
        </w:rPr>
        <w:t>, recovery</w:t>
      </w:r>
      <w:r w:rsidR="00A07909" w:rsidRPr="5EF72EAC">
        <w:rPr>
          <w:rFonts w:asciiTheme="minorHAnsi" w:hAnsiTheme="minorHAnsi" w:cs="Segoe UI"/>
          <w:color w:val="auto"/>
          <w:sz w:val="22"/>
          <w:szCs w:val="22"/>
        </w:rPr>
        <w:t xml:space="preserve"> and resilience</w:t>
      </w:r>
      <w:r w:rsidRPr="5EF72EAC">
        <w:rPr>
          <w:rFonts w:asciiTheme="minorHAnsi" w:hAnsiTheme="minorHAnsi" w:cs="Segoe UI"/>
          <w:color w:val="auto"/>
          <w:sz w:val="22"/>
          <w:szCs w:val="22"/>
        </w:rPr>
        <w:t xml:space="preserve"> of the Australian economy.  </w:t>
      </w:r>
    </w:p>
    <w:p w14:paraId="183EDFFB" w14:textId="77777777" w:rsidR="00677CA1" w:rsidRDefault="00677CA1" w:rsidP="00DC64AB">
      <w:pPr>
        <w:pStyle w:val="Default"/>
        <w:jc w:val="both"/>
        <w:rPr>
          <w:rFonts w:asciiTheme="minorHAnsi" w:hAnsiTheme="minorHAnsi" w:cs="Segoe UI"/>
          <w:color w:val="auto"/>
          <w:sz w:val="22"/>
          <w:szCs w:val="22"/>
        </w:rPr>
      </w:pPr>
    </w:p>
    <w:p w14:paraId="3E1FE426" w14:textId="214CA091" w:rsidR="00037EDC" w:rsidRDefault="00DC64AB" w:rsidP="00DC64AB">
      <w:pPr>
        <w:jc w:val="both"/>
        <w:rPr>
          <w:rFonts w:cs="Segoe UI"/>
        </w:rPr>
      </w:pPr>
      <w:r w:rsidRPr="00954DE4">
        <w:rPr>
          <w:rFonts w:cs="Segoe UI"/>
        </w:rPr>
        <w:t xml:space="preserve">Payment platforms such as Visa contribute significantly to economic growth, </w:t>
      </w:r>
      <w:proofErr w:type="gramStart"/>
      <w:r w:rsidRPr="00954DE4">
        <w:rPr>
          <w:rFonts w:cs="Segoe UI"/>
        </w:rPr>
        <w:t>development</w:t>
      </w:r>
      <w:proofErr w:type="gramEnd"/>
      <w:r w:rsidRPr="00954DE4">
        <w:rPr>
          <w:rFonts w:cs="Segoe UI"/>
        </w:rPr>
        <w:t xml:space="preserve"> and the financial inclusion of all Australians. </w:t>
      </w:r>
      <w:r w:rsidR="00855E23">
        <w:t xml:space="preserve">This objective has increased </w:t>
      </w:r>
      <w:r w:rsidR="7DBBB36B">
        <w:t xml:space="preserve">in </w:t>
      </w:r>
      <w:r w:rsidR="00855E23">
        <w:t xml:space="preserve">urgency as we work together to ensure that Australia’s </w:t>
      </w:r>
      <w:r w:rsidR="007C2FEB">
        <w:t>digital</w:t>
      </w:r>
      <w:r w:rsidR="00855E23">
        <w:t xml:space="preserve"> payments system can support and catalyse the nation’s post-COVID-19 economic recovery. </w:t>
      </w:r>
      <w:r w:rsidR="007C2FEB">
        <w:rPr>
          <w:rFonts w:cs="Segoe UI"/>
        </w:rPr>
        <w:t>Digital</w:t>
      </w:r>
      <w:r w:rsidRPr="00954DE4">
        <w:rPr>
          <w:rFonts w:cs="Segoe UI"/>
        </w:rPr>
        <w:t xml:space="preserve"> payments help</w:t>
      </w:r>
      <w:r w:rsidR="5CCD7E75" w:rsidRPr="694C8D4F">
        <w:rPr>
          <w:rFonts w:cs="Segoe UI"/>
        </w:rPr>
        <w:t xml:space="preserve"> to</w:t>
      </w:r>
      <w:r w:rsidR="00037EDC">
        <w:rPr>
          <w:rFonts w:cs="Segoe UI"/>
        </w:rPr>
        <w:t>:</w:t>
      </w:r>
    </w:p>
    <w:p w14:paraId="2ED9385D" w14:textId="77777777" w:rsidR="000C23CA" w:rsidRPr="000C23CA" w:rsidRDefault="000C23CA" w:rsidP="000C23CA">
      <w:pPr>
        <w:autoSpaceDE w:val="0"/>
        <w:autoSpaceDN w:val="0"/>
        <w:adjustRightInd w:val="0"/>
        <w:rPr>
          <w:rFonts w:ascii="Segoe UI" w:hAnsi="Segoe UI" w:cs="Segoe UI"/>
          <w:color w:val="000000"/>
          <w:sz w:val="24"/>
          <w:szCs w:val="24"/>
          <w:lang w:val="en-US"/>
        </w:rPr>
      </w:pPr>
    </w:p>
    <w:p w14:paraId="7159DF40" w14:textId="77777777" w:rsidR="00F30E8D" w:rsidRPr="00A34949" w:rsidRDefault="00F30E8D" w:rsidP="004A32C5">
      <w:pPr>
        <w:numPr>
          <w:ilvl w:val="0"/>
          <w:numId w:val="6"/>
        </w:numPr>
        <w:autoSpaceDE w:val="0"/>
        <w:autoSpaceDN w:val="0"/>
        <w:adjustRightInd w:val="0"/>
        <w:rPr>
          <w:rFonts w:cstheme="minorHAnsi"/>
          <w:color w:val="000000"/>
          <w:lang w:val="en-US"/>
        </w:rPr>
      </w:pPr>
      <w:r w:rsidRPr="00EA1926">
        <w:rPr>
          <w:rFonts w:cstheme="minorHAnsi"/>
          <w:color w:val="000000"/>
          <w:lang w:val="en-US"/>
        </w:rPr>
        <w:t xml:space="preserve">Boost economic growth, create jobs, and increase tax </w:t>
      </w:r>
      <w:proofErr w:type="gramStart"/>
      <w:r w:rsidRPr="00EA1926">
        <w:rPr>
          <w:rFonts w:cstheme="minorHAnsi"/>
          <w:color w:val="000000"/>
          <w:lang w:val="en-US"/>
        </w:rPr>
        <w:t>revenue;</w:t>
      </w:r>
      <w:proofErr w:type="gramEnd"/>
      <w:r w:rsidRPr="00EA1926">
        <w:rPr>
          <w:rFonts w:cstheme="minorHAnsi"/>
          <w:color w:val="000000"/>
          <w:lang w:val="en-US"/>
        </w:rPr>
        <w:t xml:space="preserve"> </w:t>
      </w:r>
    </w:p>
    <w:p w14:paraId="1FD69D87" w14:textId="385E2E70" w:rsidR="00F30E8D" w:rsidRPr="00EA1926" w:rsidRDefault="00F30E8D" w:rsidP="004A32C5">
      <w:pPr>
        <w:numPr>
          <w:ilvl w:val="0"/>
          <w:numId w:val="6"/>
        </w:numPr>
        <w:autoSpaceDE w:val="0"/>
        <w:autoSpaceDN w:val="0"/>
        <w:adjustRightInd w:val="0"/>
        <w:rPr>
          <w:rFonts w:cstheme="minorHAnsi"/>
          <w:color w:val="000000"/>
          <w:lang w:val="en-US"/>
        </w:rPr>
      </w:pPr>
      <w:r w:rsidRPr="00EA1926">
        <w:rPr>
          <w:rFonts w:cstheme="minorHAnsi"/>
          <w:color w:val="000000"/>
          <w:lang w:val="en-US"/>
        </w:rPr>
        <w:t>Increase financial inclusion, including support</w:t>
      </w:r>
      <w:r>
        <w:rPr>
          <w:rFonts w:cstheme="minorHAnsi"/>
          <w:color w:val="000000"/>
          <w:lang w:val="en-US"/>
        </w:rPr>
        <w:t xml:space="preserve"> of</w:t>
      </w:r>
      <w:r w:rsidRPr="00EA1926">
        <w:rPr>
          <w:rFonts w:cstheme="minorHAnsi"/>
          <w:color w:val="000000"/>
          <w:lang w:val="en-US"/>
        </w:rPr>
        <w:t xml:space="preserve"> small</w:t>
      </w:r>
      <w:r>
        <w:rPr>
          <w:rFonts w:cstheme="minorHAnsi"/>
          <w:color w:val="000000"/>
          <w:lang w:val="en-US"/>
        </w:rPr>
        <w:t>-</w:t>
      </w:r>
      <w:r w:rsidRPr="00EA1926">
        <w:rPr>
          <w:rFonts w:cstheme="minorHAnsi"/>
          <w:color w:val="000000"/>
          <w:lang w:val="en-US"/>
        </w:rPr>
        <w:t xml:space="preserve"> and medium-sized businesses (SMBs</w:t>
      </w:r>
      <w:proofErr w:type="gramStart"/>
      <w:r w:rsidRPr="00EA1926">
        <w:rPr>
          <w:rFonts w:cstheme="minorHAnsi"/>
          <w:color w:val="000000"/>
          <w:lang w:val="en-US"/>
        </w:rPr>
        <w:t>);</w:t>
      </w:r>
      <w:proofErr w:type="gramEnd"/>
      <w:r w:rsidRPr="00EA1926">
        <w:rPr>
          <w:rFonts w:cstheme="minorHAnsi"/>
          <w:color w:val="000000"/>
          <w:lang w:val="en-US"/>
        </w:rPr>
        <w:t xml:space="preserve"> </w:t>
      </w:r>
    </w:p>
    <w:p w14:paraId="07660084" w14:textId="77777777" w:rsidR="00F30E8D" w:rsidRDefault="00F30E8D" w:rsidP="004A32C5">
      <w:pPr>
        <w:numPr>
          <w:ilvl w:val="0"/>
          <w:numId w:val="6"/>
        </w:numPr>
        <w:autoSpaceDE w:val="0"/>
        <w:autoSpaceDN w:val="0"/>
        <w:adjustRightInd w:val="0"/>
        <w:rPr>
          <w:rFonts w:cstheme="minorHAnsi"/>
          <w:color w:val="000000"/>
          <w:lang w:val="en-US"/>
        </w:rPr>
      </w:pPr>
      <w:r w:rsidRPr="00EA1926">
        <w:rPr>
          <w:rFonts w:cstheme="minorHAnsi"/>
          <w:color w:val="000000"/>
          <w:lang w:val="en-US"/>
        </w:rPr>
        <w:t>Deliver enhanced security for financial institutions, businesses, and consumers</w:t>
      </w:r>
      <w:r>
        <w:rPr>
          <w:rFonts w:cstheme="minorHAnsi"/>
          <w:color w:val="000000"/>
          <w:lang w:val="en-US"/>
        </w:rPr>
        <w:t>; and</w:t>
      </w:r>
    </w:p>
    <w:p w14:paraId="6F2E6B77" w14:textId="2C130424" w:rsidR="00F30E8D" w:rsidRPr="00EA1926" w:rsidRDefault="00F30E8D" w:rsidP="004A32C5">
      <w:pPr>
        <w:numPr>
          <w:ilvl w:val="0"/>
          <w:numId w:val="6"/>
        </w:numPr>
        <w:autoSpaceDE w:val="0"/>
        <w:autoSpaceDN w:val="0"/>
        <w:adjustRightInd w:val="0"/>
        <w:rPr>
          <w:rFonts w:cstheme="minorHAnsi"/>
          <w:color w:val="000000"/>
          <w:lang w:val="en-US"/>
        </w:rPr>
      </w:pPr>
      <w:r>
        <w:rPr>
          <w:rFonts w:cstheme="minorHAnsi"/>
          <w:color w:val="000000"/>
          <w:lang w:val="en-US"/>
        </w:rPr>
        <w:t>Drive innovation of, and support the transition towards, a digital economy</w:t>
      </w:r>
      <w:r w:rsidR="00211454">
        <w:rPr>
          <w:rStyle w:val="FootnoteReference"/>
          <w:rFonts w:cstheme="minorHAnsi"/>
          <w:color w:val="000000"/>
          <w:lang w:val="en-US"/>
        </w:rPr>
        <w:footnoteReference w:id="2"/>
      </w:r>
      <w:r w:rsidRPr="00EA1926">
        <w:rPr>
          <w:rFonts w:cstheme="minorHAnsi"/>
          <w:color w:val="000000"/>
          <w:lang w:val="en-US"/>
        </w:rPr>
        <w:t xml:space="preserve">. </w:t>
      </w:r>
    </w:p>
    <w:p w14:paraId="244FC287" w14:textId="10284220" w:rsidR="00A65AC1" w:rsidRDefault="00A65AC1" w:rsidP="00DC64AB">
      <w:pPr>
        <w:jc w:val="both"/>
        <w:rPr>
          <w:rFonts w:cs="Segoe UI"/>
        </w:rPr>
      </w:pPr>
    </w:p>
    <w:p w14:paraId="189AD0B0" w14:textId="0B36BD78" w:rsidR="00BE69FF" w:rsidRDefault="00DC64AB" w:rsidP="00DC64AB">
      <w:pPr>
        <w:jc w:val="both"/>
        <w:rPr>
          <w:rFonts w:cs="Segoe UI"/>
        </w:rPr>
      </w:pPr>
      <w:r w:rsidRPr="00954DE4">
        <w:rPr>
          <w:rFonts w:cs="Segoe UI"/>
        </w:rPr>
        <w:t>The</w:t>
      </w:r>
      <w:r w:rsidR="001B24E8">
        <w:rPr>
          <w:rFonts w:cs="Segoe UI"/>
        </w:rPr>
        <w:t xml:space="preserve">se contributions are delivered against a backdrop in which </w:t>
      </w:r>
      <w:r w:rsidR="008024CB">
        <w:rPr>
          <w:rFonts w:cs="Segoe UI"/>
        </w:rPr>
        <w:t>Australia’s</w:t>
      </w:r>
      <w:r w:rsidRPr="231A7F83">
        <w:rPr>
          <w:rFonts w:cs="Segoe UI"/>
        </w:rPr>
        <w:t xml:space="preserve"> payments ecosystem is evolving at an unprecedented pace</w:t>
      </w:r>
      <w:r w:rsidR="00E43DA5" w:rsidRPr="231A7F83">
        <w:rPr>
          <w:rFonts w:cs="Segoe UI"/>
        </w:rPr>
        <w:t xml:space="preserve"> – and will continue to do so</w:t>
      </w:r>
      <w:r w:rsidRPr="231A7F83">
        <w:rPr>
          <w:rFonts w:cs="Segoe UI"/>
        </w:rPr>
        <w:t xml:space="preserve">. </w:t>
      </w:r>
      <w:r w:rsidR="39EA8481" w:rsidRPr="231A7F83">
        <w:rPr>
          <w:rFonts w:cs="Segoe UI"/>
        </w:rPr>
        <w:t>It</w:t>
      </w:r>
      <w:r w:rsidR="00A65AC1" w:rsidRPr="231A7F83">
        <w:rPr>
          <w:rFonts w:cs="Segoe UI"/>
        </w:rPr>
        <w:t xml:space="preserve"> is important to </w:t>
      </w:r>
      <w:proofErr w:type="gramStart"/>
      <w:r w:rsidR="00A65AC1" w:rsidRPr="231A7F83">
        <w:rPr>
          <w:rFonts w:cs="Segoe UI"/>
        </w:rPr>
        <w:t>take into account</w:t>
      </w:r>
      <w:proofErr w:type="gramEnd"/>
      <w:r w:rsidR="00A65AC1" w:rsidRPr="231A7F83">
        <w:rPr>
          <w:rFonts w:cs="Segoe UI"/>
        </w:rPr>
        <w:t xml:space="preserve"> the depth, scale and pace at which change is occurring. </w:t>
      </w:r>
      <w:r w:rsidRPr="231A7F83">
        <w:rPr>
          <w:rFonts w:cs="Segoe UI"/>
        </w:rPr>
        <w:t xml:space="preserve">Traditional </w:t>
      </w:r>
      <w:r w:rsidR="00072FB3" w:rsidRPr="231A7F83">
        <w:rPr>
          <w:rFonts w:cs="Segoe UI"/>
        </w:rPr>
        <w:t>digital</w:t>
      </w:r>
      <w:r w:rsidRPr="231A7F83">
        <w:rPr>
          <w:rFonts w:cs="Segoe UI"/>
        </w:rPr>
        <w:t xml:space="preserve"> payments are giving way to frictionless, digital experiences across a host of new connected devices and consumer </w:t>
      </w:r>
      <w:proofErr w:type="gramStart"/>
      <w:r w:rsidRPr="231A7F83">
        <w:rPr>
          <w:rFonts w:cs="Segoe UI"/>
        </w:rPr>
        <w:t>journeys;</w:t>
      </w:r>
      <w:proofErr w:type="gramEnd"/>
      <w:r w:rsidRPr="231A7F83">
        <w:rPr>
          <w:rFonts w:cs="Segoe UI"/>
        </w:rPr>
        <w:t xml:space="preserve"> while alternative and innovative methods of interbank and digital payments are emerging. Technological advances, fast-changing consumer behaviours, and open innovation and collaboration between organisations are driving this trend</w:t>
      </w:r>
      <w:r w:rsidR="005C0320" w:rsidRPr="231A7F83">
        <w:rPr>
          <w:rFonts w:cs="Segoe UI"/>
        </w:rPr>
        <w:t>, with the appetite for using different payment platforms having accelerated further due to</w:t>
      </w:r>
      <w:r w:rsidR="00375CD9" w:rsidRPr="231A7F83">
        <w:rPr>
          <w:rFonts w:cs="Segoe UI"/>
        </w:rPr>
        <w:t xml:space="preserve"> the</w:t>
      </w:r>
      <w:r w:rsidR="005C0320" w:rsidRPr="231A7F83">
        <w:rPr>
          <w:rFonts w:cs="Segoe UI"/>
        </w:rPr>
        <w:t xml:space="preserve"> COVID-1</w:t>
      </w:r>
      <w:r w:rsidR="00BE69FF" w:rsidRPr="231A7F83">
        <w:rPr>
          <w:rFonts w:cs="Segoe UI"/>
        </w:rPr>
        <w:t>9</w:t>
      </w:r>
      <w:r w:rsidR="00375CD9" w:rsidRPr="231A7F83">
        <w:rPr>
          <w:rFonts w:cs="Segoe UI"/>
        </w:rPr>
        <w:t xml:space="preserve"> pandemic</w:t>
      </w:r>
      <w:r w:rsidRPr="231A7F83">
        <w:rPr>
          <w:rFonts w:cs="Segoe UI"/>
        </w:rPr>
        <w:t xml:space="preserve">. </w:t>
      </w:r>
      <w:r w:rsidR="00BE69FF" w:rsidRPr="231A7F83">
        <w:rPr>
          <w:rFonts w:cs="Segoe UI"/>
        </w:rPr>
        <w:t>We do not expect that this will change in a post-COVID-19 world.</w:t>
      </w:r>
    </w:p>
    <w:p w14:paraId="19AFCE44" w14:textId="77777777" w:rsidR="00103985" w:rsidRDefault="00103985" w:rsidP="00DC64AB">
      <w:pPr>
        <w:jc w:val="both"/>
        <w:rPr>
          <w:rFonts w:cs="Segoe UI"/>
          <w:szCs w:val="20"/>
        </w:rPr>
      </w:pPr>
    </w:p>
    <w:p w14:paraId="5A1ED511" w14:textId="5CE064C1" w:rsidR="00DC64AB" w:rsidRPr="00954DE4" w:rsidRDefault="00DC64AB" w:rsidP="00DC64AB">
      <w:pPr>
        <w:jc w:val="both"/>
        <w:rPr>
          <w:rFonts w:cs="Segoe UI"/>
        </w:rPr>
      </w:pPr>
      <w:r w:rsidRPr="00954DE4">
        <w:rPr>
          <w:rFonts w:cs="Segoe UI"/>
        </w:rPr>
        <w:t xml:space="preserve">Consumers </w:t>
      </w:r>
      <w:r w:rsidR="00BE69FF">
        <w:rPr>
          <w:rFonts w:cs="Segoe UI"/>
        </w:rPr>
        <w:t xml:space="preserve">now </w:t>
      </w:r>
      <w:r w:rsidRPr="00954DE4">
        <w:rPr>
          <w:rFonts w:cs="Segoe UI"/>
        </w:rPr>
        <w:t>expect to be able to buy products and services with their computers, tablets, phones, c</w:t>
      </w:r>
      <w:r w:rsidR="00F30E8D">
        <w:rPr>
          <w:rFonts w:cs="Segoe UI"/>
        </w:rPr>
        <w:t>onnected</w:t>
      </w:r>
      <w:r w:rsidRPr="00954DE4">
        <w:rPr>
          <w:rFonts w:cs="Segoe UI"/>
        </w:rPr>
        <w:t xml:space="preserve"> and wearable devices, and they also expect the payment process to be as secure as it is seamless and convenient on the payment product of their choice. Merchant expectations have also heightened – with growing interest in new point-of-sale infrastructure and software as well as the leveraging of other technologies to drive and monitor sales. In addition, the providers of payment solutions are multiplying and diversifying. </w:t>
      </w:r>
      <w:r w:rsidR="003C75B4">
        <w:rPr>
          <w:rFonts w:cs="Segoe UI"/>
        </w:rPr>
        <w:t>It</w:t>
      </w:r>
      <w:r w:rsidRPr="00954DE4">
        <w:rPr>
          <w:rFonts w:cs="Segoe UI"/>
        </w:rPr>
        <w:t xml:space="preserve"> is a progressively complicated, competitive</w:t>
      </w:r>
      <w:r w:rsidR="003C75B4">
        <w:rPr>
          <w:rFonts w:cs="Segoe UI"/>
        </w:rPr>
        <w:t>,</w:t>
      </w:r>
      <w:r w:rsidRPr="00954DE4">
        <w:rPr>
          <w:rFonts w:cs="Segoe UI"/>
        </w:rPr>
        <w:t xml:space="preserve"> and dynamic </w:t>
      </w:r>
      <w:r w:rsidR="003C75B4">
        <w:rPr>
          <w:rFonts w:cs="Segoe UI"/>
        </w:rPr>
        <w:t>ecosystem</w:t>
      </w:r>
      <w:r w:rsidRPr="00954DE4">
        <w:rPr>
          <w:rFonts w:cs="Segoe UI"/>
        </w:rPr>
        <w:t xml:space="preserve">, with providers ranging from traditional financial institutions – large and small – to digital giants, </w:t>
      </w:r>
      <w:r w:rsidR="00EA3185">
        <w:rPr>
          <w:rFonts w:cs="Segoe UI"/>
        </w:rPr>
        <w:t>f</w:t>
      </w:r>
      <w:r w:rsidRPr="00954DE4">
        <w:rPr>
          <w:rFonts w:cs="Segoe UI"/>
        </w:rPr>
        <w:t>in</w:t>
      </w:r>
      <w:r w:rsidR="00EA3185">
        <w:rPr>
          <w:rFonts w:cs="Segoe UI"/>
        </w:rPr>
        <w:t>t</w:t>
      </w:r>
      <w:r w:rsidRPr="00954DE4">
        <w:rPr>
          <w:rFonts w:cs="Segoe UI"/>
        </w:rPr>
        <w:t>echs</w:t>
      </w:r>
      <w:r w:rsidR="008D5D68">
        <w:rPr>
          <w:rFonts w:cs="Segoe UI"/>
        </w:rPr>
        <w:t xml:space="preserve"> and other start-ups</w:t>
      </w:r>
      <w:r w:rsidR="0B3DC563" w:rsidRPr="231A7F83">
        <w:rPr>
          <w:rFonts w:cs="Segoe UI"/>
        </w:rPr>
        <w:t>,</w:t>
      </w:r>
      <w:r w:rsidR="008D5D68">
        <w:rPr>
          <w:rFonts w:cs="Segoe UI"/>
        </w:rPr>
        <w:t xml:space="preserve"> and</w:t>
      </w:r>
      <w:r w:rsidR="0B3DC563" w:rsidRPr="231A7F83">
        <w:rPr>
          <w:rFonts w:cs="Segoe UI"/>
        </w:rPr>
        <w:t xml:space="preserve"> merchants themselves</w:t>
      </w:r>
      <w:r w:rsidRPr="00954DE4">
        <w:rPr>
          <w:rFonts w:cs="Segoe UI"/>
        </w:rPr>
        <w:t>.</w:t>
      </w:r>
    </w:p>
    <w:p w14:paraId="6BE0CD3B" w14:textId="77777777" w:rsidR="00DC64AB" w:rsidRPr="00954DE4" w:rsidRDefault="00DC64AB" w:rsidP="00DC64AB">
      <w:pPr>
        <w:pStyle w:val="Default"/>
        <w:jc w:val="both"/>
        <w:rPr>
          <w:rFonts w:asciiTheme="minorHAnsi" w:hAnsiTheme="minorHAnsi" w:cs="Segoe UI"/>
          <w:color w:val="auto"/>
          <w:sz w:val="22"/>
          <w:szCs w:val="22"/>
        </w:rPr>
      </w:pPr>
    </w:p>
    <w:p w14:paraId="2A2E4B65" w14:textId="27862438" w:rsidR="00DC64AB" w:rsidRPr="00954DE4" w:rsidRDefault="00DC64AB" w:rsidP="6EBC522A">
      <w:pPr>
        <w:pStyle w:val="Default"/>
        <w:jc w:val="both"/>
        <w:rPr>
          <w:rFonts w:asciiTheme="minorHAnsi" w:hAnsiTheme="minorHAnsi" w:cs="Segoe UI"/>
          <w:color w:val="auto"/>
          <w:sz w:val="22"/>
          <w:szCs w:val="22"/>
        </w:rPr>
      </w:pPr>
      <w:r w:rsidRPr="6EBC522A">
        <w:rPr>
          <w:rFonts w:asciiTheme="minorHAnsi" w:hAnsiTheme="minorHAnsi" w:cs="Segoe UI"/>
          <w:color w:val="auto"/>
          <w:sz w:val="22"/>
          <w:szCs w:val="22"/>
        </w:rPr>
        <w:t xml:space="preserve">Given the numerous benefits of </w:t>
      </w:r>
      <w:r w:rsidR="00582C64" w:rsidRPr="6EBC522A">
        <w:rPr>
          <w:rFonts w:asciiTheme="minorHAnsi" w:hAnsiTheme="minorHAnsi" w:cs="Segoe UI"/>
          <w:color w:val="auto"/>
          <w:sz w:val="22"/>
          <w:szCs w:val="22"/>
        </w:rPr>
        <w:t>digital</w:t>
      </w:r>
      <w:r w:rsidRPr="6EBC522A">
        <w:rPr>
          <w:rFonts w:asciiTheme="minorHAnsi" w:hAnsiTheme="minorHAnsi" w:cs="Segoe UI"/>
          <w:color w:val="auto"/>
          <w:sz w:val="22"/>
          <w:szCs w:val="22"/>
        </w:rPr>
        <w:t xml:space="preserve"> payments and the increasing complexity of the payments ecosystem, </w:t>
      </w:r>
      <w:r w:rsidR="005E0AB0" w:rsidRPr="6EBC522A">
        <w:rPr>
          <w:rFonts w:asciiTheme="minorHAnsi" w:hAnsiTheme="minorHAnsi" w:cs="Segoe UI"/>
          <w:color w:val="auto"/>
          <w:sz w:val="22"/>
          <w:szCs w:val="22"/>
        </w:rPr>
        <w:t>i</w:t>
      </w:r>
      <w:r w:rsidRPr="6EBC522A">
        <w:rPr>
          <w:rFonts w:asciiTheme="minorHAnsi" w:hAnsiTheme="minorHAnsi" w:cs="Segoe UI"/>
          <w:color w:val="auto"/>
          <w:sz w:val="22"/>
          <w:szCs w:val="22"/>
        </w:rPr>
        <w:t xml:space="preserve">t is critical that industry and regulatory bodies work together to ensure that </w:t>
      </w:r>
      <w:r w:rsidR="0095544D" w:rsidRPr="6EBC522A">
        <w:rPr>
          <w:rFonts w:asciiTheme="minorHAnsi" w:hAnsiTheme="minorHAnsi" w:cs="Segoe UI"/>
          <w:color w:val="auto"/>
          <w:sz w:val="22"/>
          <w:szCs w:val="22"/>
        </w:rPr>
        <w:t>there is an enabling environment where competition and innovation can flourish</w:t>
      </w:r>
      <w:r w:rsidR="1C337B17" w:rsidRPr="6EBC522A">
        <w:rPr>
          <w:rFonts w:asciiTheme="minorHAnsi" w:hAnsiTheme="minorHAnsi" w:cs="Segoe UI"/>
          <w:color w:val="auto"/>
          <w:sz w:val="22"/>
          <w:szCs w:val="22"/>
        </w:rPr>
        <w:t>, and security remains an uncompromisable priority</w:t>
      </w:r>
      <w:r w:rsidR="0095544D" w:rsidRPr="6EBC522A">
        <w:rPr>
          <w:rFonts w:asciiTheme="minorHAnsi" w:hAnsiTheme="minorHAnsi" w:cs="Segoe UI"/>
          <w:color w:val="auto"/>
          <w:sz w:val="22"/>
          <w:szCs w:val="22"/>
        </w:rPr>
        <w:t>.</w:t>
      </w:r>
      <w:r w:rsidR="006A676F" w:rsidRPr="6EBC522A">
        <w:rPr>
          <w:rFonts w:asciiTheme="minorHAnsi" w:hAnsiTheme="minorHAnsi" w:cs="Segoe UI"/>
          <w:color w:val="auto"/>
          <w:sz w:val="22"/>
          <w:szCs w:val="22"/>
        </w:rPr>
        <w:t xml:space="preserve"> </w:t>
      </w:r>
      <w:r w:rsidRPr="6EBC522A">
        <w:rPr>
          <w:rFonts w:asciiTheme="minorHAnsi" w:hAnsiTheme="minorHAnsi" w:cs="Segoe UI"/>
          <w:color w:val="auto"/>
          <w:sz w:val="22"/>
          <w:szCs w:val="22"/>
        </w:rPr>
        <w:t>As a result, Visa welcomes the opportunity to bring our global experience and knowledge to the</w:t>
      </w:r>
      <w:r w:rsidR="00174316" w:rsidRPr="6EBC522A">
        <w:rPr>
          <w:rFonts w:asciiTheme="minorHAnsi" w:hAnsiTheme="minorHAnsi" w:cs="Segoe UI"/>
          <w:color w:val="auto"/>
          <w:sz w:val="22"/>
          <w:szCs w:val="22"/>
        </w:rPr>
        <w:t xml:space="preserve"> next phase of the</w:t>
      </w:r>
      <w:r w:rsidRPr="6EBC522A">
        <w:rPr>
          <w:rFonts w:asciiTheme="minorHAnsi" w:hAnsiTheme="minorHAnsi" w:cs="Segoe UI"/>
          <w:color w:val="auto"/>
          <w:sz w:val="22"/>
          <w:szCs w:val="22"/>
        </w:rPr>
        <w:t xml:space="preserve"> RBA Review of Retail Payments Regulation</w:t>
      </w:r>
      <w:r w:rsidR="00DD1E38" w:rsidRPr="6EBC522A">
        <w:rPr>
          <w:rFonts w:asciiTheme="minorHAnsi" w:hAnsiTheme="minorHAnsi" w:cs="Segoe UI"/>
          <w:color w:val="auto"/>
          <w:sz w:val="22"/>
          <w:szCs w:val="22"/>
        </w:rPr>
        <w:t xml:space="preserve"> </w:t>
      </w:r>
      <w:r w:rsidRPr="6EBC522A">
        <w:rPr>
          <w:rFonts w:asciiTheme="minorHAnsi" w:hAnsiTheme="minorHAnsi" w:cs="Segoe UI"/>
          <w:color w:val="auto"/>
          <w:sz w:val="22"/>
          <w:szCs w:val="22"/>
        </w:rPr>
        <w:t xml:space="preserve">(the </w:t>
      </w:r>
      <w:r w:rsidR="00DD1E38" w:rsidRPr="6EBC522A">
        <w:rPr>
          <w:rFonts w:asciiTheme="minorHAnsi" w:hAnsiTheme="minorHAnsi" w:cs="Segoe UI"/>
          <w:color w:val="auto"/>
          <w:sz w:val="22"/>
          <w:szCs w:val="22"/>
        </w:rPr>
        <w:t>Review</w:t>
      </w:r>
      <w:r w:rsidRPr="6EBC522A">
        <w:rPr>
          <w:rFonts w:asciiTheme="minorHAnsi" w:hAnsiTheme="minorHAnsi" w:cs="Segoe UI"/>
          <w:color w:val="auto"/>
          <w:sz w:val="22"/>
          <w:szCs w:val="22"/>
        </w:rPr>
        <w:t>).</w:t>
      </w:r>
    </w:p>
    <w:p w14:paraId="4D0F1804" w14:textId="77777777" w:rsidR="00DC64AB" w:rsidRPr="00954DE4" w:rsidRDefault="00DC64AB" w:rsidP="00DC64AB">
      <w:pPr>
        <w:pStyle w:val="Default"/>
        <w:jc w:val="both"/>
        <w:rPr>
          <w:rFonts w:asciiTheme="minorHAnsi" w:hAnsiTheme="minorHAnsi" w:cs="Segoe UI"/>
          <w:color w:val="auto"/>
          <w:sz w:val="22"/>
          <w:szCs w:val="22"/>
        </w:rPr>
      </w:pPr>
    </w:p>
    <w:p w14:paraId="300BB965" w14:textId="77777777" w:rsidR="009A25AE" w:rsidRDefault="00DC64AB" w:rsidP="00DC64AB">
      <w:pPr>
        <w:jc w:val="both"/>
        <w:rPr>
          <w:rFonts w:cs="Segoe UI"/>
        </w:rPr>
      </w:pPr>
      <w:r w:rsidRPr="6EBC522A">
        <w:rPr>
          <w:rFonts w:cs="Segoe UI"/>
        </w:rPr>
        <w:t>Visa has actively participated in reviews conducted by the RBA</w:t>
      </w:r>
      <w:r w:rsidR="00174316" w:rsidRPr="6EBC522A">
        <w:rPr>
          <w:rFonts w:cs="Segoe UI"/>
        </w:rPr>
        <w:t xml:space="preserve"> </w:t>
      </w:r>
      <w:r w:rsidRPr="6EBC522A">
        <w:rPr>
          <w:rFonts w:cs="Segoe UI"/>
        </w:rPr>
        <w:t xml:space="preserve">over the past two decades, as well as other recent regulatory reviews impacting payments, such as those conducted by </w:t>
      </w:r>
      <w:r w:rsidR="007C5E85" w:rsidRPr="6EBC522A">
        <w:rPr>
          <w:rFonts w:cs="Segoe UI"/>
        </w:rPr>
        <w:t xml:space="preserve">Treasury and </w:t>
      </w:r>
      <w:r w:rsidRPr="6EBC522A">
        <w:rPr>
          <w:rFonts w:cs="Segoe UI"/>
        </w:rPr>
        <w:t>the Productivity Commission (PC)</w:t>
      </w:r>
      <w:r w:rsidR="00E44CCB" w:rsidRPr="6EBC522A">
        <w:rPr>
          <w:rFonts w:cs="Segoe UI"/>
        </w:rPr>
        <w:t>, as well as provid</w:t>
      </w:r>
      <w:r w:rsidR="00C30321" w:rsidRPr="6EBC522A">
        <w:rPr>
          <w:rFonts w:cs="Segoe UI"/>
        </w:rPr>
        <w:t>ing</w:t>
      </w:r>
      <w:r w:rsidR="00E44CCB" w:rsidRPr="6EBC522A">
        <w:rPr>
          <w:rFonts w:cs="Segoe UI"/>
        </w:rPr>
        <w:t xml:space="preserve"> input to Treasury and the Australian Competition and Consumer Commission</w:t>
      </w:r>
      <w:r w:rsidR="00C30321" w:rsidRPr="6EBC522A">
        <w:rPr>
          <w:rFonts w:cs="Segoe UI"/>
        </w:rPr>
        <w:t xml:space="preserve"> (ACCC)</w:t>
      </w:r>
      <w:r w:rsidR="00E44CCB" w:rsidRPr="6EBC522A">
        <w:rPr>
          <w:rFonts w:cs="Segoe UI"/>
        </w:rPr>
        <w:t xml:space="preserve"> to support their efforts to provide the </w:t>
      </w:r>
      <w:r w:rsidR="008B5750" w:rsidRPr="6EBC522A">
        <w:rPr>
          <w:rFonts w:cs="Segoe UI"/>
        </w:rPr>
        <w:t xml:space="preserve">next generation of new </w:t>
      </w:r>
      <w:r w:rsidR="00E44CCB" w:rsidRPr="6EBC522A">
        <w:rPr>
          <w:rFonts w:cs="Segoe UI"/>
        </w:rPr>
        <w:t>products and services through the Consumer Data Right (CDR)</w:t>
      </w:r>
      <w:r w:rsidRPr="6EBC522A">
        <w:rPr>
          <w:rFonts w:cs="Segoe UI"/>
        </w:rPr>
        <w:t xml:space="preserve">. </w:t>
      </w:r>
    </w:p>
    <w:p w14:paraId="007AA2BE" w14:textId="77777777" w:rsidR="009A25AE" w:rsidRDefault="009A25AE" w:rsidP="00DC64AB">
      <w:pPr>
        <w:jc w:val="both"/>
        <w:rPr>
          <w:rFonts w:cs="Segoe UI"/>
        </w:rPr>
      </w:pPr>
    </w:p>
    <w:p w14:paraId="13C72526" w14:textId="17DBCFD2" w:rsidR="00DC64AB" w:rsidRPr="00954DE4" w:rsidRDefault="00DC64AB" w:rsidP="00DC64AB">
      <w:pPr>
        <w:jc w:val="both"/>
        <w:rPr>
          <w:rFonts w:cs="Segoe UI"/>
        </w:rPr>
      </w:pPr>
      <w:r w:rsidRPr="6EBC522A">
        <w:rPr>
          <w:rFonts w:cs="Segoe UI"/>
        </w:rPr>
        <w:t xml:space="preserve">In each </w:t>
      </w:r>
      <w:r w:rsidR="002A303D" w:rsidRPr="6EBC522A">
        <w:rPr>
          <w:rFonts w:cs="Segoe UI"/>
        </w:rPr>
        <w:t>case</w:t>
      </w:r>
      <w:r w:rsidRPr="6EBC522A">
        <w:rPr>
          <w:rFonts w:cs="Segoe UI"/>
        </w:rPr>
        <w:t xml:space="preserve">, Visa has highlighted the need for </w:t>
      </w:r>
      <w:r w:rsidR="00173718">
        <w:rPr>
          <w:rFonts w:cs="Segoe UI"/>
        </w:rPr>
        <w:t xml:space="preserve">approaches to digital payments regulation which focus on </w:t>
      </w:r>
      <w:r w:rsidR="00C347F9">
        <w:rPr>
          <w:rFonts w:cs="Segoe UI"/>
        </w:rPr>
        <w:t xml:space="preserve">consumer choice; </w:t>
      </w:r>
      <w:r w:rsidR="00173718">
        <w:rPr>
          <w:rFonts w:eastAsia="Times New Roman"/>
        </w:rPr>
        <w:t>balanced economics; continuous innovation and security; and a level playing field.</w:t>
      </w:r>
      <w:r w:rsidRPr="6EBC522A">
        <w:rPr>
          <w:rFonts w:cs="Segoe UI"/>
        </w:rPr>
        <w:t xml:space="preserve"> Moreover, based on decades of experience working with </w:t>
      </w:r>
      <w:r w:rsidR="00173FA4" w:rsidRPr="6EBC522A">
        <w:rPr>
          <w:rFonts w:cs="Segoe UI"/>
        </w:rPr>
        <w:t xml:space="preserve">governments, </w:t>
      </w:r>
      <w:r w:rsidRPr="6EBC522A">
        <w:rPr>
          <w:rFonts w:cs="Segoe UI"/>
        </w:rPr>
        <w:t xml:space="preserve">regulators and policymakers in </w:t>
      </w:r>
      <w:r w:rsidR="2CDABD53" w:rsidRPr="6EBC522A">
        <w:rPr>
          <w:rFonts w:cs="Segoe UI"/>
        </w:rPr>
        <w:t xml:space="preserve">geographies </w:t>
      </w:r>
      <w:r w:rsidRPr="6EBC522A">
        <w:rPr>
          <w:rFonts w:cs="Segoe UI"/>
        </w:rPr>
        <w:t xml:space="preserve">worldwide, Visa strongly supports industry consultation to determine the practical implications of </w:t>
      </w:r>
      <w:r w:rsidR="6236D9AC" w:rsidRPr="6EBC522A">
        <w:rPr>
          <w:rFonts w:cs="Segoe UI"/>
        </w:rPr>
        <w:t xml:space="preserve">any proposals </w:t>
      </w:r>
      <w:r w:rsidRPr="6EBC522A">
        <w:rPr>
          <w:rFonts w:cs="Segoe UI"/>
        </w:rPr>
        <w:t>and ensure the development of effective and commercially-viable safeguards for all participants in the payments environment.</w:t>
      </w:r>
      <w:r w:rsidR="00BE5A5B">
        <w:rPr>
          <w:rFonts w:cs="Segoe UI"/>
        </w:rPr>
        <w:t xml:space="preserve"> </w:t>
      </w:r>
      <w:r w:rsidRPr="00954DE4">
        <w:rPr>
          <w:rFonts w:cs="Segoe UI"/>
        </w:rPr>
        <w:t>In contributing to th</w:t>
      </w:r>
      <w:r w:rsidR="0060467E">
        <w:rPr>
          <w:rFonts w:cs="Segoe UI"/>
        </w:rPr>
        <w:t>is</w:t>
      </w:r>
      <w:r w:rsidR="00437FE7">
        <w:rPr>
          <w:rFonts w:cs="Segoe UI"/>
        </w:rPr>
        <w:t xml:space="preserve"> phase of th</w:t>
      </w:r>
      <w:r w:rsidR="001030CD">
        <w:rPr>
          <w:rFonts w:cs="Segoe UI"/>
        </w:rPr>
        <w:t>e current</w:t>
      </w:r>
      <w:r w:rsidRPr="00954DE4">
        <w:rPr>
          <w:rFonts w:cs="Segoe UI"/>
        </w:rPr>
        <w:t xml:space="preserve"> Review, Visa </w:t>
      </w:r>
      <w:r w:rsidR="00A17DDA">
        <w:rPr>
          <w:rFonts w:cs="Segoe UI"/>
        </w:rPr>
        <w:t>will</w:t>
      </w:r>
      <w:r w:rsidRPr="00954DE4">
        <w:rPr>
          <w:rFonts w:cs="Segoe UI"/>
        </w:rPr>
        <w:t xml:space="preserve"> address</w:t>
      </w:r>
      <w:r w:rsidR="00437FE7">
        <w:rPr>
          <w:rFonts w:cs="Segoe UI"/>
        </w:rPr>
        <w:t xml:space="preserve"> the </w:t>
      </w:r>
      <w:r w:rsidR="00686F8A">
        <w:rPr>
          <w:rFonts w:cs="Segoe UI"/>
        </w:rPr>
        <w:t>preliminary conclusion</w:t>
      </w:r>
      <w:r w:rsidR="00A17DDA">
        <w:rPr>
          <w:rFonts w:cs="Segoe UI"/>
        </w:rPr>
        <w:t>s</w:t>
      </w:r>
      <w:r w:rsidR="00B004CA">
        <w:rPr>
          <w:rFonts w:cs="Segoe UI"/>
        </w:rPr>
        <w:t xml:space="preserve"> outlined in the “</w:t>
      </w:r>
      <w:r w:rsidR="00686F8A">
        <w:rPr>
          <w:rFonts w:cs="Segoe UI"/>
        </w:rPr>
        <w:t xml:space="preserve">Review of </w:t>
      </w:r>
      <w:r w:rsidR="00D14E6D">
        <w:rPr>
          <w:rFonts w:cs="Segoe UI"/>
        </w:rPr>
        <w:t xml:space="preserve">Retail Payments </w:t>
      </w:r>
      <w:r w:rsidR="00B004CA">
        <w:rPr>
          <w:rFonts w:cs="Segoe UI"/>
        </w:rPr>
        <w:t>Regulation – Consultation Paper” (Consultation Paper).</w:t>
      </w:r>
      <w:r w:rsidRPr="00954DE4" w:rsidDel="00422321">
        <w:rPr>
          <w:rFonts w:cs="Segoe UI"/>
        </w:rPr>
        <w:t xml:space="preserve"> </w:t>
      </w:r>
    </w:p>
    <w:p w14:paraId="59E8DBF9" w14:textId="77777777" w:rsidR="00DC64AB" w:rsidRPr="00954DE4" w:rsidRDefault="00DC64AB" w:rsidP="00DC64AB">
      <w:pPr>
        <w:jc w:val="both"/>
        <w:rPr>
          <w:rFonts w:cs="Segoe UI"/>
        </w:rPr>
      </w:pPr>
    </w:p>
    <w:p w14:paraId="554BD000" w14:textId="4D32F996" w:rsidR="00DC64AB" w:rsidRPr="00954DE4" w:rsidRDefault="00DC64AB" w:rsidP="00DC64AB">
      <w:pPr>
        <w:jc w:val="both"/>
        <w:rPr>
          <w:rFonts w:cs="Segoe UI"/>
        </w:rPr>
      </w:pPr>
      <w:r w:rsidRPr="00954DE4">
        <w:rPr>
          <w:rFonts w:cs="Segoe UI"/>
        </w:rPr>
        <w:t xml:space="preserve">Central to Visa’s submission are three tenets that underpin a </w:t>
      </w:r>
      <w:r w:rsidR="00EA6D88">
        <w:rPr>
          <w:rFonts w:cs="Segoe UI"/>
        </w:rPr>
        <w:t xml:space="preserve">modern, </w:t>
      </w:r>
      <w:r w:rsidRPr="00954DE4">
        <w:rPr>
          <w:rFonts w:cs="Segoe UI"/>
        </w:rPr>
        <w:t>fair</w:t>
      </w:r>
      <w:r w:rsidR="008D1882">
        <w:rPr>
          <w:rFonts w:cs="Segoe UI"/>
        </w:rPr>
        <w:t>,</w:t>
      </w:r>
      <w:r w:rsidRPr="00954DE4">
        <w:rPr>
          <w:rFonts w:cs="Segoe UI"/>
        </w:rPr>
        <w:t xml:space="preserve"> and vibrant payments </w:t>
      </w:r>
      <w:r w:rsidR="00914002">
        <w:rPr>
          <w:rFonts w:cs="Segoe UI"/>
        </w:rPr>
        <w:t>ecosystem</w:t>
      </w:r>
      <w:r w:rsidRPr="00954DE4">
        <w:rPr>
          <w:rFonts w:cs="Segoe UI"/>
        </w:rPr>
        <w:t>:</w:t>
      </w:r>
    </w:p>
    <w:p w14:paraId="58776318" w14:textId="77777777" w:rsidR="00DC64AB" w:rsidRPr="00954DE4" w:rsidRDefault="00DC64AB" w:rsidP="00DC64AB">
      <w:pPr>
        <w:jc w:val="both"/>
        <w:rPr>
          <w:rFonts w:cs="Segoe UI"/>
        </w:rPr>
      </w:pPr>
    </w:p>
    <w:p w14:paraId="77217A6A" w14:textId="4EAC7314" w:rsidR="00DC64AB" w:rsidRPr="00954DE4" w:rsidRDefault="00DC64AB" w:rsidP="004A32C5">
      <w:pPr>
        <w:pStyle w:val="ListParagraph"/>
        <w:numPr>
          <w:ilvl w:val="0"/>
          <w:numId w:val="3"/>
        </w:numPr>
        <w:jc w:val="both"/>
        <w:rPr>
          <w:rFonts w:asciiTheme="minorHAnsi" w:hAnsiTheme="minorHAnsi" w:cs="Segoe UI"/>
        </w:rPr>
      </w:pPr>
      <w:r w:rsidRPr="00954DE4">
        <w:rPr>
          <w:rFonts w:asciiTheme="minorHAnsi" w:hAnsiTheme="minorHAnsi" w:cs="Segoe UI"/>
        </w:rPr>
        <w:t xml:space="preserve">Consumer </w:t>
      </w:r>
      <w:proofErr w:type="gramStart"/>
      <w:r w:rsidRPr="00954DE4">
        <w:rPr>
          <w:rFonts w:asciiTheme="minorHAnsi" w:hAnsiTheme="minorHAnsi" w:cs="Segoe UI"/>
        </w:rPr>
        <w:t>choice;</w:t>
      </w:r>
      <w:proofErr w:type="gramEnd"/>
    </w:p>
    <w:p w14:paraId="5A622785" w14:textId="77777777" w:rsidR="00DC64AB" w:rsidRPr="00954DE4" w:rsidRDefault="00DC64AB" w:rsidP="004A32C5">
      <w:pPr>
        <w:pStyle w:val="ListParagraph"/>
        <w:numPr>
          <w:ilvl w:val="0"/>
          <w:numId w:val="3"/>
        </w:numPr>
        <w:jc w:val="both"/>
        <w:rPr>
          <w:rFonts w:asciiTheme="minorHAnsi" w:hAnsiTheme="minorHAnsi" w:cs="Segoe UI"/>
        </w:rPr>
      </w:pPr>
      <w:r w:rsidRPr="00954DE4">
        <w:rPr>
          <w:rFonts w:asciiTheme="minorHAnsi" w:hAnsiTheme="minorHAnsi" w:cs="Segoe UI"/>
        </w:rPr>
        <w:t xml:space="preserve">Balanced economics; and </w:t>
      </w:r>
    </w:p>
    <w:p w14:paraId="029312A1" w14:textId="7E905E46" w:rsidR="00DC64AB" w:rsidRPr="00954DE4" w:rsidRDefault="00DC64AB" w:rsidP="004A32C5">
      <w:pPr>
        <w:pStyle w:val="ListParagraph"/>
        <w:numPr>
          <w:ilvl w:val="0"/>
          <w:numId w:val="3"/>
        </w:numPr>
        <w:jc w:val="both"/>
        <w:rPr>
          <w:rFonts w:asciiTheme="minorHAnsi" w:hAnsiTheme="minorHAnsi" w:cs="Segoe UI"/>
        </w:rPr>
      </w:pPr>
      <w:r w:rsidRPr="00954DE4">
        <w:rPr>
          <w:rFonts w:asciiTheme="minorHAnsi" w:hAnsiTheme="minorHAnsi" w:cs="Segoe UI"/>
        </w:rPr>
        <w:t>Continuous innovation</w:t>
      </w:r>
      <w:r w:rsidR="006F6425">
        <w:rPr>
          <w:rFonts w:asciiTheme="minorHAnsi" w:hAnsiTheme="minorHAnsi" w:cs="Segoe UI"/>
        </w:rPr>
        <w:t xml:space="preserve"> and security</w:t>
      </w:r>
      <w:r w:rsidRPr="00954DE4">
        <w:rPr>
          <w:rFonts w:asciiTheme="minorHAnsi" w:hAnsiTheme="minorHAnsi" w:cs="Segoe UI"/>
        </w:rPr>
        <w:t xml:space="preserve">.  </w:t>
      </w:r>
    </w:p>
    <w:p w14:paraId="5F3E60E2" w14:textId="77777777" w:rsidR="00DC64AB" w:rsidRPr="00954DE4" w:rsidRDefault="00DC64AB" w:rsidP="00DC64AB">
      <w:pPr>
        <w:pStyle w:val="ListParagraph"/>
        <w:ind w:left="1080"/>
        <w:jc w:val="both"/>
        <w:rPr>
          <w:rFonts w:asciiTheme="minorHAnsi" w:hAnsiTheme="minorHAnsi" w:cs="Segoe UI"/>
        </w:rPr>
      </w:pPr>
    </w:p>
    <w:p w14:paraId="3DC4AECA" w14:textId="45FE9BA1" w:rsidR="002A4D48" w:rsidRPr="00954DE4" w:rsidRDefault="00DC64AB" w:rsidP="00DC64AB">
      <w:pPr>
        <w:jc w:val="both"/>
        <w:rPr>
          <w:rFonts w:cs="Segoe UI"/>
        </w:rPr>
      </w:pPr>
      <w:r w:rsidRPr="00954DE4">
        <w:rPr>
          <w:rFonts w:cs="Segoe UI"/>
        </w:rPr>
        <w:t xml:space="preserve">It is through the lens of </w:t>
      </w:r>
      <w:r w:rsidRPr="00030040">
        <w:rPr>
          <w:rFonts w:cs="Segoe UI"/>
        </w:rPr>
        <w:t>these three principles</w:t>
      </w:r>
      <w:r w:rsidR="00D81BCE" w:rsidRPr="00030040">
        <w:rPr>
          <w:rFonts w:cs="Segoe UI"/>
        </w:rPr>
        <w:t xml:space="preserve"> and</w:t>
      </w:r>
      <w:r w:rsidR="00C00715" w:rsidRPr="00030040">
        <w:rPr>
          <w:rFonts w:cs="Segoe UI"/>
        </w:rPr>
        <w:t xml:space="preserve"> in the context of a level playing field</w:t>
      </w:r>
      <w:r w:rsidRPr="00030040">
        <w:rPr>
          <w:rFonts w:cs="Segoe UI"/>
        </w:rPr>
        <w:t xml:space="preserve"> that</w:t>
      </w:r>
      <w:r w:rsidRPr="00954DE4">
        <w:rPr>
          <w:rFonts w:cs="Segoe UI"/>
        </w:rPr>
        <w:t xml:space="preserve"> Visa </w:t>
      </w:r>
      <w:r w:rsidR="002F264E">
        <w:rPr>
          <w:rFonts w:cs="Segoe UI"/>
        </w:rPr>
        <w:t>has considered</w:t>
      </w:r>
      <w:r w:rsidRPr="00954DE4">
        <w:rPr>
          <w:rFonts w:cs="Segoe UI"/>
        </w:rPr>
        <w:t xml:space="preserve"> the Review</w:t>
      </w:r>
      <w:r w:rsidR="3E0D3304" w:rsidRPr="00954DE4">
        <w:rPr>
          <w:rFonts w:cs="Segoe UI"/>
        </w:rPr>
        <w:t xml:space="preserve">. These principles also reflect the </w:t>
      </w:r>
      <w:r w:rsidRPr="00954DE4">
        <w:rPr>
          <w:rFonts w:cs="Segoe UI"/>
        </w:rPr>
        <w:t xml:space="preserve">RBA’s and </w:t>
      </w:r>
      <w:r w:rsidR="0092FBEF" w:rsidRPr="00954DE4">
        <w:rPr>
          <w:rFonts w:cs="Segoe UI"/>
        </w:rPr>
        <w:t>Payments</w:t>
      </w:r>
      <w:r w:rsidRPr="00954DE4">
        <w:rPr>
          <w:rFonts w:cs="Segoe UI"/>
        </w:rPr>
        <w:t xml:space="preserve"> System Board’s (PSB) priorities. </w:t>
      </w:r>
      <w:r w:rsidR="00475467">
        <w:rPr>
          <w:rFonts w:cs="Segoe UI"/>
        </w:rPr>
        <w:t xml:space="preserve">The </w:t>
      </w:r>
      <w:r w:rsidRPr="00954DE4">
        <w:rPr>
          <w:rFonts w:cs="Segoe UI"/>
        </w:rPr>
        <w:t>RBA Governor, Philip Lowe, summarised it well when he said: “The Board wants to see a payments system that is innovative, dynamic, secure, competitive, and that serves the needs of all Australians”</w:t>
      </w:r>
      <w:r w:rsidRPr="00954DE4">
        <w:rPr>
          <w:rStyle w:val="FootnoteReference"/>
          <w:rFonts w:cs="Segoe UI"/>
        </w:rPr>
        <w:footnoteReference w:id="3"/>
      </w:r>
      <w:r w:rsidRPr="00954DE4">
        <w:rPr>
          <w:rFonts w:cs="Segoe UI"/>
        </w:rPr>
        <w:t xml:space="preserve">. </w:t>
      </w:r>
    </w:p>
    <w:p w14:paraId="0631C059" w14:textId="77777777" w:rsidR="0032173E" w:rsidRPr="00954DE4" w:rsidRDefault="0032173E">
      <w:pPr>
        <w:rPr>
          <w:rFonts w:cs="Segoe UI"/>
          <w:color w:val="262626" w:themeColor="text1" w:themeTint="D9"/>
        </w:rPr>
      </w:pPr>
    </w:p>
    <w:p w14:paraId="0DB555B8" w14:textId="20912EF3" w:rsidR="00646E81" w:rsidRPr="001A3E60" w:rsidRDefault="00646E81" w:rsidP="004A32C5">
      <w:pPr>
        <w:pStyle w:val="ListParagraph"/>
        <w:numPr>
          <w:ilvl w:val="0"/>
          <w:numId w:val="4"/>
        </w:numPr>
        <w:rPr>
          <w:rStyle w:val="IntenseEmphasis"/>
          <w:rFonts w:asciiTheme="minorHAnsi" w:eastAsiaTheme="minorEastAsia" w:hAnsiTheme="minorHAnsi" w:cstheme="minorHAnsi"/>
          <w:b/>
          <w:i w:val="0"/>
          <w:color w:val="002060"/>
          <w:sz w:val="26"/>
          <w:szCs w:val="26"/>
        </w:rPr>
      </w:pPr>
      <w:r w:rsidRPr="001A3E60">
        <w:rPr>
          <w:rStyle w:val="IntenseEmphasis"/>
          <w:rFonts w:asciiTheme="minorHAnsi" w:eastAsiaTheme="minorEastAsia" w:hAnsiTheme="minorHAnsi" w:cstheme="minorHAnsi"/>
          <w:b/>
          <w:i w:val="0"/>
          <w:color w:val="002060"/>
          <w:sz w:val="26"/>
          <w:szCs w:val="26"/>
        </w:rPr>
        <w:t xml:space="preserve">Consumer Choice </w:t>
      </w:r>
    </w:p>
    <w:p w14:paraId="5A086FB0" w14:textId="77777777" w:rsidR="001A3E60" w:rsidRPr="001A3E60" w:rsidRDefault="001A3E60" w:rsidP="001A3E60">
      <w:pPr>
        <w:rPr>
          <w:rFonts w:cs="Segoe UI"/>
          <w:color w:val="262626" w:themeColor="text1" w:themeTint="D9"/>
        </w:rPr>
      </w:pPr>
    </w:p>
    <w:p w14:paraId="7473DBB3" w14:textId="3F13148E" w:rsidR="0085666D" w:rsidRPr="0085666D" w:rsidRDefault="00331D60" w:rsidP="00331D60">
      <w:pPr>
        <w:pStyle w:val="Default"/>
        <w:jc w:val="both"/>
        <w:rPr>
          <w:rFonts w:asciiTheme="minorHAnsi" w:hAnsiTheme="minorHAnsi" w:cstheme="minorHAnsi"/>
          <w:color w:val="auto"/>
          <w:sz w:val="22"/>
          <w:szCs w:val="22"/>
          <w:lang w:val="en-AU"/>
        </w:rPr>
      </w:pPr>
      <w:r w:rsidRPr="00954DE4">
        <w:rPr>
          <w:rFonts w:asciiTheme="minorHAnsi" w:hAnsiTheme="minorHAnsi" w:cs="Segoe UI"/>
          <w:color w:val="auto"/>
          <w:sz w:val="22"/>
          <w:szCs w:val="22"/>
          <w:lang w:val="en-AU"/>
        </w:rPr>
        <w:t>Visa commends the RBA for considering multiple perspectives when e</w:t>
      </w:r>
      <w:r w:rsidR="009A25A5">
        <w:rPr>
          <w:rFonts w:asciiTheme="minorHAnsi" w:hAnsiTheme="minorHAnsi" w:cs="Segoe UI"/>
          <w:color w:val="auto"/>
          <w:sz w:val="22"/>
          <w:szCs w:val="22"/>
          <w:lang w:val="en-AU"/>
        </w:rPr>
        <w:t xml:space="preserve">valuating how to ensure that the payments ecosystem can continue delivering benefits for all participants. </w:t>
      </w:r>
      <w:r w:rsidRPr="00954DE4">
        <w:rPr>
          <w:rFonts w:asciiTheme="minorHAnsi" w:hAnsiTheme="minorHAnsi" w:cs="Segoe UI"/>
          <w:color w:val="auto"/>
          <w:sz w:val="22"/>
          <w:szCs w:val="22"/>
          <w:lang w:val="en-AU"/>
        </w:rPr>
        <w:t xml:space="preserve">However, we believe that </w:t>
      </w:r>
      <w:r w:rsidR="00D705D7">
        <w:rPr>
          <w:rFonts w:asciiTheme="minorHAnsi" w:hAnsiTheme="minorHAnsi" w:cs="Segoe UI"/>
          <w:color w:val="auto"/>
          <w:sz w:val="22"/>
          <w:szCs w:val="22"/>
          <w:lang w:val="en-AU"/>
        </w:rPr>
        <w:t xml:space="preserve">there is further potential for the RBA to </w:t>
      </w:r>
      <w:r w:rsidRPr="00954DE4">
        <w:rPr>
          <w:rFonts w:asciiTheme="minorHAnsi" w:hAnsiTheme="minorHAnsi" w:cs="Segoe UI"/>
          <w:color w:val="auto"/>
          <w:sz w:val="22"/>
          <w:szCs w:val="22"/>
          <w:lang w:val="en-AU"/>
        </w:rPr>
        <w:t xml:space="preserve">consider consumer </w:t>
      </w:r>
      <w:r w:rsidR="00425429">
        <w:rPr>
          <w:rFonts w:asciiTheme="minorHAnsi" w:hAnsiTheme="minorHAnsi" w:cs="Segoe UI"/>
          <w:color w:val="auto"/>
          <w:sz w:val="22"/>
          <w:szCs w:val="22"/>
          <w:lang w:val="en-AU"/>
        </w:rPr>
        <w:t>choice</w:t>
      </w:r>
      <w:r w:rsidR="00173FA4">
        <w:rPr>
          <w:rFonts w:asciiTheme="minorHAnsi" w:hAnsiTheme="minorHAnsi" w:cs="Segoe UI"/>
          <w:color w:val="auto"/>
          <w:sz w:val="22"/>
          <w:szCs w:val="22"/>
          <w:lang w:val="en-AU"/>
        </w:rPr>
        <w:t xml:space="preserve"> </w:t>
      </w:r>
      <w:r w:rsidR="21E9903D" w:rsidRPr="1B22209F">
        <w:rPr>
          <w:rFonts w:asciiTheme="minorHAnsi" w:hAnsiTheme="minorHAnsi" w:cs="Segoe UI"/>
          <w:color w:val="auto"/>
          <w:sz w:val="22"/>
          <w:szCs w:val="22"/>
          <w:lang w:val="en-AU"/>
        </w:rPr>
        <w:t>and</w:t>
      </w:r>
      <w:r w:rsidR="0E2C1359" w:rsidRPr="1B22209F">
        <w:rPr>
          <w:rFonts w:asciiTheme="minorHAnsi" w:hAnsiTheme="minorHAnsi" w:cs="Segoe UI"/>
          <w:color w:val="auto"/>
          <w:sz w:val="22"/>
          <w:szCs w:val="22"/>
          <w:lang w:val="en-AU"/>
        </w:rPr>
        <w:t xml:space="preserve"> </w:t>
      </w:r>
      <w:r w:rsidRPr="00954DE4">
        <w:rPr>
          <w:rFonts w:asciiTheme="minorHAnsi" w:hAnsiTheme="minorHAnsi" w:cs="Segoe UI"/>
          <w:color w:val="auto"/>
          <w:sz w:val="22"/>
          <w:szCs w:val="22"/>
          <w:lang w:val="en-AU"/>
        </w:rPr>
        <w:t>experience comprehensively</w:t>
      </w:r>
      <w:r w:rsidR="00D705D7">
        <w:rPr>
          <w:rFonts w:asciiTheme="minorHAnsi" w:hAnsiTheme="minorHAnsi" w:cs="Segoe UI"/>
          <w:color w:val="auto"/>
          <w:sz w:val="22"/>
          <w:szCs w:val="22"/>
          <w:lang w:val="en-AU"/>
        </w:rPr>
        <w:t xml:space="preserve">. </w:t>
      </w:r>
      <w:r w:rsidRPr="00954DE4">
        <w:rPr>
          <w:rFonts w:asciiTheme="minorHAnsi" w:hAnsiTheme="minorHAnsi" w:cs="Segoe UI"/>
          <w:color w:val="auto"/>
          <w:sz w:val="22"/>
          <w:szCs w:val="22"/>
          <w:lang w:val="en-AU"/>
        </w:rPr>
        <w:t xml:space="preserve">We make this </w:t>
      </w:r>
      <w:r w:rsidR="00904441">
        <w:rPr>
          <w:rFonts w:asciiTheme="minorHAnsi" w:hAnsiTheme="minorHAnsi" w:cs="Segoe UI"/>
          <w:color w:val="auto"/>
          <w:sz w:val="22"/>
          <w:szCs w:val="22"/>
          <w:lang w:val="en-AU"/>
        </w:rPr>
        <w:t>observation</w:t>
      </w:r>
      <w:r w:rsidRPr="00954DE4">
        <w:rPr>
          <w:rFonts w:asciiTheme="minorHAnsi" w:hAnsiTheme="minorHAnsi" w:cs="Segoe UI"/>
          <w:color w:val="auto"/>
          <w:sz w:val="22"/>
          <w:szCs w:val="22"/>
          <w:lang w:val="en-AU"/>
        </w:rPr>
        <w:t xml:space="preserve"> against the backdrop of the RBA’s </w:t>
      </w:r>
      <w:r w:rsidR="00635041">
        <w:rPr>
          <w:rFonts w:asciiTheme="minorHAnsi" w:hAnsiTheme="minorHAnsi" w:cs="Segoe UI"/>
          <w:color w:val="auto"/>
          <w:sz w:val="22"/>
          <w:szCs w:val="22"/>
          <w:lang w:val="en-AU"/>
        </w:rPr>
        <w:t>mandate</w:t>
      </w:r>
      <w:r w:rsidR="00635041" w:rsidRPr="00954DE4">
        <w:rPr>
          <w:rFonts w:asciiTheme="minorHAnsi" w:hAnsiTheme="minorHAnsi" w:cs="Segoe UI"/>
          <w:color w:val="auto"/>
          <w:sz w:val="22"/>
          <w:szCs w:val="22"/>
          <w:lang w:val="en-AU"/>
        </w:rPr>
        <w:t xml:space="preserve"> </w:t>
      </w:r>
      <w:r w:rsidRPr="00954DE4">
        <w:rPr>
          <w:rFonts w:asciiTheme="minorHAnsi" w:hAnsiTheme="minorHAnsi" w:cs="Segoe UI"/>
          <w:color w:val="auto"/>
          <w:sz w:val="22"/>
          <w:szCs w:val="22"/>
          <w:lang w:val="en-AU"/>
        </w:rPr>
        <w:t>to contribute to the welfare of the Australian people</w:t>
      </w:r>
      <w:r w:rsidRPr="003659D1">
        <w:rPr>
          <w:rFonts w:asciiTheme="minorHAnsi" w:hAnsiTheme="minorHAnsi" w:cs="Segoe UI"/>
          <w:vertAlign w:val="superscript"/>
          <w:lang w:val="en-AU"/>
        </w:rPr>
        <w:footnoteReference w:id="4"/>
      </w:r>
      <w:r w:rsidRPr="003659D1">
        <w:rPr>
          <w:rFonts w:asciiTheme="minorHAnsi" w:hAnsiTheme="minorHAnsi" w:cs="Segoe UI"/>
          <w:color w:val="auto"/>
          <w:sz w:val="22"/>
          <w:szCs w:val="22"/>
          <w:vertAlign w:val="superscript"/>
          <w:lang w:val="en-AU"/>
        </w:rPr>
        <w:t xml:space="preserve"> </w:t>
      </w:r>
      <w:r w:rsidRPr="00954DE4">
        <w:rPr>
          <w:rFonts w:asciiTheme="minorHAnsi" w:hAnsiTheme="minorHAnsi" w:cs="Segoe UI"/>
          <w:color w:val="auto"/>
          <w:sz w:val="22"/>
          <w:szCs w:val="22"/>
          <w:lang w:val="en-AU"/>
        </w:rPr>
        <w:t>and the PSB’s acknowledgement that the Bank has a “continuing role to play in identifying whether the payments system is meeting the needs of end users”</w:t>
      </w:r>
      <w:r w:rsidRPr="003659D1">
        <w:rPr>
          <w:rStyle w:val="FootnoteReference"/>
          <w:color w:val="auto"/>
          <w:sz w:val="22"/>
          <w:szCs w:val="22"/>
          <w:lang w:val="en-AU"/>
        </w:rPr>
        <w:footnoteReference w:id="5"/>
      </w:r>
      <w:r w:rsidR="003659D1">
        <w:rPr>
          <w:lang w:val="en-AU"/>
        </w:rPr>
        <w:t xml:space="preserve">. </w:t>
      </w:r>
      <w:r w:rsidR="00461E1F" w:rsidRPr="00DC3C2F">
        <w:rPr>
          <w:rFonts w:asciiTheme="minorHAnsi" w:hAnsiTheme="minorHAnsi" w:cs="Segoe UI"/>
          <w:color w:val="auto"/>
          <w:sz w:val="22"/>
          <w:szCs w:val="22"/>
          <w:lang w:val="en-AU"/>
        </w:rPr>
        <w:t>It is essential tha</w:t>
      </w:r>
      <w:r w:rsidR="00DC3C2F" w:rsidRPr="00DC3C2F">
        <w:rPr>
          <w:rFonts w:asciiTheme="minorHAnsi" w:hAnsiTheme="minorHAnsi" w:cs="Segoe UI"/>
          <w:color w:val="auto"/>
          <w:sz w:val="22"/>
          <w:szCs w:val="22"/>
          <w:lang w:val="en-AU"/>
        </w:rPr>
        <w:t>t</w:t>
      </w:r>
      <w:r w:rsidR="00461E1F" w:rsidRPr="00DC3C2F">
        <w:rPr>
          <w:rFonts w:asciiTheme="minorHAnsi" w:hAnsiTheme="minorHAnsi" w:cs="Segoe UI"/>
          <w:color w:val="auto"/>
          <w:sz w:val="22"/>
          <w:szCs w:val="22"/>
          <w:lang w:val="en-AU"/>
        </w:rPr>
        <w:t xml:space="preserve"> the RBA </w:t>
      </w:r>
      <w:r w:rsidR="00461E1F">
        <w:rPr>
          <w:rFonts w:asciiTheme="minorHAnsi" w:hAnsiTheme="minorHAnsi" w:cs="Segoe UI"/>
          <w:color w:val="auto"/>
          <w:sz w:val="22"/>
          <w:szCs w:val="22"/>
          <w:lang w:val="en-AU"/>
        </w:rPr>
        <w:t>e</w:t>
      </w:r>
      <w:r w:rsidRPr="00954DE4">
        <w:rPr>
          <w:rFonts w:asciiTheme="minorHAnsi" w:hAnsiTheme="minorHAnsi" w:cs="Segoe UI"/>
          <w:color w:val="auto"/>
          <w:sz w:val="22"/>
          <w:szCs w:val="22"/>
          <w:lang w:val="en-AU"/>
        </w:rPr>
        <w:t>nsur</w:t>
      </w:r>
      <w:r w:rsidR="00461E1F">
        <w:rPr>
          <w:rFonts w:asciiTheme="minorHAnsi" w:hAnsiTheme="minorHAnsi" w:cs="Segoe UI"/>
          <w:color w:val="auto"/>
          <w:sz w:val="22"/>
          <w:szCs w:val="22"/>
          <w:lang w:val="en-AU"/>
        </w:rPr>
        <w:t>e</w:t>
      </w:r>
      <w:r w:rsidR="00DC3C2F">
        <w:rPr>
          <w:rFonts w:asciiTheme="minorHAnsi" w:hAnsiTheme="minorHAnsi" w:cs="Segoe UI"/>
          <w:color w:val="auto"/>
          <w:sz w:val="22"/>
          <w:szCs w:val="22"/>
          <w:lang w:val="en-AU"/>
        </w:rPr>
        <w:t xml:space="preserve"> </w:t>
      </w:r>
      <w:r w:rsidR="00461E1F">
        <w:rPr>
          <w:rFonts w:asciiTheme="minorHAnsi" w:hAnsiTheme="minorHAnsi" w:cs="Segoe UI"/>
          <w:color w:val="auto"/>
          <w:sz w:val="22"/>
          <w:szCs w:val="22"/>
          <w:lang w:val="en-AU"/>
        </w:rPr>
        <w:t xml:space="preserve">that </w:t>
      </w:r>
      <w:r w:rsidRPr="00954DE4">
        <w:rPr>
          <w:rFonts w:asciiTheme="minorHAnsi" w:hAnsiTheme="minorHAnsi" w:cs="Segoe UI"/>
          <w:color w:val="auto"/>
          <w:sz w:val="22"/>
          <w:szCs w:val="22"/>
          <w:lang w:val="en-AU"/>
        </w:rPr>
        <w:t xml:space="preserve">consumers have </w:t>
      </w:r>
      <w:r w:rsidR="00461E1F">
        <w:rPr>
          <w:rFonts w:asciiTheme="minorHAnsi" w:hAnsiTheme="minorHAnsi" w:cs="Segoe UI"/>
          <w:color w:val="auto"/>
          <w:sz w:val="22"/>
          <w:szCs w:val="22"/>
          <w:lang w:val="en-AU"/>
        </w:rPr>
        <w:t>a</w:t>
      </w:r>
      <w:r w:rsidR="00461E1F" w:rsidRPr="00954DE4">
        <w:rPr>
          <w:rFonts w:asciiTheme="minorHAnsi" w:hAnsiTheme="minorHAnsi" w:cs="Segoe UI"/>
          <w:color w:val="auto"/>
          <w:sz w:val="22"/>
          <w:szCs w:val="22"/>
          <w:lang w:val="en-AU"/>
        </w:rPr>
        <w:t xml:space="preserve"> </w:t>
      </w:r>
      <w:r w:rsidRPr="00954DE4">
        <w:rPr>
          <w:rFonts w:asciiTheme="minorHAnsi" w:hAnsiTheme="minorHAnsi" w:cs="Segoe UI"/>
          <w:color w:val="auto"/>
          <w:sz w:val="22"/>
          <w:szCs w:val="22"/>
          <w:lang w:val="en-AU"/>
        </w:rPr>
        <w:t xml:space="preserve">right to choose </w:t>
      </w:r>
      <w:r w:rsidR="008C3748">
        <w:rPr>
          <w:rFonts w:asciiTheme="minorHAnsi" w:hAnsiTheme="minorHAnsi" w:cs="Segoe UI"/>
          <w:color w:val="auto"/>
          <w:sz w:val="22"/>
          <w:szCs w:val="22"/>
          <w:lang w:val="en-AU"/>
        </w:rPr>
        <w:t xml:space="preserve">how </w:t>
      </w:r>
      <w:r w:rsidR="00635041">
        <w:rPr>
          <w:rFonts w:asciiTheme="minorHAnsi" w:hAnsiTheme="minorHAnsi" w:cs="Segoe UI"/>
          <w:color w:val="auto"/>
          <w:sz w:val="22"/>
          <w:szCs w:val="22"/>
          <w:lang w:val="en-AU"/>
        </w:rPr>
        <w:t>they pay</w:t>
      </w:r>
      <w:r w:rsidR="00C21176">
        <w:rPr>
          <w:rFonts w:asciiTheme="minorHAnsi" w:hAnsiTheme="minorHAnsi" w:cs="Segoe UI"/>
          <w:color w:val="auto"/>
          <w:sz w:val="22"/>
          <w:szCs w:val="22"/>
          <w:lang w:val="en-AU"/>
        </w:rPr>
        <w:t xml:space="preserve"> – including by selecting the products and services that best meet their needs </w:t>
      </w:r>
      <w:r w:rsidR="00A53E54">
        <w:rPr>
          <w:rFonts w:asciiTheme="minorHAnsi" w:hAnsiTheme="minorHAnsi" w:cs="Segoe UI"/>
          <w:color w:val="auto"/>
          <w:sz w:val="22"/>
          <w:szCs w:val="22"/>
          <w:lang w:val="en-AU"/>
        </w:rPr>
        <w:t>- and</w:t>
      </w:r>
      <w:r w:rsidR="00635041">
        <w:rPr>
          <w:rFonts w:asciiTheme="minorHAnsi" w:hAnsiTheme="minorHAnsi" w:cs="Segoe UI"/>
          <w:color w:val="auto"/>
          <w:sz w:val="22"/>
          <w:szCs w:val="22"/>
          <w:lang w:val="en-AU"/>
        </w:rPr>
        <w:t xml:space="preserve"> how</w:t>
      </w:r>
      <w:r w:rsidR="008C3748">
        <w:rPr>
          <w:rFonts w:asciiTheme="minorHAnsi" w:hAnsiTheme="minorHAnsi" w:cs="Segoe UI"/>
          <w:color w:val="auto"/>
          <w:sz w:val="22"/>
          <w:szCs w:val="22"/>
          <w:lang w:val="en-AU"/>
        </w:rPr>
        <w:t xml:space="preserve"> their </w:t>
      </w:r>
      <w:r w:rsidR="1E9E32D6" w:rsidRPr="5C87D785">
        <w:rPr>
          <w:rFonts w:asciiTheme="minorHAnsi" w:hAnsiTheme="minorHAnsi" w:cs="Segoe UI"/>
          <w:color w:val="auto"/>
          <w:sz w:val="22"/>
          <w:szCs w:val="22"/>
          <w:lang w:val="en-AU"/>
        </w:rPr>
        <w:t>payments</w:t>
      </w:r>
      <w:r w:rsidR="008C3748">
        <w:rPr>
          <w:rFonts w:asciiTheme="minorHAnsi" w:hAnsiTheme="minorHAnsi" w:cs="Segoe UI"/>
          <w:color w:val="auto"/>
          <w:sz w:val="22"/>
          <w:szCs w:val="22"/>
          <w:lang w:val="en-AU"/>
        </w:rPr>
        <w:t xml:space="preserve"> data is </w:t>
      </w:r>
      <w:r w:rsidR="00560724">
        <w:rPr>
          <w:rFonts w:asciiTheme="minorHAnsi" w:hAnsiTheme="minorHAnsi" w:cs="Segoe UI"/>
          <w:color w:val="auto"/>
          <w:sz w:val="22"/>
          <w:szCs w:val="22"/>
          <w:lang w:val="en-AU"/>
        </w:rPr>
        <w:t>handled</w:t>
      </w:r>
      <w:r w:rsidR="0815CC80" w:rsidRPr="35085478">
        <w:rPr>
          <w:rFonts w:asciiTheme="minorHAnsi" w:hAnsiTheme="minorHAnsi" w:cs="Segoe UI"/>
          <w:color w:val="auto"/>
          <w:sz w:val="22"/>
          <w:szCs w:val="22"/>
          <w:lang w:val="en-AU"/>
        </w:rPr>
        <w:t xml:space="preserve"> and </w:t>
      </w:r>
      <w:r w:rsidR="0815CC80" w:rsidRPr="5A2AC046">
        <w:rPr>
          <w:rFonts w:asciiTheme="minorHAnsi" w:hAnsiTheme="minorHAnsi" w:cs="Segoe UI"/>
          <w:color w:val="auto"/>
          <w:sz w:val="22"/>
          <w:szCs w:val="22"/>
          <w:lang w:val="en-AU"/>
        </w:rPr>
        <w:t>protected</w:t>
      </w:r>
      <w:r w:rsidR="00C21176">
        <w:rPr>
          <w:rFonts w:asciiTheme="minorHAnsi" w:hAnsiTheme="minorHAnsi" w:cs="Segoe UI"/>
          <w:color w:val="auto"/>
          <w:sz w:val="22"/>
          <w:szCs w:val="22"/>
          <w:lang w:val="en-AU"/>
        </w:rPr>
        <w:t>.</w:t>
      </w:r>
      <w:r w:rsidR="00C30FBE">
        <w:rPr>
          <w:rFonts w:asciiTheme="minorHAnsi" w:hAnsiTheme="minorHAnsi" w:cs="Segoe UI"/>
          <w:color w:val="auto"/>
          <w:sz w:val="22"/>
          <w:szCs w:val="22"/>
          <w:lang w:val="en-AU"/>
        </w:rPr>
        <w:t xml:space="preserve"> </w:t>
      </w:r>
      <w:r w:rsidR="0085666D" w:rsidRPr="0085666D">
        <w:rPr>
          <w:rFonts w:asciiTheme="minorHAnsi" w:hAnsiTheme="minorHAnsi" w:cstheme="minorHAnsi"/>
          <w:color w:val="auto"/>
          <w:sz w:val="22"/>
          <w:szCs w:val="22"/>
        </w:rPr>
        <w:t xml:space="preserve">Research commissioned by Visa and conducted by a consultancy, CLEAR, in May 2021 </w:t>
      </w:r>
      <w:proofErr w:type="spellStart"/>
      <w:r w:rsidR="0085666D" w:rsidRPr="0085666D">
        <w:rPr>
          <w:rFonts w:asciiTheme="minorHAnsi" w:hAnsiTheme="minorHAnsi" w:cstheme="minorHAnsi"/>
          <w:color w:val="auto"/>
          <w:sz w:val="22"/>
          <w:szCs w:val="22"/>
        </w:rPr>
        <w:t>emphasises</w:t>
      </w:r>
      <w:proofErr w:type="spellEnd"/>
      <w:r w:rsidR="0085666D" w:rsidRPr="0085666D">
        <w:rPr>
          <w:rFonts w:asciiTheme="minorHAnsi" w:hAnsiTheme="minorHAnsi" w:cstheme="minorHAnsi"/>
          <w:color w:val="auto"/>
          <w:sz w:val="22"/>
          <w:szCs w:val="22"/>
        </w:rPr>
        <w:t xml:space="preserve"> this point, finding that 67 per cent of consumers would be displeased if their preferred choice of payment </w:t>
      </w:r>
      <w:r w:rsidR="0085666D" w:rsidRPr="00030040">
        <w:rPr>
          <w:rFonts w:asciiTheme="minorHAnsi" w:hAnsiTheme="minorHAnsi" w:cstheme="minorHAnsi"/>
          <w:color w:val="auto"/>
          <w:sz w:val="22"/>
          <w:szCs w:val="22"/>
        </w:rPr>
        <w:lastRenderedPageBreak/>
        <w:t>network</w:t>
      </w:r>
      <w:r w:rsidR="00D056AF" w:rsidRPr="00030040">
        <w:rPr>
          <w:rFonts w:asciiTheme="minorHAnsi" w:hAnsiTheme="minorHAnsi" w:cstheme="minorHAnsi"/>
          <w:color w:val="auto"/>
          <w:sz w:val="22"/>
          <w:szCs w:val="22"/>
        </w:rPr>
        <w:t xml:space="preserve"> for online and </w:t>
      </w:r>
      <w:r w:rsidR="00726CB8" w:rsidRPr="00030040">
        <w:rPr>
          <w:rFonts w:asciiTheme="minorHAnsi" w:hAnsiTheme="minorHAnsi" w:cstheme="minorHAnsi"/>
          <w:color w:val="auto"/>
          <w:sz w:val="22"/>
          <w:szCs w:val="22"/>
        </w:rPr>
        <w:t xml:space="preserve">face-to-face </w:t>
      </w:r>
      <w:r w:rsidR="00FF7F2C" w:rsidRPr="00030040">
        <w:rPr>
          <w:rFonts w:asciiTheme="minorHAnsi" w:hAnsiTheme="minorHAnsi" w:cstheme="minorHAnsi"/>
          <w:color w:val="auto"/>
          <w:sz w:val="22"/>
          <w:szCs w:val="22"/>
        </w:rPr>
        <w:t xml:space="preserve">(f2f) </w:t>
      </w:r>
      <w:r w:rsidR="00726CB8" w:rsidRPr="00030040">
        <w:rPr>
          <w:rFonts w:asciiTheme="minorHAnsi" w:hAnsiTheme="minorHAnsi" w:cstheme="minorHAnsi"/>
          <w:color w:val="auto"/>
          <w:sz w:val="22"/>
          <w:szCs w:val="22"/>
        </w:rPr>
        <w:t>debit transactions</w:t>
      </w:r>
      <w:r w:rsidR="0085666D" w:rsidRPr="00030040">
        <w:rPr>
          <w:rFonts w:asciiTheme="minorHAnsi" w:hAnsiTheme="minorHAnsi" w:cstheme="minorHAnsi"/>
          <w:color w:val="auto"/>
          <w:sz w:val="22"/>
          <w:szCs w:val="22"/>
        </w:rPr>
        <w:t xml:space="preserve"> was overridden. Surveyed consumers also linked key bene</w:t>
      </w:r>
      <w:r w:rsidR="0085666D" w:rsidRPr="0085666D">
        <w:rPr>
          <w:rFonts w:asciiTheme="minorHAnsi" w:hAnsiTheme="minorHAnsi" w:cstheme="minorHAnsi"/>
          <w:color w:val="auto"/>
          <w:sz w:val="22"/>
          <w:szCs w:val="22"/>
        </w:rPr>
        <w:t>fits, including fraud and data protection with specific payment networks, such as Visa</w:t>
      </w:r>
      <w:r w:rsidR="00621824">
        <w:rPr>
          <w:rStyle w:val="FootnoteReference"/>
          <w:rFonts w:asciiTheme="minorHAnsi" w:hAnsiTheme="minorHAnsi" w:cstheme="minorHAnsi"/>
          <w:color w:val="auto"/>
          <w:sz w:val="22"/>
          <w:szCs w:val="22"/>
        </w:rPr>
        <w:footnoteReference w:id="6"/>
      </w:r>
      <w:r w:rsidR="0085666D" w:rsidRPr="0085666D">
        <w:rPr>
          <w:rFonts w:asciiTheme="minorHAnsi" w:hAnsiTheme="minorHAnsi" w:cstheme="minorHAnsi"/>
          <w:color w:val="auto"/>
          <w:sz w:val="22"/>
          <w:szCs w:val="22"/>
        </w:rPr>
        <w:t>.</w:t>
      </w:r>
    </w:p>
    <w:p w14:paraId="3CF5B515" w14:textId="77777777" w:rsidR="0085666D" w:rsidRDefault="0085666D" w:rsidP="00331D60">
      <w:pPr>
        <w:pStyle w:val="Default"/>
        <w:jc w:val="both"/>
        <w:rPr>
          <w:rFonts w:asciiTheme="minorHAnsi" w:hAnsiTheme="minorHAnsi" w:cs="Segoe UI"/>
          <w:color w:val="auto"/>
          <w:sz w:val="22"/>
          <w:szCs w:val="22"/>
          <w:lang w:val="en-AU"/>
        </w:rPr>
      </w:pPr>
    </w:p>
    <w:p w14:paraId="086D1774" w14:textId="5FEFD255" w:rsidR="00331D60" w:rsidRDefault="00C21176" w:rsidP="00331D60">
      <w:pPr>
        <w:pStyle w:val="Default"/>
        <w:jc w:val="both"/>
        <w:rPr>
          <w:rFonts w:asciiTheme="minorHAnsi" w:hAnsiTheme="minorHAnsi" w:cs="Segoe UI"/>
          <w:color w:val="auto"/>
          <w:sz w:val="22"/>
          <w:szCs w:val="22"/>
          <w:lang w:val="en-AU"/>
        </w:rPr>
      </w:pPr>
      <w:r>
        <w:rPr>
          <w:rFonts w:asciiTheme="minorHAnsi" w:hAnsiTheme="minorHAnsi" w:cs="Segoe UI"/>
          <w:color w:val="auto"/>
          <w:sz w:val="22"/>
          <w:szCs w:val="22"/>
          <w:lang w:val="en-AU"/>
        </w:rPr>
        <w:t xml:space="preserve">Consumer choice </w:t>
      </w:r>
      <w:r w:rsidR="00A53E54">
        <w:rPr>
          <w:rFonts w:asciiTheme="minorHAnsi" w:hAnsiTheme="minorHAnsi" w:cs="Segoe UI"/>
          <w:color w:val="auto"/>
          <w:sz w:val="22"/>
          <w:szCs w:val="22"/>
          <w:lang w:val="en-AU"/>
        </w:rPr>
        <w:t>is</w:t>
      </w:r>
      <w:r w:rsidR="00282490">
        <w:rPr>
          <w:rFonts w:asciiTheme="minorHAnsi" w:hAnsiTheme="minorHAnsi" w:cs="Segoe UI"/>
          <w:color w:val="auto"/>
          <w:sz w:val="22"/>
          <w:szCs w:val="22"/>
          <w:lang w:val="en-AU"/>
        </w:rPr>
        <w:t xml:space="preserve"> </w:t>
      </w:r>
      <w:r w:rsidR="00585080">
        <w:rPr>
          <w:rFonts w:asciiTheme="minorHAnsi" w:hAnsiTheme="minorHAnsi" w:cs="Segoe UI"/>
          <w:color w:val="auto"/>
          <w:sz w:val="22"/>
          <w:szCs w:val="22"/>
          <w:lang w:val="en-AU"/>
        </w:rPr>
        <w:t>a key guiding principle in the design of the CDR</w:t>
      </w:r>
      <w:r w:rsidR="00E57FA2">
        <w:rPr>
          <w:rFonts w:asciiTheme="minorHAnsi" w:hAnsiTheme="minorHAnsi" w:cs="Segoe UI"/>
          <w:color w:val="auto"/>
          <w:sz w:val="22"/>
          <w:szCs w:val="22"/>
          <w:lang w:val="en-AU"/>
        </w:rPr>
        <w:t xml:space="preserve"> that “</w:t>
      </w:r>
      <w:r w:rsidR="4B6C9891" w:rsidRPr="7D57E45A">
        <w:rPr>
          <w:rFonts w:asciiTheme="minorHAnsi" w:hAnsiTheme="minorHAnsi" w:cs="Segoe UI"/>
          <w:color w:val="auto"/>
          <w:sz w:val="22"/>
          <w:szCs w:val="22"/>
          <w:lang w:val="en-AU"/>
        </w:rPr>
        <w:t>will give consumers greater access</w:t>
      </w:r>
      <w:r w:rsidR="00E57FA2" w:rsidRPr="002A7A5A">
        <w:rPr>
          <w:rFonts w:asciiTheme="minorHAnsi" w:hAnsiTheme="minorHAnsi" w:cs="Segoe UI"/>
          <w:color w:val="auto"/>
          <w:sz w:val="22"/>
          <w:szCs w:val="22"/>
          <w:lang w:val="en-AU"/>
        </w:rPr>
        <w:t xml:space="preserve"> to </w:t>
      </w:r>
      <w:r w:rsidR="4B6C9891" w:rsidRPr="7D57E45A">
        <w:rPr>
          <w:rFonts w:asciiTheme="minorHAnsi" w:hAnsiTheme="minorHAnsi" w:cs="Segoe UI"/>
          <w:color w:val="auto"/>
          <w:sz w:val="22"/>
          <w:szCs w:val="22"/>
          <w:lang w:val="en-AU"/>
        </w:rPr>
        <w:t>and control over their</w:t>
      </w:r>
      <w:r w:rsidR="00A839B2">
        <w:rPr>
          <w:rFonts w:asciiTheme="minorHAnsi" w:hAnsiTheme="minorHAnsi" w:cs="Segoe UI"/>
          <w:color w:val="auto"/>
          <w:sz w:val="22"/>
          <w:szCs w:val="22"/>
          <w:lang w:val="en-AU"/>
        </w:rPr>
        <w:t xml:space="preserve"> </w:t>
      </w:r>
      <w:r w:rsidR="00E57FA2" w:rsidRPr="002A7A5A">
        <w:rPr>
          <w:rFonts w:asciiTheme="minorHAnsi" w:hAnsiTheme="minorHAnsi" w:cs="Segoe UI"/>
          <w:color w:val="auto"/>
          <w:sz w:val="22"/>
          <w:szCs w:val="22"/>
          <w:lang w:val="en-AU"/>
        </w:rPr>
        <w:t xml:space="preserve">data and </w:t>
      </w:r>
      <w:r w:rsidR="4B6C9891" w:rsidRPr="7D57E45A">
        <w:rPr>
          <w:rFonts w:asciiTheme="minorHAnsi" w:hAnsiTheme="minorHAnsi" w:cs="Segoe UI"/>
          <w:color w:val="auto"/>
          <w:sz w:val="22"/>
          <w:szCs w:val="22"/>
          <w:lang w:val="en-AU"/>
        </w:rPr>
        <w:t>will improve consumers’ ability to compare and switch between products and services. It will encourage competition between service providers, leading not only to better prices for customers but also more innovative products and services”</w:t>
      </w:r>
      <w:r w:rsidR="0032173E" w:rsidRPr="7D57E45A">
        <w:rPr>
          <w:rStyle w:val="FootnoteReference"/>
          <w:rFonts w:asciiTheme="minorHAnsi" w:hAnsiTheme="minorHAnsi" w:cs="Segoe UI"/>
          <w:color w:val="auto"/>
          <w:sz w:val="22"/>
          <w:szCs w:val="22"/>
          <w:lang w:val="en-AU"/>
        </w:rPr>
        <w:footnoteReference w:id="7"/>
      </w:r>
      <w:r w:rsidR="005E3929">
        <w:rPr>
          <w:rFonts w:asciiTheme="minorHAnsi" w:hAnsiTheme="minorHAnsi" w:cs="Segoe UI"/>
          <w:color w:val="auto"/>
          <w:sz w:val="22"/>
          <w:szCs w:val="22"/>
          <w:lang w:val="en-AU"/>
        </w:rPr>
        <w:t>.</w:t>
      </w:r>
      <w:r w:rsidR="00331D60" w:rsidRPr="00954DE4">
        <w:rPr>
          <w:rFonts w:asciiTheme="minorHAnsi" w:hAnsiTheme="minorHAnsi" w:cs="Segoe UI"/>
          <w:color w:val="auto"/>
          <w:sz w:val="22"/>
          <w:szCs w:val="22"/>
          <w:lang w:val="en-AU"/>
        </w:rPr>
        <w:t xml:space="preserve"> </w:t>
      </w:r>
      <w:r w:rsidR="00331D60" w:rsidRPr="0F4AD59A">
        <w:rPr>
          <w:rFonts w:asciiTheme="minorHAnsi" w:hAnsiTheme="minorHAnsi" w:cs="Segoe UI"/>
          <w:color w:val="auto"/>
          <w:sz w:val="22"/>
          <w:szCs w:val="22"/>
          <w:lang w:val="en-AU"/>
        </w:rPr>
        <w:t>This</w:t>
      </w:r>
      <w:r w:rsidR="00331D60" w:rsidRPr="00954DE4">
        <w:rPr>
          <w:rFonts w:asciiTheme="minorHAnsi" w:hAnsiTheme="minorHAnsi" w:cs="Segoe UI"/>
          <w:color w:val="auto"/>
          <w:sz w:val="22"/>
          <w:szCs w:val="22"/>
          <w:lang w:val="en-AU"/>
        </w:rPr>
        <w:t xml:space="preserve"> is</w:t>
      </w:r>
      <w:r w:rsidR="00BF18C8">
        <w:rPr>
          <w:rFonts w:asciiTheme="minorHAnsi" w:hAnsiTheme="minorHAnsi" w:cs="Segoe UI"/>
          <w:color w:val="auto"/>
          <w:sz w:val="22"/>
          <w:szCs w:val="22"/>
          <w:lang w:val="en-AU"/>
        </w:rPr>
        <w:t xml:space="preserve"> </w:t>
      </w:r>
      <w:r w:rsidR="00331D60" w:rsidRPr="00954DE4">
        <w:rPr>
          <w:rFonts w:asciiTheme="minorHAnsi" w:hAnsiTheme="minorHAnsi" w:cs="Segoe UI"/>
          <w:color w:val="auto"/>
          <w:sz w:val="22"/>
          <w:szCs w:val="22"/>
          <w:lang w:val="en-AU"/>
        </w:rPr>
        <w:t xml:space="preserve">especially important to </w:t>
      </w:r>
      <w:proofErr w:type="gramStart"/>
      <w:r w:rsidR="003E493C">
        <w:rPr>
          <w:rFonts w:asciiTheme="minorHAnsi" w:hAnsiTheme="minorHAnsi" w:cs="Segoe UI"/>
          <w:color w:val="auto"/>
          <w:sz w:val="22"/>
          <w:szCs w:val="22"/>
          <w:lang w:val="en-AU"/>
        </w:rPr>
        <w:t>take into account</w:t>
      </w:r>
      <w:proofErr w:type="gramEnd"/>
      <w:r w:rsidR="00331D60" w:rsidRPr="00954DE4">
        <w:rPr>
          <w:rFonts w:asciiTheme="minorHAnsi" w:hAnsiTheme="minorHAnsi" w:cs="Segoe UI"/>
          <w:color w:val="auto"/>
          <w:sz w:val="22"/>
          <w:szCs w:val="22"/>
          <w:lang w:val="en-AU"/>
        </w:rPr>
        <w:t xml:space="preserve"> when </w:t>
      </w:r>
      <w:r>
        <w:rPr>
          <w:rFonts w:asciiTheme="minorHAnsi" w:hAnsiTheme="minorHAnsi" w:cs="Segoe UI"/>
          <w:color w:val="auto"/>
          <w:sz w:val="22"/>
          <w:szCs w:val="22"/>
          <w:lang w:val="en-AU"/>
        </w:rPr>
        <w:t>considering</w:t>
      </w:r>
      <w:r w:rsidRPr="00954DE4">
        <w:rPr>
          <w:rFonts w:asciiTheme="minorHAnsi" w:hAnsiTheme="minorHAnsi" w:cs="Segoe UI"/>
          <w:color w:val="auto"/>
          <w:sz w:val="22"/>
          <w:szCs w:val="22"/>
          <w:lang w:val="en-AU"/>
        </w:rPr>
        <w:t xml:space="preserve"> </w:t>
      </w:r>
      <w:r w:rsidR="00331D60" w:rsidRPr="00954DE4">
        <w:rPr>
          <w:rFonts w:asciiTheme="minorHAnsi" w:hAnsiTheme="minorHAnsi" w:cs="Segoe UI"/>
          <w:color w:val="auto"/>
          <w:sz w:val="22"/>
          <w:szCs w:val="22"/>
          <w:lang w:val="en-AU"/>
        </w:rPr>
        <w:t>policies</w:t>
      </w:r>
      <w:r w:rsidR="00ED2362">
        <w:rPr>
          <w:rFonts w:asciiTheme="minorHAnsi" w:hAnsiTheme="minorHAnsi" w:cs="Segoe UI"/>
          <w:color w:val="auto"/>
          <w:sz w:val="22"/>
          <w:szCs w:val="22"/>
          <w:lang w:val="en-AU"/>
        </w:rPr>
        <w:t xml:space="preserve">, </w:t>
      </w:r>
      <w:r>
        <w:rPr>
          <w:rFonts w:asciiTheme="minorHAnsi" w:hAnsiTheme="minorHAnsi" w:cs="Segoe UI"/>
          <w:color w:val="auto"/>
          <w:sz w:val="22"/>
          <w:szCs w:val="22"/>
          <w:lang w:val="en-AU"/>
        </w:rPr>
        <w:t xml:space="preserve">including </w:t>
      </w:r>
      <w:r w:rsidR="003E20E5">
        <w:rPr>
          <w:rFonts w:asciiTheme="minorHAnsi" w:hAnsiTheme="minorHAnsi" w:cs="Segoe UI"/>
          <w:color w:val="auto"/>
          <w:sz w:val="22"/>
          <w:szCs w:val="22"/>
          <w:lang w:val="en-AU"/>
        </w:rPr>
        <w:t>M</w:t>
      </w:r>
      <w:r w:rsidR="00331D60" w:rsidRPr="00954DE4">
        <w:rPr>
          <w:rFonts w:asciiTheme="minorHAnsi" w:hAnsiTheme="minorHAnsi" w:cs="Segoe UI"/>
          <w:color w:val="auto"/>
          <w:sz w:val="22"/>
          <w:szCs w:val="22"/>
          <w:lang w:val="en-AU"/>
        </w:rPr>
        <w:t xml:space="preserve">erchant </w:t>
      </w:r>
      <w:r w:rsidR="003E20E5">
        <w:rPr>
          <w:rFonts w:asciiTheme="minorHAnsi" w:hAnsiTheme="minorHAnsi" w:cs="Segoe UI"/>
          <w:color w:val="auto"/>
          <w:sz w:val="22"/>
          <w:szCs w:val="22"/>
          <w:lang w:val="en-AU"/>
        </w:rPr>
        <w:t>C</w:t>
      </w:r>
      <w:r w:rsidR="00331D60" w:rsidRPr="00954DE4">
        <w:rPr>
          <w:rFonts w:asciiTheme="minorHAnsi" w:hAnsiTheme="minorHAnsi" w:cs="Segoe UI"/>
          <w:color w:val="auto"/>
          <w:sz w:val="22"/>
          <w:szCs w:val="22"/>
          <w:lang w:val="en-AU"/>
        </w:rPr>
        <w:t xml:space="preserve">hoice </w:t>
      </w:r>
      <w:r w:rsidR="003E20E5">
        <w:rPr>
          <w:rFonts w:asciiTheme="minorHAnsi" w:hAnsiTheme="minorHAnsi" w:cs="Segoe UI"/>
          <w:color w:val="auto"/>
          <w:sz w:val="22"/>
          <w:szCs w:val="22"/>
          <w:lang w:val="en-AU"/>
        </w:rPr>
        <w:t>R</w:t>
      </w:r>
      <w:r w:rsidR="00331D60" w:rsidRPr="00954DE4">
        <w:rPr>
          <w:rFonts w:asciiTheme="minorHAnsi" w:hAnsiTheme="minorHAnsi" w:cs="Segoe UI"/>
          <w:color w:val="auto"/>
          <w:sz w:val="22"/>
          <w:szCs w:val="22"/>
          <w:lang w:val="en-AU"/>
        </w:rPr>
        <w:t>outing (MCR)</w:t>
      </w:r>
      <w:r w:rsidR="00A2358F">
        <w:rPr>
          <w:rStyle w:val="FootnoteReference"/>
          <w:rFonts w:asciiTheme="minorHAnsi" w:hAnsiTheme="minorHAnsi" w:cs="Segoe UI"/>
          <w:color w:val="auto"/>
          <w:sz w:val="22"/>
          <w:szCs w:val="22"/>
          <w:lang w:val="en-AU"/>
        </w:rPr>
        <w:footnoteReference w:id="8"/>
      </w:r>
      <w:r w:rsidR="00097D98">
        <w:rPr>
          <w:rFonts w:asciiTheme="minorHAnsi" w:hAnsiTheme="minorHAnsi" w:cs="Segoe UI"/>
          <w:color w:val="auto"/>
          <w:sz w:val="22"/>
          <w:szCs w:val="22"/>
          <w:lang w:val="en-AU"/>
        </w:rPr>
        <w:t xml:space="preserve"> </w:t>
      </w:r>
      <w:r w:rsidR="004C1C0C">
        <w:rPr>
          <w:rFonts w:asciiTheme="minorHAnsi" w:hAnsiTheme="minorHAnsi" w:cs="Segoe UI"/>
          <w:color w:val="auto"/>
          <w:sz w:val="22"/>
          <w:szCs w:val="22"/>
          <w:lang w:val="en-AU"/>
        </w:rPr>
        <w:t xml:space="preserve">both </w:t>
      </w:r>
      <w:r w:rsidR="00FF7F2C">
        <w:rPr>
          <w:rFonts w:asciiTheme="minorHAnsi" w:hAnsiTheme="minorHAnsi" w:cs="Segoe UI"/>
          <w:color w:val="auto"/>
          <w:sz w:val="22"/>
          <w:szCs w:val="22"/>
          <w:lang w:val="en-AU"/>
        </w:rPr>
        <w:t>f2f</w:t>
      </w:r>
      <w:r w:rsidR="000A2BC6">
        <w:rPr>
          <w:rFonts w:asciiTheme="minorHAnsi" w:hAnsiTheme="minorHAnsi" w:cs="Segoe UI"/>
          <w:color w:val="auto"/>
          <w:sz w:val="22"/>
          <w:szCs w:val="22"/>
          <w:lang w:val="en-AU"/>
        </w:rPr>
        <w:t xml:space="preserve"> </w:t>
      </w:r>
      <w:r w:rsidR="004C1C0C">
        <w:rPr>
          <w:rFonts w:asciiTheme="minorHAnsi" w:hAnsiTheme="minorHAnsi" w:cs="Segoe UI"/>
          <w:color w:val="auto"/>
          <w:sz w:val="22"/>
          <w:szCs w:val="22"/>
          <w:lang w:val="en-AU"/>
        </w:rPr>
        <w:t>and in the online environment</w:t>
      </w:r>
      <w:r w:rsidR="000745EA">
        <w:rPr>
          <w:rFonts w:asciiTheme="minorHAnsi" w:hAnsiTheme="minorHAnsi" w:cs="Segoe UI"/>
          <w:color w:val="auto"/>
          <w:sz w:val="22"/>
          <w:szCs w:val="22"/>
          <w:lang w:val="en-AU"/>
        </w:rPr>
        <w:t xml:space="preserve"> and </w:t>
      </w:r>
      <w:r w:rsidR="00331D60" w:rsidRPr="00954DE4">
        <w:rPr>
          <w:rFonts w:asciiTheme="minorHAnsi" w:hAnsiTheme="minorHAnsi" w:cs="Segoe UI"/>
          <w:color w:val="auto"/>
          <w:sz w:val="22"/>
          <w:szCs w:val="22"/>
          <w:lang w:val="en-AU"/>
        </w:rPr>
        <w:t xml:space="preserve">interchange </w:t>
      </w:r>
      <w:r w:rsidR="003215A1">
        <w:rPr>
          <w:rFonts w:asciiTheme="minorHAnsi" w:hAnsiTheme="minorHAnsi" w:cs="Segoe UI"/>
          <w:color w:val="auto"/>
          <w:sz w:val="22"/>
          <w:szCs w:val="22"/>
          <w:lang w:val="en-AU"/>
        </w:rPr>
        <w:t>compression</w:t>
      </w:r>
      <w:r w:rsidR="00331D60" w:rsidRPr="00954DE4">
        <w:rPr>
          <w:rFonts w:asciiTheme="minorHAnsi" w:hAnsiTheme="minorHAnsi" w:cs="Segoe UI"/>
          <w:color w:val="auto"/>
          <w:sz w:val="22"/>
          <w:szCs w:val="22"/>
          <w:lang w:val="en-AU"/>
        </w:rPr>
        <w:t xml:space="preserve"> - as consumer</w:t>
      </w:r>
      <w:r>
        <w:rPr>
          <w:rFonts w:asciiTheme="minorHAnsi" w:hAnsiTheme="minorHAnsi" w:cs="Segoe UI"/>
          <w:color w:val="auto"/>
          <w:sz w:val="22"/>
          <w:szCs w:val="22"/>
          <w:lang w:val="en-AU"/>
        </w:rPr>
        <w:t>s</w:t>
      </w:r>
      <w:r w:rsidR="00331D60" w:rsidRPr="00954DE4">
        <w:rPr>
          <w:rFonts w:asciiTheme="minorHAnsi" w:hAnsiTheme="minorHAnsi" w:cs="Segoe UI"/>
          <w:color w:val="auto"/>
          <w:sz w:val="22"/>
          <w:szCs w:val="22"/>
          <w:lang w:val="en-AU"/>
        </w:rPr>
        <w:t xml:space="preserve"> might be disadvantaged. </w:t>
      </w:r>
    </w:p>
    <w:p w14:paraId="05623FDA" w14:textId="77777777" w:rsidR="00331D60" w:rsidRPr="00954DE4" w:rsidRDefault="00331D60">
      <w:pPr>
        <w:rPr>
          <w:rFonts w:cs="Segoe UI"/>
          <w:color w:val="262626" w:themeColor="text1" w:themeTint="D9"/>
        </w:rPr>
      </w:pPr>
    </w:p>
    <w:p w14:paraId="3B7C99CE" w14:textId="77777777" w:rsidR="00211B84" w:rsidRPr="001A3E60" w:rsidRDefault="00211B84" w:rsidP="004A32C5">
      <w:pPr>
        <w:pStyle w:val="ListParagraph"/>
        <w:numPr>
          <w:ilvl w:val="0"/>
          <w:numId w:val="4"/>
        </w:numPr>
        <w:rPr>
          <w:rStyle w:val="IntenseEmphasis"/>
          <w:rFonts w:asciiTheme="minorHAnsi" w:eastAsiaTheme="minorEastAsia" w:hAnsiTheme="minorHAnsi" w:cstheme="minorHAnsi"/>
          <w:b/>
          <w:i w:val="0"/>
          <w:color w:val="002060"/>
          <w:sz w:val="26"/>
          <w:szCs w:val="26"/>
        </w:rPr>
      </w:pPr>
      <w:r w:rsidRPr="001A3E60">
        <w:rPr>
          <w:rStyle w:val="IntenseEmphasis"/>
          <w:rFonts w:asciiTheme="minorHAnsi" w:eastAsiaTheme="minorEastAsia" w:hAnsiTheme="minorHAnsi" w:cstheme="minorHAnsi"/>
          <w:b/>
          <w:i w:val="0"/>
          <w:color w:val="002060"/>
          <w:sz w:val="26"/>
          <w:szCs w:val="26"/>
        </w:rPr>
        <w:t>Balanced Economics</w:t>
      </w:r>
    </w:p>
    <w:p w14:paraId="2E8AB936" w14:textId="020A4A15" w:rsidR="006D7F51" w:rsidRPr="00954DE4" w:rsidRDefault="006D7F51">
      <w:pPr>
        <w:rPr>
          <w:rFonts w:cs="Segoe UI"/>
          <w:color w:val="262626" w:themeColor="text1" w:themeTint="D9"/>
        </w:rPr>
      </w:pPr>
    </w:p>
    <w:p w14:paraId="224396D7" w14:textId="4622FA14" w:rsidR="006D7F51" w:rsidRPr="00954DE4" w:rsidRDefault="006D7F51" w:rsidP="006D7F51">
      <w:pPr>
        <w:jc w:val="both"/>
        <w:rPr>
          <w:rFonts w:cs="Segoe UI"/>
        </w:rPr>
      </w:pPr>
      <w:r w:rsidRPr="00954DE4">
        <w:rPr>
          <w:rFonts w:cs="Segoe UI"/>
        </w:rPr>
        <w:t xml:space="preserve">The </w:t>
      </w:r>
      <w:r w:rsidR="005A3B67">
        <w:rPr>
          <w:rFonts w:cs="Segoe UI"/>
        </w:rPr>
        <w:t>payments system is a two-sided market</w:t>
      </w:r>
      <w:r w:rsidR="000E4D40">
        <w:rPr>
          <w:rFonts w:cs="Segoe UI"/>
        </w:rPr>
        <w:t xml:space="preserve"> </w:t>
      </w:r>
      <w:r w:rsidR="008D5DE3">
        <w:rPr>
          <w:rFonts w:cs="Segoe UI"/>
        </w:rPr>
        <w:t xml:space="preserve">in which various participants </w:t>
      </w:r>
      <w:r w:rsidR="000E16E4">
        <w:rPr>
          <w:rFonts w:cs="Segoe UI"/>
        </w:rPr>
        <w:t>part</w:t>
      </w:r>
      <w:r w:rsidR="00394315">
        <w:rPr>
          <w:rFonts w:cs="Segoe UI"/>
        </w:rPr>
        <w:t>ner</w:t>
      </w:r>
      <w:r w:rsidR="00471417">
        <w:rPr>
          <w:rFonts w:cs="Segoe UI"/>
        </w:rPr>
        <w:t xml:space="preserve"> to provide </w:t>
      </w:r>
      <w:r w:rsidR="008D0A87">
        <w:rPr>
          <w:rFonts w:cs="Segoe UI"/>
        </w:rPr>
        <w:t>optimal solutions for</w:t>
      </w:r>
      <w:r w:rsidR="00BF208A">
        <w:rPr>
          <w:rFonts w:cs="Segoe UI"/>
        </w:rPr>
        <w:t xml:space="preserve"> </w:t>
      </w:r>
      <w:r w:rsidR="000E4D40">
        <w:rPr>
          <w:rFonts w:cs="Segoe UI"/>
        </w:rPr>
        <w:t>buyers and sellers</w:t>
      </w:r>
      <w:r w:rsidR="00877066">
        <w:rPr>
          <w:rFonts w:cs="Segoe UI"/>
        </w:rPr>
        <w:t xml:space="preserve"> to </w:t>
      </w:r>
      <w:r w:rsidR="001B3009">
        <w:rPr>
          <w:rFonts w:cs="Segoe UI"/>
        </w:rPr>
        <w:t xml:space="preserve">conduct </w:t>
      </w:r>
      <w:r w:rsidR="008B3F44">
        <w:rPr>
          <w:rFonts w:cs="Segoe UI"/>
        </w:rPr>
        <w:t>an enormous volume and variety of</w:t>
      </w:r>
      <w:r w:rsidR="00877066">
        <w:rPr>
          <w:rFonts w:cs="Segoe UI"/>
        </w:rPr>
        <w:t xml:space="preserve"> transactions</w:t>
      </w:r>
      <w:r w:rsidR="00BF208A">
        <w:rPr>
          <w:rFonts w:cs="Segoe UI"/>
        </w:rPr>
        <w:t>.</w:t>
      </w:r>
      <w:r w:rsidR="007D088C">
        <w:rPr>
          <w:rFonts w:cs="Segoe UI"/>
        </w:rPr>
        <w:t xml:space="preserve"> </w:t>
      </w:r>
      <w:proofErr w:type="gramStart"/>
      <w:r w:rsidR="00C9593D">
        <w:rPr>
          <w:rFonts w:cs="Segoe UI"/>
        </w:rPr>
        <w:t>In order to</w:t>
      </w:r>
      <w:proofErr w:type="gramEnd"/>
      <w:r w:rsidR="00C9593D">
        <w:rPr>
          <w:rFonts w:cs="Segoe UI"/>
        </w:rPr>
        <w:t xml:space="preserve"> thrive and grow, i</w:t>
      </w:r>
      <w:r w:rsidRPr="00954DE4">
        <w:rPr>
          <w:rFonts w:cs="Segoe UI"/>
        </w:rPr>
        <w:t>t must maintain equilibrium</w:t>
      </w:r>
      <w:r w:rsidR="00C9593D">
        <w:rPr>
          <w:rFonts w:cs="Segoe UI"/>
        </w:rPr>
        <w:t xml:space="preserve"> between the two sides</w:t>
      </w:r>
      <w:r w:rsidRPr="00954DE4">
        <w:rPr>
          <w:rFonts w:cs="Segoe UI"/>
        </w:rPr>
        <w:t xml:space="preserve">. </w:t>
      </w:r>
      <w:r w:rsidR="00C9593D">
        <w:rPr>
          <w:rFonts w:cs="Segoe UI"/>
        </w:rPr>
        <w:t>Therefore, i</w:t>
      </w:r>
      <w:r w:rsidRPr="00954DE4">
        <w:rPr>
          <w:rFonts w:cs="Segoe UI"/>
        </w:rPr>
        <w:t xml:space="preserve">t is essential that regulators and industry ensure a balance across stakeholders and that policies do not disproportionately advantage one </w:t>
      </w:r>
      <w:r w:rsidR="004168AD">
        <w:rPr>
          <w:rFonts w:cs="Segoe UI"/>
        </w:rPr>
        <w:t>side of the market</w:t>
      </w:r>
      <w:r w:rsidR="004168AD" w:rsidRPr="00954DE4">
        <w:rPr>
          <w:rFonts w:cs="Segoe UI"/>
        </w:rPr>
        <w:t xml:space="preserve"> </w:t>
      </w:r>
      <w:r w:rsidRPr="00954DE4">
        <w:rPr>
          <w:rFonts w:cs="Segoe UI"/>
        </w:rPr>
        <w:t xml:space="preserve">over the other. To date, the RBA has </w:t>
      </w:r>
      <w:r w:rsidR="003502A5">
        <w:rPr>
          <w:rFonts w:cs="Segoe UI"/>
        </w:rPr>
        <w:t>introduced</w:t>
      </w:r>
      <w:r w:rsidRPr="00954DE4">
        <w:rPr>
          <w:rFonts w:cs="Segoe UI"/>
        </w:rPr>
        <w:t xml:space="preserve"> </w:t>
      </w:r>
      <w:proofErr w:type="gramStart"/>
      <w:r w:rsidRPr="00954DE4">
        <w:rPr>
          <w:rFonts w:cs="Segoe UI"/>
        </w:rPr>
        <w:t>a number of</w:t>
      </w:r>
      <w:proofErr w:type="gramEnd"/>
      <w:r w:rsidRPr="00954DE4">
        <w:rPr>
          <w:rFonts w:cs="Segoe UI"/>
        </w:rPr>
        <w:t xml:space="preserve"> measures to </w:t>
      </w:r>
      <w:r w:rsidR="4399D930" w:rsidRPr="0F4AD59A">
        <w:rPr>
          <w:rFonts w:cs="Segoe UI"/>
        </w:rPr>
        <w:t xml:space="preserve">compress </w:t>
      </w:r>
      <w:r w:rsidRPr="00954DE4">
        <w:rPr>
          <w:rFonts w:cs="Segoe UI"/>
        </w:rPr>
        <w:t xml:space="preserve">the economics of financial institutions and </w:t>
      </w:r>
      <w:r w:rsidR="00B602AC">
        <w:rPr>
          <w:rFonts w:cs="Segoe UI"/>
        </w:rPr>
        <w:t>f</w:t>
      </w:r>
      <w:r w:rsidRPr="00954DE4">
        <w:rPr>
          <w:rFonts w:cs="Segoe UI"/>
        </w:rPr>
        <w:t>in</w:t>
      </w:r>
      <w:r w:rsidR="00B602AC">
        <w:rPr>
          <w:rFonts w:cs="Segoe UI"/>
        </w:rPr>
        <w:t>t</w:t>
      </w:r>
      <w:r w:rsidRPr="00954DE4">
        <w:rPr>
          <w:rFonts w:cs="Segoe UI"/>
        </w:rPr>
        <w:t xml:space="preserve">echs, </w:t>
      </w:r>
      <w:r w:rsidR="004168AD">
        <w:rPr>
          <w:rFonts w:cs="Segoe UI"/>
        </w:rPr>
        <w:t>including by</w:t>
      </w:r>
      <w:r w:rsidRPr="00954DE4">
        <w:rPr>
          <w:rFonts w:cs="Segoe UI"/>
        </w:rPr>
        <w:t xml:space="preserve"> maintain</w:t>
      </w:r>
      <w:r w:rsidR="004168AD">
        <w:rPr>
          <w:rFonts w:cs="Segoe UI"/>
        </w:rPr>
        <w:t>ing</w:t>
      </w:r>
      <w:r w:rsidRPr="00954DE4">
        <w:rPr>
          <w:rFonts w:cs="Segoe UI"/>
        </w:rPr>
        <w:t xml:space="preserve"> a very low interchange rate cap</w:t>
      </w:r>
      <w:r w:rsidR="004168AD">
        <w:rPr>
          <w:rFonts w:cs="Segoe UI"/>
        </w:rPr>
        <w:t xml:space="preserve"> for domestic transactions</w:t>
      </w:r>
      <w:r w:rsidRPr="00954DE4">
        <w:rPr>
          <w:rFonts w:cs="Segoe UI"/>
        </w:rPr>
        <w:t>. Since the regulatory changes enacted following the RBA’s 2015-2016 Card Payments Regulation</w:t>
      </w:r>
      <w:r w:rsidR="004B2C38">
        <w:rPr>
          <w:rFonts w:cs="Segoe UI"/>
        </w:rPr>
        <w:t xml:space="preserve"> </w:t>
      </w:r>
      <w:r w:rsidR="009C397E" w:rsidRPr="00954DE4">
        <w:rPr>
          <w:rFonts w:cs="Segoe UI"/>
        </w:rPr>
        <w:t xml:space="preserve">Review (2015-2016 Review), the payments industry has </w:t>
      </w:r>
      <w:r w:rsidR="22EC4BC9" w:rsidRPr="0F4AD59A">
        <w:rPr>
          <w:rFonts w:cs="Segoe UI"/>
        </w:rPr>
        <w:t xml:space="preserve">nonetheless </w:t>
      </w:r>
      <w:r w:rsidR="009C397E" w:rsidRPr="00954DE4">
        <w:rPr>
          <w:rFonts w:cs="Segoe UI"/>
        </w:rPr>
        <w:t>continued to invest in security and innovation. However,</w:t>
      </w:r>
      <w:r w:rsidR="009E4148">
        <w:rPr>
          <w:rFonts w:cs="Segoe UI"/>
        </w:rPr>
        <w:t xml:space="preserve"> we are concerned that if the </w:t>
      </w:r>
      <w:r w:rsidR="009C397E">
        <w:rPr>
          <w:rFonts w:cs="Segoe UI"/>
        </w:rPr>
        <w:t>RBA</w:t>
      </w:r>
      <w:r w:rsidR="009E4148">
        <w:rPr>
          <w:rFonts w:cs="Segoe UI"/>
        </w:rPr>
        <w:t xml:space="preserve"> proceeds to implement certain </w:t>
      </w:r>
      <w:r w:rsidR="00491992">
        <w:rPr>
          <w:rFonts w:cs="Segoe UI"/>
        </w:rPr>
        <w:t>p</w:t>
      </w:r>
      <w:r w:rsidR="009C397E">
        <w:rPr>
          <w:rFonts w:cs="Segoe UI"/>
        </w:rPr>
        <w:t xml:space="preserve">reliminary conclusions </w:t>
      </w:r>
      <w:r w:rsidR="00E81104">
        <w:rPr>
          <w:rFonts w:cs="Segoe UI"/>
        </w:rPr>
        <w:t>i</w:t>
      </w:r>
      <w:r w:rsidR="005B39FE">
        <w:rPr>
          <w:rFonts w:cs="Segoe UI"/>
        </w:rPr>
        <w:t xml:space="preserve">n </w:t>
      </w:r>
      <w:r w:rsidR="00491992">
        <w:rPr>
          <w:rFonts w:cs="Segoe UI"/>
        </w:rPr>
        <w:t>its</w:t>
      </w:r>
      <w:r w:rsidR="005B39FE">
        <w:rPr>
          <w:rFonts w:cs="Segoe UI"/>
        </w:rPr>
        <w:t xml:space="preserve"> current Review</w:t>
      </w:r>
      <w:r w:rsidR="009E4148">
        <w:rPr>
          <w:rFonts w:cs="Segoe UI"/>
        </w:rPr>
        <w:t xml:space="preserve">, </w:t>
      </w:r>
      <w:r w:rsidR="004C11D4">
        <w:rPr>
          <w:rFonts w:cs="Segoe UI"/>
        </w:rPr>
        <w:t xml:space="preserve">then </w:t>
      </w:r>
      <w:r w:rsidR="009C397E" w:rsidRPr="00954DE4">
        <w:rPr>
          <w:rFonts w:cs="Segoe UI"/>
        </w:rPr>
        <w:t>the economics available within the ecosystem</w:t>
      </w:r>
      <w:r w:rsidR="004C11D4">
        <w:rPr>
          <w:rFonts w:cs="Segoe UI"/>
        </w:rPr>
        <w:t xml:space="preserve"> w</w:t>
      </w:r>
      <w:r w:rsidR="00F30E8D">
        <w:rPr>
          <w:rFonts w:cs="Segoe UI"/>
        </w:rPr>
        <w:t>ill</w:t>
      </w:r>
      <w:r w:rsidR="004C11D4">
        <w:rPr>
          <w:rFonts w:cs="Segoe UI"/>
        </w:rPr>
        <w:t xml:space="preserve"> decrease</w:t>
      </w:r>
      <w:r w:rsidR="0895FDAB" w:rsidRPr="0F4AD59A">
        <w:rPr>
          <w:rFonts w:cs="Segoe UI"/>
        </w:rPr>
        <w:t xml:space="preserve"> even further</w:t>
      </w:r>
      <w:r w:rsidR="004C11D4">
        <w:rPr>
          <w:rFonts w:cs="Segoe UI"/>
        </w:rPr>
        <w:t xml:space="preserve">. </w:t>
      </w:r>
      <w:r w:rsidR="004B5A0C">
        <w:rPr>
          <w:rFonts w:cs="Segoe UI"/>
        </w:rPr>
        <w:t xml:space="preserve">Under that scenario, </w:t>
      </w:r>
      <w:r w:rsidR="00A87EF9">
        <w:rPr>
          <w:rFonts w:cs="Segoe UI"/>
        </w:rPr>
        <w:t xml:space="preserve">market participants would </w:t>
      </w:r>
      <w:r w:rsidR="003D6B68">
        <w:rPr>
          <w:rFonts w:cs="Segoe UI"/>
        </w:rPr>
        <w:t>be less likely to invest in</w:t>
      </w:r>
      <w:r w:rsidR="009C397E" w:rsidRPr="00954DE4">
        <w:rPr>
          <w:rFonts w:cs="Segoe UI"/>
        </w:rPr>
        <w:t xml:space="preserve"> </w:t>
      </w:r>
      <w:r w:rsidR="009C397E">
        <w:rPr>
          <w:rFonts w:cs="Segoe UI"/>
        </w:rPr>
        <w:t xml:space="preserve">the development of new services, </w:t>
      </w:r>
      <w:r w:rsidR="000F4E25">
        <w:rPr>
          <w:rFonts w:cs="Segoe UI"/>
        </w:rPr>
        <w:t xml:space="preserve">which would adversely </w:t>
      </w:r>
      <w:r w:rsidR="00B7042B">
        <w:rPr>
          <w:rFonts w:cs="Segoe UI"/>
        </w:rPr>
        <w:t xml:space="preserve">impact </w:t>
      </w:r>
      <w:r w:rsidR="009C397E">
        <w:rPr>
          <w:rFonts w:cs="Segoe UI"/>
        </w:rPr>
        <w:t xml:space="preserve">competition and innovation </w:t>
      </w:r>
      <w:r w:rsidR="00B7042B">
        <w:rPr>
          <w:rFonts w:cs="Segoe UI"/>
        </w:rPr>
        <w:t xml:space="preserve">to the detriment of all </w:t>
      </w:r>
      <w:r w:rsidR="00455326">
        <w:rPr>
          <w:rFonts w:cs="Segoe UI"/>
        </w:rPr>
        <w:t>end users</w:t>
      </w:r>
      <w:r w:rsidR="004B2C38">
        <w:rPr>
          <w:rFonts w:cs="Segoe UI"/>
        </w:rPr>
        <w:t>.</w:t>
      </w:r>
    </w:p>
    <w:p w14:paraId="3C6E3A78" w14:textId="77777777" w:rsidR="00B33F89" w:rsidRPr="00954DE4" w:rsidRDefault="00B33F89" w:rsidP="006D7F51">
      <w:pPr>
        <w:jc w:val="both"/>
        <w:rPr>
          <w:rFonts w:cs="Segoe UI"/>
          <w:color w:val="262626" w:themeColor="text1" w:themeTint="D9"/>
        </w:rPr>
      </w:pPr>
    </w:p>
    <w:p w14:paraId="6BC5E63B" w14:textId="26443453" w:rsidR="00B33F89" w:rsidRPr="001A3E60" w:rsidRDefault="00B33F89" w:rsidP="004A32C5">
      <w:pPr>
        <w:pStyle w:val="ListParagraph"/>
        <w:numPr>
          <w:ilvl w:val="0"/>
          <w:numId w:val="4"/>
        </w:numPr>
        <w:rPr>
          <w:rStyle w:val="IntenseEmphasis"/>
          <w:rFonts w:asciiTheme="minorHAnsi" w:eastAsiaTheme="minorEastAsia" w:hAnsiTheme="minorHAnsi"/>
          <w:b/>
          <w:i w:val="0"/>
          <w:color w:val="002060"/>
          <w:sz w:val="26"/>
          <w:szCs w:val="26"/>
        </w:rPr>
      </w:pPr>
      <w:r w:rsidRPr="001A3E60">
        <w:rPr>
          <w:rStyle w:val="IntenseEmphasis"/>
          <w:rFonts w:asciiTheme="minorHAnsi" w:eastAsiaTheme="minorEastAsia" w:hAnsiTheme="minorHAnsi"/>
          <w:b/>
          <w:i w:val="0"/>
          <w:color w:val="002060"/>
          <w:sz w:val="26"/>
          <w:szCs w:val="26"/>
        </w:rPr>
        <w:t>Continuous Innovation</w:t>
      </w:r>
      <w:r w:rsidR="004D4A94" w:rsidRPr="001A3E60">
        <w:rPr>
          <w:rStyle w:val="IntenseEmphasis"/>
          <w:rFonts w:asciiTheme="minorHAnsi" w:eastAsiaTheme="minorEastAsia" w:hAnsiTheme="minorHAnsi"/>
          <w:b/>
          <w:i w:val="0"/>
          <w:color w:val="002060"/>
          <w:sz w:val="26"/>
          <w:szCs w:val="26"/>
        </w:rPr>
        <w:t xml:space="preserve"> and Security</w:t>
      </w:r>
    </w:p>
    <w:p w14:paraId="2128421C" w14:textId="77777777" w:rsidR="000A3C91" w:rsidRPr="00954DE4" w:rsidRDefault="000A3C91" w:rsidP="006D7F51">
      <w:pPr>
        <w:jc w:val="both"/>
        <w:rPr>
          <w:rFonts w:cs="Segoe UI"/>
          <w:color w:val="262626" w:themeColor="text1" w:themeTint="D9"/>
        </w:rPr>
      </w:pPr>
    </w:p>
    <w:p w14:paraId="2D3B7B11" w14:textId="0E87DEB3" w:rsidR="00C655BD" w:rsidRPr="00DA51AA" w:rsidRDefault="000A3C91" w:rsidP="000A3C91">
      <w:pPr>
        <w:jc w:val="both"/>
        <w:rPr>
          <w:rFonts w:cstheme="minorHAnsi"/>
        </w:rPr>
      </w:pPr>
      <w:r w:rsidRPr="00954DE4">
        <w:rPr>
          <w:rFonts w:cs="Segoe UI"/>
        </w:rPr>
        <w:t xml:space="preserve">Visa wholeheartedly supports </w:t>
      </w:r>
      <w:r w:rsidR="00590437">
        <w:rPr>
          <w:rFonts w:cs="Segoe UI"/>
        </w:rPr>
        <w:t xml:space="preserve">the Australian Government’s </w:t>
      </w:r>
      <w:r w:rsidR="00CB2F75">
        <w:rPr>
          <w:rFonts w:cs="Segoe UI"/>
        </w:rPr>
        <w:t>digital economy</w:t>
      </w:r>
      <w:r w:rsidRPr="00954DE4">
        <w:rPr>
          <w:rFonts w:cs="Segoe UI"/>
        </w:rPr>
        <w:t xml:space="preserve"> agenda</w:t>
      </w:r>
      <w:r w:rsidR="00A32C4F">
        <w:rPr>
          <w:rFonts w:cs="Segoe UI"/>
        </w:rPr>
        <w:t>,</w:t>
      </w:r>
      <w:r w:rsidRPr="00954DE4">
        <w:rPr>
          <w:rFonts w:cs="Segoe UI"/>
        </w:rPr>
        <w:t xml:space="preserve"> and we continue to invest in innovative technologies that improve the payments experience and contribute to economic growth. We also partner with new entrants and established entities (small and large) to deliver innovative solutions. These partnerships and the associated investments are focused on ensuring we deliver inclusive societal value. </w:t>
      </w:r>
    </w:p>
    <w:p w14:paraId="67AE75C4" w14:textId="40E67DF9" w:rsidR="00C655BD" w:rsidRPr="00954DE4" w:rsidRDefault="00C655BD" w:rsidP="000A3C91">
      <w:pPr>
        <w:jc w:val="both"/>
        <w:rPr>
          <w:rFonts w:cs="Segoe UI"/>
        </w:rPr>
      </w:pPr>
    </w:p>
    <w:p w14:paraId="479F4E86" w14:textId="652D4EA2" w:rsidR="00AF4A8D" w:rsidRPr="00954DE4" w:rsidRDefault="00C655BD" w:rsidP="00C655BD">
      <w:pPr>
        <w:jc w:val="both"/>
        <w:rPr>
          <w:rFonts w:cs="Segoe UI"/>
          <w:color w:val="262626" w:themeColor="text1" w:themeTint="D9"/>
        </w:rPr>
      </w:pPr>
      <w:r w:rsidRPr="00954DE4">
        <w:rPr>
          <w:rFonts w:cs="Segoe UI"/>
        </w:rPr>
        <w:t xml:space="preserve">Network innovation not only </w:t>
      </w:r>
      <w:r w:rsidR="009A25AE">
        <w:rPr>
          <w:rFonts w:cs="Segoe UI"/>
        </w:rPr>
        <w:t>results in</w:t>
      </w:r>
      <w:r w:rsidRPr="00954DE4">
        <w:rPr>
          <w:rFonts w:cs="Segoe UI"/>
        </w:rPr>
        <w:t xml:space="preserve"> new forms of payment, it also ensures delivery of solutions aimed at reducing risk across the system and deterring fraud. For Visa, the security of our network is a top priority. </w:t>
      </w:r>
      <w:r w:rsidR="00DC7024">
        <w:rPr>
          <w:rFonts w:cs="Segoe UI"/>
        </w:rPr>
        <w:t>As a result,</w:t>
      </w:r>
      <w:r w:rsidR="001F1483">
        <w:rPr>
          <w:rFonts w:cs="Segoe UI"/>
        </w:rPr>
        <w:t xml:space="preserve"> </w:t>
      </w:r>
      <w:r w:rsidR="00DC7024" w:rsidRPr="726433D3">
        <w:t xml:space="preserve">we invest heavily to preserve and enhance the security of </w:t>
      </w:r>
      <w:r w:rsidR="00F30E8D">
        <w:t>the</w:t>
      </w:r>
      <w:r w:rsidR="00DC7024" w:rsidRPr="726433D3">
        <w:t xml:space="preserve"> transactions </w:t>
      </w:r>
      <w:r w:rsidR="00F30E8D">
        <w:t xml:space="preserve">we </w:t>
      </w:r>
      <w:r w:rsidR="00F30E8D">
        <w:lastRenderedPageBreak/>
        <w:t xml:space="preserve">process </w:t>
      </w:r>
      <w:r w:rsidR="00DC7024" w:rsidRPr="726433D3">
        <w:t>and to protect consumers</w:t>
      </w:r>
      <w:r w:rsidR="25018462" w:rsidRPr="726433D3">
        <w:t xml:space="preserve"> and </w:t>
      </w:r>
      <w:r w:rsidR="00700889">
        <w:t>merchants</w:t>
      </w:r>
      <w:r w:rsidR="3BA691EB" w:rsidRPr="634397DC">
        <w:t>.</w:t>
      </w:r>
      <w:r w:rsidR="00DC7024" w:rsidRPr="726433D3">
        <w:t xml:space="preserve"> In fact, over </w:t>
      </w:r>
      <w:r w:rsidR="007525D8">
        <w:t>2015-2019</w:t>
      </w:r>
      <w:r w:rsidR="00DC7024" w:rsidRPr="726433D3">
        <w:t xml:space="preserve"> Visa invested nearly US$9 billion in systems resilience, fraud management and cybersecurity, including tokenisation, Artificial </w:t>
      </w:r>
      <w:proofErr w:type="gramStart"/>
      <w:r w:rsidR="00DC7024" w:rsidRPr="726433D3">
        <w:t>Intelligence</w:t>
      </w:r>
      <w:proofErr w:type="gramEnd"/>
      <w:r w:rsidR="00DC7024" w:rsidRPr="726433D3">
        <w:t xml:space="preserve"> and blockchain-based solutions</w:t>
      </w:r>
      <w:r w:rsidR="009A25AE">
        <w:t>,</w:t>
      </w:r>
      <w:r w:rsidR="00DC7024" w:rsidRPr="726433D3">
        <w:t xml:space="preserve"> to bring even more security to every transaction</w:t>
      </w:r>
      <w:r w:rsidR="00E93C01" w:rsidRPr="726433D3">
        <w:rPr>
          <w:rStyle w:val="FootnoteReference"/>
        </w:rPr>
        <w:footnoteReference w:id="9"/>
      </w:r>
      <w:r w:rsidR="00DC7024" w:rsidRPr="726433D3">
        <w:t>.</w:t>
      </w:r>
      <w:r w:rsidR="001F1483" w:rsidRPr="726433D3">
        <w:t xml:space="preserve"> </w:t>
      </w:r>
      <w:r w:rsidRPr="00954DE4">
        <w:rPr>
          <w:rFonts w:cs="Segoe UI"/>
        </w:rPr>
        <w:t xml:space="preserve">Visa’s platform uses Artificial Intelligence and deep learning technology to monitor threats and keep payments safe. We analyse billions of security logs every day. </w:t>
      </w:r>
      <w:r w:rsidR="00011865">
        <w:rPr>
          <w:rStyle w:val="normaltextrun"/>
          <w:rFonts w:ascii="Segoe UI" w:hAnsi="Segoe UI" w:cs="Segoe UI"/>
          <w:color w:val="000000"/>
          <w:bdr w:val="none" w:sz="0" w:space="0" w:color="auto" w:frame="1"/>
        </w:rPr>
        <w:t xml:space="preserve">In </w:t>
      </w:r>
      <w:r w:rsidR="00011865" w:rsidRPr="00151579">
        <w:t>Australia, Visa prevented more than AU$560 million in fraud from impacting businesses in the 12 months ending 30 June 2020</w:t>
      </w:r>
      <w:r w:rsidR="00B22D28">
        <w:rPr>
          <w:rStyle w:val="FootnoteReference"/>
        </w:rPr>
        <w:footnoteReference w:id="10"/>
      </w:r>
      <w:r w:rsidR="006726F8">
        <w:t>.</w:t>
      </w:r>
      <w:r w:rsidR="00EF59C6">
        <w:t xml:space="preserve"> </w:t>
      </w:r>
    </w:p>
    <w:p w14:paraId="63018067" w14:textId="2E659397" w:rsidR="00AF4A8D" w:rsidRDefault="00AF4A8D" w:rsidP="00C655BD">
      <w:pPr>
        <w:jc w:val="both"/>
        <w:rPr>
          <w:rFonts w:cs="Segoe UI"/>
          <w:color w:val="262626" w:themeColor="text1" w:themeTint="D9"/>
        </w:rPr>
      </w:pPr>
    </w:p>
    <w:p w14:paraId="7A35DBC5" w14:textId="58EA7A60" w:rsidR="00F30E8D" w:rsidRPr="00954DE4" w:rsidRDefault="00F30E8D" w:rsidP="00F30E8D">
      <w:pPr>
        <w:jc w:val="both"/>
        <w:rPr>
          <w:rFonts w:cs="Segoe UI"/>
        </w:rPr>
      </w:pPr>
      <w:r w:rsidRPr="7529A06F">
        <w:rPr>
          <w:rFonts w:cs="Segoe UI"/>
        </w:rPr>
        <w:t xml:space="preserve">All payments system participants have a role to play in protecting the ecosystem, as indicated in Visa’s Security </w:t>
      </w:r>
      <w:r>
        <w:rPr>
          <w:rFonts w:cs="Segoe UI"/>
        </w:rPr>
        <w:t>Roadmap</w:t>
      </w:r>
      <w:r>
        <w:rPr>
          <w:rStyle w:val="FootnoteReference"/>
          <w:rFonts w:cs="Segoe UI"/>
        </w:rPr>
        <w:footnoteReference w:id="11"/>
      </w:r>
      <w:r>
        <w:rPr>
          <w:rFonts w:cs="Segoe UI"/>
        </w:rPr>
        <w:t xml:space="preserve">. Among </w:t>
      </w:r>
      <w:r w:rsidRPr="7529A06F">
        <w:rPr>
          <w:rFonts w:cs="Segoe UI"/>
        </w:rPr>
        <w:t xml:space="preserve">this group, issuers are key in terms of the importance of continually investing and upgrading their </w:t>
      </w:r>
      <w:r>
        <w:rPr>
          <w:rFonts w:cs="Segoe UI"/>
        </w:rPr>
        <w:t>systems</w:t>
      </w:r>
      <w:r w:rsidRPr="7529A06F">
        <w:rPr>
          <w:rFonts w:cs="Segoe UI"/>
        </w:rPr>
        <w:t>. As interchange fees are paid by the acquirer to the issuer to cover handling costs, fraud and the risk involved in approving the payment, a reduction in interchange fees will reduce issuer net revenue</w:t>
      </w:r>
      <w:r>
        <w:rPr>
          <w:rFonts w:cs="Segoe UI"/>
        </w:rPr>
        <w:t xml:space="preserve"> and the funds available to </w:t>
      </w:r>
      <w:r w:rsidRPr="7529A06F">
        <w:rPr>
          <w:rFonts w:cs="Segoe UI"/>
        </w:rPr>
        <w:t>invest in fraud reduction, security and risk prevention.</w:t>
      </w:r>
      <w:r>
        <w:rPr>
          <w:rFonts w:cs="Segoe UI"/>
        </w:rPr>
        <w:t xml:space="preserve"> To ensure Australian consumers and businesses continue to have access to the world’s most innovative and secure payments technology, </w:t>
      </w:r>
      <w:r w:rsidRPr="0F4AD59A">
        <w:rPr>
          <w:rFonts w:cs="Segoe UI"/>
        </w:rPr>
        <w:t xml:space="preserve">Visa recommends that the RBA not proceed with further interchange compression and </w:t>
      </w:r>
      <w:r>
        <w:rPr>
          <w:rFonts w:cs="Segoe UI"/>
        </w:rPr>
        <w:t xml:space="preserve">that it uphold consumers’ rights to have the first and final say on how their transactions are routed, </w:t>
      </w:r>
      <w:r w:rsidRPr="002B5E07">
        <w:rPr>
          <w:rFonts w:cs="Segoe UI"/>
        </w:rPr>
        <w:t>including in regard to</w:t>
      </w:r>
      <w:r>
        <w:rPr>
          <w:rFonts w:cs="Segoe UI"/>
        </w:rPr>
        <w:t xml:space="preserve"> MCR online. </w:t>
      </w:r>
    </w:p>
    <w:p w14:paraId="09DBD7CF" w14:textId="77777777" w:rsidR="007F4179" w:rsidRPr="00954DE4" w:rsidRDefault="007F4179" w:rsidP="00C655BD">
      <w:pPr>
        <w:jc w:val="both"/>
        <w:rPr>
          <w:rFonts w:cs="Segoe UI"/>
          <w:color w:val="262626" w:themeColor="text1" w:themeTint="D9"/>
        </w:rPr>
      </w:pPr>
    </w:p>
    <w:p w14:paraId="085ACDF1" w14:textId="501160F5" w:rsidR="00101856" w:rsidRPr="001A3E60" w:rsidRDefault="00AF4A8D" w:rsidP="00C655BD">
      <w:pPr>
        <w:jc w:val="both"/>
        <w:rPr>
          <w:rFonts w:cs="Segoe UI"/>
          <w:b/>
          <w:bCs/>
          <w:color w:val="262626" w:themeColor="text1" w:themeTint="D9"/>
          <w:u w:val="single"/>
        </w:rPr>
      </w:pPr>
      <w:r w:rsidRPr="001A3E60">
        <w:rPr>
          <w:rFonts w:cs="Segoe UI"/>
          <w:b/>
          <w:bCs/>
          <w:u w:val="single"/>
        </w:rPr>
        <w:t>Level</w:t>
      </w:r>
      <w:r w:rsidR="004B4111" w:rsidRPr="001A3E60">
        <w:rPr>
          <w:rFonts w:cs="Segoe UI"/>
          <w:b/>
          <w:bCs/>
          <w:u w:val="single"/>
        </w:rPr>
        <w:t xml:space="preserve"> </w:t>
      </w:r>
      <w:r w:rsidRPr="001A3E60">
        <w:rPr>
          <w:rFonts w:cs="Segoe UI"/>
          <w:b/>
          <w:bCs/>
          <w:u w:val="single"/>
        </w:rPr>
        <w:t>playing field</w:t>
      </w:r>
      <w:r w:rsidRPr="001A3E60">
        <w:rPr>
          <w:rFonts w:cs="Segoe UI"/>
          <w:b/>
          <w:bCs/>
          <w:color w:val="262626" w:themeColor="text1" w:themeTint="D9"/>
          <w:u w:val="single"/>
        </w:rPr>
        <w:t xml:space="preserve"> </w:t>
      </w:r>
    </w:p>
    <w:p w14:paraId="443A99D2" w14:textId="77777777" w:rsidR="00101856" w:rsidRPr="00954DE4" w:rsidRDefault="00101856" w:rsidP="00C655BD">
      <w:pPr>
        <w:jc w:val="both"/>
        <w:rPr>
          <w:rFonts w:cs="Segoe UI"/>
          <w:b/>
          <w:bCs/>
          <w:i/>
          <w:iCs/>
          <w:color w:val="262626" w:themeColor="text1" w:themeTint="D9"/>
        </w:rPr>
      </w:pPr>
    </w:p>
    <w:p w14:paraId="208A1A74" w14:textId="1A9B0508" w:rsidR="00E4132A" w:rsidRDefault="003F690C" w:rsidP="00C761E2">
      <w:pPr>
        <w:jc w:val="both"/>
        <w:rPr>
          <w:rFonts w:cs="Segoe UI"/>
        </w:rPr>
      </w:pPr>
      <w:r>
        <w:rPr>
          <w:rFonts w:cs="Segoe UI"/>
        </w:rPr>
        <w:t xml:space="preserve">Visa believes that ensuring a </w:t>
      </w:r>
      <w:r w:rsidR="00077794">
        <w:rPr>
          <w:rFonts w:cs="Segoe UI"/>
        </w:rPr>
        <w:t xml:space="preserve">level playing field and open competition should be a prevailing principle of payments regulation. This position </w:t>
      </w:r>
      <w:r w:rsidR="00B3063F">
        <w:rPr>
          <w:rFonts w:cs="Segoe UI"/>
        </w:rPr>
        <w:t>takes into account that, i</w:t>
      </w:r>
      <w:r w:rsidR="00101856" w:rsidRPr="00954DE4">
        <w:rPr>
          <w:rFonts w:cs="Segoe UI"/>
        </w:rPr>
        <w:t xml:space="preserve">n a world of fast-paced innovation and multiple payment technologies and systems, a truly competitive </w:t>
      </w:r>
      <w:r w:rsidR="00377C0D">
        <w:rPr>
          <w:rFonts w:cs="Segoe UI"/>
        </w:rPr>
        <w:t>ecosystem</w:t>
      </w:r>
      <w:r w:rsidR="00377C0D" w:rsidRPr="00954DE4">
        <w:rPr>
          <w:rFonts w:cs="Segoe UI"/>
        </w:rPr>
        <w:t xml:space="preserve"> </w:t>
      </w:r>
      <w:r w:rsidR="00101856" w:rsidRPr="00954DE4">
        <w:rPr>
          <w:rFonts w:cs="Segoe UI"/>
        </w:rPr>
        <w:t xml:space="preserve">– where the playing field is level </w:t>
      </w:r>
      <w:r w:rsidR="00346EA1" w:rsidRPr="00346EA1">
        <w:rPr>
          <w:rFonts w:cs="Segoe UI"/>
        </w:rPr>
        <w:t>–</w:t>
      </w:r>
      <w:r w:rsidR="00101856" w:rsidRPr="00954DE4">
        <w:rPr>
          <w:rFonts w:cs="Segoe UI"/>
        </w:rPr>
        <w:t xml:space="preserve"> is the only way to support Australia’s ambitions to advance innovation and growth in </w:t>
      </w:r>
      <w:r w:rsidR="0093359B">
        <w:rPr>
          <w:rFonts w:cs="Segoe UI"/>
        </w:rPr>
        <w:t xml:space="preserve">a </w:t>
      </w:r>
      <w:r w:rsidR="00101856" w:rsidRPr="00954DE4">
        <w:rPr>
          <w:rFonts w:cs="Segoe UI"/>
        </w:rPr>
        <w:t>digital</w:t>
      </w:r>
      <w:r w:rsidR="0093359B">
        <w:rPr>
          <w:rFonts w:cs="Segoe UI"/>
        </w:rPr>
        <w:t>ly-enable</w:t>
      </w:r>
      <w:r w:rsidR="00A57534">
        <w:rPr>
          <w:rFonts w:cs="Segoe UI"/>
        </w:rPr>
        <w:t>d</w:t>
      </w:r>
      <w:r w:rsidR="00101856" w:rsidRPr="00954DE4">
        <w:rPr>
          <w:rFonts w:cs="Segoe UI"/>
        </w:rPr>
        <w:t xml:space="preserve"> </w:t>
      </w:r>
      <w:r w:rsidR="0093359B" w:rsidRPr="00954DE4">
        <w:rPr>
          <w:rFonts w:cs="Segoe UI"/>
        </w:rPr>
        <w:t>eco</w:t>
      </w:r>
      <w:r w:rsidR="0093359B">
        <w:rPr>
          <w:rFonts w:cs="Segoe UI"/>
        </w:rPr>
        <w:t>nomy</w:t>
      </w:r>
      <w:r w:rsidR="00101856" w:rsidRPr="00954DE4">
        <w:rPr>
          <w:rFonts w:cs="Segoe UI"/>
        </w:rPr>
        <w:t xml:space="preserve">. </w:t>
      </w:r>
    </w:p>
    <w:p w14:paraId="53CFF00D" w14:textId="77777777" w:rsidR="00BE70A8" w:rsidRPr="00954DE4" w:rsidRDefault="00BE70A8" w:rsidP="00C761E2">
      <w:pPr>
        <w:jc w:val="both"/>
        <w:rPr>
          <w:rFonts w:cs="Segoe UI"/>
        </w:rPr>
      </w:pPr>
    </w:p>
    <w:p w14:paraId="359608BF" w14:textId="366589EB" w:rsidR="00BD7F0B" w:rsidRPr="00954DE4" w:rsidRDefault="00BD7F0B" w:rsidP="00BD7F0B">
      <w:pPr>
        <w:jc w:val="both"/>
        <w:rPr>
          <w:rFonts w:cs="Segoe UI"/>
        </w:rPr>
      </w:pPr>
      <w:r>
        <w:rPr>
          <w:rFonts w:cs="Segoe UI"/>
        </w:rPr>
        <w:t>Visa</w:t>
      </w:r>
      <w:r w:rsidRPr="00954DE4">
        <w:rPr>
          <w:rFonts w:cs="Segoe UI"/>
        </w:rPr>
        <w:t xml:space="preserve"> encourage</w:t>
      </w:r>
      <w:r>
        <w:rPr>
          <w:rFonts w:cs="Segoe UI"/>
        </w:rPr>
        <w:t>s</w:t>
      </w:r>
      <w:r w:rsidRPr="00954DE4">
        <w:rPr>
          <w:rFonts w:cs="Segoe UI"/>
        </w:rPr>
        <w:t xml:space="preserve"> the RBA to ensure that </w:t>
      </w:r>
      <w:r>
        <w:rPr>
          <w:rFonts w:cs="Segoe UI"/>
        </w:rPr>
        <w:t>its</w:t>
      </w:r>
      <w:r w:rsidRPr="00954DE4">
        <w:rPr>
          <w:rFonts w:cs="Segoe UI"/>
        </w:rPr>
        <w:t xml:space="preserve"> </w:t>
      </w:r>
      <w:r>
        <w:rPr>
          <w:rFonts w:cs="Segoe UI"/>
        </w:rPr>
        <w:t>approach to the payments ecosystem results in</w:t>
      </w:r>
      <w:r w:rsidRPr="00954DE4">
        <w:rPr>
          <w:rFonts w:cs="Segoe UI"/>
        </w:rPr>
        <w:t xml:space="preserve"> a level playing field for established entities and new</w:t>
      </w:r>
      <w:r>
        <w:rPr>
          <w:rFonts w:cs="Segoe UI"/>
        </w:rPr>
        <w:t>er</w:t>
      </w:r>
      <w:r w:rsidRPr="00954DE4">
        <w:rPr>
          <w:rFonts w:cs="Segoe UI"/>
        </w:rPr>
        <w:t xml:space="preserve"> entrants</w:t>
      </w:r>
      <w:r>
        <w:rPr>
          <w:rFonts w:cs="Segoe UI"/>
        </w:rPr>
        <w:t>. This approach</w:t>
      </w:r>
      <w:r w:rsidRPr="00954DE4">
        <w:rPr>
          <w:rFonts w:cs="Segoe UI"/>
        </w:rPr>
        <w:t xml:space="preserve"> balance</w:t>
      </w:r>
      <w:r>
        <w:rPr>
          <w:rFonts w:cs="Segoe UI"/>
        </w:rPr>
        <w:t>s</w:t>
      </w:r>
      <w:r w:rsidRPr="00954DE4">
        <w:rPr>
          <w:rFonts w:cs="Segoe UI"/>
        </w:rPr>
        <w:t xml:space="preserve"> the risks in the ecosystem as well as maximis</w:t>
      </w:r>
      <w:r>
        <w:rPr>
          <w:rFonts w:cs="Segoe UI"/>
        </w:rPr>
        <w:t>ing</w:t>
      </w:r>
      <w:r w:rsidRPr="00954DE4">
        <w:rPr>
          <w:rFonts w:cs="Segoe UI"/>
        </w:rPr>
        <w:t xml:space="preserve"> competition and innovation.</w:t>
      </w:r>
      <w:r>
        <w:rPr>
          <w:rFonts w:cs="Segoe UI"/>
        </w:rPr>
        <w:t xml:space="preserve"> In addition, it takes account of n</w:t>
      </w:r>
      <w:r w:rsidRPr="00954DE4">
        <w:rPr>
          <w:rFonts w:cs="Segoe UI"/>
        </w:rPr>
        <w:t>ew</w:t>
      </w:r>
      <w:r>
        <w:rPr>
          <w:rFonts w:cs="Segoe UI"/>
        </w:rPr>
        <w:t>er</w:t>
      </w:r>
      <w:r w:rsidRPr="00954DE4">
        <w:rPr>
          <w:rFonts w:cs="Segoe UI"/>
        </w:rPr>
        <w:t xml:space="preserve"> participants in the payments system often not </w:t>
      </w:r>
      <w:r>
        <w:rPr>
          <w:rFonts w:cs="Segoe UI"/>
        </w:rPr>
        <w:t xml:space="preserve">being </w:t>
      </w:r>
      <w:r w:rsidRPr="00954DE4">
        <w:rPr>
          <w:rFonts w:cs="Segoe UI"/>
        </w:rPr>
        <w:t>faced with the same domestic regulatory requirements</w:t>
      </w:r>
      <w:r>
        <w:rPr>
          <w:rFonts w:cs="Segoe UI"/>
        </w:rPr>
        <w:t>, including those for which</w:t>
      </w:r>
      <w:r w:rsidRPr="00954DE4">
        <w:rPr>
          <w:rFonts w:cs="Segoe UI"/>
        </w:rPr>
        <w:t xml:space="preserve"> their payments business is secondary to supporting expansion of their primary business lines.</w:t>
      </w:r>
    </w:p>
    <w:p w14:paraId="2D6222BD" w14:textId="5B056544" w:rsidR="00757CB6" w:rsidRPr="000E4ADD" w:rsidRDefault="00757CB6" w:rsidP="00101856">
      <w:pPr>
        <w:jc w:val="both"/>
        <w:rPr>
          <w:rFonts w:cs="Segoe UI"/>
        </w:rPr>
      </w:pPr>
    </w:p>
    <w:p w14:paraId="091FAA09" w14:textId="77777777" w:rsidR="00757CB6" w:rsidRPr="00954DE4" w:rsidRDefault="00757CB6" w:rsidP="00101856">
      <w:pPr>
        <w:jc w:val="both"/>
      </w:pPr>
    </w:p>
    <w:p w14:paraId="02A33CD8" w14:textId="3D313F15" w:rsidR="00757CB6" w:rsidRPr="00954DE4" w:rsidRDefault="003B0569" w:rsidP="00C655BD">
      <w:pPr>
        <w:jc w:val="both"/>
        <w:rPr>
          <w:rFonts w:cs="Segoe UI"/>
          <w:b/>
          <w:bCs/>
          <w:i/>
          <w:iCs/>
          <w:color w:val="262626" w:themeColor="text1" w:themeTint="D9"/>
        </w:rPr>
      </w:pPr>
      <w:r w:rsidRPr="00954DE4">
        <w:rPr>
          <w:rFonts w:cs="Segoe UI"/>
          <w:b/>
          <w:bCs/>
          <w:i/>
          <w:iCs/>
          <w:color w:val="262626" w:themeColor="text1" w:themeTint="D9"/>
        </w:rPr>
        <w:br w:type="page"/>
      </w:r>
    </w:p>
    <w:p w14:paraId="3BB58E72" w14:textId="57D087AA" w:rsidR="00066F5C" w:rsidRPr="007A4078" w:rsidRDefault="00066F5C" w:rsidP="004A32C5">
      <w:pPr>
        <w:pStyle w:val="Heading1"/>
        <w:numPr>
          <w:ilvl w:val="0"/>
          <w:numId w:val="5"/>
        </w:numPr>
        <w:rPr>
          <w:rFonts w:asciiTheme="minorHAnsi" w:hAnsiTheme="minorHAnsi" w:cs="Segoe UI"/>
          <w:b/>
          <w:color w:val="002060"/>
        </w:rPr>
      </w:pPr>
      <w:bookmarkStart w:id="4" w:name="_Toc74838194"/>
      <w:bookmarkStart w:id="5" w:name="_Toc76743589"/>
      <w:r w:rsidRPr="007A4078">
        <w:rPr>
          <w:rFonts w:asciiTheme="minorHAnsi" w:hAnsiTheme="minorHAnsi" w:cs="Segoe UI"/>
          <w:b/>
          <w:color w:val="002060"/>
        </w:rPr>
        <w:lastRenderedPageBreak/>
        <w:t>Dual</w:t>
      </w:r>
      <w:r w:rsidR="00345AB8">
        <w:rPr>
          <w:rFonts w:asciiTheme="minorHAnsi" w:hAnsiTheme="minorHAnsi" w:cs="Segoe UI"/>
          <w:b/>
          <w:color w:val="002060"/>
        </w:rPr>
        <w:t>-</w:t>
      </w:r>
      <w:r w:rsidRPr="007A4078">
        <w:rPr>
          <w:rFonts w:asciiTheme="minorHAnsi" w:hAnsiTheme="minorHAnsi" w:cs="Segoe UI"/>
          <w:b/>
          <w:color w:val="002060"/>
        </w:rPr>
        <w:t xml:space="preserve">Network Debit Cards and </w:t>
      </w:r>
      <w:r w:rsidR="00D52892">
        <w:rPr>
          <w:rFonts w:asciiTheme="minorHAnsi" w:hAnsiTheme="minorHAnsi" w:cs="Segoe UI"/>
          <w:b/>
          <w:bCs/>
          <w:color w:val="002060"/>
        </w:rPr>
        <w:t xml:space="preserve">Merchant Choice </w:t>
      </w:r>
      <w:r w:rsidR="00196A60">
        <w:rPr>
          <w:rFonts w:asciiTheme="minorHAnsi" w:hAnsiTheme="minorHAnsi" w:cs="Segoe UI"/>
          <w:b/>
          <w:bCs/>
          <w:color w:val="002060"/>
        </w:rPr>
        <w:t>R</w:t>
      </w:r>
      <w:r w:rsidRPr="007A4078">
        <w:rPr>
          <w:rFonts w:asciiTheme="minorHAnsi" w:hAnsiTheme="minorHAnsi" w:cs="Segoe UI"/>
          <w:b/>
          <w:bCs/>
          <w:color w:val="002060"/>
        </w:rPr>
        <w:t>outing</w:t>
      </w:r>
      <w:bookmarkEnd w:id="4"/>
      <w:bookmarkEnd w:id="5"/>
    </w:p>
    <w:p w14:paraId="63680F07" w14:textId="6D42EF13" w:rsidR="009E79CD" w:rsidRDefault="004C464B" w:rsidP="004C464B">
      <w:pPr>
        <w:rPr>
          <w:rStyle w:val="IntenseEmphasis"/>
          <w:rFonts w:eastAsiaTheme="minorEastAsia"/>
          <w:b/>
          <w:i w:val="0"/>
          <w:color w:val="2E74B5" w:themeColor="accent1" w:themeShade="BF"/>
          <w:sz w:val="26"/>
          <w:szCs w:val="26"/>
        </w:rPr>
      </w:pPr>
      <w:r>
        <w:rPr>
          <w:rFonts w:eastAsiaTheme="minorEastAsia"/>
          <w:b/>
          <w:iCs/>
          <w:noProof/>
          <w:color w:val="2E74B5" w:themeColor="accent1" w:themeShade="BF"/>
          <w:sz w:val="26"/>
          <w:szCs w:val="26"/>
        </w:rPr>
        <mc:AlternateContent>
          <mc:Choice Requires="wps">
            <w:drawing>
              <wp:anchor distT="0" distB="0" distL="114300" distR="114300" simplePos="0" relativeHeight="251658252" behindDoc="1" locked="0" layoutInCell="1" allowOverlap="1" wp14:anchorId="3BDAAD4E" wp14:editId="2437AE60">
                <wp:simplePos x="0" y="0"/>
                <wp:positionH relativeFrom="column">
                  <wp:posOffset>-38100</wp:posOffset>
                </wp:positionH>
                <wp:positionV relativeFrom="paragraph">
                  <wp:posOffset>93345</wp:posOffset>
                </wp:positionV>
                <wp:extent cx="6096000" cy="4840605"/>
                <wp:effectExtent l="0" t="0" r="19050" b="17145"/>
                <wp:wrapNone/>
                <wp:docPr id="7" name="Rectangle 7"/>
                <wp:cNvGraphicFramePr/>
                <a:graphic xmlns:a="http://schemas.openxmlformats.org/drawingml/2006/main">
                  <a:graphicData uri="http://schemas.microsoft.com/office/word/2010/wordprocessingShape">
                    <wps:wsp>
                      <wps:cNvSpPr/>
                      <wps:spPr>
                        <a:xfrm>
                          <a:off x="0" y="0"/>
                          <a:ext cx="6096000" cy="4840605"/>
                        </a:xfrm>
                        <a:prstGeom prst="rect">
                          <a:avLst/>
                        </a:prstGeom>
                        <a:solidFill>
                          <a:schemeClr val="bg1">
                            <a:lumMod val="85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5E28675" id="Rectangle 7" o:spid="_x0000_s1026" style="position:absolute;margin-left:-3pt;margin-top:7.35pt;width:480pt;height:381.15pt;z-index:-2516582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" fillcolor="#d8d8d8 [2732]" strokecolor="black [3213]" strokeweight="1pt"/>
            </w:pict>
          </mc:Fallback>
        </mc:AlternateContent>
      </w:r>
    </w:p>
    <w:p w14:paraId="141842FC" w14:textId="6EDA0D95" w:rsidR="004C464B" w:rsidRPr="004C464B" w:rsidRDefault="004C464B" w:rsidP="001A3E60">
      <w:pPr>
        <w:ind w:left="142"/>
        <w:rPr>
          <w:rStyle w:val="IntenseEmphasis"/>
          <w:rFonts w:eastAsiaTheme="minorEastAsia" w:cstheme="minorHAnsi"/>
          <w:bCs/>
          <w:i w:val="0"/>
          <w:color w:val="2E74B5" w:themeColor="accent1" w:themeShade="BF"/>
          <w:sz w:val="26"/>
          <w:szCs w:val="26"/>
        </w:rPr>
      </w:pPr>
      <w:r w:rsidRPr="004C464B">
        <w:rPr>
          <w:rStyle w:val="IntenseEmphasis"/>
          <w:rFonts w:eastAsiaTheme="minorEastAsia" w:cstheme="minorHAnsi"/>
          <w:bCs/>
          <w:i w:val="0"/>
          <w:color w:val="2E74B5" w:themeColor="accent1" w:themeShade="BF"/>
          <w:sz w:val="26"/>
          <w:szCs w:val="26"/>
        </w:rPr>
        <w:t xml:space="preserve">Key </w:t>
      </w:r>
      <w:r>
        <w:rPr>
          <w:rStyle w:val="IntenseEmphasis"/>
          <w:rFonts w:eastAsiaTheme="minorEastAsia" w:cstheme="minorHAnsi"/>
          <w:bCs/>
          <w:i w:val="0"/>
          <w:color w:val="2E74B5" w:themeColor="accent1" w:themeShade="BF"/>
          <w:sz w:val="26"/>
          <w:szCs w:val="26"/>
        </w:rPr>
        <w:t>P</w:t>
      </w:r>
      <w:r w:rsidRPr="004C464B">
        <w:rPr>
          <w:rStyle w:val="IntenseEmphasis"/>
          <w:rFonts w:eastAsiaTheme="minorEastAsia" w:cstheme="minorHAnsi"/>
          <w:bCs/>
          <w:i w:val="0"/>
          <w:color w:val="2E74B5" w:themeColor="accent1" w:themeShade="BF"/>
          <w:sz w:val="26"/>
          <w:szCs w:val="26"/>
        </w:rPr>
        <w:t>oints</w:t>
      </w:r>
    </w:p>
    <w:p w14:paraId="62838376" w14:textId="77777777" w:rsidR="004C464B" w:rsidRPr="004C464B" w:rsidRDefault="004C464B" w:rsidP="004C464B">
      <w:pPr>
        <w:rPr>
          <w:rStyle w:val="IntenseEmphasis"/>
          <w:rFonts w:eastAsiaTheme="minorEastAsia" w:cstheme="minorHAnsi"/>
          <w:b/>
          <w:i w:val="0"/>
          <w:color w:val="2E74B5" w:themeColor="accent1" w:themeShade="BF"/>
        </w:rPr>
      </w:pPr>
    </w:p>
    <w:p w14:paraId="63B700CC" w14:textId="42DEBCAC" w:rsidR="002C5FCF" w:rsidRDefault="002C5FCF" w:rsidP="0077450A">
      <w:pPr>
        <w:pStyle w:val="ListParagraph"/>
        <w:numPr>
          <w:ilvl w:val="0"/>
          <w:numId w:val="10"/>
        </w:numPr>
        <w:jc w:val="both"/>
        <w:rPr>
          <w:rFonts w:asciiTheme="minorHAnsi" w:eastAsiaTheme="minorHAnsi" w:hAnsiTheme="minorHAnsi" w:cstheme="minorHAnsi"/>
          <w:iCs/>
        </w:rPr>
      </w:pPr>
      <w:r>
        <w:rPr>
          <w:rFonts w:asciiTheme="minorHAnsi" w:eastAsiaTheme="minorHAnsi" w:hAnsiTheme="minorHAnsi" w:cstheme="minorHAnsi"/>
          <w:iCs/>
        </w:rPr>
        <w:t xml:space="preserve">Visa supports the RBA’s preliminary assessment regarding Option </w:t>
      </w:r>
      <w:r w:rsidR="00345AB8">
        <w:rPr>
          <w:rFonts w:asciiTheme="minorHAnsi" w:eastAsiaTheme="minorHAnsi" w:hAnsiTheme="minorHAnsi" w:cstheme="minorHAnsi"/>
          <w:iCs/>
        </w:rPr>
        <w:t>Two</w:t>
      </w:r>
      <w:r>
        <w:rPr>
          <w:rFonts w:asciiTheme="minorHAnsi" w:eastAsiaTheme="minorHAnsi" w:hAnsiTheme="minorHAnsi" w:cstheme="minorHAnsi"/>
          <w:iCs/>
        </w:rPr>
        <w:t>, which would permit small- and medium-sized issuers, to offer SNDCs. Of the three options considered, we regard this as is the most appropriate course of action.</w:t>
      </w:r>
    </w:p>
    <w:p w14:paraId="7EA68EDD" w14:textId="634F0B37" w:rsidR="002C5FCF" w:rsidRPr="004C464B" w:rsidRDefault="002C5FCF" w:rsidP="0077450A">
      <w:pPr>
        <w:pStyle w:val="ListParagraph"/>
        <w:numPr>
          <w:ilvl w:val="0"/>
          <w:numId w:val="10"/>
        </w:numPr>
        <w:jc w:val="both"/>
        <w:rPr>
          <w:rFonts w:asciiTheme="minorHAnsi" w:eastAsiaTheme="minorHAnsi" w:hAnsiTheme="minorHAnsi" w:cstheme="minorHAnsi"/>
          <w:iCs/>
        </w:rPr>
      </w:pPr>
      <w:r w:rsidRPr="00657610" w:rsidDel="00C4083A">
        <w:rPr>
          <w:rFonts w:asciiTheme="minorHAnsi" w:hAnsiTheme="minorHAnsi" w:cstheme="minorHAnsi"/>
        </w:rPr>
        <w:t xml:space="preserve">Visa agrees with the </w:t>
      </w:r>
      <w:r>
        <w:rPr>
          <w:rFonts w:asciiTheme="minorHAnsi" w:hAnsiTheme="minorHAnsi" w:cstheme="minorHAnsi"/>
        </w:rPr>
        <w:t>Bank</w:t>
      </w:r>
      <w:r w:rsidRPr="00657610" w:rsidDel="00C4083A">
        <w:rPr>
          <w:rFonts w:asciiTheme="minorHAnsi" w:hAnsiTheme="minorHAnsi" w:cstheme="minorHAnsi"/>
        </w:rPr>
        <w:t>’s</w:t>
      </w:r>
      <w:r w:rsidRPr="00657610">
        <w:rPr>
          <w:rFonts w:asciiTheme="minorHAnsi" w:hAnsiTheme="minorHAnsi" w:cstheme="minorHAnsi"/>
        </w:rPr>
        <w:t xml:space="preserve"> </w:t>
      </w:r>
      <w:r>
        <w:rPr>
          <w:rFonts w:asciiTheme="minorHAnsi" w:hAnsiTheme="minorHAnsi" w:cstheme="minorHAnsi"/>
        </w:rPr>
        <w:t xml:space="preserve">preliminary </w:t>
      </w:r>
      <w:r w:rsidRPr="00657610" w:rsidDel="00C4083A">
        <w:rPr>
          <w:rFonts w:asciiTheme="minorHAnsi" w:hAnsiTheme="minorHAnsi" w:cstheme="minorHAnsi"/>
        </w:rPr>
        <w:t>assessment that</w:t>
      </w:r>
      <w:r w:rsidRPr="00657610">
        <w:rPr>
          <w:rFonts w:asciiTheme="minorHAnsi" w:hAnsiTheme="minorHAnsi" w:cstheme="minorHAnsi"/>
        </w:rPr>
        <w:t xml:space="preserve"> t</w:t>
      </w:r>
      <w:r w:rsidRPr="00657610" w:rsidDel="00C4083A">
        <w:rPr>
          <w:rFonts w:asciiTheme="minorHAnsi" w:hAnsiTheme="minorHAnsi" w:cstheme="minorHAnsi"/>
        </w:rPr>
        <w:t xml:space="preserve">he payments industry has made considerable progress in the provision of </w:t>
      </w:r>
      <w:r w:rsidRPr="00657610">
        <w:rPr>
          <w:rFonts w:asciiTheme="minorHAnsi" w:hAnsiTheme="minorHAnsi" w:cstheme="minorHAnsi"/>
        </w:rPr>
        <w:t>M</w:t>
      </w:r>
      <w:r w:rsidRPr="00657610" w:rsidDel="00C4083A">
        <w:rPr>
          <w:rFonts w:asciiTheme="minorHAnsi" w:hAnsiTheme="minorHAnsi" w:cstheme="minorHAnsi"/>
        </w:rPr>
        <w:t xml:space="preserve">CR in the </w:t>
      </w:r>
      <w:r w:rsidR="00F61BE5">
        <w:rPr>
          <w:rFonts w:asciiTheme="minorHAnsi" w:hAnsiTheme="minorHAnsi" w:cstheme="minorHAnsi"/>
        </w:rPr>
        <w:t xml:space="preserve">f2f </w:t>
      </w:r>
      <w:r w:rsidRPr="00657610" w:rsidDel="00C4083A">
        <w:rPr>
          <w:rFonts w:asciiTheme="minorHAnsi" w:hAnsiTheme="minorHAnsi" w:cstheme="minorHAnsi"/>
        </w:rPr>
        <w:t>environment without explicit regulatory requirements</w:t>
      </w:r>
      <w:r>
        <w:rPr>
          <w:rFonts w:asciiTheme="minorHAnsi" w:hAnsiTheme="minorHAnsi" w:cstheme="minorHAnsi"/>
        </w:rPr>
        <w:t>.</w:t>
      </w:r>
    </w:p>
    <w:p w14:paraId="6038EE0A" w14:textId="77777777" w:rsidR="00BD7F0B" w:rsidRDefault="00BD7F0B" w:rsidP="0077450A">
      <w:pPr>
        <w:pStyle w:val="ListParagraph"/>
        <w:numPr>
          <w:ilvl w:val="0"/>
          <w:numId w:val="10"/>
        </w:numPr>
        <w:jc w:val="both"/>
        <w:rPr>
          <w:rFonts w:asciiTheme="minorHAnsi" w:eastAsiaTheme="minorHAnsi" w:hAnsiTheme="minorHAnsi" w:cstheme="minorHAnsi"/>
          <w:iCs/>
        </w:rPr>
      </w:pPr>
      <w:r>
        <w:rPr>
          <w:rFonts w:asciiTheme="minorHAnsi" w:hAnsiTheme="minorHAnsi" w:cstheme="minorHAnsi"/>
          <w:color w:val="000000" w:themeColor="text1"/>
        </w:rPr>
        <w:t xml:space="preserve">Regarding online MCR, </w:t>
      </w:r>
      <w:r w:rsidRPr="00657610">
        <w:rPr>
          <w:rFonts w:asciiTheme="minorHAnsi" w:hAnsiTheme="minorHAnsi" w:cstheme="minorHAnsi"/>
          <w:color w:val="000000" w:themeColor="text1"/>
        </w:rPr>
        <w:t xml:space="preserve">Visa encourages the RBA to revise Principle Two </w:t>
      </w:r>
      <w:r>
        <w:rPr>
          <w:rFonts w:asciiTheme="minorHAnsi" w:hAnsiTheme="minorHAnsi" w:cstheme="minorHAnsi"/>
          <w:color w:val="000000" w:themeColor="text1"/>
        </w:rPr>
        <w:t xml:space="preserve">to ensure </w:t>
      </w:r>
      <w:r w:rsidRPr="00657610">
        <w:rPr>
          <w:rFonts w:asciiTheme="minorHAnsi" w:hAnsiTheme="minorHAnsi" w:cstheme="minorHAnsi"/>
          <w:color w:val="000000" w:themeColor="text1"/>
        </w:rPr>
        <w:t xml:space="preserve">that the core feature of DNDCs and the principle of consumer choice </w:t>
      </w:r>
      <w:r>
        <w:rPr>
          <w:rFonts w:asciiTheme="minorHAnsi" w:hAnsiTheme="minorHAnsi" w:cstheme="minorHAnsi"/>
          <w:color w:val="000000" w:themeColor="text1"/>
        </w:rPr>
        <w:t>are</w:t>
      </w:r>
      <w:r w:rsidRPr="00657610">
        <w:rPr>
          <w:rFonts w:asciiTheme="minorHAnsi" w:hAnsiTheme="minorHAnsi" w:cstheme="minorHAnsi"/>
          <w:color w:val="000000" w:themeColor="text1"/>
        </w:rPr>
        <w:t xml:space="preserve"> maintained in the online environment</w:t>
      </w:r>
      <w:r>
        <w:rPr>
          <w:rFonts w:asciiTheme="minorHAnsi" w:eastAsiaTheme="minorHAnsi" w:hAnsiTheme="minorHAnsi" w:cstheme="minorHAnsi"/>
          <w:iCs/>
        </w:rPr>
        <w:t xml:space="preserve">. </w:t>
      </w:r>
    </w:p>
    <w:p w14:paraId="29AB76B8" w14:textId="3225DC64" w:rsidR="002C5FCF" w:rsidRPr="00657610" w:rsidRDefault="002C5FCF" w:rsidP="0077450A">
      <w:pPr>
        <w:pStyle w:val="ListParagraph"/>
        <w:numPr>
          <w:ilvl w:val="0"/>
          <w:numId w:val="10"/>
        </w:numPr>
        <w:jc w:val="both"/>
        <w:rPr>
          <w:rFonts w:asciiTheme="minorHAnsi" w:eastAsiaTheme="minorHAnsi" w:hAnsiTheme="minorHAnsi" w:cstheme="minorHAnsi"/>
          <w:iCs/>
        </w:rPr>
      </w:pPr>
      <w:r>
        <w:rPr>
          <w:rFonts w:asciiTheme="minorHAnsi" w:hAnsiTheme="minorHAnsi"/>
          <w:color w:val="000000"/>
        </w:rPr>
        <w:t>C</w:t>
      </w:r>
      <w:r w:rsidRPr="4F2C9454">
        <w:rPr>
          <w:rFonts w:asciiTheme="minorHAnsi" w:hAnsiTheme="minorHAnsi"/>
          <w:color w:val="000000"/>
        </w:rPr>
        <w:t>onsumers should continue to be provided the opportunity to make an informed decision about how their data is routed via payment networks when purchasing online.</w:t>
      </w:r>
      <w:r>
        <w:rPr>
          <w:rFonts w:asciiTheme="minorHAnsi" w:hAnsiTheme="minorHAnsi"/>
          <w:color w:val="000000"/>
        </w:rPr>
        <w:t xml:space="preserve"> Recent r</w:t>
      </w:r>
      <w:r w:rsidRPr="4F2C9454">
        <w:rPr>
          <w:rFonts w:asciiTheme="minorHAnsi" w:hAnsiTheme="minorHAnsi"/>
          <w:color w:val="000000"/>
        </w:rPr>
        <w:t xml:space="preserve">esearch </w:t>
      </w:r>
      <w:r w:rsidRPr="4F2C9454">
        <w:rPr>
          <w:rFonts w:asciiTheme="minorHAnsi" w:hAnsiTheme="minorHAnsi"/>
          <w:color w:val="000000" w:themeColor="text1"/>
        </w:rPr>
        <w:t>underscores</w:t>
      </w:r>
      <w:r w:rsidRPr="4F2C9454">
        <w:rPr>
          <w:rFonts w:asciiTheme="minorHAnsi" w:hAnsiTheme="minorHAnsi"/>
          <w:color w:val="000000"/>
        </w:rPr>
        <w:t xml:space="preserve"> this point, finding </w:t>
      </w:r>
      <w:r w:rsidRPr="00030040">
        <w:rPr>
          <w:rFonts w:asciiTheme="minorHAnsi" w:hAnsiTheme="minorHAnsi"/>
          <w:color w:val="000000"/>
        </w:rPr>
        <w:t>that 67 per cent of consumers would be displeased if their preferred choice of payment network was overridden</w:t>
      </w:r>
      <w:r w:rsidR="004B4111" w:rsidRPr="00030040">
        <w:rPr>
          <w:rFonts w:asciiTheme="minorHAnsi" w:hAnsiTheme="minorHAnsi"/>
          <w:color w:val="000000"/>
        </w:rPr>
        <w:t xml:space="preserve"> whether online or f2f</w:t>
      </w:r>
      <w:r w:rsidR="00DE20BF" w:rsidRPr="00030040">
        <w:rPr>
          <w:rStyle w:val="FootnoteReference"/>
          <w:rFonts w:asciiTheme="minorHAnsi" w:hAnsiTheme="minorHAnsi"/>
          <w:color w:val="000000"/>
        </w:rPr>
        <w:footnoteReference w:id="12"/>
      </w:r>
      <w:r w:rsidRPr="00030040">
        <w:rPr>
          <w:rFonts w:asciiTheme="minorHAnsi" w:hAnsiTheme="minorHAnsi"/>
          <w:color w:val="000000"/>
        </w:rPr>
        <w:t>.</w:t>
      </w:r>
      <w:r>
        <w:rPr>
          <w:rFonts w:asciiTheme="minorHAnsi" w:hAnsiTheme="minorHAnsi"/>
          <w:color w:val="000000"/>
        </w:rPr>
        <w:t xml:space="preserve"> </w:t>
      </w:r>
    </w:p>
    <w:p w14:paraId="31F62DD6" w14:textId="77777777" w:rsidR="002C5FCF" w:rsidRDefault="002C5FCF" w:rsidP="0077450A">
      <w:pPr>
        <w:pStyle w:val="ListParagraph"/>
        <w:numPr>
          <w:ilvl w:val="0"/>
          <w:numId w:val="10"/>
        </w:numPr>
        <w:jc w:val="both"/>
        <w:rPr>
          <w:rFonts w:asciiTheme="minorHAnsi" w:eastAsiaTheme="minorHAnsi" w:hAnsiTheme="minorHAnsi" w:cstheme="minorHAnsi"/>
          <w:iCs/>
        </w:rPr>
      </w:pPr>
      <w:r w:rsidRPr="00657610">
        <w:rPr>
          <w:rFonts w:asciiTheme="minorHAnsi" w:hAnsiTheme="minorHAnsi" w:cstheme="minorHAnsi"/>
          <w:color w:val="000000" w:themeColor="text1"/>
        </w:rPr>
        <w:t xml:space="preserve">Methods have been developed over </w:t>
      </w:r>
      <w:proofErr w:type="gramStart"/>
      <w:r w:rsidRPr="00657610">
        <w:rPr>
          <w:rFonts w:asciiTheme="minorHAnsi" w:hAnsiTheme="minorHAnsi" w:cstheme="minorHAnsi"/>
          <w:color w:val="000000" w:themeColor="text1"/>
        </w:rPr>
        <w:t>a number of</w:t>
      </w:r>
      <w:proofErr w:type="gramEnd"/>
      <w:r w:rsidRPr="00657610">
        <w:rPr>
          <w:rFonts w:asciiTheme="minorHAnsi" w:hAnsiTheme="minorHAnsi" w:cstheme="minorHAnsi"/>
          <w:color w:val="000000" w:themeColor="text1"/>
        </w:rPr>
        <w:t xml:space="preserve"> years through established market practices to enable the best possible </w:t>
      </w:r>
      <w:r>
        <w:rPr>
          <w:rFonts w:asciiTheme="minorHAnsi" w:hAnsiTheme="minorHAnsi" w:cstheme="minorHAnsi"/>
          <w:color w:val="000000" w:themeColor="text1"/>
        </w:rPr>
        <w:t xml:space="preserve">online </w:t>
      </w:r>
      <w:r w:rsidRPr="00657610">
        <w:rPr>
          <w:rFonts w:asciiTheme="minorHAnsi" w:hAnsiTheme="minorHAnsi" w:cstheme="minorHAnsi"/>
          <w:color w:val="000000" w:themeColor="text1"/>
        </w:rPr>
        <w:t>transaction experience for consumers and merchants in terms of security, convenience, and overall value.</w:t>
      </w:r>
      <w:r w:rsidRPr="00AA7EDA">
        <w:rPr>
          <w:rFonts w:asciiTheme="minorHAnsi" w:eastAsiaTheme="minorHAnsi" w:hAnsiTheme="minorHAnsi" w:cstheme="minorHAnsi"/>
          <w:iCs/>
        </w:rPr>
        <w:t xml:space="preserve"> </w:t>
      </w:r>
      <w:r>
        <w:rPr>
          <w:rFonts w:asciiTheme="minorHAnsi" w:eastAsiaTheme="minorHAnsi" w:hAnsiTheme="minorHAnsi" w:cstheme="minorHAnsi"/>
          <w:iCs/>
        </w:rPr>
        <w:t>Retaining these practices</w:t>
      </w:r>
      <w:r w:rsidRPr="00AA7EDA">
        <w:rPr>
          <w:rFonts w:asciiTheme="minorHAnsi" w:eastAsiaTheme="minorHAnsi" w:hAnsiTheme="minorHAnsi" w:cstheme="minorHAnsi"/>
          <w:iCs/>
        </w:rPr>
        <w:t xml:space="preserve"> is in the public interest.</w:t>
      </w:r>
    </w:p>
    <w:p w14:paraId="4C493F09" w14:textId="77777777" w:rsidR="002C5FCF" w:rsidRPr="004C464B" w:rsidRDefault="002C5FCF" w:rsidP="0077450A">
      <w:pPr>
        <w:pStyle w:val="ListParagraph"/>
        <w:numPr>
          <w:ilvl w:val="0"/>
          <w:numId w:val="10"/>
        </w:numPr>
        <w:jc w:val="both"/>
        <w:rPr>
          <w:rFonts w:asciiTheme="minorHAnsi" w:eastAsiaTheme="minorHAnsi" w:hAnsiTheme="minorHAnsi" w:cstheme="minorHAnsi"/>
          <w:iCs/>
        </w:rPr>
      </w:pPr>
      <w:r>
        <w:rPr>
          <w:rFonts w:asciiTheme="minorHAnsi" w:hAnsiTheme="minorHAnsi"/>
          <w:color w:val="000000" w:themeColor="text1"/>
        </w:rPr>
        <w:t>T</w:t>
      </w:r>
      <w:r w:rsidRPr="66408A5B">
        <w:rPr>
          <w:rFonts w:asciiTheme="minorHAnsi" w:hAnsiTheme="minorHAnsi"/>
          <w:color w:val="000000" w:themeColor="text1"/>
        </w:rPr>
        <w:t>he security</w:t>
      </w:r>
      <w:r>
        <w:rPr>
          <w:rFonts w:asciiTheme="minorHAnsi" w:hAnsiTheme="minorHAnsi"/>
          <w:color w:val="000000" w:themeColor="text1"/>
        </w:rPr>
        <w:t>, risk</w:t>
      </w:r>
      <w:r w:rsidRPr="66408A5B">
        <w:rPr>
          <w:rFonts w:asciiTheme="minorHAnsi" w:hAnsiTheme="minorHAnsi"/>
          <w:color w:val="000000" w:themeColor="text1"/>
        </w:rPr>
        <w:t xml:space="preserve"> and operational profiles vary significantly by payment network</w:t>
      </w:r>
      <w:r>
        <w:rPr>
          <w:rFonts w:asciiTheme="minorHAnsi" w:hAnsiTheme="minorHAnsi"/>
          <w:color w:val="000000" w:themeColor="text1"/>
        </w:rPr>
        <w:t>, including in the online environment</w:t>
      </w:r>
      <w:r w:rsidRPr="66408A5B">
        <w:rPr>
          <w:rFonts w:asciiTheme="minorHAnsi" w:hAnsiTheme="minorHAnsi"/>
          <w:color w:val="000000" w:themeColor="text1"/>
        </w:rPr>
        <w:t xml:space="preserve">. </w:t>
      </w:r>
      <w:r>
        <w:rPr>
          <w:rFonts w:asciiTheme="minorHAnsi" w:hAnsiTheme="minorHAnsi"/>
          <w:color w:val="000000" w:themeColor="text1"/>
        </w:rPr>
        <w:t xml:space="preserve">These differences need to be recognised to ensure that </w:t>
      </w:r>
      <w:r w:rsidRPr="66408A5B">
        <w:rPr>
          <w:rFonts w:asciiTheme="minorHAnsi" w:hAnsiTheme="minorHAnsi"/>
          <w:color w:val="000000" w:themeColor="text1"/>
        </w:rPr>
        <w:t xml:space="preserve">the online payments ecosystem, at large, </w:t>
      </w:r>
      <w:r>
        <w:rPr>
          <w:rFonts w:asciiTheme="minorHAnsi" w:hAnsiTheme="minorHAnsi"/>
          <w:color w:val="000000" w:themeColor="text1"/>
        </w:rPr>
        <w:t>is not</w:t>
      </w:r>
      <w:r w:rsidRPr="66408A5B">
        <w:rPr>
          <w:rFonts w:asciiTheme="minorHAnsi" w:hAnsiTheme="minorHAnsi"/>
          <w:color w:val="000000" w:themeColor="text1"/>
        </w:rPr>
        <w:t xml:space="preserve"> adversely impacted</w:t>
      </w:r>
      <w:r>
        <w:rPr>
          <w:rFonts w:asciiTheme="minorHAnsi" w:hAnsiTheme="minorHAnsi"/>
          <w:color w:val="000000" w:themeColor="text1"/>
        </w:rPr>
        <w:t>.</w:t>
      </w:r>
    </w:p>
    <w:p w14:paraId="3104235F" w14:textId="532BDF19" w:rsidR="002C5FCF" w:rsidRPr="00657610" w:rsidRDefault="002C5FCF" w:rsidP="0077450A">
      <w:pPr>
        <w:pStyle w:val="ListParagraph"/>
        <w:numPr>
          <w:ilvl w:val="0"/>
          <w:numId w:val="10"/>
        </w:numPr>
        <w:spacing w:line="259" w:lineRule="auto"/>
        <w:jc w:val="both"/>
        <w:rPr>
          <w:rFonts w:asciiTheme="minorHAnsi" w:hAnsiTheme="minorHAnsi" w:cstheme="minorHAnsi"/>
        </w:rPr>
      </w:pPr>
      <w:r>
        <w:rPr>
          <w:rFonts w:asciiTheme="minorHAnsi" w:hAnsiTheme="minorHAnsi" w:cstheme="minorHAnsi"/>
        </w:rPr>
        <w:t xml:space="preserve">On the RBA’s assessment of tying conduct, </w:t>
      </w:r>
      <w:r w:rsidRPr="00657610">
        <w:rPr>
          <w:rFonts w:asciiTheme="minorHAnsi" w:hAnsiTheme="minorHAnsi" w:cstheme="minorHAnsi"/>
        </w:rPr>
        <w:t xml:space="preserve">Visa accepts that the </w:t>
      </w:r>
      <w:r>
        <w:rPr>
          <w:rFonts w:asciiTheme="minorHAnsi" w:hAnsiTheme="minorHAnsi" w:cstheme="minorHAnsi"/>
        </w:rPr>
        <w:t xml:space="preserve">Bank’s </w:t>
      </w:r>
      <w:r w:rsidRPr="00657610">
        <w:rPr>
          <w:rFonts w:asciiTheme="minorHAnsi" w:hAnsiTheme="minorHAnsi" w:cstheme="minorHAnsi"/>
        </w:rPr>
        <w:t>mandat</w:t>
      </w:r>
      <w:r>
        <w:rPr>
          <w:rFonts w:asciiTheme="minorHAnsi" w:hAnsiTheme="minorHAnsi" w:cstheme="minorHAnsi"/>
        </w:rPr>
        <w:t>e</w:t>
      </w:r>
      <w:r w:rsidRPr="00657610">
        <w:rPr>
          <w:rFonts w:asciiTheme="minorHAnsi" w:hAnsiTheme="minorHAnsi" w:cstheme="minorHAnsi"/>
        </w:rPr>
        <w:t xml:space="preserve"> under the </w:t>
      </w:r>
      <w:r w:rsidRPr="00657610">
        <w:rPr>
          <w:rFonts w:asciiTheme="minorHAnsi" w:hAnsiTheme="minorHAnsi" w:cstheme="minorHAnsi"/>
          <w:i/>
          <w:iCs/>
        </w:rPr>
        <w:t>Reserve Bank Act</w:t>
      </w:r>
      <w:r w:rsidRPr="00657610">
        <w:rPr>
          <w:rFonts w:asciiTheme="minorHAnsi" w:hAnsiTheme="minorHAnsi" w:cstheme="minorHAnsi"/>
        </w:rPr>
        <w:t xml:space="preserve"> (1959) may be said to extend to the promotion of competition</w:t>
      </w:r>
      <w:r w:rsidR="00555609">
        <w:rPr>
          <w:rFonts w:asciiTheme="minorHAnsi" w:hAnsiTheme="minorHAnsi" w:cstheme="minorHAnsi"/>
        </w:rPr>
        <w:t xml:space="preserve"> </w:t>
      </w:r>
      <w:r w:rsidRPr="00657610">
        <w:rPr>
          <w:rFonts w:asciiTheme="minorHAnsi" w:hAnsiTheme="minorHAnsi" w:cstheme="minorHAnsi"/>
        </w:rPr>
        <w:t xml:space="preserve">in payment services in the context of considering the overall stability of the financial system. </w:t>
      </w:r>
      <w:r>
        <w:rPr>
          <w:rFonts w:asciiTheme="minorHAnsi" w:hAnsiTheme="minorHAnsi" w:cstheme="minorHAnsi"/>
        </w:rPr>
        <w:t>However</w:t>
      </w:r>
      <w:r w:rsidRPr="00657610">
        <w:rPr>
          <w:rFonts w:asciiTheme="minorHAnsi" w:hAnsiTheme="minorHAnsi" w:cstheme="minorHAnsi"/>
        </w:rPr>
        <w:t xml:space="preserve">, the ACCC is the principal regulator </w:t>
      </w:r>
      <w:r>
        <w:rPr>
          <w:rFonts w:asciiTheme="minorHAnsi" w:hAnsiTheme="minorHAnsi" w:cstheme="minorHAnsi"/>
        </w:rPr>
        <w:t>regarding</w:t>
      </w:r>
      <w:r w:rsidRPr="00657610">
        <w:rPr>
          <w:rFonts w:asciiTheme="minorHAnsi" w:hAnsiTheme="minorHAnsi" w:cstheme="minorHAnsi"/>
        </w:rPr>
        <w:t xml:space="preserve"> competition law issues and is the principal enforcement agency in respect of the provisions of the Competition and Consumer Act. </w:t>
      </w:r>
    </w:p>
    <w:p w14:paraId="5D36FC2E" w14:textId="77777777" w:rsidR="004C464B" w:rsidRDefault="004C464B" w:rsidP="00D67AEB">
      <w:pPr>
        <w:jc w:val="both"/>
      </w:pPr>
    </w:p>
    <w:p w14:paraId="7470096A" w14:textId="77777777" w:rsidR="001665C4" w:rsidRDefault="001665C4" w:rsidP="747CE291">
      <w:pPr>
        <w:pStyle w:val="ListParagraph"/>
        <w:ind w:left="0"/>
        <w:jc w:val="both"/>
        <w:rPr>
          <w:rFonts w:asciiTheme="minorHAnsi" w:hAnsiTheme="minorHAnsi" w:cstheme="minorHAnsi"/>
          <w:szCs w:val="22"/>
        </w:rPr>
      </w:pPr>
    </w:p>
    <w:p w14:paraId="0AB457D8" w14:textId="75F8DB76" w:rsidR="001665C4" w:rsidRPr="001A3E60" w:rsidRDefault="001665C4" w:rsidP="001A3E60">
      <w:pPr>
        <w:spacing w:before="240"/>
        <w:rPr>
          <w:rStyle w:val="IntenseEmphasis"/>
          <w:rFonts w:eastAsiaTheme="minorEastAsia"/>
          <w:b/>
          <w:i w:val="0"/>
          <w:color w:val="002060"/>
          <w:sz w:val="26"/>
          <w:szCs w:val="26"/>
        </w:rPr>
      </w:pPr>
      <w:r w:rsidRPr="001A3E60">
        <w:rPr>
          <w:rStyle w:val="IntenseEmphasis"/>
          <w:rFonts w:eastAsiaTheme="minorEastAsia"/>
          <w:b/>
          <w:i w:val="0"/>
          <w:color w:val="002060"/>
          <w:sz w:val="26"/>
          <w:szCs w:val="26"/>
        </w:rPr>
        <w:t>1.1 Single</w:t>
      </w:r>
      <w:r w:rsidR="00345AB8" w:rsidRPr="001A3E60">
        <w:rPr>
          <w:rStyle w:val="IntenseEmphasis"/>
          <w:rFonts w:eastAsiaTheme="minorEastAsia"/>
          <w:b/>
          <w:i w:val="0"/>
          <w:color w:val="002060"/>
          <w:sz w:val="26"/>
          <w:szCs w:val="26"/>
        </w:rPr>
        <w:t>-</w:t>
      </w:r>
      <w:r w:rsidRPr="001A3E60">
        <w:rPr>
          <w:rStyle w:val="IntenseEmphasis"/>
          <w:rFonts w:eastAsiaTheme="minorEastAsia"/>
          <w:b/>
          <w:i w:val="0"/>
          <w:color w:val="002060"/>
          <w:sz w:val="26"/>
          <w:szCs w:val="26"/>
        </w:rPr>
        <w:t xml:space="preserve">Network Debit Cards </w:t>
      </w:r>
    </w:p>
    <w:p w14:paraId="53DF4EF7" w14:textId="77777777" w:rsidR="001665C4" w:rsidRDefault="001665C4" w:rsidP="747CE291">
      <w:pPr>
        <w:pStyle w:val="ListParagraph"/>
        <w:ind w:left="0"/>
        <w:jc w:val="both"/>
        <w:rPr>
          <w:rFonts w:asciiTheme="minorHAnsi" w:hAnsiTheme="minorHAnsi" w:cstheme="minorHAnsi"/>
          <w:szCs w:val="22"/>
        </w:rPr>
      </w:pPr>
    </w:p>
    <w:p w14:paraId="073F2EAC" w14:textId="67083AEC" w:rsidR="00846EEC" w:rsidRDefault="6B9FDC81" w:rsidP="747CE291">
      <w:pPr>
        <w:pStyle w:val="ListParagraph"/>
        <w:ind w:left="0"/>
        <w:jc w:val="both"/>
        <w:rPr>
          <w:rFonts w:asciiTheme="minorHAnsi" w:hAnsiTheme="minorHAnsi" w:cstheme="minorHAnsi"/>
          <w:szCs w:val="22"/>
        </w:rPr>
      </w:pPr>
      <w:r w:rsidRPr="00873167">
        <w:rPr>
          <w:rFonts w:asciiTheme="minorHAnsi" w:hAnsiTheme="minorHAnsi" w:cstheme="minorHAnsi"/>
          <w:szCs w:val="22"/>
        </w:rPr>
        <w:t>Visa supports the RBA’s preliminary assessment in the Consultation Paper that</w:t>
      </w:r>
      <w:r w:rsidR="6B73D204" w:rsidRPr="00873167">
        <w:rPr>
          <w:rFonts w:asciiTheme="minorHAnsi" w:hAnsiTheme="minorHAnsi" w:cstheme="minorHAnsi"/>
          <w:szCs w:val="22"/>
        </w:rPr>
        <w:t>,</w:t>
      </w:r>
      <w:r w:rsidRPr="00873167">
        <w:rPr>
          <w:rFonts w:asciiTheme="minorHAnsi" w:hAnsiTheme="minorHAnsi" w:cstheme="minorHAnsi"/>
          <w:szCs w:val="22"/>
        </w:rPr>
        <w:t xml:space="preserve"> of the </w:t>
      </w:r>
      <w:r w:rsidR="23ABF64A" w:rsidRPr="00873167">
        <w:rPr>
          <w:rFonts w:asciiTheme="minorHAnsi" w:hAnsiTheme="minorHAnsi" w:cstheme="minorHAnsi"/>
          <w:szCs w:val="22"/>
        </w:rPr>
        <w:t>three</w:t>
      </w:r>
      <w:r w:rsidRPr="00873167">
        <w:rPr>
          <w:rFonts w:asciiTheme="minorHAnsi" w:hAnsiTheme="minorHAnsi" w:cstheme="minorHAnsi"/>
          <w:szCs w:val="22"/>
        </w:rPr>
        <w:t xml:space="preserve"> options provided, Option </w:t>
      </w:r>
      <w:r w:rsidR="5608EB53" w:rsidRPr="00873167">
        <w:rPr>
          <w:rFonts w:asciiTheme="minorHAnsi" w:hAnsiTheme="minorHAnsi" w:cstheme="minorHAnsi"/>
          <w:szCs w:val="22"/>
        </w:rPr>
        <w:t>Two</w:t>
      </w:r>
      <w:r w:rsidR="00B459C4" w:rsidRPr="00873167">
        <w:rPr>
          <w:rStyle w:val="FootnoteReference"/>
          <w:rFonts w:asciiTheme="minorHAnsi" w:hAnsiTheme="minorHAnsi" w:cstheme="minorHAnsi"/>
          <w:szCs w:val="22"/>
        </w:rPr>
        <w:footnoteReference w:id="13"/>
      </w:r>
      <w:r w:rsidRPr="00873167">
        <w:rPr>
          <w:rFonts w:asciiTheme="minorHAnsi" w:hAnsiTheme="minorHAnsi" w:cstheme="minorHAnsi"/>
          <w:szCs w:val="22"/>
        </w:rPr>
        <w:t xml:space="preserve"> is the most appropriate course of action. </w:t>
      </w:r>
      <w:r w:rsidR="4341249A" w:rsidRPr="00426078">
        <w:rPr>
          <w:rFonts w:asciiTheme="minorHAnsi" w:hAnsiTheme="minorHAnsi" w:cstheme="minorHAnsi"/>
          <w:szCs w:val="22"/>
        </w:rPr>
        <w:t>With the RBA</w:t>
      </w:r>
      <w:r w:rsidR="56E3EBFC" w:rsidRPr="00426078">
        <w:rPr>
          <w:rFonts w:asciiTheme="minorHAnsi" w:hAnsiTheme="minorHAnsi" w:cstheme="minorHAnsi"/>
          <w:szCs w:val="22"/>
        </w:rPr>
        <w:t>’s</w:t>
      </w:r>
      <w:r w:rsidR="4341249A" w:rsidRPr="00426078">
        <w:rPr>
          <w:rFonts w:asciiTheme="minorHAnsi" w:hAnsiTheme="minorHAnsi" w:cstheme="minorHAnsi"/>
          <w:szCs w:val="22"/>
        </w:rPr>
        <w:t xml:space="preserve"> </w:t>
      </w:r>
      <w:r w:rsidR="21E9C78E" w:rsidRPr="00426078">
        <w:rPr>
          <w:rFonts w:asciiTheme="minorHAnsi" w:hAnsiTheme="minorHAnsi" w:cstheme="minorHAnsi"/>
          <w:szCs w:val="22"/>
        </w:rPr>
        <w:t>recommendation of</w:t>
      </w:r>
      <w:r w:rsidR="4341249A" w:rsidRPr="00426078">
        <w:rPr>
          <w:rFonts w:asciiTheme="minorHAnsi" w:hAnsiTheme="minorHAnsi" w:cstheme="minorHAnsi"/>
          <w:szCs w:val="22"/>
        </w:rPr>
        <w:t xml:space="preserve"> Option Two</w:t>
      </w:r>
      <w:r w:rsidR="0D1E532C" w:rsidRPr="00426078">
        <w:rPr>
          <w:rFonts w:asciiTheme="minorHAnsi" w:hAnsiTheme="minorHAnsi" w:cstheme="minorHAnsi"/>
          <w:szCs w:val="22"/>
        </w:rPr>
        <w:t xml:space="preserve">, </w:t>
      </w:r>
      <w:r w:rsidR="66B8CE93" w:rsidRPr="00426078">
        <w:rPr>
          <w:rFonts w:asciiTheme="minorHAnsi" w:hAnsiTheme="minorHAnsi" w:cstheme="minorHAnsi"/>
          <w:szCs w:val="22"/>
        </w:rPr>
        <w:t xml:space="preserve">Visa welcomes the application of this policy setting consistently across </w:t>
      </w:r>
      <w:r w:rsidR="3A97A3E9" w:rsidRPr="00426078">
        <w:rPr>
          <w:rFonts w:asciiTheme="minorHAnsi" w:hAnsiTheme="minorHAnsi" w:cstheme="minorHAnsi"/>
          <w:szCs w:val="22"/>
        </w:rPr>
        <w:t>all</w:t>
      </w:r>
      <w:r w:rsidR="7F02724B" w:rsidRPr="00426078">
        <w:rPr>
          <w:rFonts w:asciiTheme="minorHAnsi" w:hAnsiTheme="minorHAnsi" w:cstheme="minorHAnsi"/>
          <w:szCs w:val="22"/>
        </w:rPr>
        <w:t xml:space="preserve"> </w:t>
      </w:r>
      <w:r w:rsidR="66B8CE93" w:rsidRPr="00426078">
        <w:rPr>
          <w:rFonts w:asciiTheme="minorHAnsi" w:hAnsiTheme="minorHAnsi" w:cstheme="minorHAnsi"/>
          <w:szCs w:val="22"/>
        </w:rPr>
        <w:t>payment networks</w:t>
      </w:r>
      <w:r w:rsidR="20212457" w:rsidRPr="00426078">
        <w:rPr>
          <w:rFonts w:asciiTheme="minorHAnsi" w:hAnsiTheme="minorHAnsi" w:cstheme="minorHAnsi"/>
          <w:szCs w:val="22"/>
        </w:rPr>
        <w:t xml:space="preserve"> to </w:t>
      </w:r>
      <w:r w:rsidR="5D43A1CC" w:rsidRPr="00426078">
        <w:rPr>
          <w:rFonts w:asciiTheme="minorHAnsi" w:hAnsiTheme="minorHAnsi" w:cstheme="minorHAnsi"/>
          <w:szCs w:val="22"/>
        </w:rPr>
        <w:t xml:space="preserve">ensure </w:t>
      </w:r>
      <w:r w:rsidR="20212457" w:rsidRPr="00426078">
        <w:rPr>
          <w:rFonts w:asciiTheme="minorHAnsi" w:hAnsiTheme="minorHAnsi" w:cstheme="minorHAnsi"/>
          <w:szCs w:val="22"/>
        </w:rPr>
        <w:t>a level playing field</w:t>
      </w:r>
      <w:r w:rsidR="2384F440" w:rsidRPr="00426078">
        <w:rPr>
          <w:rFonts w:asciiTheme="minorHAnsi" w:hAnsiTheme="minorHAnsi" w:cstheme="minorHAnsi"/>
          <w:szCs w:val="22"/>
        </w:rPr>
        <w:t>.</w:t>
      </w:r>
      <w:r w:rsidR="0E4797A4" w:rsidRPr="00426078">
        <w:rPr>
          <w:rFonts w:asciiTheme="minorHAnsi" w:hAnsiTheme="minorHAnsi" w:cstheme="minorHAnsi"/>
          <w:szCs w:val="22"/>
        </w:rPr>
        <w:t xml:space="preserve"> Limiting the explicit expectation of Dual</w:t>
      </w:r>
      <w:r w:rsidR="00345AB8">
        <w:rPr>
          <w:rFonts w:asciiTheme="minorHAnsi" w:hAnsiTheme="minorHAnsi" w:cstheme="minorHAnsi"/>
          <w:szCs w:val="22"/>
        </w:rPr>
        <w:t>-</w:t>
      </w:r>
      <w:r w:rsidR="0E4797A4" w:rsidRPr="00426078">
        <w:rPr>
          <w:rFonts w:asciiTheme="minorHAnsi" w:hAnsiTheme="minorHAnsi" w:cstheme="minorHAnsi"/>
          <w:szCs w:val="22"/>
        </w:rPr>
        <w:t xml:space="preserve">Network Debit Card (DNDC) issuance to the four major banks will provide new and greater opportunities for smaller issuers to compete and innovate. This is especially significant considering that many of the development costs </w:t>
      </w:r>
      <w:r w:rsidR="00BD7F0B">
        <w:rPr>
          <w:rFonts w:asciiTheme="minorHAnsi" w:hAnsiTheme="minorHAnsi" w:cstheme="minorHAnsi"/>
          <w:szCs w:val="22"/>
        </w:rPr>
        <w:lastRenderedPageBreak/>
        <w:t>of</w:t>
      </w:r>
      <w:r w:rsidR="0E4797A4" w:rsidRPr="00426078">
        <w:rPr>
          <w:rFonts w:asciiTheme="minorHAnsi" w:hAnsiTheme="minorHAnsi" w:cstheme="minorHAnsi"/>
          <w:szCs w:val="22"/>
        </w:rPr>
        <w:t xml:space="preserve"> new services often need to be built twice, or at least in a way that the service works consistently irrespective of the network </w:t>
      </w:r>
      <w:r w:rsidRPr="00873167">
        <w:rPr>
          <w:rStyle w:val="FootnoteReference"/>
          <w:rFonts w:asciiTheme="minorHAnsi" w:hAnsiTheme="minorHAnsi" w:cstheme="minorHAnsi"/>
          <w:szCs w:val="22"/>
        </w:rPr>
        <w:footnoteReference w:id="14"/>
      </w:r>
      <w:r w:rsidR="0E4797A4" w:rsidRPr="00873167">
        <w:rPr>
          <w:rFonts w:asciiTheme="minorHAnsi" w:hAnsiTheme="minorHAnsi" w:cstheme="minorHAnsi"/>
          <w:szCs w:val="22"/>
        </w:rPr>
        <w:t xml:space="preserve"> (e.g. mobile wallet tokenisation).  </w:t>
      </w:r>
    </w:p>
    <w:p w14:paraId="4E6FD95F" w14:textId="77777777" w:rsidR="00996E56" w:rsidRPr="006A3BFF" w:rsidRDefault="00996E56" w:rsidP="747CE291">
      <w:pPr>
        <w:pStyle w:val="ListParagraph"/>
        <w:ind w:left="0"/>
        <w:jc w:val="both"/>
        <w:rPr>
          <w:rFonts w:asciiTheme="minorHAnsi" w:hAnsiTheme="minorHAnsi"/>
        </w:rPr>
      </w:pPr>
    </w:p>
    <w:p w14:paraId="771C50A6" w14:textId="612E1FFC" w:rsidR="00846EEC" w:rsidRDefault="00E261E3" w:rsidP="0A2C9CE2">
      <w:pPr>
        <w:jc w:val="both"/>
      </w:pPr>
      <w:r>
        <w:t xml:space="preserve">With </w:t>
      </w:r>
      <w:r w:rsidR="0074637A">
        <w:t>respect to Option Two, it</w:t>
      </w:r>
      <w:r w:rsidR="00846EEC" w:rsidRPr="0692DA4A">
        <w:t xml:space="preserve"> is important to note that there is a significant gap between the </w:t>
      </w:r>
      <w:r w:rsidR="00900051" w:rsidRPr="0692DA4A">
        <w:t>fourth</w:t>
      </w:r>
      <w:r w:rsidR="00846EEC" w:rsidRPr="0692DA4A">
        <w:t xml:space="preserve"> and </w:t>
      </w:r>
      <w:r w:rsidR="00900051" w:rsidRPr="0692DA4A">
        <w:t>fifth</w:t>
      </w:r>
      <w:r w:rsidR="00846EEC" w:rsidRPr="0692DA4A">
        <w:t xml:space="preserve"> largest bank</w:t>
      </w:r>
      <w:r w:rsidR="00D65276" w:rsidRPr="0692DA4A">
        <w:t>s</w:t>
      </w:r>
      <w:r w:rsidR="00E13E90" w:rsidRPr="0692DA4A">
        <w:t>. A</w:t>
      </w:r>
      <w:r w:rsidR="00846EEC" w:rsidRPr="0692DA4A">
        <w:t xml:space="preserve">s of March 2021, the </w:t>
      </w:r>
      <w:r w:rsidR="00E13E90" w:rsidRPr="0692DA4A">
        <w:t>four</w:t>
      </w:r>
      <w:r w:rsidR="00846EEC" w:rsidRPr="0692DA4A">
        <w:t xml:space="preserve">th largest </w:t>
      </w:r>
      <w:r w:rsidR="00493735" w:rsidRPr="0692DA4A">
        <w:t>bank</w:t>
      </w:r>
      <w:r w:rsidR="00846EEC" w:rsidRPr="0692DA4A">
        <w:t xml:space="preserve"> represented 12.55 per cent of household deposits market share</w:t>
      </w:r>
      <w:r w:rsidR="000F0370" w:rsidRPr="0692DA4A">
        <w:t>,</w:t>
      </w:r>
      <w:r w:rsidR="00E13E90" w:rsidRPr="0692DA4A">
        <w:t xml:space="preserve"> </w:t>
      </w:r>
      <w:r w:rsidR="00846EEC" w:rsidRPr="0692DA4A">
        <w:t xml:space="preserve">which compared to 3.55 percent </w:t>
      </w:r>
      <w:r w:rsidR="00493735" w:rsidRPr="0692DA4A">
        <w:t>for</w:t>
      </w:r>
      <w:r w:rsidR="00846EEC" w:rsidRPr="0692DA4A">
        <w:t xml:space="preserve"> the </w:t>
      </w:r>
      <w:r w:rsidR="00E13E90" w:rsidRPr="0692DA4A">
        <w:t>fif</w:t>
      </w:r>
      <w:r w:rsidR="00846EEC" w:rsidRPr="0692DA4A">
        <w:t xml:space="preserve">th largest </w:t>
      </w:r>
      <w:r w:rsidR="00E13E90" w:rsidRPr="0692DA4A">
        <w:t>bank</w:t>
      </w:r>
      <w:r w:rsidR="00846EEC" w:rsidRPr="0692DA4A">
        <w:t xml:space="preserve"> in the same month. This significant scale differential has direct implications for the ability </w:t>
      </w:r>
      <w:r w:rsidR="00141811" w:rsidRPr="0692DA4A">
        <w:t>of</w:t>
      </w:r>
      <w:r w:rsidR="00846EEC" w:rsidRPr="0692DA4A">
        <w:t xml:space="preserve"> non-major banks to gain economies </w:t>
      </w:r>
      <w:r w:rsidR="00B42519">
        <w:t xml:space="preserve">of scale </w:t>
      </w:r>
      <w:r w:rsidR="00846EEC" w:rsidRPr="0692DA4A">
        <w:t>and, therefore, compete. To put this scale distribution into further context, the six non-major bank issuers with greater than 1 per cent household deposit market share</w:t>
      </w:r>
      <w:r w:rsidR="00B62AB6" w:rsidRPr="0692DA4A">
        <w:t xml:space="preserve"> comprise</w:t>
      </w:r>
      <w:r w:rsidR="00846EEC" w:rsidRPr="0692DA4A">
        <w:t xml:space="preserve"> 14 per cent of total household deposits (March 2021)</w:t>
      </w:r>
      <w:r w:rsidR="00B62AB6" w:rsidRPr="0692DA4A">
        <w:t>,</w:t>
      </w:r>
      <w:r w:rsidR="00846EEC" w:rsidRPr="0692DA4A">
        <w:t xml:space="preserve"> which is roughly the size of only one major bank</w:t>
      </w:r>
      <w:r w:rsidR="000622B3">
        <w:rPr>
          <w:rStyle w:val="FootnoteReference"/>
        </w:rPr>
        <w:footnoteReference w:id="15"/>
      </w:r>
      <w:r w:rsidR="000622B3">
        <w:t>.</w:t>
      </w:r>
      <w:r w:rsidR="00887D14">
        <w:t xml:space="preserve"> </w:t>
      </w:r>
    </w:p>
    <w:p w14:paraId="6B3B6B22" w14:textId="77777777" w:rsidR="000638DA" w:rsidRDefault="000638DA" w:rsidP="0A2C9CE2">
      <w:pPr>
        <w:jc w:val="both"/>
      </w:pPr>
    </w:p>
    <w:p w14:paraId="6CF3787F" w14:textId="5B65D17F" w:rsidR="00D404BE" w:rsidRDefault="000638DA" w:rsidP="00B42519">
      <w:pPr>
        <w:jc w:val="both"/>
        <w:rPr>
          <w:rStyle w:val="normaltextrun"/>
          <w:color w:val="000000"/>
          <w:shd w:val="clear" w:color="auto" w:fill="FFFFFF"/>
        </w:rPr>
      </w:pPr>
      <w:r>
        <w:t xml:space="preserve">The implication of this volume </w:t>
      </w:r>
      <w:r w:rsidR="004F14F5">
        <w:t xml:space="preserve">composition </w:t>
      </w:r>
      <w:r>
        <w:t xml:space="preserve">is that this model will not compromise the RBA’s </w:t>
      </w:r>
      <w:r w:rsidR="0012462F">
        <w:t xml:space="preserve">MCR </w:t>
      </w:r>
      <w:r>
        <w:t xml:space="preserve">policy </w:t>
      </w:r>
      <w:r w:rsidRPr="007B3DFA">
        <w:t>objectives</w:t>
      </w:r>
      <w:r w:rsidRPr="00030040">
        <w:t xml:space="preserve">. </w:t>
      </w:r>
      <w:r w:rsidR="007B3DFA" w:rsidRPr="007B3DFA">
        <w:t>In</w:t>
      </w:r>
      <w:r w:rsidR="007B3DFA">
        <w:t xml:space="preserve"> addition, the role of Single Network Debit Cards (SNDC) in market dynamics can be inferred, given eftpos has the largest SNDC portfolio in the market today (which is significant across both major and smaller issuers).</w:t>
      </w:r>
      <w:r w:rsidR="007B3DFA" w:rsidRPr="00506715" w:rsidDel="007B3DFA">
        <w:rPr>
          <w:rStyle w:val="normaltextrun"/>
          <w:color w:val="000000"/>
          <w:highlight w:val="green"/>
          <w:shd w:val="clear" w:color="auto" w:fill="FFFFFF"/>
        </w:rPr>
        <w:t xml:space="preserve"> </w:t>
      </w:r>
    </w:p>
    <w:p w14:paraId="64376811" w14:textId="77777777" w:rsidR="0012462F" w:rsidRPr="006A3BFF" w:rsidRDefault="0012462F" w:rsidP="001A3E60">
      <w:pPr>
        <w:jc w:val="both"/>
      </w:pPr>
    </w:p>
    <w:p w14:paraId="71050AAF" w14:textId="5C86421F" w:rsidR="00546962" w:rsidRPr="001A3E60" w:rsidRDefault="00425FBA" w:rsidP="00546962">
      <w:pPr>
        <w:rPr>
          <w:rFonts w:cs="Segoe UI"/>
          <w:iCs/>
          <w:color w:val="002060"/>
        </w:rPr>
      </w:pPr>
      <w:r w:rsidRPr="001A3E60">
        <w:rPr>
          <w:rStyle w:val="IntenseEmphasis"/>
          <w:rFonts w:eastAsiaTheme="minorEastAsia"/>
          <w:b/>
          <w:i w:val="0"/>
          <w:color w:val="002060"/>
          <w:sz w:val="26"/>
          <w:szCs w:val="26"/>
        </w:rPr>
        <w:t xml:space="preserve">1.2 </w:t>
      </w:r>
      <w:r w:rsidR="00F71EF5" w:rsidRPr="001A3E60">
        <w:rPr>
          <w:rStyle w:val="IntenseEmphasis"/>
          <w:rFonts w:eastAsiaTheme="minorEastAsia"/>
          <w:b/>
          <w:i w:val="0"/>
          <w:color w:val="002060"/>
          <w:sz w:val="26"/>
          <w:szCs w:val="26"/>
        </w:rPr>
        <w:t>Merchant Choice Routing</w:t>
      </w:r>
      <w:r w:rsidR="00FB46A3" w:rsidRPr="001A3E60">
        <w:rPr>
          <w:rStyle w:val="IntenseEmphasis"/>
          <w:rFonts w:eastAsiaTheme="minorEastAsia"/>
          <w:b/>
          <w:i w:val="0"/>
          <w:color w:val="002060"/>
          <w:sz w:val="26"/>
          <w:szCs w:val="26"/>
        </w:rPr>
        <w:t xml:space="preserve"> in the </w:t>
      </w:r>
      <w:r w:rsidR="00BE5A5B" w:rsidRPr="001A3E60">
        <w:rPr>
          <w:rStyle w:val="IntenseEmphasis"/>
          <w:rFonts w:eastAsiaTheme="minorEastAsia"/>
          <w:b/>
          <w:i w:val="0"/>
          <w:color w:val="002060"/>
          <w:sz w:val="26"/>
          <w:szCs w:val="26"/>
        </w:rPr>
        <w:t>F</w:t>
      </w:r>
      <w:r w:rsidR="000A2BC6" w:rsidRPr="001A3E60">
        <w:rPr>
          <w:rStyle w:val="IntenseEmphasis"/>
          <w:rFonts w:eastAsiaTheme="minorEastAsia"/>
          <w:b/>
          <w:i w:val="0"/>
          <w:color w:val="002060"/>
          <w:sz w:val="26"/>
          <w:szCs w:val="26"/>
        </w:rPr>
        <w:t>ace-to-</w:t>
      </w:r>
      <w:r w:rsidR="00BE5A5B" w:rsidRPr="001A3E60">
        <w:rPr>
          <w:rStyle w:val="IntenseEmphasis"/>
          <w:rFonts w:eastAsiaTheme="minorEastAsia"/>
          <w:b/>
          <w:i w:val="0"/>
          <w:color w:val="002060"/>
          <w:sz w:val="26"/>
          <w:szCs w:val="26"/>
        </w:rPr>
        <w:t>F</w:t>
      </w:r>
      <w:r w:rsidR="000A2BC6" w:rsidRPr="001A3E60">
        <w:rPr>
          <w:rStyle w:val="IntenseEmphasis"/>
          <w:rFonts w:eastAsiaTheme="minorEastAsia"/>
          <w:b/>
          <w:i w:val="0"/>
          <w:color w:val="002060"/>
          <w:sz w:val="26"/>
          <w:szCs w:val="26"/>
        </w:rPr>
        <w:t>ace</w:t>
      </w:r>
      <w:r w:rsidR="00FF7F2C" w:rsidRPr="001A3E60">
        <w:rPr>
          <w:rStyle w:val="IntenseEmphasis"/>
          <w:rFonts w:eastAsiaTheme="minorEastAsia"/>
          <w:b/>
          <w:i w:val="0"/>
          <w:color w:val="002060"/>
          <w:sz w:val="26"/>
          <w:szCs w:val="26"/>
        </w:rPr>
        <w:t xml:space="preserve"> </w:t>
      </w:r>
      <w:r w:rsidR="00BE5A5B" w:rsidRPr="001A3E60">
        <w:rPr>
          <w:rStyle w:val="IntenseEmphasis"/>
          <w:rFonts w:eastAsiaTheme="minorEastAsia"/>
          <w:b/>
          <w:i w:val="0"/>
          <w:color w:val="002060"/>
          <w:sz w:val="26"/>
          <w:szCs w:val="26"/>
        </w:rPr>
        <w:t>E</w:t>
      </w:r>
      <w:r w:rsidR="00546962" w:rsidRPr="001A3E60">
        <w:rPr>
          <w:rStyle w:val="IntenseEmphasis"/>
          <w:rFonts w:eastAsiaTheme="minorEastAsia"/>
          <w:b/>
          <w:i w:val="0"/>
          <w:color w:val="002060"/>
          <w:sz w:val="26"/>
          <w:szCs w:val="26"/>
        </w:rPr>
        <w:t>nvironment</w:t>
      </w:r>
      <w:r w:rsidR="00546962" w:rsidRPr="001A3E60">
        <w:rPr>
          <w:rFonts w:cs="Segoe UI"/>
          <w:iCs/>
          <w:color w:val="002060"/>
        </w:rPr>
        <w:t xml:space="preserve"> </w:t>
      </w:r>
    </w:p>
    <w:p w14:paraId="72CBC131" w14:textId="113635B8" w:rsidR="00DA0C58" w:rsidRDefault="00DA0C58">
      <w:pPr>
        <w:rPr>
          <w:rStyle w:val="IntenseEmphasis"/>
          <w:rFonts w:eastAsiaTheme="minorEastAsia"/>
          <w:b/>
          <w:i w:val="0"/>
          <w:color w:val="2E74B5" w:themeColor="accent1" w:themeShade="BF"/>
          <w:sz w:val="26"/>
          <w:szCs w:val="26"/>
        </w:rPr>
      </w:pPr>
    </w:p>
    <w:p w14:paraId="65CBDC7D" w14:textId="77D8BAD1" w:rsidR="00BB7E89" w:rsidRPr="00030040" w:rsidRDefault="31B02A57" w:rsidP="00BB7E89">
      <w:pPr>
        <w:jc w:val="both"/>
        <w:rPr>
          <w:lang w:val="en-US"/>
        </w:rPr>
      </w:pPr>
      <w:r w:rsidRPr="7D57E45A" w:rsidDel="00C4083A">
        <w:t xml:space="preserve">Visa agrees with the </w:t>
      </w:r>
      <w:r w:rsidR="00F64AF2">
        <w:t>RBA</w:t>
      </w:r>
      <w:r w:rsidR="00F64AF2" w:rsidRPr="7D57E45A" w:rsidDel="00C4083A">
        <w:t>’s</w:t>
      </w:r>
      <w:r w:rsidR="00F64AF2">
        <w:t xml:space="preserve"> </w:t>
      </w:r>
      <w:r w:rsidR="4C735C3F">
        <w:t>recent</w:t>
      </w:r>
      <w:r w:rsidRPr="7D57E45A" w:rsidDel="00C4083A">
        <w:t xml:space="preserve"> assessment that “</w:t>
      </w:r>
      <w:r w:rsidR="4B18FBE7" w:rsidRPr="7D57E45A" w:rsidDel="00C4083A">
        <w:t>The payments industry has made considerable progress in the provision of LCR in the device-present environment without any explicit regulatory requirements</w:t>
      </w:r>
      <w:r w:rsidRPr="7D57E45A" w:rsidDel="00C4083A">
        <w:t>”</w:t>
      </w:r>
      <w:r w:rsidR="00BE188A" w:rsidRPr="7D57E45A" w:rsidDel="00C4083A">
        <w:rPr>
          <w:rStyle w:val="FootnoteReference"/>
        </w:rPr>
        <w:footnoteReference w:id="16"/>
      </w:r>
      <w:r w:rsidR="507EF5B9" w:rsidRPr="7D57E45A" w:rsidDel="00C4083A">
        <w:t xml:space="preserve">. </w:t>
      </w:r>
      <w:r w:rsidR="00BB7E89" w:rsidRPr="7D57E45A">
        <w:t>In this regard, Visa would highlight the findings of a</w:t>
      </w:r>
      <w:r w:rsidR="00BB7E89">
        <w:t xml:space="preserve"> recent</w:t>
      </w:r>
      <w:r w:rsidR="00BB7E89" w:rsidRPr="7D57E45A">
        <w:t xml:space="preserve"> </w:t>
      </w:r>
      <w:proofErr w:type="spellStart"/>
      <w:r w:rsidR="00BB7E89" w:rsidRPr="7D57E45A">
        <w:t>RFi</w:t>
      </w:r>
      <w:proofErr w:type="spellEnd"/>
      <w:r w:rsidR="00BB7E89" w:rsidRPr="7D57E45A">
        <w:t xml:space="preserve"> Group survey</w:t>
      </w:r>
      <w:r w:rsidR="00BB7E89" w:rsidRPr="7D57E45A">
        <w:rPr>
          <w:rStyle w:val="FootnoteReference"/>
        </w:rPr>
        <w:footnoteReference w:id="17"/>
      </w:r>
      <w:r w:rsidR="00BB7E89" w:rsidRPr="7D57E45A">
        <w:t xml:space="preserve"> </w:t>
      </w:r>
      <w:r w:rsidR="00BB7E89">
        <w:t xml:space="preserve">which examined merchant awareness and understanding of </w:t>
      </w:r>
      <w:proofErr w:type="gramStart"/>
      <w:r w:rsidR="00BB7E89">
        <w:t>MCR, and</w:t>
      </w:r>
      <w:proofErr w:type="gramEnd"/>
      <w:r w:rsidR="00BB7E89">
        <w:t xml:space="preserve"> supports the position that the RBA has reached</w:t>
      </w:r>
      <w:r w:rsidR="00BB7E89" w:rsidRPr="00030040">
        <w:t xml:space="preserve">. </w:t>
      </w:r>
      <w:r w:rsidR="008B2631" w:rsidRPr="00030040">
        <w:t xml:space="preserve">Of the nearly 1000 Australian merchants with a physical presence surveyed, there has been a significant increase in awareness of MCR from 27 per cent (in October 2019) to 66 per cent (April 2021). The merchants surveyed were more likely to understand the potential impact of MCR on their businesses in April 2021 compared to October 2019. In April 2021, 88 per cent of surveyed merchants indicated they had a good, or some, understanding of the potential impact that MCR holds for their business – compared to 72 per cent in October 2019. </w:t>
      </w:r>
    </w:p>
    <w:p w14:paraId="214D9CA5" w14:textId="77777777" w:rsidR="00B87863" w:rsidRPr="00030040" w:rsidRDefault="00B87863" w:rsidP="00D916AB">
      <w:pPr>
        <w:jc w:val="both"/>
        <w:rPr>
          <w:rFonts w:cstheme="minorHAnsi"/>
        </w:rPr>
      </w:pPr>
    </w:p>
    <w:p w14:paraId="62DDA1C0" w14:textId="7243C05D" w:rsidR="008B2631" w:rsidRDefault="3FF6E199" w:rsidP="00D916AB">
      <w:pPr>
        <w:jc w:val="both"/>
      </w:pPr>
      <w:r w:rsidRPr="00030040">
        <w:t>The Consultation Paper</w:t>
      </w:r>
      <w:r w:rsidR="0F6A024A" w:rsidRPr="00030040">
        <w:t xml:space="preserve"> </w:t>
      </w:r>
      <w:r w:rsidR="775863D8" w:rsidRPr="00030040">
        <w:t>s</w:t>
      </w:r>
      <w:r w:rsidR="49774818" w:rsidRPr="00030040">
        <w:t>tates</w:t>
      </w:r>
      <w:r w:rsidR="0F6A024A" w:rsidRPr="00030040">
        <w:t xml:space="preserve"> that “In the device-present environment, the Board’s expectation would be that all acquirers should </w:t>
      </w:r>
      <w:r w:rsidR="09861DE6" w:rsidRPr="00030040">
        <w:t xml:space="preserve">offer </w:t>
      </w:r>
      <w:r w:rsidR="273FFA94" w:rsidRPr="00030040">
        <w:t>and promote LCR functionality to their merchant customers. Further action seems unnecessary given the progress that has been made to date …”</w:t>
      </w:r>
      <w:r w:rsidR="00FE517D" w:rsidRPr="00030040">
        <w:rPr>
          <w:rStyle w:val="FootnoteReference"/>
        </w:rPr>
        <w:footnoteReference w:id="18"/>
      </w:r>
      <w:r w:rsidR="059178FC" w:rsidRPr="00030040">
        <w:t>.</w:t>
      </w:r>
      <w:r w:rsidR="56E2B8B8" w:rsidRPr="00030040">
        <w:t xml:space="preserve"> </w:t>
      </w:r>
      <w:bookmarkStart w:id="6" w:name="_Hlk76647429"/>
      <w:r w:rsidR="008B2631" w:rsidRPr="00030040">
        <w:t xml:space="preserve">The </w:t>
      </w:r>
      <w:proofErr w:type="spellStart"/>
      <w:r w:rsidR="008B2631" w:rsidRPr="00030040">
        <w:t>RFi</w:t>
      </w:r>
      <w:proofErr w:type="spellEnd"/>
      <w:r w:rsidR="008B2631" w:rsidRPr="00030040">
        <w:t xml:space="preserve"> Group survey finds that </w:t>
      </w:r>
      <w:r w:rsidR="00D57C32" w:rsidRPr="00030040">
        <w:t xml:space="preserve">of the 66 per cent </w:t>
      </w:r>
      <w:r w:rsidR="0048764B">
        <w:t xml:space="preserve">of merchants </w:t>
      </w:r>
      <w:r w:rsidR="008B2631" w:rsidRPr="00030040">
        <w:t>aware of MCR</w:t>
      </w:r>
      <w:r w:rsidR="00D57C32" w:rsidRPr="00030040">
        <w:t>, 62 per cent</w:t>
      </w:r>
      <w:r w:rsidR="008B2631" w:rsidRPr="00030040">
        <w:t xml:space="preserve"> have in turn made changes to the way they process transactions, with most saying they were driven by provider recommendations</w:t>
      </w:r>
      <w:bookmarkEnd w:id="6"/>
      <w:r w:rsidR="005A252E" w:rsidRPr="00030040">
        <w:rPr>
          <w:rStyle w:val="FootnoteReference"/>
        </w:rPr>
        <w:footnoteReference w:id="19"/>
      </w:r>
      <w:r w:rsidR="008B2631" w:rsidRPr="00030040">
        <w:t>. On average, 90 per cent of these merchants advised that they had made changes to the way they process transactions based on</w:t>
      </w:r>
      <w:r w:rsidR="008B2631">
        <w:t xml:space="preserve"> </w:t>
      </w:r>
      <w:r w:rsidR="008B2631" w:rsidRPr="00BF6FC7">
        <w:t>acquirer recommendations</w:t>
      </w:r>
      <w:r w:rsidR="005A252E" w:rsidRPr="00BF6FC7">
        <w:t xml:space="preserve"> (with the acquirers representing regional and major </w:t>
      </w:r>
      <w:r w:rsidR="005A252E" w:rsidRPr="00BF6FC7">
        <w:lastRenderedPageBreak/>
        <w:t>banks as well as non-banks</w:t>
      </w:r>
      <w:r w:rsidR="00DA3E18" w:rsidRPr="00BF6FC7">
        <w:t>)</w:t>
      </w:r>
      <w:r w:rsidR="005A252E" w:rsidRPr="00BF6FC7">
        <w:t>. The remaining 10 per cent said they enquired with their provider regarding MCR.</w:t>
      </w:r>
      <w:r w:rsidR="005A252E" w:rsidRPr="00BF6FC7">
        <w:rPr>
          <w:rStyle w:val="FootnoteReference"/>
        </w:rPr>
        <w:footnoteReference w:id="20"/>
      </w:r>
    </w:p>
    <w:p w14:paraId="0A824791" w14:textId="77777777" w:rsidR="008B2631" w:rsidRDefault="008B2631" w:rsidP="00D916AB">
      <w:pPr>
        <w:jc w:val="both"/>
      </w:pPr>
    </w:p>
    <w:p w14:paraId="16E2E1EA" w14:textId="6FAF2B59" w:rsidR="005C1C12" w:rsidRDefault="2AD02334" w:rsidP="00D916AB">
      <w:pPr>
        <w:jc w:val="both"/>
      </w:pPr>
      <w:r>
        <w:t xml:space="preserve">Throughout the Consultation Paper, the RBA has </w:t>
      </w:r>
      <w:r w:rsidR="00270936">
        <w:t>sought</w:t>
      </w:r>
      <w:r>
        <w:t xml:space="preserve"> to take a </w:t>
      </w:r>
      <w:r w:rsidR="746F820D">
        <w:t>fact</w:t>
      </w:r>
      <w:r w:rsidR="009C0CEA">
        <w:t>-</w:t>
      </w:r>
      <w:r>
        <w:t>based and data</w:t>
      </w:r>
      <w:r w:rsidR="0048764B">
        <w:t>-</w:t>
      </w:r>
      <w:r>
        <w:t xml:space="preserve">driven approach to assessing </w:t>
      </w:r>
      <w:r w:rsidR="5A406E2A">
        <w:t>issues and</w:t>
      </w:r>
      <w:r>
        <w:t xml:space="preserve"> underscored its presumption in favour of self-regulation. </w:t>
      </w:r>
      <w:r w:rsidR="5215D047">
        <w:t xml:space="preserve">While </w:t>
      </w:r>
      <w:r w:rsidR="02CAC62A">
        <w:t xml:space="preserve">an </w:t>
      </w:r>
      <w:r w:rsidR="00346EA1">
        <w:t>"</w:t>
      </w:r>
      <w:r w:rsidR="02CAC62A">
        <w:t>expectations</w:t>
      </w:r>
      <w:r w:rsidR="5215D047">
        <w:t>” based approach is certainly</w:t>
      </w:r>
      <w:r w:rsidR="13C2EE97">
        <w:t xml:space="preserve"> preferred over a regulatory approach, the data and facts on this </w:t>
      </w:r>
      <w:proofErr w:type="gramStart"/>
      <w:r w:rsidR="13C2EE97">
        <w:t>pa</w:t>
      </w:r>
      <w:r w:rsidR="06CD0BFA">
        <w:t>rticular issue</w:t>
      </w:r>
      <w:proofErr w:type="gramEnd"/>
      <w:r w:rsidR="06CD0BFA">
        <w:t xml:space="preserve"> suggest that no intervention is required. </w:t>
      </w:r>
      <w:r w:rsidR="1F468C94">
        <w:t>M</w:t>
      </w:r>
      <w:r w:rsidR="4365E802">
        <w:t xml:space="preserve">ost merchants appear to </w:t>
      </w:r>
      <w:r w:rsidR="55A187F8">
        <w:t xml:space="preserve">understand and appreciate there is a </w:t>
      </w:r>
      <w:r w:rsidR="099BDAFC">
        <w:t xml:space="preserve">wide </w:t>
      </w:r>
      <w:r w:rsidR="55A187F8">
        <w:t>range of choices available in the market today</w:t>
      </w:r>
      <w:r w:rsidR="099BDAFC">
        <w:t xml:space="preserve">, including solutions </w:t>
      </w:r>
      <w:r w:rsidR="099BDAFC" w:rsidRPr="00BF6FC7">
        <w:t>such as Buy Now Pay Later</w:t>
      </w:r>
      <w:r w:rsidR="53458E84" w:rsidRPr="00BF6FC7">
        <w:t xml:space="preserve"> (BNPL)</w:t>
      </w:r>
      <w:r w:rsidR="47870381" w:rsidRPr="00BF6FC7">
        <w:t>,</w:t>
      </w:r>
      <w:r w:rsidR="099BDAFC" w:rsidRPr="00BF6FC7">
        <w:t xml:space="preserve"> which tend to cost m</w:t>
      </w:r>
      <w:r w:rsidR="30B93D44" w:rsidRPr="00BF6FC7">
        <w:t xml:space="preserve">erchants more overall </w:t>
      </w:r>
      <w:r w:rsidR="099BDAFC" w:rsidRPr="00BF6FC7">
        <w:t>but</w:t>
      </w:r>
      <w:r w:rsidR="30B93D44" w:rsidRPr="00BF6FC7">
        <w:t xml:space="preserve"> may</w:t>
      </w:r>
      <w:r w:rsidR="099BDAFC" w:rsidRPr="00BF6FC7">
        <w:t xml:space="preserve"> </w:t>
      </w:r>
      <w:r w:rsidR="2844CD96" w:rsidRPr="00BF6FC7">
        <w:t>offer alternative forms of value</w:t>
      </w:r>
      <w:r w:rsidR="53458E84" w:rsidRPr="00BF6FC7">
        <w:t>.</w:t>
      </w:r>
      <w:r w:rsidR="5C9890ED" w:rsidRPr="7D57E45A">
        <w:t xml:space="preserve"> </w:t>
      </w:r>
    </w:p>
    <w:p w14:paraId="6DBC7695" w14:textId="77777777" w:rsidR="005C1C12" w:rsidRDefault="005C1C12" w:rsidP="00D916AB">
      <w:pPr>
        <w:jc w:val="both"/>
        <w:rPr>
          <w:rFonts w:cstheme="minorHAnsi"/>
        </w:rPr>
      </w:pPr>
    </w:p>
    <w:p w14:paraId="5CCDE63B" w14:textId="0B0B4CCC" w:rsidR="008657B4" w:rsidRDefault="17B9E0CE" w:rsidP="00D916AB">
      <w:pPr>
        <w:jc w:val="both"/>
      </w:pPr>
      <w:r w:rsidRPr="4597966B">
        <w:t>In this regard, Visa encourage</w:t>
      </w:r>
      <w:r w:rsidR="3510B27E" w:rsidRPr="4597966B">
        <w:t>s</w:t>
      </w:r>
      <w:r w:rsidRPr="4597966B">
        <w:t xml:space="preserve"> the RBA to focus on </w:t>
      </w:r>
      <w:r w:rsidR="4BA8565B" w:rsidRPr="4597966B">
        <w:t xml:space="preserve">sufficient </w:t>
      </w:r>
      <w:r w:rsidR="109E2A48" w:rsidRPr="4597966B">
        <w:t>promotion of</w:t>
      </w:r>
      <w:r w:rsidR="4C556873" w:rsidRPr="4597966B">
        <w:t>, and education about,</w:t>
      </w:r>
      <w:r w:rsidR="109E2A48" w:rsidRPr="4597966B">
        <w:t xml:space="preserve"> </w:t>
      </w:r>
      <w:r w:rsidR="00FF7F2C">
        <w:t>f2f</w:t>
      </w:r>
      <w:r w:rsidR="00EF21E9">
        <w:t xml:space="preserve"> </w:t>
      </w:r>
      <w:r w:rsidR="4C556873" w:rsidRPr="4597966B">
        <w:t>MCR, with merchants being able to</w:t>
      </w:r>
      <w:r w:rsidR="4A400A66" w:rsidRPr="4597966B">
        <w:t xml:space="preserve"> make the choice to</w:t>
      </w:r>
      <w:r w:rsidR="4C556873" w:rsidRPr="4597966B">
        <w:t xml:space="preserve"> take up </w:t>
      </w:r>
      <w:r w:rsidR="6B7D385E" w:rsidRPr="4597966B">
        <w:t>MCR</w:t>
      </w:r>
      <w:r w:rsidR="4C556873" w:rsidRPr="4597966B">
        <w:t xml:space="preserve"> </w:t>
      </w:r>
      <w:r w:rsidR="715A3124" w:rsidRPr="4597966B">
        <w:t xml:space="preserve">if they believe it will benefit their business. As Visa has outlined in the past, </w:t>
      </w:r>
      <w:r w:rsidR="3E2B45E5">
        <w:t>merchants</w:t>
      </w:r>
      <w:r w:rsidR="0FC8AB5A">
        <w:t xml:space="preserve"> may see advantages in choosing certain payment acceptance solutions </w:t>
      </w:r>
      <w:r w:rsidR="40EEB7F2">
        <w:t xml:space="preserve">based on </w:t>
      </w:r>
      <w:proofErr w:type="gramStart"/>
      <w:r w:rsidR="40EEB7F2">
        <w:t>a number of</w:t>
      </w:r>
      <w:proofErr w:type="gramEnd"/>
      <w:r w:rsidR="40EEB7F2">
        <w:t xml:space="preserve"> factors, such as </w:t>
      </w:r>
      <w:r w:rsidR="69219CAC">
        <w:t xml:space="preserve">value, </w:t>
      </w:r>
      <w:r w:rsidR="64963CAC">
        <w:t xml:space="preserve">system resilience, </w:t>
      </w:r>
      <w:r w:rsidR="40EEB7F2">
        <w:t>simplicity</w:t>
      </w:r>
      <w:r w:rsidR="69219CAC">
        <w:t>,</w:t>
      </w:r>
      <w:r w:rsidR="40EEB7F2">
        <w:t xml:space="preserve"> and innovation – and not just</w:t>
      </w:r>
      <w:r w:rsidR="0FC8AB5A">
        <w:t xml:space="preserve"> cost</w:t>
      </w:r>
      <w:r w:rsidR="40EEB7F2">
        <w:t>.</w:t>
      </w:r>
      <w:r w:rsidR="0FC8AB5A">
        <w:t xml:space="preserve"> This reflects a market trend wherein small businesses are selecting point-of-sale technologies that not only facilitate payments acceptance but also power payroll processes, inventory management and more. These solutions may cost businesses more </w:t>
      </w:r>
      <w:proofErr w:type="gramStart"/>
      <w:r w:rsidR="0FC8AB5A">
        <w:t>on a monthly basis</w:t>
      </w:r>
      <w:proofErr w:type="gramEnd"/>
      <w:r w:rsidR="0FC8AB5A">
        <w:t xml:space="preserve"> but deliver important additional sources of value and certainty in which they see and experience advantage. </w:t>
      </w:r>
      <w:r w:rsidR="22C00678">
        <w:t xml:space="preserve">In addition, </w:t>
      </w:r>
      <w:r w:rsidR="6183B4A2">
        <w:t>a</w:t>
      </w:r>
      <w:r w:rsidR="22C00678">
        <w:t xml:space="preserve">cquirers’ </w:t>
      </w:r>
      <w:r w:rsidR="27EC99C0">
        <w:t xml:space="preserve">anecdotally </w:t>
      </w:r>
      <w:r w:rsidR="2C1EB15B">
        <w:t>report</w:t>
      </w:r>
      <w:r w:rsidR="0FC8AB5A">
        <w:t xml:space="preserve"> to Visa that for </w:t>
      </w:r>
      <w:r w:rsidR="7590A386">
        <w:t>s</w:t>
      </w:r>
      <w:r w:rsidR="0FC8AB5A">
        <w:t>mall</w:t>
      </w:r>
      <w:r w:rsidR="7590A386">
        <w:t>-</w:t>
      </w:r>
      <w:r w:rsidR="0FC8AB5A">
        <w:t xml:space="preserve"> and </w:t>
      </w:r>
      <w:r w:rsidR="7590A386">
        <w:t>m</w:t>
      </w:r>
      <w:r w:rsidR="0FC8AB5A">
        <w:t>edium</w:t>
      </w:r>
      <w:r w:rsidR="7590A386">
        <w:t>-sized merchants</w:t>
      </w:r>
      <w:r w:rsidR="0FC8AB5A">
        <w:t xml:space="preserve"> price certainty can be a stronger benefit than least cost</w:t>
      </w:r>
      <w:r w:rsidR="008B30E0">
        <w:rPr>
          <w:rStyle w:val="FootnoteReference"/>
        </w:rPr>
        <w:footnoteReference w:id="21"/>
      </w:r>
      <w:r w:rsidR="1738EA7C">
        <w:t>.</w:t>
      </w:r>
    </w:p>
    <w:p w14:paraId="7572AE8F" w14:textId="77777777" w:rsidR="00AD5807" w:rsidRDefault="00AD5807" w:rsidP="00D916AB">
      <w:pPr>
        <w:jc w:val="both"/>
      </w:pPr>
    </w:p>
    <w:p w14:paraId="531927FC" w14:textId="46E3C097" w:rsidR="00E53117" w:rsidRPr="001A3E60" w:rsidRDefault="00425FBA">
      <w:pPr>
        <w:rPr>
          <w:rFonts w:cs="Segoe UI"/>
          <w:iCs/>
          <w:color w:val="002060"/>
        </w:rPr>
      </w:pPr>
      <w:r w:rsidRPr="001A3E60">
        <w:rPr>
          <w:rStyle w:val="IntenseEmphasis"/>
          <w:rFonts w:eastAsiaTheme="minorEastAsia"/>
          <w:b/>
          <w:i w:val="0"/>
          <w:color w:val="002060"/>
          <w:sz w:val="26"/>
          <w:szCs w:val="26"/>
        </w:rPr>
        <w:t>1.</w:t>
      </w:r>
      <w:r w:rsidR="00546962" w:rsidRPr="001A3E60">
        <w:rPr>
          <w:rStyle w:val="IntenseEmphasis"/>
          <w:rFonts w:eastAsiaTheme="minorEastAsia"/>
          <w:b/>
          <w:i w:val="0"/>
          <w:color w:val="002060"/>
          <w:sz w:val="26"/>
          <w:szCs w:val="26"/>
        </w:rPr>
        <w:t>3</w:t>
      </w:r>
      <w:r w:rsidRPr="001A3E60">
        <w:rPr>
          <w:rStyle w:val="IntenseEmphasis"/>
          <w:rFonts w:eastAsiaTheme="minorEastAsia"/>
          <w:b/>
          <w:i w:val="0"/>
          <w:color w:val="002060"/>
          <w:sz w:val="26"/>
          <w:szCs w:val="26"/>
        </w:rPr>
        <w:t xml:space="preserve"> </w:t>
      </w:r>
      <w:r w:rsidR="00F71EF5" w:rsidRPr="001A3E60">
        <w:rPr>
          <w:rStyle w:val="IntenseEmphasis"/>
          <w:rFonts w:eastAsiaTheme="minorEastAsia"/>
          <w:b/>
          <w:i w:val="0"/>
          <w:color w:val="002060"/>
          <w:sz w:val="26"/>
          <w:szCs w:val="26"/>
        </w:rPr>
        <w:t>Merchant Choice Routing</w:t>
      </w:r>
      <w:r w:rsidR="00FB46A3" w:rsidRPr="001A3E60">
        <w:rPr>
          <w:rStyle w:val="IntenseEmphasis"/>
          <w:rFonts w:eastAsiaTheme="minorEastAsia"/>
          <w:b/>
          <w:i w:val="0"/>
          <w:color w:val="002060"/>
          <w:sz w:val="26"/>
          <w:szCs w:val="26"/>
        </w:rPr>
        <w:t xml:space="preserve"> in the </w:t>
      </w:r>
      <w:r w:rsidR="00BE5A5B" w:rsidRPr="001A3E60">
        <w:rPr>
          <w:rStyle w:val="IntenseEmphasis"/>
          <w:rFonts w:eastAsiaTheme="minorEastAsia"/>
          <w:b/>
          <w:i w:val="0"/>
          <w:color w:val="002060"/>
          <w:sz w:val="26"/>
          <w:szCs w:val="26"/>
        </w:rPr>
        <w:t>O</w:t>
      </w:r>
      <w:r w:rsidR="00FB46A3" w:rsidRPr="001A3E60">
        <w:rPr>
          <w:rStyle w:val="IntenseEmphasis"/>
          <w:rFonts w:eastAsiaTheme="minorEastAsia"/>
          <w:b/>
          <w:i w:val="0"/>
          <w:color w:val="002060"/>
          <w:sz w:val="26"/>
          <w:szCs w:val="26"/>
        </w:rPr>
        <w:t xml:space="preserve">nline </w:t>
      </w:r>
      <w:r w:rsidR="00BE5A5B" w:rsidRPr="001A3E60">
        <w:rPr>
          <w:rStyle w:val="IntenseEmphasis"/>
          <w:rFonts w:eastAsiaTheme="minorEastAsia"/>
          <w:b/>
          <w:i w:val="0"/>
          <w:color w:val="002060"/>
          <w:sz w:val="26"/>
          <w:szCs w:val="26"/>
        </w:rPr>
        <w:t>E</w:t>
      </w:r>
      <w:r w:rsidR="00FB46A3" w:rsidRPr="001A3E60">
        <w:rPr>
          <w:rStyle w:val="IntenseEmphasis"/>
          <w:rFonts w:eastAsiaTheme="minorEastAsia"/>
          <w:b/>
          <w:i w:val="0"/>
          <w:color w:val="002060"/>
          <w:sz w:val="26"/>
          <w:szCs w:val="26"/>
        </w:rPr>
        <w:t>nvironment</w:t>
      </w:r>
      <w:r w:rsidR="00FB46A3" w:rsidRPr="001A3E60">
        <w:rPr>
          <w:rFonts w:cs="Segoe UI"/>
          <w:iCs/>
          <w:color w:val="002060"/>
        </w:rPr>
        <w:t xml:space="preserve"> </w:t>
      </w:r>
    </w:p>
    <w:p w14:paraId="21BF5E38" w14:textId="77777777" w:rsidR="009D0F75" w:rsidRPr="000B5790" w:rsidRDefault="009D0F75" w:rsidP="009D0F75">
      <w:pPr>
        <w:jc w:val="both"/>
        <w:rPr>
          <w:rFonts w:cstheme="minorHAnsi"/>
          <w:b/>
          <w:bCs/>
          <w:color w:val="000000"/>
        </w:rPr>
      </w:pPr>
    </w:p>
    <w:p w14:paraId="458E56D8" w14:textId="2F8B887C" w:rsidR="009D0F75" w:rsidRPr="001A3E60" w:rsidRDefault="008657B4" w:rsidP="009D0F75">
      <w:pPr>
        <w:jc w:val="both"/>
        <w:rPr>
          <w:rFonts w:cstheme="minorHAnsi"/>
          <w:b/>
          <w:bCs/>
          <w:color w:val="000000"/>
          <w:u w:val="single"/>
        </w:rPr>
      </w:pPr>
      <w:r w:rsidRPr="001A3E60">
        <w:rPr>
          <w:rFonts w:cstheme="minorHAnsi"/>
          <w:b/>
          <w:bCs/>
          <w:color w:val="000000"/>
          <w:u w:val="single"/>
        </w:rPr>
        <w:t>Introduction</w:t>
      </w:r>
    </w:p>
    <w:p w14:paraId="00A687C5" w14:textId="77777777" w:rsidR="009D0F75" w:rsidRPr="000B5790" w:rsidRDefault="009D0F75" w:rsidP="009D0F75">
      <w:pPr>
        <w:jc w:val="both"/>
        <w:rPr>
          <w:rFonts w:cstheme="minorHAnsi"/>
          <w:b/>
          <w:bCs/>
          <w:color w:val="000000"/>
        </w:rPr>
      </w:pPr>
    </w:p>
    <w:p w14:paraId="69C6F256" w14:textId="4B8DD7FE" w:rsidR="00232CCD" w:rsidRDefault="763E878E" w:rsidP="009D0F75">
      <w:pPr>
        <w:jc w:val="both"/>
        <w:rPr>
          <w:color w:val="000000" w:themeColor="text1"/>
        </w:rPr>
      </w:pPr>
      <w:r w:rsidRPr="7D57E45A">
        <w:rPr>
          <w:color w:val="000000" w:themeColor="text1"/>
        </w:rPr>
        <w:t>As acknowledged in the Consultation Paper, the online payments landscape is distinct from the type of payment experience delivered in-store</w:t>
      </w:r>
      <w:r w:rsidR="00FA592A" w:rsidRPr="7D57E45A">
        <w:rPr>
          <w:rStyle w:val="FootnoteReference"/>
          <w:color w:val="000000"/>
        </w:rPr>
        <w:footnoteReference w:id="22"/>
      </w:r>
      <w:r w:rsidRPr="7D57E45A">
        <w:rPr>
          <w:color w:val="000000" w:themeColor="text1"/>
        </w:rPr>
        <w:t>.</w:t>
      </w:r>
      <w:r w:rsidRPr="4F2C9454">
        <w:rPr>
          <w:color w:val="000000" w:themeColor="text1"/>
        </w:rPr>
        <w:t xml:space="preserve"> </w:t>
      </w:r>
      <w:r w:rsidR="72FAFBE9" w:rsidRPr="4F2C9454">
        <w:rPr>
          <w:color w:val="000000" w:themeColor="text1"/>
        </w:rPr>
        <w:t xml:space="preserve">Given the unique complexities and additional risks in the online </w:t>
      </w:r>
      <w:proofErr w:type="gramStart"/>
      <w:r w:rsidR="72FAFBE9" w:rsidRPr="4F2C9454">
        <w:rPr>
          <w:color w:val="000000" w:themeColor="text1"/>
        </w:rPr>
        <w:t>payments</w:t>
      </w:r>
      <w:proofErr w:type="gramEnd"/>
      <w:r w:rsidR="72FAFBE9" w:rsidRPr="4F2C9454">
        <w:rPr>
          <w:color w:val="000000" w:themeColor="text1"/>
        </w:rPr>
        <w:t xml:space="preserve"> environment, it is misleadin</w:t>
      </w:r>
      <w:r w:rsidR="0A74B5BA" w:rsidRPr="4F2C9454">
        <w:rPr>
          <w:color w:val="000000" w:themeColor="text1"/>
        </w:rPr>
        <w:t>g and factually incorrect</w:t>
      </w:r>
      <w:r w:rsidR="72FAFBE9" w:rsidRPr="4F2C9454">
        <w:rPr>
          <w:color w:val="000000" w:themeColor="text1"/>
        </w:rPr>
        <w:t xml:space="preserve"> to </w:t>
      </w:r>
      <w:r w:rsidR="06A5BB84" w:rsidRPr="4F2C9454">
        <w:rPr>
          <w:color w:val="000000" w:themeColor="text1"/>
        </w:rPr>
        <w:t>contend</w:t>
      </w:r>
      <w:r w:rsidR="5419FD98" w:rsidRPr="4F2C9454">
        <w:rPr>
          <w:color w:val="000000" w:themeColor="text1"/>
        </w:rPr>
        <w:t>, as some</w:t>
      </w:r>
      <w:r w:rsidR="0572933B" w:rsidRPr="4F2C9454">
        <w:rPr>
          <w:color w:val="000000" w:themeColor="text1"/>
        </w:rPr>
        <w:t xml:space="preserve"> </w:t>
      </w:r>
      <w:r w:rsidR="5419FD98" w:rsidRPr="4F2C9454">
        <w:rPr>
          <w:color w:val="000000" w:themeColor="text1"/>
        </w:rPr>
        <w:t>have</w:t>
      </w:r>
      <w:r w:rsidR="06A5BB84" w:rsidRPr="4F2C9454">
        <w:rPr>
          <w:color w:val="000000" w:themeColor="text1"/>
        </w:rPr>
        <w:t xml:space="preserve"> suggested to the RBA</w:t>
      </w:r>
      <w:r w:rsidR="0572933B" w:rsidRPr="4F2C9454">
        <w:rPr>
          <w:color w:val="000000" w:themeColor="text1"/>
        </w:rPr>
        <w:t>,</w:t>
      </w:r>
      <w:r w:rsidR="72FAFBE9" w:rsidRPr="4F2C9454">
        <w:rPr>
          <w:color w:val="000000" w:themeColor="text1"/>
        </w:rPr>
        <w:t xml:space="preserve"> that </w:t>
      </w:r>
      <w:r w:rsidR="31F2B737" w:rsidRPr="4F2C9454">
        <w:rPr>
          <w:color w:val="000000" w:themeColor="text1"/>
        </w:rPr>
        <w:t>M</w:t>
      </w:r>
      <w:r w:rsidR="72FAFBE9" w:rsidRPr="4F2C9454">
        <w:rPr>
          <w:color w:val="000000" w:themeColor="text1"/>
        </w:rPr>
        <w:t xml:space="preserve">CR </w:t>
      </w:r>
      <w:r w:rsidR="3E19FF14" w:rsidRPr="4F2C9454">
        <w:rPr>
          <w:color w:val="000000" w:themeColor="text1"/>
        </w:rPr>
        <w:t>can or should</w:t>
      </w:r>
      <w:r w:rsidR="72FAFBE9" w:rsidRPr="4F2C9454">
        <w:rPr>
          <w:color w:val="000000" w:themeColor="text1"/>
        </w:rPr>
        <w:t xml:space="preserve"> function in exactly the same way online as </w:t>
      </w:r>
      <w:r w:rsidR="00FD4458">
        <w:rPr>
          <w:color w:val="000000" w:themeColor="text1"/>
        </w:rPr>
        <w:t>f2f</w:t>
      </w:r>
      <w:r w:rsidR="72FAFBE9" w:rsidRPr="4F2C9454">
        <w:rPr>
          <w:color w:val="000000" w:themeColor="text1"/>
        </w:rPr>
        <w:t xml:space="preserve">. </w:t>
      </w:r>
      <w:r w:rsidR="08A65ADF" w:rsidRPr="4F2C9454">
        <w:rPr>
          <w:color w:val="000000" w:themeColor="text1"/>
        </w:rPr>
        <w:t xml:space="preserve">In addition, it is important to note that eftpos is </w:t>
      </w:r>
      <w:r w:rsidR="31F2B737" w:rsidRPr="4F2C9454">
        <w:rPr>
          <w:color w:val="000000" w:themeColor="text1"/>
        </w:rPr>
        <w:t>currently building</w:t>
      </w:r>
      <w:r w:rsidR="08A65ADF" w:rsidRPr="6EBC522A">
        <w:rPr>
          <w:color w:val="000000" w:themeColor="text1"/>
        </w:rPr>
        <w:t xml:space="preserve"> its online capabilities.</w:t>
      </w:r>
      <w:r w:rsidR="72FAFBE9" w:rsidRPr="6EBC522A">
        <w:rPr>
          <w:color w:val="000000" w:themeColor="text1"/>
        </w:rPr>
        <w:t xml:space="preserve"> </w:t>
      </w:r>
    </w:p>
    <w:p w14:paraId="465D685D" w14:textId="77777777" w:rsidR="00232CCD" w:rsidRDefault="00232CCD" w:rsidP="009D0F75">
      <w:pPr>
        <w:jc w:val="both"/>
        <w:rPr>
          <w:color w:val="000000" w:themeColor="text1"/>
        </w:rPr>
      </w:pPr>
    </w:p>
    <w:p w14:paraId="708875F0" w14:textId="3FDE193E" w:rsidR="008A0F9F" w:rsidRDefault="003E010A" w:rsidP="009D0F75">
      <w:pPr>
        <w:jc w:val="both"/>
        <w:rPr>
          <w:color w:val="000000" w:themeColor="text1"/>
        </w:rPr>
      </w:pPr>
      <w:r>
        <w:rPr>
          <w:color w:val="000000" w:themeColor="text1"/>
        </w:rPr>
        <w:t>Fo</w:t>
      </w:r>
      <w:r w:rsidR="008A5129">
        <w:rPr>
          <w:color w:val="000000" w:themeColor="text1"/>
        </w:rPr>
        <w:t>r this and several other reasons detailed below, Visa believes</w:t>
      </w:r>
      <w:r w:rsidR="00A44E47">
        <w:rPr>
          <w:color w:val="000000" w:themeColor="text1"/>
        </w:rPr>
        <w:t xml:space="preserve"> that</w:t>
      </w:r>
      <w:r w:rsidR="008A5129">
        <w:rPr>
          <w:color w:val="000000" w:themeColor="text1"/>
        </w:rPr>
        <w:t xml:space="preserve"> co</w:t>
      </w:r>
      <w:r w:rsidR="00940CA1" w:rsidRPr="7D57E45A">
        <w:rPr>
          <w:color w:val="000000" w:themeColor="text1"/>
        </w:rPr>
        <w:t xml:space="preserve">nsumer choice for DNDCs </w:t>
      </w:r>
      <w:r w:rsidR="00A44E47">
        <w:rPr>
          <w:color w:val="000000" w:themeColor="text1"/>
        </w:rPr>
        <w:t>must be hono</w:t>
      </w:r>
      <w:r w:rsidR="00D858FB">
        <w:rPr>
          <w:color w:val="000000" w:themeColor="text1"/>
        </w:rPr>
        <w:t>u</w:t>
      </w:r>
      <w:r w:rsidR="00A44E47">
        <w:rPr>
          <w:color w:val="000000" w:themeColor="text1"/>
        </w:rPr>
        <w:t xml:space="preserve">red and upheld </w:t>
      </w:r>
      <w:r w:rsidR="00940CA1" w:rsidRPr="7D57E45A">
        <w:rPr>
          <w:color w:val="000000" w:themeColor="text1"/>
        </w:rPr>
        <w:t xml:space="preserve">should acquirers, gateways, </w:t>
      </w:r>
      <w:r w:rsidR="00A44E47">
        <w:rPr>
          <w:color w:val="000000" w:themeColor="text1"/>
        </w:rPr>
        <w:t xml:space="preserve">or </w:t>
      </w:r>
      <w:r w:rsidR="00940CA1" w:rsidRPr="7D57E45A">
        <w:rPr>
          <w:color w:val="000000" w:themeColor="text1"/>
        </w:rPr>
        <w:t xml:space="preserve">merchants </w:t>
      </w:r>
      <w:r w:rsidR="00A44E47">
        <w:rPr>
          <w:color w:val="000000" w:themeColor="text1"/>
        </w:rPr>
        <w:t xml:space="preserve">choose to </w:t>
      </w:r>
      <w:r w:rsidR="001C5790">
        <w:rPr>
          <w:color w:val="000000" w:themeColor="text1"/>
        </w:rPr>
        <w:t>add</w:t>
      </w:r>
      <w:r w:rsidR="00940CA1" w:rsidRPr="7D57E45A">
        <w:rPr>
          <w:color w:val="000000" w:themeColor="text1"/>
        </w:rPr>
        <w:t xml:space="preserve"> eftpos</w:t>
      </w:r>
      <w:r w:rsidR="00D71FA3" w:rsidRPr="00D71FA3">
        <w:rPr>
          <w:color w:val="000000" w:themeColor="text1"/>
        </w:rPr>
        <w:t xml:space="preserve"> </w:t>
      </w:r>
      <w:r w:rsidR="001C5790">
        <w:rPr>
          <w:color w:val="000000" w:themeColor="text1"/>
        </w:rPr>
        <w:t xml:space="preserve">as an option </w:t>
      </w:r>
      <w:r w:rsidR="00D71FA3" w:rsidRPr="7D57E45A">
        <w:rPr>
          <w:color w:val="000000" w:themeColor="text1"/>
        </w:rPr>
        <w:t>in the online environment</w:t>
      </w:r>
      <w:r w:rsidR="00940CA1">
        <w:rPr>
          <w:color w:val="000000" w:themeColor="text1"/>
        </w:rPr>
        <w:t>.</w:t>
      </w:r>
      <w:r w:rsidR="00DD75C5">
        <w:rPr>
          <w:color w:val="000000" w:themeColor="text1"/>
        </w:rPr>
        <w:t xml:space="preserve"> </w:t>
      </w:r>
      <w:r w:rsidR="006A5FF2">
        <w:rPr>
          <w:color w:val="000000" w:themeColor="text1"/>
        </w:rPr>
        <w:t xml:space="preserve">Accordingly, </w:t>
      </w:r>
      <w:r w:rsidR="00940CA1" w:rsidRPr="7D57E45A">
        <w:rPr>
          <w:color w:val="000000" w:themeColor="text1"/>
        </w:rPr>
        <w:t xml:space="preserve">Visa encourages the </w:t>
      </w:r>
      <w:r w:rsidR="006A5FF2">
        <w:rPr>
          <w:color w:val="000000" w:themeColor="text1"/>
        </w:rPr>
        <w:t>RBA to revise Principle Two such that</w:t>
      </w:r>
      <w:r w:rsidR="00940CA1" w:rsidRPr="7D57E45A">
        <w:rPr>
          <w:color w:val="000000" w:themeColor="text1"/>
        </w:rPr>
        <w:t xml:space="preserve"> the core feature of DNDCs</w:t>
      </w:r>
      <w:r w:rsidR="00940CA1">
        <w:rPr>
          <w:color w:val="000000" w:themeColor="text1"/>
        </w:rPr>
        <w:t xml:space="preserve"> and </w:t>
      </w:r>
      <w:r w:rsidR="00940CA1" w:rsidRPr="7D57E45A">
        <w:rPr>
          <w:color w:val="000000" w:themeColor="text1"/>
        </w:rPr>
        <w:t>principle of consumer choice</w:t>
      </w:r>
      <w:r w:rsidR="008A0F9F">
        <w:rPr>
          <w:color w:val="000000" w:themeColor="text1"/>
        </w:rPr>
        <w:t xml:space="preserve"> </w:t>
      </w:r>
      <w:r w:rsidR="003351F0">
        <w:rPr>
          <w:color w:val="000000" w:themeColor="text1"/>
        </w:rPr>
        <w:t>are</w:t>
      </w:r>
      <w:r w:rsidR="00940CA1" w:rsidRPr="7D57E45A">
        <w:rPr>
          <w:color w:val="000000" w:themeColor="text1"/>
        </w:rPr>
        <w:t xml:space="preserve"> maintained in the online environment.  </w:t>
      </w:r>
    </w:p>
    <w:p w14:paraId="2311DD27" w14:textId="77777777" w:rsidR="008A0F9F" w:rsidRDefault="008A0F9F" w:rsidP="009D0F75">
      <w:pPr>
        <w:jc w:val="both"/>
        <w:rPr>
          <w:color w:val="000000" w:themeColor="text1"/>
        </w:rPr>
      </w:pPr>
    </w:p>
    <w:p w14:paraId="0050AAFF" w14:textId="2EAF1A0F" w:rsidR="004B4111" w:rsidRDefault="009D0F75" w:rsidP="003E1E3E">
      <w:pPr>
        <w:jc w:val="both"/>
        <w:rPr>
          <w:color w:val="000000"/>
        </w:rPr>
      </w:pPr>
      <w:r w:rsidRPr="2B0F30E8">
        <w:rPr>
          <w:color w:val="000000"/>
        </w:rPr>
        <w:t xml:space="preserve">The RBA states that “The [Payments System] Board is persuaded that the majority of customers do not have a preference between debit </w:t>
      </w:r>
      <w:r w:rsidR="0E46A0CD" w:rsidRPr="2B0F30E8">
        <w:rPr>
          <w:color w:val="000000"/>
        </w:rPr>
        <w:t xml:space="preserve">card </w:t>
      </w:r>
      <w:r w:rsidRPr="2B0F30E8">
        <w:rPr>
          <w:color w:val="000000"/>
        </w:rPr>
        <w:t>schemes</w:t>
      </w:r>
      <w:r w:rsidR="00621824">
        <w:rPr>
          <w:color w:val="000000"/>
        </w:rPr>
        <w:t>”</w:t>
      </w:r>
      <w:r w:rsidRPr="2B0F30E8">
        <w:rPr>
          <w:rStyle w:val="FootnoteReference"/>
          <w:color w:val="000000"/>
        </w:rPr>
        <w:footnoteReference w:id="23"/>
      </w:r>
      <w:r w:rsidRPr="2B0F30E8">
        <w:rPr>
          <w:color w:val="000000"/>
        </w:rPr>
        <w:t>. In the absence of evidence-based research in this area</w:t>
      </w:r>
      <w:r w:rsidR="00621824">
        <w:rPr>
          <w:color w:val="000000"/>
        </w:rPr>
        <w:t xml:space="preserve"> and</w:t>
      </w:r>
      <w:r w:rsidR="00DE20BF">
        <w:rPr>
          <w:color w:val="000000"/>
        </w:rPr>
        <w:t xml:space="preserve"> </w:t>
      </w:r>
      <w:r w:rsidR="00621824">
        <w:rPr>
          <w:color w:val="000000"/>
        </w:rPr>
        <w:t xml:space="preserve">as already mentioned, </w:t>
      </w:r>
      <w:r w:rsidRPr="2B0F30E8">
        <w:rPr>
          <w:color w:val="000000"/>
        </w:rPr>
        <w:t xml:space="preserve">Visa commissioned </w:t>
      </w:r>
      <w:r w:rsidR="0D584A89" w:rsidRPr="2B0F30E8">
        <w:rPr>
          <w:color w:val="000000" w:themeColor="text1"/>
        </w:rPr>
        <w:t xml:space="preserve">independent </w:t>
      </w:r>
      <w:r w:rsidRPr="2B0F30E8">
        <w:rPr>
          <w:color w:val="000000"/>
        </w:rPr>
        <w:t xml:space="preserve">research to better understand </w:t>
      </w:r>
      <w:r w:rsidRPr="2B0F30E8">
        <w:rPr>
          <w:color w:val="000000"/>
        </w:rPr>
        <w:lastRenderedPageBreak/>
        <w:t xml:space="preserve">consumer preferences </w:t>
      </w:r>
      <w:r w:rsidR="366E8E4B" w:rsidRPr="2B0F30E8">
        <w:rPr>
          <w:color w:val="000000"/>
        </w:rPr>
        <w:t>regarding</w:t>
      </w:r>
      <w:r w:rsidRPr="2B0F30E8">
        <w:rPr>
          <w:color w:val="000000"/>
        </w:rPr>
        <w:t xml:space="preserve"> payment networks process</w:t>
      </w:r>
      <w:r w:rsidR="366E8E4B" w:rsidRPr="2B0F30E8">
        <w:rPr>
          <w:color w:val="000000"/>
        </w:rPr>
        <w:t>ing</w:t>
      </w:r>
      <w:r w:rsidRPr="2B0F30E8">
        <w:rPr>
          <w:color w:val="000000"/>
        </w:rPr>
        <w:t xml:space="preserve"> transactions in-store and online. </w:t>
      </w:r>
      <w:r w:rsidR="004B4111" w:rsidRPr="004B4111">
        <w:rPr>
          <w:color w:val="000000"/>
        </w:rPr>
        <w:t>The survey found that consumers seek some important benefits when paying with a debit card, especially regarding security</w:t>
      </w:r>
      <w:r w:rsidR="004B4111">
        <w:rPr>
          <w:rStyle w:val="FootnoteReference"/>
          <w:color w:val="000000"/>
        </w:rPr>
        <w:footnoteReference w:id="24"/>
      </w:r>
      <w:r w:rsidR="004B4111" w:rsidRPr="004B4111">
        <w:rPr>
          <w:color w:val="000000"/>
        </w:rPr>
        <w:t>. Furthermore, Visa was more strongly associated than eftpos with delivering security-related benefits</w:t>
      </w:r>
      <w:r w:rsidR="004B4111">
        <w:rPr>
          <w:rStyle w:val="FootnoteReference"/>
          <w:color w:val="000000"/>
        </w:rPr>
        <w:footnoteReference w:id="25"/>
      </w:r>
      <w:r w:rsidR="004B4111" w:rsidRPr="004B4111">
        <w:rPr>
          <w:color w:val="000000"/>
        </w:rPr>
        <w:t>. More respondents indicated that they preferred Visa than eftpos on protection from fraudulent purchases (+ 20 per cent), fraudulent purchase alerts (+18 per cent) and ensuring card data remains safe (+17 per cent</w:t>
      </w:r>
      <w:r w:rsidR="004B4111">
        <w:rPr>
          <w:color w:val="000000"/>
        </w:rPr>
        <w:t>)</w:t>
      </w:r>
      <w:r w:rsidR="004B4111">
        <w:rPr>
          <w:rStyle w:val="FootnoteReference"/>
          <w:color w:val="000000"/>
        </w:rPr>
        <w:footnoteReference w:id="26"/>
      </w:r>
      <w:r w:rsidR="004B4111">
        <w:rPr>
          <w:color w:val="000000"/>
        </w:rPr>
        <w:t>.</w:t>
      </w:r>
    </w:p>
    <w:p w14:paraId="256BE847" w14:textId="79EE30FC" w:rsidR="003351F0" w:rsidRPr="000B5790" w:rsidRDefault="004B4111" w:rsidP="00E30814">
      <w:pPr>
        <w:jc w:val="both"/>
      </w:pPr>
      <w:r>
        <w:rPr>
          <w:color w:val="000000"/>
        </w:rPr>
        <w:br/>
      </w:r>
      <w:r w:rsidR="003351F0" w:rsidRPr="4F2C9454">
        <w:t xml:space="preserve">Against this backdrop, Visa strongly believes that consumers should continue to be provided the opportunity to make an informed decision about </w:t>
      </w:r>
      <w:r w:rsidR="003351F0">
        <w:t xml:space="preserve">over which </w:t>
      </w:r>
      <w:r w:rsidR="003351F0" w:rsidRPr="4F2C9454">
        <w:t xml:space="preserve">payment network </w:t>
      </w:r>
      <w:r w:rsidR="003351F0">
        <w:t xml:space="preserve">the transaction data is processed </w:t>
      </w:r>
      <w:r w:rsidR="003351F0" w:rsidRPr="4F2C9454">
        <w:t xml:space="preserve">when purchasing online. The CLEAR research </w:t>
      </w:r>
      <w:r w:rsidR="003351F0" w:rsidRPr="4F2C9454">
        <w:rPr>
          <w:color w:val="000000" w:themeColor="text1"/>
        </w:rPr>
        <w:t>underscores</w:t>
      </w:r>
      <w:r w:rsidR="003351F0" w:rsidRPr="4F2C9454">
        <w:t xml:space="preserve"> this point, finding that 67 per cent of consumers would be displeased if their preferred choice of payment network</w:t>
      </w:r>
      <w:r w:rsidR="00E15E62">
        <w:t xml:space="preserve"> for online and </w:t>
      </w:r>
      <w:r w:rsidR="00FF7F2C">
        <w:t>f2f</w:t>
      </w:r>
      <w:r w:rsidR="00E15E62">
        <w:t xml:space="preserve"> debit transactions </w:t>
      </w:r>
      <w:r w:rsidR="003351F0" w:rsidRPr="4F2C9454">
        <w:t>was overridden, and close to one third would choose to shop elsewhere</w:t>
      </w:r>
      <w:r w:rsidR="003351F0" w:rsidRPr="4F2C9454">
        <w:rPr>
          <w:rStyle w:val="FootnoteReference"/>
          <w:color w:val="000000"/>
        </w:rPr>
        <w:footnoteReference w:id="27"/>
      </w:r>
      <w:r w:rsidR="00880EA1">
        <w:t>. In Visa’s view, such consumer dissatisfaction would point to</w:t>
      </w:r>
      <w:r w:rsidR="003351F0" w:rsidRPr="4F2C9454">
        <w:t xml:space="preserve"> </w:t>
      </w:r>
      <w:r w:rsidR="00880EA1">
        <w:t xml:space="preserve">a potential </w:t>
      </w:r>
      <w:r w:rsidR="003351F0" w:rsidRPr="4F2C9454">
        <w:t xml:space="preserve">negative revenue impact for merchants. </w:t>
      </w:r>
    </w:p>
    <w:p w14:paraId="37BAAB7C" w14:textId="77777777" w:rsidR="003351F0" w:rsidRPr="000B5790" w:rsidRDefault="003351F0" w:rsidP="00E30814">
      <w:pPr>
        <w:pStyle w:val="paragraph"/>
        <w:spacing w:before="0" w:beforeAutospacing="0" w:after="0" w:afterAutospacing="0"/>
        <w:jc w:val="both"/>
        <w:textAlignment w:val="baseline"/>
        <w:rPr>
          <w:rFonts w:asciiTheme="minorHAnsi" w:hAnsiTheme="minorHAnsi" w:cstheme="minorHAnsi"/>
          <w:color w:val="000000"/>
        </w:rPr>
      </w:pPr>
    </w:p>
    <w:p w14:paraId="1FAA9452" w14:textId="7E9D1A5A" w:rsidR="00BA34DB" w:rsidRDefault="003351F0" w:rsidP="00E30814">
      <w:pPr>
        <w:jc w:val="both"/>
        <w:rPr>
          <w:lang w:val="en-US"/>
        </w:rPr>
      </w:pPr>
      <w:r w:rsidRPr="731AB12C">
        <w:rPr>
          <w:color w:val="000000" w:themeColor="text1"/>
        </w:rPr>
        <w:t xml:space="preserve">Consumers should continue to be able to select between payment networks and services, to ensure that the consumer benefits from the services and protections offered by their </w:t>
      </w:r>
      <w:r>
        <w:rPr>
          <w:color w:val="000000" w:themeColor="text1"/>
        </w:rPr>
        <w:t xml:space="preserve">payment </w:t>
      </w:r>
      <w:r w:rsidRPr="731AB12C">
        <w:rPr>
          <w:color w:val="000000" w:themeColor="text1"/>
        </w:rPr>
        <w:t xml:space="preserve">network of choice. This is evidenced in CLEAR’s research which found that 53 per cent of respondents would change their </w:t>
      </w:r>
      <w:r w:rsidRPr="731AB12C">
        <w:rPr>
          <w:color w:val="000000" w:themeColor="text1"/>
          <w:lang w:val="en-SG"/>
        </w:rPr>
        <w:t>online retailer if the rights and protections offered by their chosen payment network are not covered by a retailer’s chosen payment network</w:t>
      </w:r>
      <w:r w:rsidR="002C11A6">
        <w:rPr>
          <w:rStyle w:val="FootnoteReference"/>
          <w:color w:val="000000" w:themeColor="text1"/>
          <w:lang w:val="en-SG"/>
        </w:rPr>
        <w:footnoteReference w:id="28"/>
      </w:r>
      <w:r w:rsidRPr="731AB12C">
        <w:rPr>
          <w:color w:val="000000" w:themeColor="text1"/>
          <w:lang w:val="en-SG"/>
        </w:rPr>
        <w:t xml:space="preserve">. In addition, </w:t>
      </w:r>
      <w:r w:rsidR="00173718" w:rsidRPr="00173718">
        <w:rPr>
          <w:color w:val="000000"/>
          <w:lang w:val="en-SG"/>
        </w:rPr>
        <w:t>95 per cent of consumers want to know if retailers are overriding their payment network brand choice beforehand</w:t>
      </w:r>
      <w:r w:rsidR="00173718">
        <w:rPr>
          <w:color w:val="000000"/>
          <w:lang w:val="en-SG"/>
        </w:rPr>
        <w:t xml:space="preserve"> and </w:t>
      </w:r>
      <w:r w:rsidRPr="731AB12C">
        <w:rPr>
          <w:color w:val="000000" w:themeColor="text1"/>
          <w:lang w:val="en-SG"/>
        </w:rPr>
        <w:t xml:space="preserve">61 per cent of consumers said a retailer should </w:t>
      </w:r>
      <w:r w:rsidRPr="731AB12C">
        <w:rPr>
          <w:color w:val="000000" w:themeColor="text1"/>
        </w:rPr>
        <w:t xml:space="preserve">not decide for them – </w:t>
      </w:r>
      <w:r>
        <w:rPr>
          <w:color w:val="000000" w:themeColor="text1"/>
        </w:rPr>
        <w:t xml:space="preserve">rather, </w:t>
      </w:r>
      <w:r w:rsidRPr="731AB12C">
        <w:rPr>
          <w:color w:val="000000" w:themeColor="text1"/>
        </w:rPr>
        <w:t xml:space="preserve">they want to understand how their debit card </w:t>
      </w:r>
      <w:r>
        <w:rPr>
          <w:color w:val="000000" w:themeColor="text1"/>
        </w:rPr>
        <w:t xml:space="preserve">transaction are </w:t>
      </w:r>
      <w:r w:rsidRPr="731AB12C">
        <w:rPr>
          <w:color w:val="000000" w:themeColor="text1"/>
        </w:rPr>
        <w:t>processed</w:t>
      </w:r>
      <w:r w:rsidR="00621824">
        <w:rPr>
          <w:rStyle w:val="FootnoteReference"/>
          <w:color w:val="000000" w:themeColor="text1"/>
        </w:rPr>
        <w:footnoteReference w:id="29"/>
      </w:r>
      <w:r w:rsidRPr="731AB12C">
        <w:rPr>
          <w:color w:val="000000" w:themeColor="text1"/>
        </w:rPr>
        <w:t xml:space="preserve">. </w:t>
      </w:r>
      <w:r w:rsidR="00BA34DB">
        <w:t xml:space="preserve">Visa encourages the RBA to </w:t>
      </w:r>
      <w:proofErr w:type="gramStart"/>
      <w:r w:rsidR="00BA34DB">
        <w:t>take into account</w:t>
      </w:r>
      <w:proofErr w:type="gramEnd"/>
      <w:r w:rsidR="00BA34DB">
        <w:t xml:space="preserve"> these findings and ensure that its final assessment of whether </w:t>
      </w:r>
      <w:r w:rsidR="00BA34DB">
        <w:rPr>
          <w:color w:val="000000"/>
        </w:rPr>
        <w:t>customers do or do not have a preference between debit card schemes</w:t>
      </w:r>
      <w:r w:rsidR="00BA34DB">
        <w:t xml:space="preserve"> is </w:t>
      </w:r>
      <w:r w:rsidR="003D5466">
        <w:t>evidence-</w:t>
      </w:r>
      <w:r w:rsidR="00BA34DB">
        <w:t>based.</w:t>
      </w:r>
    </w:p>
    <w:p w14:paraId="24DEB2DA" w14:textId="0E802DD7" w:rsidR="00BA34DB" w:rsidRDefault="00BA34DB" w:rsidP="003351F0">
      <w:pPr>
        <w:pStyle w:val="paragraph"/>
        <w:spacing w:before="0" w:beforeAutospacing="0" w:after="0" w:afterAutospacing="0"/>
        <w:jc w:val="both"/>
        <w:textAlignment w:val="baseline"/>
        <w:rPr>
          <w:rFonts w:asciiTheme="minorHAnsi" w:hAnsiTheme="minorHAnsi" w:cstheme="minorHAnsi"/>
          <w:color w:val="000000" w:themeColor="text1"/>
        </w:rPr>
      </w:pPr>
    </w:p>
    <w:p w14:paraId="54B650FF" w14:textId="1F2A6EE4" w:rsidR="003351F0" w:rsidRPr="000B5790" w:rsidRDefault="003351F0" w:rsidP="003351F0">
      <w:pPr>
        <w:pStyle w:val="paragraph"/>
        <w:spacing w:before="0" w:beforeAutospacing="0" w:after="0" w:afterAutospacing="0"/>
        <w:jc w:val="both"/>
        <w:textAlignment w:val="baseline"/>
      </w:pPr>
      <w:r w:rsidRPr="66408A5B">
        <w:rPr>
          <w:color w:val="000000" w:themeColor="text1"/>
        </w:rPr>
        <w:t xml:space="preserve">Given developments in the payments industry, the proliferation of innovation, and the opportunities that come with digitisation, Visa believes it is critical that retail payments regulation focus on consumer protection and ensuring payment solutions are </w:t>
      </w:r>
      <w:r w:rsidRPr="4F2C9454">
        <w:rPr>
          <w:color w:val="000000" w:themeColor="text1"/>
        </w:rPr>
        <w:t>secure</w:t>
      </w:r>
      <w:r w:rsidRPr="66408A5B">
        <w:rPr>
          <w:color w:val="000000" w:themeColor="text1"/>
        </w:rPr>
        <w:t>. One notable market in this regard is Europe, which has concluded that an efficient market should guarantee consumer protection and a wide choice of payment services, and as such has mandated consumer choice.</w:t>
      </w:r>
      <w:r w:rsidRPr="66408A5B">
        <w:rPr>
          <w:rStyle w:val="FootnoteReference"/>
          <w:color w:val="000000" w:themeColor="text1"/>
        </w:rPr>
        <w:footnoteReference w:id="30"/>
      </w:r>
    </w:p>
    <w:p w14:paraId="714E3A2C" w14:textId="77777777" w:rsidR="003351F0" w:rsidRPr="008F1CBE" w:rsidRDefault="003351F0" w:rsidP="003351F0">
      <w:pPr>
        <w:pStyle w:val="paragraph"/>
        <w:spacing w:before="0" w:beforeAutospacing="0" w:after="0" w:afterAutospacing="0"/>
        <w:jc w:val="both"/>
        <w:textAlignment w:val="baseline"/>
        <w:rPr>
          <w:rFonts w:asciiTheme="minorHAnsi" w:hAnsiTheme="minorHAnsi" w:cstheme="minorBidi"/>
          <w:color w:val="000000" w:themeColor="text1"/>
        </w:rPr>
      </w:pPr>
    </w:p>
    <w:p w14:paraId="611AADA2" w14:textId="77777777" w:rsidR="003351F0" w:rsidRPr="000B5790" w:rsidRDefault="003351F0" w:rsidP="003351F0">
      <w:pPr>
        <w:pStyle w:val="paragraph"/>
        <w:spacing w:before="0" w:beforeAutospacing="0" w:after="0" w:afterAutospacing="0"/>
        <w:jc w:val="both"/>
        <w:textAlignment w:val="baseline"/>
        <w:rPr>
          <w:rFonts w:eastAsia="Calibri"/>
          <w:color w:val="000000" w:themeColor="text1"/>
        </w:rPr>
      </w:pPr>
      <w:r w:rsidRPr="34F7E7AB">
        <w:rPr>
          <w:rFonts w:asciiTheme="minorHAnsi" w:hAnsiTheme="minorHAnsi" w:cstheme="minorBidi"/>
          <w:color w:val="000000" w:themeColor="text1"/>
        </w:rPr>
        <w:t xml:space="preserve">Choice improves the cardholder experience by providing transparency and enabling cardholders to be in control when choosing how to pay. For engaged cardholders, choice ensures they can receive all the benefits associated with their </w:t>
      </w:r>
      <w:r>
        <w:rPr>
          <w:rFonts w:asciiTheme="minorHAnsi" w:hAnsiTheme="minorHAnsi" w:cstheme="minorBidi"/>
          <w:color w:val="000000" w:themeColor="text1"/>
        </w:rPr>
        <w:t>preferred payment network. In the case of Visa cardholders, this includes</w:t>
      </w:r>
      <w:r w:rsidRPr="34F7E7AB">
        <w:rPr>
          <w:rFonts w:asciiTheme="minorHAnsi" w:hAnsiTheme="minorHAnsi" w:cstheme="minorBidi"/>
          <w:color w:val="000000" w:themeColor="text1"/>
        </w:rPr>
        <w:t xml:space="preserve"> Zero Liability protection </w:t>
      </w:r>
      <w:r w:rsidRPr="496EB802">
        <w:rPr>
          <w:rFonts w:asciiTheme="minorHAnsi" w:hAnsiTheme="minorHAnsi" w:cstheme="minorBidi"/>
          <w:color w:val="000000" w:themeColor="text1"/>
        </w:rPr>
        <w:t>for fraudulent transactions and</w:t>
      </w:r>
      <w:r w:rsidRPr="34F7E7AB">
        <w:rPr>
          <w:rFonts w:asciiTheme="minorHAnsi" w:hAnsiTheme="minorHAnsi" w:cstheme="minorBidi"/>
          <w:color w:val="000000" w:themeColor="text1"/>
        </w:rPr>
        <w:t xml:space="preserve"> the security and reliability of the Visa payment network, including rights, obligations and protections which may apply to the transaction. Maintaining cardholder choice fosters competition among networks, merchants and between issuing banks, driving </w:t>
      </w:r>
      <w:r w:rsidRPr="34F7E7AB">
        <w:rPr>
          <w:rFonts w:asciiTheme="minorHAnsi" w:hAnsiTheme="minorHAnsi" w:cstheme="minorBidi"/>
          <w:color w:val="000000" w:themeColor="text1"/>
        </w:rPr>
        <w:lastRenderedPageBreak/>
        <w:t>all stakeholders to deepen investments in improved security and innovation.</w:t>
      </w:r>
      <w:r>
        <w:rPr>
          <w:rFonts w:asciiTheme="minorHAnsi" w:hAnsiTheme="minorHAnsi" w:cstheme="minorBidi"/>
          <w:color w:val="000000" w:themeColor="text1"/>
        </w:rPr>
        <w:t xml:space="preserve"> This is clearly in the public interest.</w:t>
      </w:r>
    </w:p>
    <w:p w14:paraId="45240761" w14:textId="77777777" w:rsidR="009D0F75" w:rsidRPr="000B5790" w:rsidRDefault="009D0F75" w:rsidP="009D0F75">
      <w:pPr>
        <w:pStyle w:val="paragraph"/>
        <w:spacing w:before="0" w:beforeAutospacing="0" w:after="0" w:afterAutospacing="0"/>
        <w:jc w:val="both"/>
        <w:textAlignment w:val="baseline"/>
        <w:rPr>
          <w:rFonts w:asciiTheme="minorHAnsi" w:hAnsiTheme="minorHAnsi" w:cstheme="minorHAnsi"/>
          <w:color w:val="000000"/>
        </w:rPr>
      </w:pPr>
    </w:p>
    <w:p w14:paraId="77B3AC51" w14:textId="77777777" w:rsidR="001C5790" w:rsidRPr="001A3E60" w:rsidRDefault="001C5790" w:rsidP="001C5790">
      <w:pPr>
        <w:jc w:val="both"/>
        <w:rPr>
          <w:rFonts w:cstheme="minorHAnsi"/>
          <w:b/>
          <w:bCs/>
          <w:color w:val="000000"/>
          <w:u w:val="single"/>
        </w:rPr>
      </w:pPr>
      <w:r w:rsidRPr="001A3E60">
        <w:rPr>
          <w:rFonts w:cstheme="minorHAnsi"/>
          <w:b/>
          <w:bCs/>
          <w:color w:val="000000"/>
          <w:u w:val="single"/>
        </w:rPr>
        <w:t>MCR in the online environment – established market practices</w:t>
      </w:r>
    </w:p>
    <w:p w14:paraId="217997CF" w14:textId="77777777" w:rsidR="009D0F75" w:rsidRPr="000B5790" w:rsidRDefault="009D0F75" w:rsidP="009D0F75">
      <w:pPr>
        <w:jc w:val="both"/>
        <w:rPr>
          <w:rFonts w:cstheme="minorHAnsi"/>
          <w:b/>
          <w:bCs/>
          <w:color w:val="000000"/>
        </w:rPr>
      </w:pPr>
    </w:p>
    <w:p w14:paraId="7B33E671" w14:textId="5ADF89AF" w:rsidR="001A62DE" w:rsidRPr="000B5790" w:rsidRDefault="001A62DE" w:rsidP="00E6134E">
      <w:pPr>
        <w:jc w:val="both"/>
        <w:rPr>
          <w:color w:val="000000"/>
        </w:rPr>
      </w:pPr>
      <w:r w:rsidRPr="6EBC522A">
        <w:rPr>
          <w:color w:val="000000" w:themeColor="text1"/>
        </w:rPr>
        <w:t>Visa notes that i</w:t>
      </w:r>
      <w:r w:rsidRPr="7D57E45A">
        <w:rPr>
          <w:color w:val="000000"/>
        </w:rPr>
        <w:t xml:space="preserve">n recent years, e-commerce has grown significantly, spurred by technological advancement and the secure and convenient experience it provides, as seen during the COVID-19 pandemic. </w:t>
      </w:r>
      <w:r>
        <w:rPr>
          <w:color w:val="000000" w:themeColor="text1"/>
        </w:rPr>
        <w:t xml:space="preserve">The online payments landscape </w:t>
      </w:r>
      <w:r w:rsidRPr="4F2C9454">
        <w:rPr>
          <w:color w:val="000000" w:themeColor="text1"/>
        </w:rPr>
        <w:t xml:space="preserve">today </w:t>
      </w:r>
      <w:r w:rsidRPr="7D57E45A">
        <w:rPr>
          <w:color w:val="000000" w:themeColor="text1"/>
        </w:rPr>
        <w:t xml:space="preserve">is a highly competitive environment, as evidenced by the increasing number of new entrants and payment methods </w:t>
      </w:r>
      <w:r w:rsidRPr="4F2C9454">
        <w:rPr>
          <w:color w:val="000000" w:themeColor="text1"/>
        </w:rPr>
        <w:t xml:space="preserve">introduced </w:t>
      </w:r>
      <w:r w:rsidRPr="7D57E45A">
        <w:rPr>
          <w:color w:val="000000" w:themeColor="text1"/>
        </w:rPr>
        <w:t xml:space="preserve">over the past several years, both domestic and international. </w:t>
      </w:r>
      <w:r>
        <w:rPr>
          <w:color w:val="000000" w:themeColor="text1"/>
        </w:rPr>
        <w:t xml:space="preserve">The </w:t>
      </w:r>
      <w:r w:rsidRPr="6EBC522A">
        <w:rPr>
          <w:color w:val="000000" w:themeColor="text1"/>
        </w:rPr>
        <w:t>wide range of payment methods</w:t>
      </w:r>
      <w:r>
        <w:rPr>
          <w:color w:val="000000" w:themeColor="text1"/>
        </w:rPr>
        <w:t xml:space="preserve"> currently available include</w:t>
      </w:r>
      <w:r w:rsidRPr="6EBC522A">
        <w:rPr>
          <w:color w:val="000000" w:themeColor="text1"/>
        </w:rPr>
        <w:t xml:space="preserve"> Visa, Mastercard, American Express, </w:t>
      </w:r>
      <w:proofErr w:type="spellStart"/>
      <w:r w:rsidRPr="6EBC522A">
        <w:rPr>
          <w:color w:val="000000" w:themeColor="text1"/>
        </w:rPr>
        <w:t>BPay</w:t>
      </w:r>
      <w:proofErr w:type="spellEnd"/>
      <w:r w:rsidRPr="6EBC522A">
        <w:rPr>
          <w:color w:val="000000" w:themeColor="text1"/>
        </w:rPr>
        <w:t xml:space="preserve">, PayPal, direct debit from a bank account, </w:t>
      </w:r>
      <w:proofErr w:type="spellStart"/>
      <w:r w:rsidRPr="6EBC522A">
        <w:rPr>
          <w:color w:val="000000" w:themeColor="text1"/>
        </w:rPr>
        <w:t>POLi</w:t>
      </w:r>
      <w:proofErr w:type="spellEnd"/>
      <w:r w:rsidRPr="6EBC522A">
        <w:rPr>
          <w:color w:val="000000" w:themeColor="text1"/>
        </w:rPr>
        <w:t xml:space="preserve">, Alipay, </w:t>
      </w:r>
      <w:proofErr w:type="spellStart"/>
      <w:r w:rsidRPr="6EBC522A">
        <w:rPr>
          <w:color w:val="000000" w:themeColor="text1"/>
        </w:rPr>
        <w:t>Afterpay</w:t>
      </w:r>
      <w:proofErr w:type="spellEnd"/>
      <w:r w:rsidRPr="6EBC522A">
        <w:rPr>
          <w:color w:val="000000" w:themeColor="text1"/>
        </w:rPr>
        <w:t>, Zip Pay</w:t>
      </w:r>
      <w:r w:rsidR="001C5790">
        <w:rPr>
          <w:color w:val="000000" w:themeColor="text1"/>
        </w:rPr>
        <w:t>, and Apple Pay</w:t>
      </w:r>
      <w:r w:rsidRPr="6EBC522A">
        <w:rPr>
          <w:color w:val="000000" w:themeColor="text1"/>
        </w:rPr>
        <w:t xml:space="preserve">, among many others. </w:t>
      </w:r>
    </w:p>
    <w:p w14:paraId="01C516DC" w14:textId="77777777" w:rsidR="0067258C" w:rsidRDefault="0067258C" w:rsidP="6EBC522A">
      <w:pPr>
        <w:jc w:val="both"/>
        <w:rPr>
          <w:color w:val="000000" w:themeColor="text1"/>
        </w:rPr>
      </w:pPr>
    </w:p>
    <w:p w14:paraId="540E2733" w14:textId="4540967B" w:rsidR="009D0F75" w:rsidRPr="000B5790" w:rsidRDefault="009D0F75" w:rsidP="6EBC522A">
      <w:pPr>
        <w:jc w:val="both"/>
        <w:rPr>
          <w:color w:val="000000"/>
        </w:rPr>
      </w:pPr>
      <w:r w:rsidRPr="6EBC522A">
        <w:rPr>
          <w:color w:val="000000" w:themeColor="text1"/>
        </w:rPr>
        <w:t xml:space="preserve">Each of these payment methods has been introduced under established market practices that provide consumer </w:t>
      </w:r>
      <w:r w:rsidRPr="6EBC522A">
        <w:rPr>
          <w:i/>
          <w:iCs/>
          <w:color w:val="000000" w:themeColor="text1"/>
        </w:rPr>
        <w:t>and</w:t>
      </w:r>
      <w:r w:rsidRPr="6EBC522A">
        <w:rPr>
          <w:color w:val="000000" w:themeColor="text1"/>
        </w:rPr>
        <w:t xml:space="preserve"> merchant choice, as well as a balanced and innovation-enabling approach. In practice, merchants introduce and offer these payment methods to consumers prior to any payment credentials being entered and an authenticated transaction taking place.</w:t>
      </w:r>
      <w:r w:rsidR="00486F8B" w:rsidRPr="6EBC522A">
        <w:rPr>
          <w:color w:val="000000" w:themeColor="text1"/>
        </w:rPr>
        <w:t xml:space="preserve"> </w:t>
      </w:r>
      <w:r w:rsidR="0099537E" w:rsidRPr="6EBC522A">
        <w:rPr>
          <w:color w:val="000000" w:themeColor="text1"/>
        </w:rPr>
        <w:t>Importantly, each payment method represents a different combination of risk</w:t>
      </w:r>
      <w:r w:rsidR="1B818C13" w:rsidRPr="6EBC522A">
        <w:rPr>
          <w:color w:val="000000" w:themeColor="text1"/>
        </w:rPr>
        <w:t>s</w:t>
      </w:r>
      <w:r w:rsidR="0099537E" w:rsidRPr="6EBC522A">
        <w:rPr>
          <w:color w:val="000000" w:themeColor="text1"/>
        </w:rPr>
        <w:t>, cost</w:t>
      </w:r>
      <w:r w:rsidR="2353E153" w:rsidRPr="6EBC522A">
        <w:rPr>
          <w:color w:val="000000" w:themeColor="text1"/>
        </w:rPr>
        <w:t>s</w:t>
      </w:r>
      <w:r w:rsidR="0099537E" w:rsidRPr="6EBC522A">
        <w:rPr>
          <w:color w:val="000000" w:themeColor="text1"/>
        </w:rPr>
        <w:t>, fees, user experience</w:t>
      </w:r>
      <w:r w:rsidR="003351F0">
        <w:rPr>
          <w:color w:val="000000" w:themeColor="text1"/>
        </w:rPr>
        <w:t>s</w:t>
      </w:r>
      <w:r w:rsidR="0099537E" w:rsidRPr="6EBC522A">
        <w:rPr>
          <w:color w:val="000000" w:themeColor="text1"/>
        </w:rPr>
        <w:t xml:space="preserve">, fraud protections, and other features that a merchant can measure through data, while equally providing consumers with transparency and choice. </w:t>
      </w:r>
      <w:r w:rsidR="1D93D499" w:rsidRPr="6EBC522A">
        <w:rPr>
          <w:color w:val="000000" w:themeColor="text1"/>
        </w:rPr>
        <w:t xml:space="preserve">The availability of choice online reflects the overall </w:t>
      </w:r>
      <w:r w:rsidR="003351F0">
        <w:rPr>
          <w:color w:val="000000" w:themeColor="text1"/>
        </w:rPr>
        <w:t>dynamism</w:t>
      </w:r>
      <w:r w:rsidR="1D93D499" w:rsidRPr="6EBC522A">
        <w:rPr>
          <w:color w:val="000000" w:themeColor="text1"/>
        </w:rPr>
        <w:t xml:space="preserve"> of the </w:t>
      </w:r>
      <w:proofErr w:type="gramStart"/>
      <w:r w:rsidR="1D93D499" w:rsidRPr="6EBC522A">
        <w:rPr>
          <w:color w:val="000000" w:themeColor="text1"/>
        </w:rPr>
        <w:t>pa</w:t>
      </w:r>
      <w:r w:rsidR="63AE8191" w:rsidRPr="6EBC522A">
        <w:rPr>
          <w:color w:val="000000" w:themeColor="text1"/>
        </w:rPr>
        <w:t>yments</w:t>
      </w:r>
      <w:proofErr w:type="gramEnd"/>
      <w:r w:rsidR="00F30E8D">
        <w:rPr>
          <w:color w:val="000000" w:themeColor="text1"/>
        </w:rPr>
        <w:t xml:space="preserve"> </w:t>
      </w:r>
      <w:r w:rsidR="63AE8191" w:rsidRPr="6EBC522A">
        <w:rPr>
          <w:color w:val="000000" w:themeColor="text1"/>
        </w:rPr>
        <w:t>ecosystem and the check-out process itself</w:t>
      </w:r>
      <w:r w:rsidR="63AE8191" w:rsidRPr="6EBC522A">
        <w:rPr>
          <w:rFonts w:ascii="Calibri" w:eastAsia="Calibri" w:hAnsi="Calibri" w:cs="Calibri"/>
        </w:rPr>
        <w:t xml:space="preserve"> r</w:t>
      </w:r>
      <w:r w:rsidR="1E3C7D1D" w:rsidRPr="6EBC522A">
        <w:rPr>
          <w:rFonts w:ascii="Calibri" w:eastAsia="Calibri" w:hAnsi="Calibri" w:cs="Calibri"/>
        </w:rPr>
        <w:t xml:space="preserve">epresents </w:t>
      </w:r>
      <w:r w:rsidR="00C76640" w:rsidRPr="6EBC522A">
        <w:rPr>
          <w:color w:val="000000" w:themeColor="text1"/>
        </w:rPr>
        <w:t>well-</w:t>
      </w:r>
      <w:r w:rsidRPr="6EBC522A">
        <w:rPr>
          <w:color w:val="000000" w:themeColor="text1"/>
        </w:rPr>
        <w:t xml:space="preserve">established </w:t>
      </w:r>
      <w:r w:rsidR="2B0F1180" w:rsidRPr="6EBC522A">
        <w:rPr>
          <w:color w:val="000000" w:themeColor="text1"/>
        </w:rPr>
        <w:t>practices</w:t>
      </w:r>
      <w:r w:rsidR="3AEAC3AA" w:rsidRPr="6EBC522A">
        <w:rPr>
          <w:color w:val="000000" w:themeColor="text1"/>
        </w:rPr>
        <w:t xml:space="preserve"> accepted both in Australia and around the globe by</w:t>
      </w:r>
      <w:r w:rsidR="0009236E" w:rsidRPr="6EBC522A">
        <w:rPr>
          <w:color w:val="000000" w:themeColor="text1"/>
        </w:rPr>
        <w:t xml:space="preserve"> consumers and merchants alike.</w:t>
      </w:r>
      <w:r w:rsidRPr="6EBC522A">
        <w:rPr>
          <w:color w:val="000000" w:themeColor="text1"/>
        </w:rPr>
        <w:t xml:space="preserve"> </w:t>
      </w:r>
    </w:p>
    <w:p w14:paraId="3E02A193" w14:textId="77777777" w:rsidR="009D0F75" w:rsidRPr="000B5790" w:rsidRDefault="009D0F75" w:rsidP="009D0F75">
      <w:pPr>
        <w:pStyle w:val="paragraph"/>
        <w:spacing w:before="0" w:beforeAutospacing="0" w:after="0" w:afterAutospacing="0"/>
        <w:jc w:val="both"/>
        <w:textAlignment w:val="baseline"/>
        <w:rPr>
          <w:rFonts w:asciiTheme="minorHAnsi" w:hAnsiTheme="minorHAnsi" w:cstheme="minorHAnsi"/>
          <w:color w:val="000000"/>
        </w:rPr>
      </w:pPr>
    </w:p>
    <w:p w14:paraId="4B387481" w14:textId="534C6AA2" w:rsidR="00B661B6" w:rsidRDefault="009D0F75" w:rsidP="009D0F75">
      <w:pPr>
        <w:pStyle w:val="paragraph"/>
        <w:spacing w:before="0" w:beforeAutospacing="0" w:after="0" w:afterAutospacing="0"/>
        <w:jc w:val="both"/>
        <w:textAlignment w:val="baseline"/>
        <w:rPr>
          <w:color w:val="000000" w:themeColor="text1"/>
        </w:rPr>
      </w:pPr>
      <w:r w:rsidRPr="2634DC4F">
        <w:rPr>
          <w:rFonts w:asciiTheme="minorHAnsi" w:hAnsiTheme="minorHAnsi" w:cstheme="minorBidi"/>
          <w:color w:val="000000" w:themeColor="text1"/>
        </w:rPr>
        <w:t>In Visa’s view, these established, orderly market practices and conditions should continue, and therefore determine which payment methods continue to scale, based on the market’s assessment of the above criteria (e.g</w:t>
      </w:r>
      <w:r w:rsidR="3BE137F9" w:rsidRPr="4F658861">
        <w:rPr>
          <w:rFonts w:asciiTheme="minorHAnsi" w:hAnsiTheme="minorHAnsi" w:cstheme="minorBidi"/>
          <w:color w:val="000000" w:themeColor="text1"/>
        </w:rPr>
        <w:t>.</w:t>
      </w:r>
      <w:r w:rsidR="61342ACC" w:rsidRPr="4F658861">
        <w:rPr>
          <w:rFonts w:asciiTheme="minorHAnsi" w:hAnsiTheme="minorHAnsi" w:cstheme="minorBidi"/>
          <w:color w:val="000000" w:themeColor="text1"/>
        </w:rPr>
        <w:t>,</w:t>
      </w:r>
      <w:r w:rsidRPr="2634DC4F">
        <w:rPr>
          <w:rFonts w:asciiTheme="minorHAnsi" w:hAnsiTheme="minorHAnsi" w:cstheme="minorBidi"/>
          <w:color w:val="000000" w:themeColor="text1"/>
        </w:rPr>
        <w:t xml:space="preserve"> risk, cost, </w:t>
      </w:r>
      <w:proofErr w:type="gramStart"/>
      <w:r w:rsidRPr="2634DC4F">
        <w:rPr>
          <w:rFonts w:asciiTheme="minorHAnsi" w:hAnsiTheme="minorHAnsi" w:cstheme="minorBidi"/>
          <w:color w:val="000000" w:themeColor="text1"/>
        </w:rPr>
        <w:t>fees</w:t>
      </w:r>
      <w:proofErr w:type="gramEnd"/>
      <w:r w:rsidRPr="2634DC4F">
        <w:rPr>
          <w:rFonts w:asciiTheme="minorHAnsi" w:hAnsiTheme="minorHAnsi" w:cstheme="minorBidi"/>
          <w:color w:val="000000" w:themeColor="text1"/>
        </w:rPr>
        <w:t xml:space="preserve"> and user experience). For example, in recent </w:t>
      </w:r>
      <w:r w:rsidRPr="00030040">
        <w:rPr>
          <w:rFonts w:asciiTheme="minorHAnsi" w:hAnsiTheme="minorHAnsi" w:cstheme="minorBidi"/>
          <w:color w:val="000000" w:themeColor="text1"/>
        </w:rPr>
        <w:t>times, BNPL</w:t>
      </w:r>
      <w:r w:rsidRPr="2634DC4F">
        <w:rPr>
          <w:rFonts w:asciiTheme="minorHAnsi" w:hAnsiTheme="minorHAnsi" w:cstheme="minorBidi"/>
          <w:color w:val="000000" w:themeColor="text1"/>
        </w:rPr>
        <w:t xml:space="preserve"> providers have been introduced as a payment method using this same methodology.</w:t>
      </w:r>
      <w:r w:rsidRPr="004A2104">
        <w:rPr>
          <w:color w:val="000000" w:themeColor="text1"/>
        </w:rPr>
        <w:t xml:space="preserve"> </w:t>
      </w:r>
    </w:p>
    <w:p w14:paraId="0416E6EA" w14:textId="77777777" w:rsidR="00B661B6" w:rsidRDefault="00B661B6" w:rsidP="009D0F75">
      <w:pPr>
        <w:pStyle w:val="paragraph"/>
        <w:spacing w:before="0" w:beforeAutospacing="0" w:after="0" w:afterAutospacing="0"/>
        <w:jc w:val="both"/>
        <w:textAlignment w:val="baseline"/>
        <w:rPr>
          <w:color w:val="000000" w:themeColor="text1"/>
        </w:rPr>
      </w:pPr>
    </w:p>
    <w:p w14:paraId="29C44D24" w14:textId="4E90BEFB" w:rsidR="008C7C25" w:rsidRPr="00030040" w:rsidRDefault="003351F0" w:rsidP="009B603F">
      <w:pPr>
        <w:pStyle w:val="Default"/>
        <w:rPr>
          <w:color w:val="auto"/>
          <w:sz w:val="22"/>
          <w:szCs w:val="22"/>
        </w:rPr>
      </w:pPr>
      <w:bookmarkStart w:id="8" w:name="_Hlk75865837"/>
      <w:r w:rsidRPr="009B603F">
        <w:rPr>
          <w:color w:val="000000" w:themeColor="text1"/>
          <w:sz w:val="22"/>
          <w:szCs w:val="22"/>
        </w:rPr>
        <w:t>Often, merchants control the checkout experience to best meet the needs of their business</w:t>
      </w:r>
      <w:r w:rsidR="004B4111">
        <w:rPr>
          <w:color w:val="000000" w:themeColor="text1"/>
          <w:sz w:val="22"/>
          <w:szCs w:val="22"/>
        </w:rPr>
        <w:t>.</w:t>
      </w:r>
      <w:r w:rsidR="00C66E27">
        <w:rPr>
          <w:color w:val="auto"/>
          <w:sz w:val="22"/>
          <w:szCs w:val="22"/>
        </w:rPr>
        <w:t xml:space="preserve"> </w:t>
      </w:r>
      <w:r w:rsidR="009B603F">
        <w:rPr>
          <w:color w:val="auto"/>
          <w:sz w:val="22"/>
          <w:szCs w:val="22"/>
        </w:rPr>
        <w:t>M</w:t>
      </w:r>
      <w:r w:rsidR="008C7C25" w:rsidRPr="009B603F">
        <w:rPr>
          <w:color w:val="auto"/>
          <w:sz w:val="22"/>
          <w:szCs w:val="22"/>
        </w:rPr>
        <w:t>erchant</w:t>
      </w:r>
      <w:r w:rsidR="009B603F">
        <w:rPr>
          <w:color w:val="auto"/>
          <w:sz w:val="22"/>
          <w:szCs w:val="22"/>
        </w:rPr>
        <w:t>s</w:t>
      </w:r>
      <w:r w:rsidR="008C7C25" w:rsidRPr="009B603F">
        <w:rPr>
          <w:color w:val="auto"/>
          <w:sz w:val="22"/>
          <w:szCs w:val="22"/>
        </w:rPr>
        <w:t xml:space="preserve"> can </w:t>
      </w:r>
      <w:r w:rsidR="008C7C25" w:rsidRPr="00030040">
        <w:rPr>
          <w:color w:val="auto"/>
          <w:sz w:val="22"/>
          <w:szCs w:val="22"/>
        </w:rPr>
        <w:t xml:space="preserve">influence the choice of payment method online through several options – for example: </w:t>
      </w:r>
    </w:p>
    <w:p w14:paraId="16580DBB" w14:textId="77777777" w:rsidR="009B603F" w:rsidRPr="00030040" w:rsidRDefault="009B603F" w:rsidP="009B603F">
      <w:pPr>
        <w:pStyle w:val="Default"/>
        <w:rPr>
          <w:color w:val="auto"/>
          <w:sz w:val="22"/>
          <w:szCs w:val="22"/>
        </w:rPr>
      </w:pPr>
    </w:p>
    <w:p w14:paraId="6AD033CB" w14:textId="77777777" w:rsidR="008C7C25" w:rsidRPr="00030040" w:rsidRDefault="008C7C25" w:rsidP="00E30814">
      <w:pPr>
        <w:pStyle w:val="Default"/>
        <w:numPr>
          <w:ilvl w:val="0"/>
          <w:numId w:val="17"/>
        </w:numPr>
        <w:adjustRightInd/>
        <w:jc w:val="both"/>
        <w:rPr>
          <w:color w:val="auto"/>
          <w:sz w:val="22"/>
          <w:szCs w:val="22"/>
        </w:rPr>
      </w:pPr>
      <w:r w:rsidRPr="00030040">
        <w:rPr>
          <w:color w:val="auto"/>
          <w:sz w:val="22"/>
          <w:szCs w:val="22"/>
        </w:rPr>
        <w:t xml:space="preserve">The choice to display some payment options upfront over </w:t>
      </w:r>
      <w:proofErr w:type="gramStart"/>
      <w:r w:rsidRPr="00030040">
        <w:rPr>
          <w:color w:val="auto"/>
          <w:sz w:val="22"/>
          <w:szCs w:val="22"/>
        </w:rPr>
        <w:t>others;</w:t>
      </w:r>
      <w:proofErr w:type="gramEnd"/>
      <w:r w:rsidRPr="00030040">
        <w:rPr>
          <w:color w:val="auto"/>
          <w:sz w:val="22"/>
          <w:szCs w:val="22"/>
        </w:rPr>
        <w:t xml:space="preserve"> </w:t>
      </w:r>
    </w:p>
    <w:p w14:paraId="505FEB28" w14:textId="77777777" w:rsidR="008C7C25" w:rsidRPr="00030040" w:rsidRDefault="008C7C25" w:rsidP="00E30814">
      <w:pPr>
        <w:pStyle w:val="Default"/>
        <w:numPr>
          <w:ilvl w:val="0"/>
          <w:numId w:val="17"/>
        </w:numPr>
        <w:adjustRightInd/>
        <w:spacing w:after="54"/>
        <w:jc w:val="both"/>
        <w:rPr>
          <w:color w:val="auto"/>
          <w:sz w:val="22"/>
          <w:szCs w:val="22"/>
        </w:rPr>
      </w:pPr>
      <w:r w:rsidRPr="00030040">
        <w:rPr>
          <w:color w:val="auto"/>
          <w:sz w:val="22"/>
          <w:szCs w:val="22"/>
        </w:rPr>
        <w:t xml:space="preserve">The order in which the payment methods are </w:t>
      </w:r>
      <w:proofErr w:type="gramStart"/>
      <w:r w:rsidRPr="00030040">
        <w:rPr>
          <w:color w:val="auto"/>
          <w:sz w:val="22"/>
          <w:szCs w:val="22"/>
        </w:rPr>
        <w:t>displayed;</w:t>
      </w:r>
      <w:proofErr w:type="gramEnd"/>
      <w:r w:rsidRPr="00030040">
        <w:rPr>
          <w:color w:val="auto"/>
          <w:sz w:val="22"/>
          <w:szCs w:val="22"/>
        </w:rPr>
        <w:t xml:space="preserve"> </w:t>
      </w:r>
    </w:p>
    <w:p w14:paraId="7D3C8FE8" w14:textId="588CB1C5" w:rsidR="008C7C25" w:rsidRPr="00030040" w:rsidRDefault="008C7C25" w:rsidP="00E30814">
      <w:pPr>
        <w:pStyle w:val="Default"/>
        <w:numPr>
          <w:ilvl w:val="0"/>
          <w:numId w:val="17"/>
        </w:numPr>
        <w:adjustRightInd/>
        <w:spacing w:after="54"/>
        <w:jc w:val="both"/>
        <w:rPr>
          <w:color w:val="auto"/>
          <w:sz w:val="22"/>
          <w:szCs w:val="22"/>
        </w:rPr>
      </w:pPr>
      <w:r w:rsidRPr="00030040">
        <w:rPr>
          <w:color w:val="auto"/>
          <w:sz w:val="22"/>
          <w:szCs w:val="22"/>
        </w:rPr>
        <w:t xml:space="preserve">Providing consumers with information on security, features and benefits associated with different payment </w:t>
      </w:r>
      <w:proofErr w:type="gramStart"/>
      <w:r w:rsidRPr="00030040">
        <w:rPr>
          <w:color w:val="auto"/>
          <w:sz w:val="22"/>
          <w:szCs w:val="22"/>
        </w:rPr>
        <w:t>methods</w:t>
      </w:r>
      <w:r w:rsidR="004B4111" w:rsidRPr="00030040">
        <w:rPr>
          <w:color w:val="auto"/>
          <w:sz w:val="22"/>
          <w:szCs w:val="22"/>
        </w:rPr>
        <w:t>;</w:t>
      </w:r>
      <w:proofErr w:type="gramEnd"/>
    </w:p>
    <w:p w14:paraId="1769A727" w14:textId="77777777" w:rsidR="008C7C25" w:rsidRPr="00030040" w:rsidRDefault="008C7C25" w:rsidP="00E30814">
      <w:pPr>
        <w:pStyle w:val="Default"/>
        <w:numPr>
          <w:ilvl w:val="0"/>
          <w:numId w:val="17"/>
        </w:numPr>
        <w:adjustRightInd/>
        <w:spacing w:after="54"/>
        <w:jc w:val="both"/>
        <w:rPr>
          <w:color w:val="auto"/>
          <w:sz w:val="22"/>
          <w:szCs w:val="22"/>
        </w:rPr>
      </w:pPr>
      <w:r w:rsidRPr="00030040">
        <w:rPr>
          <w:color w:val="auto"/>
          <w:sz w:val="22"/>
          <w:szCs w:val="22"/>
        </w:rPr>
        <w:t xml:space="preserve">Providing consumers with information on fees associated with different payment methods; and </w:t>
      </w:r>
    </w:p>
    <w:p w14:paraId="4B3E3DFC" w14:textId="01EAE5BB" w:rsidR="008C7C25" w:rsidRPr="00030040" w:rsidRDefault="008C7C25" w:rsidP="00E30814">
      <w:pPr>
        <w:pStyle w:val="Default"/>
        <w:numPr>
          <w:ilvl w:val="0"/>
          <w:numId w:val="17"/>
        </w:numPr>
        <w:adjustRightInd/>
        <w:jc w:val="both"/>
        <w:rPr>
          <w:color w:val="auto"/>
          <w:sz w:val="22"/>
          <w:szCs w:val="22"/>
        </w:rPr>
      </w:pPr>
      <w:r w:rsidRPr="00030040">
        <w:rPr>
          <w:color w:val="auto"/>
          <w:sz w:val="22"/>
          <w:szCs w:val="22"/>
        </w:rPr>
        <w:t xml:space="preserve">Potential discounting for use of preferred payment options – for example, BNPL providers have current end of financial year sales where consumers may be offered savings on </w:t>
      </w:r>
      <w:proofErr w:type="gramStart"/>
      <w:r w:rsidRPr="00030040">
        <w:rPr>
          <w:color w:val="auto"/>
          <w:sz w:val="22"/>
          <w:szCs w:val="22"/>
        </w:rPr>
        <w:t>particular goods</w:t>
      </w:r>
      <w:proofErr w:type="gramEnd"/>
      <w:r w:rsidRPr="00030040">
        <w:rPr>
          <w:color w:val="auto"/>
          <w:sz w:val="22"/>
          <w:szCs w:val="22"/>
        </w:rPr>
        <w:t xml:space="preserve"> and services. </w:t>
      </w:r>
    </w:p>
    <w:p w14:paraId="140A6800" w14:textId="77777777" w:rsidR="008C7C25" w:rsidRDefault="008C7C25" w:rsidP="003351F0">
      <w:pPr>
        <w:pStyle w:val="paragraph"/>
        <w:spacing w:before="0" w:beforeAutospacing="0" w:after="0" w:afterAutospacing="0"/>
        <w:jc w:val="both"/>
        <w:textAlignment w:val="baseline"/>
        <w:rPr>
          <w:color w:val="000000" w:themeColor="text1"/>
        </w:rPr>
      </w:pPr>
    </w:p>
    <w:p w14:paraId="7B1718E5" w14:textId="552F5631" w:rsidR="003351F0" w:rsidRDefault="003351F0" w:rsidP="003351F0">
      <w:pPr>
        <w:pStyle w:val="paragraph"/>
        <w:spacing w:before="0" w:beforeAutospacing="0" w:after="0" w:afterAutospacing="0"/>
        <w:jc w:val="both"/>
        <w:textAlignment w:val="baseline"/>
        <w:rPr>
          <w:rFonts w:asciiTheme="minorHAnsi" w:hAnsiTheme="minorHAnsi" w:cstheme="minorBidi"/>
          <w:color w:val="000000" w:themeColor="text1"/>
        </w:rPr>
      </w:pPr>
      <w:r w:rsidRPr="6EBC522A">
        <w:rPr>
          <w:color w:val="000000" w:themeColor="text1"/>
        </w:rPr>
        <w:t xml:space="preserve">This increased merchant control is different </w:t>
      </w:r>
      <w:r>
        <w:rPr>
          <w:color w:val="000000" w:themeColor="text1"/>
        </w:rPr>
        <w:t>to</w:t>
      </w:r>
      <w:r w:rsidRPr="6EBC522A">
        <w:rPr>
          <w:color w:val="000000" w:themeColor="text1"/>
        </w:rPr>
        <w:t xml:space="preserve"> </w:t>
      </w:r>
      <w:r>
        <w:rPr>
          <w:color w:val="000000" w:themeColor="text1"/>
        </w:rPr>
        <w:t>the</w:t>
      </w:r>
      <w:r w:rsidRPr="6EBC522A">
        <w:rPr>
          <w:color w:val="000000" w:themeColor="text1"/>
        </w:rPr>
        <w:t xml:space="preserve"> card present environment. From the payment </w:t>
      </w:r>
      <w:r>
        <w:rPr>
          <w:color w:val="000000" w:themeColor="text1"/>
        </w:rPr>
        <w:t xml:space="preserve">options </w:t>
      </w:r>
      <w:r w:rsidRPr="6EBC522A">
        <w:rPr>
          <w:color w:val="000000" w:themeColor="text1"/>
        </w:rPr>
        <w:t xml:space="preserve">displayed, the consumer selects their preferred payment method to continue with the transaction. </w:t>
      </w:r>
      <w:r w:rsidRPr="6EBC522A">
        <w:rPr>
          <w:rFonts w:asciiTheme="minorHAnsi" w:hAnsiTheme="minorHAnsi" w:cstheme="minorBidi"/>
          <w:color w:val="000000" w:themeColor="text1"/>
        </w:rPr>
        <w:t xml:space="preserve">In many instances, merchants have started to encourage consumers to choose the least-cost method by publishing what the associated costs are for using each payment method on offer. And while merchants may choose to offer new payment methods, such as eftpos, consumer choice should continue to be provided – as has been the case with the introduction of eftpos capabilities in the contact, contactless and contactless mobile channels. Again, Visa notes this does not add friction to the checkout process </w:t>
      </w:r>
      <w:r w:rsidRPr="6EBC522A">
        <w:rPr>
          <w:rFonts w:asciiTheme="minorHAnsi" w:hAnsiTheme="minorHAnsi" w:cstheme="minorBidi"/>
          <w:color w:val="000000" w:themeColor="text1"/>
        </w:rPr>
        <w:lastRenderedPageBreak/>
        <w:t>and is an established market practice embraced by all market participants, including consumers and merchants.</w:t>
      </w:r>
    </w:p>
    <w:p w14:paraId="378CDB37" w14:textId="61A7548B" w:rsidR="008F23A9" w:rsidRDefault="008F23A9" w:rsidP="6EBC522A">
      <w:pPr>
        <w:pStyle w:val="paragraph"/>
        <w:spacing w:before="0" w:beforeAutospacing="0" w:after="0" w:afterAutospacing="0"/>
        <w:jc w:val="both"/>
        <w:textAlignment w:val="baseline"/>
        <w:rPr>
          <w:rFonts w:asciiTheme="minorHAnsi" w:hAnsiTheme="minorHAnsi" w:cstheme="minorBidi"/>
          <w:color w:val="000000" w:themeColor="text1"/>
        </w:rPr>
      </w:pPr>
    </w:p>
    <w:p w14:paraId="353C6FFD" w14:textId="77777777" w:rsidR="008F23A9" w:rsidRPr="001A3E60" w:rsidRDefault="008F23A9" w:rsidP="008F23A9">
      <w:pPr>
        <w:pStyle w:val="paragraph"/>
        <w:spacing w:before="0" w:beforeAutospacing="0" w:after="0" w:afterAutospacing="0" w:line="259" w:lineRule="auto"/>
        <w:rPr>
          <w:rFonts w:asciiTheme="minorHAnsi" w:hAnsiTheme="minorHAnsi" w:cstheme="minorBidi"/>
          <w:b/>
          <w:iCs/>
          <w:color w:val="000000" w:themeColor="text1"/>
          <w:u w:val="single"/>
        </w:rPr>
      </w:pPr>
      <w:r w:rsidRPr="001A3E60">
        <w:rPr>
          <w:rFonts w:asciiTheme="minorHAnsi" w:hAnsiTheme="minorHAnsi" w:cstheme="minorBidi"/>
          <w:b/>
          <w:iCs/>
          <w:color w:val="000000" w:themeColor="text1"/>
          <w:u w:val="single"/>
        </w:rPr>
        <w:t xml:space="preserve">Principle of consumer choice </w:t>
      </w:r>
    </w:p>
    <w:p w14:paraId="6B63370E" w14:textId="77777777" w:rsidR="008F23A9" w:rsidRPr="000B5790" w:rsidRDefault="008F23A9" w:rsidP="6EBC522A">
      <w:pPr>
        <w:pStyle w:val="paragraph"/>
        <w:spacing w:before="0" w:beforeAutospacing="0" w:after="0" w:afterAutospacing="0"/>
        <w:jc w:val="both"/>
        <w:textAlignment w:val="baseline"/>
        <w:rPr>
          <w:rFonts w:asciiTheme="minorHAnsi" w:hAnsiTheme="minorHAnsi" w:cstheme="minorBidi"/>
          <w:color w:val="000000" w:themeColor="text1"/>
        </w:rPr>
      </w:pPr>
    </w:p>
    <w:bookmarkEnd w:id="8"/>
    <w:p w14:paraId="65D5319A" w14:textId="2F7C0432" w:rsidR="00286DAA" w:rsidRPr="000B5790" w:rsidRDefault="008F23A9" w:rsidP="00996E56">
      <w:pPr>
        <w:pStyle w:val="paragraph"/>
        <w:spacing w:before="0" w:beforeAutospacing="0" w:after="0" w:afterAutospacing="0"/>
        <w:jc w:val="both"/>
        <w:textAlignment w:val="baseline"/>
        <w:rPr>
          <w:rStyle w:val="FootnoteReference"/>
          <w:rFonts w:asciiTheme="minorHAnsi" w:hAnsiTheme="minorHAnsi" w:cstheme="minorBidi"/>
          <w:i/>
          <w:color w:val="000000" w:themeColor="text1"/>
        </w:rPr>
      </w:pPr>
      <w:r>
        <w:rPr>
          <w:rFonts w:asciiTheme="minorHAnsi" w:hAnsiTheme="minorHAnsi" w:cstheme="minorBidi"/>
          <w:color w:val="000000" w:themeColor="text1"/>
        </w:rPr>
        <w:t>The</w:t>
      </w:r>
      <w:r w:rsidR="009D0F75" w:rsidRPr="4F2C9454">
        <w:rPr>
          <w:rFonts w:asciiTheme="minorHAnsi" w:hAnsiTheme="minorHAnsi" w:cstheme="minorBidi"/>
          <w:color w:val="000000" w:themeColor="text1"/>
        </w:rPr>
        <w:t xml:space="preserve"> principle</w:t>
      </w:r>
      <w:r w:rsidR="007C6CA8">
        <w:rPr>
          <w:rFonts w:asciiTheme="minorHAnsi" w:hAnsiTheme="minorHAnsi" w:cstheme="minorBidi"/>
          <w:color w:val="000000" w:themeColor="text1"/>
        </w:rPr>
        <w:t xml:space="preserve"> of consumer choice</w:t>
      </w:r>
      <w:r w:rsidR="009D0F75" w:rsidRPr="4F2C9454">
        <w:rPr>
          <w:rFonts w:asciiTheme="minorHAnsi" w:hAnsiTheme="minorHAnsi" w:cstheme="minorBidi"/>
          <w:color w:val="000000" w:themeColor="text1"/>
        </w:rPr>
        <w:t xml:space="preserve"> </w:t>
      </w:r>
      <w:r w:rsidR="003351F0">
        <w:rPr>
          <w:rFonts w:asciiTheme="minorHAnsi" w:hAnsiTheme="minorHAnsi" w:cstheme="minorBidi"/>
          <w:color w:val="000000" w:themeColor="text1"/>
        </w:rPr>
        <w:t>is</w:t>
      </w:r>
      <w:r w:rsidR="009D0F75" w:rsidRPr="4F2C9454">
        <w:rPr>
          <w:rFonts w:asciiTheme="minorHAnsi" w:hAnsiTheme="minorHAnsi" w:cstheme="minorBidi"/>
          <w:color w:val="000000" w:themeColor="text1"/>
        </w:rPr>
        <w:t xml:space="preserve"> inherent in why and how Australia’s CDR was designed, with the key outcome of the CDR centred on driving competition, </w:t>
      </w:r>
      <w:proofErr w:type="gramStart"/>
      <w:r w:rsidR="009D0F75" w:rsidRPr="4F2C9454">
        <w:rPr>
          <w:rFonts w:asciiTheme="minorHAnsi" w:hAnsiTheme="minorHAnsi" w:cstheme="minorBidi"/>
          <w:color w:val="000000" w:themeColor="text1"/>
        </w:rPr>
        <w:t>innovation</w:t>
      </w:r>
      <w:proofErr w:type="gramEnd"/>
      <w:r w:rsidR="009D0F75" w:rsidRPr="4F2C9454">
        <w:rPr>
          <w:rFonts w:asciiTheme="minorHAnsi" w:hAnsiTheme="minorHAnsi" w:cstheme="minorBidi"/>
          <w:color w:val="000000" w:themeColor="text1"/>
        </w:rPr>
        <w:t xml:space="preserve"> and optimal outcomes for consumers. This is reflected in the following statement from </w:t>
      </w:r>
      <w:r w:rsidR="00491992">
        <w:rPr>
          <w:rFonts w:asciiTheme="minorHAnsi" w:hAnsiTheme="minorHAnsi" w:cstheme="minorBidi"/>
          <w:color w:val="000000" w:themeColor="text1"/>
        </w:rPr>
        <w:t xml:space="preserve">the </w:t>
      </w:r>
      <w:r w:rsidR="000404EC">
        <w:rPr>
          <w:rFonts w:asciiTheme="minorHAnsi" w:hAnsiTheme="minorHAnsi" w:cstheme="minorBidi"/>
          <w:color w:val="000000" w:themeColor="text1"/>
        </w:rPr>
        <w:t>ACCC</w:t>
      </w:r>
      <w:r w:rsidR="009D0F75" w:rsidRPr="4F2C9454">
        <w:rPr>
          <w:rFonts w:asciiTheme="minorHAnsi" w:hAnsiTheme="minorHAnsi" w:cstheme="minorBidi"/>
          <w:color w:val="000000" w:themeColor="text1"/>
        </w:rPr>
        <w:t xml:space="preserve"> Chair, Rod Sims</w:t>
      </w:r>
      <w:r w:rsidR="4842C59E" w:rsidRPr="4F2C9454">
        <w:rPr>
          <w:rFonts w:asciiTheme="minorHAnsi" w:hAnsiTheme="minorHAnsi" w:cstheme="minorBidi"/>
          <w:color w:val="000000" w:themeColor="text1"/>
        </w:rPr>
        <w:t>,</w:t>
      </w:r>
      <w:r w:rsidR="5B8F1064" w:rsidRPr="4F2C9454">
        <w:rPr>
          <w:rFonts w:asciiTheme="minorHAnsi" w:hAnsiTheme="minorHAnsi" w:cstheme="minorBidi"/>
          <w:color w:val="000000" w:themeColor="text1"/>
        </w:rPr>
        <w:t xml:space="preserve"> who said</w:t>
      </w:r>
      <w:r w:rsidR="009D0F75" w:rsidRPr="4F2C9454">
        <w:rPr>
          <w:rFonts w:asciiTheme="minorHAnsi" w:hAnsiTheme="minorHAnsi" w:cstheme="minorBidi"/>
          <w:color w:val="000000" w:themeColor="text1"/>
        </w:rPr>
        <w:t xml:space="preserve">: </w:t>
      </w:r>
      <w:r w:rsidR="009D0F75" w:rsidRPr="4F2C9454">
        <w:rPr>
          <w:rFonts w:asciiTheme="minorHAnsi" w:hAnsiTheme="minorHAnsi" w:cstheme="minorBidi"/>
          <w:i/>
          <w:iCs/>
          <w:color w:val="000000" w:themeColor="text1"/>
        </w:rPr>
        <w:t>“International experience, especially in banking, has shown that giving consumers more control over their data increases competition as it gives consumers more scope to compare competing offers, make more informed choices and move their business</w:t>
      </w:r>
      <w:r w:rsidR="54BB451B" w:rsidRPr="4F2C9454">
        <w:rPr>
          <w:rFonts w:asciiTheme="minorHAnsi" w:hAnsiTheme="minorHAnsi" w:cstheme="minorBidi"/>
          <w:i/>
          <w:iCs/>
          <w:color w:val="000000" w:themeColor="text1"/>
        </w:rPr>
        <w:t xml:space="preserve"> …</w:t>
      </w:r>
      <w:r w:rsidR="000404EC">
        <w:rPr>
          <w:rFonts w:asciiTheme="minorHAnsi" w:hAnsiTheme="minorHAnsi" w:cstheme="minorBidi"/>
          <w:i/>
          <w:iCs/>
          <w:color w:val="000000" w:themeColor="text1"/>
        </w:rPr>
        <w:t xml:space="preserve"> </w:t>
      </w:r>
      <w:r w:rsidR="009D0F75" w:rsidRPr="4F2C9454">
        <w:rPr>
          <w:rFonts w:asciiTheme="minorHAnsi" w:hAnsiTheme="minorHAnsi" w:cstheme="minorBidi"/>
          <w:i/>
          <w:iCs/>
          <w:color w:val="000000" w:themeColor="text1"/>
        </w:rPr>
        <w:t>There is also a sound economic rationale for the CDR. Markets work more effectively when consumers are well informed about the price and quality of offers available to them; the costs consumers incur when switching between providers are small; and barriers to entry for new providers are low.”</w:t>
      </w:r>
      <w:r w:rsidR="5E659F5B" w:rsidRPr="4F2C9454">
        <w:rPr>
          <w:rStyle w:val="FootnoteReference"/>
          <w:rFonts w:asciiTheme="minorHAnsi" w:hAnsiTheme="minorHAnsi" w:cstheme="minorBidi"/>
          <w:color w:val="000000" w:themeColor="text1"/>
        </w:rPr>
        <w:t xml:space="preserve"> </w:t>
      </w:r>
      <w:r w:rsidR="00A606A1" w:rsidRPr="4F2C9454">
        <w:rPr>
          <w:rStyle w:val="FootnoteReference"/>
          <w:rFonts w:asciiTheme="minorHAnsi" w:hAnsiTheme="minorHAnsi" w:cstheme="minorBidi"/>
          <w:color w:val="000000" w:themeColor="text1"/>
        </w:rPr>
        <w:footnoteReference w:id="31"/>
      </w:r>
    </w:p>
    <w:p w14:paraId="28BA3245" w14:textId="636F4A25" w:rsidR="3B6DB4F4" w:rsidRDefault="3B6DB4F4" w:rsidP="3B6DB4F4">
      <w:pPr>
        <w:pStyle w:val="paragraph"/>
        <w:spacing w:before="0" w:beforeAutospacing="0" w:after="0" w:afterAutospacing="0" w:line="259" w:lineRule="auto"/>
        <w:rPr>
          <w:rFonts w:asciiTheme="minorHAnsi" w:hAnsiTheme="minorHAnsi" w:cstheme="minorBidi"/>
          <w:b/>
          <w:i/>
          <w:color w:val="000000" w:themeColor="text1"/>
        </w:rPr>
      </w:pPr>
    </w:p>
    <w:p w14:paraId="4237B381" w14:textId="7268917B" w:rsidR="003351F0" w:rsidRPr="00F96BA6" w:rsidRDefault="003351F0" w:rsidP="00E6134E">
      <w:pPr>
        <w:pStyle w:val="paragraph"/>
        <w:spacing w:before="0" w:beforeAutospacing="0" w:after="0" w:afterAutospacing="0"/>
        <w:jc w:val="both"/>
        <w:rPr>
          <w:rFonts w:asciiTheme="minorHAnsi" w:hAnsiTheme="minorHAnsi" w:cstheme="minorBidi"/>
          <w:color w:val="000000" w:themeColor="text1"/>
        </w:rPr>
      </w:pPr>
      <w:r w:rsidRPr="4F2C9454">
        <w:rPr>
          <w:rFonts w:asciiTheme="minorHAnsi" w:hAnsiTheme="minorHAnsi" w:cstheme="minorBidi"/>
          <w:color w:val="000000" w:themeColor="text1"/>
        </w:rPr>
        <w:t xml:space="preserve">MCR in the online environment </w:t>
      </w:r>
      <w:r>
        <w:rPr>
          <w:rFonts w:asciiTheme="minorHAnsi" w:hAnsiTheme="minorHAnsi" w:cstheme="minorBidi"/>
          <w:color w:val="000000" w:themeColor="text1"/>
        </w:rPr>
        <w:t>will</w:t>
      </w:r>
      <w:r w:rsidRPr="4F2C9454">
        <w:rPr>
          <w:rFonts w:asciiTheme="minorHAnsi" w:hAnsiTheme="minorHAnsi" w:cstheme="minorBidi"/>
          <w:color w:val="000000" w:themeColor="text1"/>
        </w:rPr>
        <w:t xml:space="preserve"> create the potential </w:t>
      </w:r>
      <w:r w:rsidRPr="00BF6FC7">
        <w:rPr>
          <w:rFonts w:asciiTheme="minorHAnsi" w:hAnsiTheme="minorHAnsi" w:cstheme="minorBidi"/>
          <w:color w:val="000000" w:themeColor="text1"/>
        </w:rPr>
        <w:t>for consumer confusion</w:t>
      </w:r>
      <w:r>
        <w:rPr>
          <w:rFonts w:asciiTheme="minorHAnsi" w:hAnsiTheme="minorHAnsi" w:cstheme="minorBidi"/>
          <w:color w:val="000000" w:themeColor="text1"/>
        </w:rPr>
        <w:t xml:space="preserve"> in respect to whether</w:t>
      </w:r>
      <w:r w:rsidRPr="4F2C9454">
        <w:rPr>
          <w:rFonts w:asciiTheme="minorHAnsi" w:hAnsiTheme="minorHAnsi" w:cstheme="minorBidi"/>
          <w:color w:val="000000" w:themeColor="text1"/>
        </w:rPr>
        <w:t xml:space="preserve"> their chosen </w:t>
      </w:r>
      <w:r>
        <w:rPr>
          <w:rFonts w:asciiTheme="minorHAnsi" w:hAnsiTheme="minorHAnsi" w:cstheme="minorBidi"/>
          <w:color w:val="000000" w:themeColor="text1"/>
        </w:rPr>
        <w:t xml:space="preserve">payment </w:t>
      </w:r>
      <w:r w:rsidRPr="4F2C9454">
        <w:rPr>
          <w:rFonts w:asciiTheme="minorHAnsi" w:hAnsiTheme="minorHAnsi" w:cstheme="minorBidi"/>
          <w:color w:val="000000" w:themeColor="text1"/>
        </w:rPr>
        <w:t>products will perform as advertised</w:t>
      </w:r>
      <w:r>
        <w:rPr>
          <w:rFonts w:asciiTheme="minorHAnsi" w:hAnsiTheme="minorHAnsi" w:cstheme="minorBidi"/>
          <w:color w:val="000000" w:themeColor="text1"/>
        </w:rPr>
        <w:t xml:space="preserve"> and whether </w:t>
      </w:r>
      <w:r w:rsidRPr="4F2C9454">
        <w:rPr>
          <w:rFonts w:asciiTheme="minorHAnsi" w:hAnsiTheme="minorHAnsi" w:cstheme="minorBidi"/>
          <w:color w:val="000000" w:themeColor="text1"/>
        </w:rPr>
        <w:t xml:space="preserve">they will benefit from the services in the manner they expect </w:t>
      </w:r>
      <w:r>
        <w:rPr>
          <w:rFonts w:asciiTheme="minorHAnsi" w:hAnsiTheme="minorHAnsi" w:cstheme="minorBidi"/>
          <w:color w:val="000000" w:themeColor="text1"/>
        </w:rPr>
        <w:t xml:space="preserve">them to </w:t>
      </w:r>
      <w:r w:rsidRPr="4F2C9454">
        <w:rPr>
          <w:rFonts w:asciiTheme="minorHAnsi" w:hAnsiTheme="minorHAnsi" w:cstheme="minorBidi"/>
          <w:color w:val="000000" w:themeColor="text1"/>
        </w:rPr>
        <w:t>when transactions are routed over alternative networks</w:t>
      </w:r>
      <w:r w:rsidR="00D208BD">
        <w:rPr>
          <w:rFonts w:asciiTheme="minorHAnsi" w:hAnsiTheme="minorHAnsi" w:cstheme="minorBidi"/>
          <w:color w:val="000000" w:themeColor="text1"/>
        </w:rPr>
        <w:t xml:space="preserve">. For example, </w:t>
      </w:r>
      <w:r w:rsidRPr="4F2C9454">
        <w:rPr>
          <w:rFonts w:asciiTheme="minorHAnsi" w:hAnsiTheme="minorHAnsi" w:cstheme="minorBidi"/>
          <w:color w:val="000000" w:themeColor="text1"/>
        </w:rPr>
        <w:t xml:space="preserve"> </w:t>
      </w:r>
      <w:r>
        <w:rPr>
          <w:rFonts w:asciiTheme="minorHAnsi" w:hAnsiTheme="minorHAnsi" w:cstheme="minorBidi"/>
          <w:color w:val="000000" w:themeColor="text1"/>
        </w:rPr>
        <w:t>i</w:t>
      </w:r>
      <w:r w:rsidRPr="4F2C9454">
        <w:rPr>
          <w:rFonts w:asciiTheme="minorHAnsi" w:hAnsiTheme="minorHAnsi" w:cstheme="minorBidi"/>
          <w:color w:val="000000" w:themeColor="text1"/>
        </w:rPr>
        <w:t xml:space="preserve">f a consumer believes they are receiving certain benefits or protections (i.e. zero liability on fraudulent transactions, insurance, lower fees, and cashback) by using the product of their choice, they are likely to be highly concerned to find after the fact that the transaction was not routed over the network they thought they were using and did not deliver the benefits they expected. The ACCC is increasingly focused on the disclosures provided by companies to consumers for how personal data is collected, </w:t>
      </w:r>
      <w:proofErr w:type="gramStart"/>
      <w:r w:rsidRPr="4F2C9454">
        <w:rPr>
          <w:rFonts w:asciiTheme="minorHAnsi" w:hAnsiTheme="minorHAnsi" w:cstheme="minorBidi"/>
          <w:color w:val="000000" w:themeColor="text1"/>
        </w:rPr>
        <w:t>used</w:t>
      </w:r>
      <w:proofErr w:type="gramEnd"/>
      <w:r w:rsidRPr="4F2C9454">
        <w:rPr>
          <w:rFonts w:asciiTheme="minorHAnsi" w:hAnsiTheme="minorHAnsi" w:cstheme="minorBidi"/>
          <w:color w:val="000000" w:themeColor="text1"/>
        </w:rPr>
        <w:t xml:space="preserve"> and disclosed as highlighted in a recent Australian Federal Court decision</w:t>
      </w:r>
      <w:r w:rsidRPr="4F2C9454">
        <w:rPr>
          <w:rStyle w:val="FootnoteReference"/>
          <w:rFonts w:asciiTheme="minorHAnsi" w:hAnsiTheme="minorHAnsi" w:cstheme="minorBidi"/>
          <w:color w:val="000000" w:themeColor="text1"/>
        </w:rPr>
        <w:footnoteReference w:id="32"/>
      </w:r>
      <w:r w:rsidRPr="4F2C9454">
        <w:rPr>
          <w:rFonts w:asciiTheme="minorHAnsi" w:hAnsiTheme="minorHAnsi" w:cstheme="minorBidi"/>
          <w:color w:val="000000" w:themeColor="text1"/>
        </w:rPr>
        <w:t xml:space="preserve">. Therefore, it is crucial to ensure consumers have full awareness and free choice in selecting the security, privacy, and other payment product features that best suit their diverse needs. </w:t>
      </w:r>
    </w:p>
    <w:p w14:paraId="6DEE41D7" w14:textId="77777777" w:rsidR="003351F0" w:rsidRDefault="003351F0" w:rsidP="003351F0">
      <w:pPr>
        <w:pStyle w:val="paragraph"/>
        <w:spacing w:before="0" w:beforeAutospacing="0" w:after="0" w:afterAutospacing="0" w:line="259" w:lineRule="auto"/>
        <w:jc w:val="both"/>
        <w:rPr>
          <w:rFonts w:asciiTheme="minorHAnsi" w:hAnsiTheme="minorHAnsi" w:cstheme="minorBidi"/>
          <w:color w:val="000000" w:themeColor="text1"/>
        </w:rPr>
      </w:pPr>
    </w:p>
    <w:p w14:paraId="722EED6D" w14:textId="7D1A97F0" w:rsidR="001C5790" w:rsidRDefault="001C5790" w:rsidP="00E6134E">
      <w:pPr>
        <w:pStyle w:val="paragraph"/>
        <w:spacing w:before="0" w:beforeAutospacing="0" w:after="0" w:afterAutospacing="0"/>
        <w:jc w:val="both"/>
        <w:textAlignment w:val="baseline"/>
        <w:rPr>
          <w:rFonts w:asciiTheme="minorHAnsi" w:hAnsiTheme="minorHAnsi" w:cstheme="minorBidi"/>
          <w:color w:val="000000"/>
        </w:rPr>
      </w:pPr>
      <w:r w:rsidRPr="7D57E45A">
        <w:rPr>
          <w:rFonts w:asciiTheme="minorHAnsi" w:hAnsiTheme="minorHAnsi" w:cstheme="minorBidi"/>
          <w:color w:val="000000"/>
        </w:rPr>
        <w:t xml:space="preserve">In response to the Consultation Paper, Visa </w:t>
      </w:r>
      <w:r>
        <w:rPr>
          <w:rFonts w:asciiTheme="minorHAnsi" w:hAnsiTheme="minorHAnsi" w:cstheme="minorBidi"/>
          <w:color w:val="000000"/>
        </w:rPr>
        <w:t>recommends that</w:t>
      </w:r>
      <w:r w:rsidRPr="7D57E45A">
        <w:rPr>
          <w:rFonts w:asciiTheme="minorHAnsi" w:hAnsiTheme="minorHAnsi" w:cstheme="minorBidi"/>
          <w:color w:val="000000"/>
        </w:rPr>
        <w:t xml:space="preserve"> the RBA</w:t>
      </w:r>
      <w:r>
        <w:rPr>
          <w:rFonts w:asciiTheme="minorHAnsi" w:hAnsiTheme="minorHAnsi" w:cstheme="minorBidi"/>
          <w:color w:val="000000"/>
        </w:rPr>
        <w:t xml:space="preserve"> take a </w:t>
      </w:r>
      <w:r w:rsidRPr="7D57E45A">
        <w:rPr>
          <w:rFonts w:asciiTheme="minorHAnsi" w:hAnsiTheme="minorHAnsi" w:cstheme="minorBidi"/>
          <w:color w:val="000000"/>
        </w:rPr>
        <w:t>p</w:t>
      </w:r>
      <w:r>
        <w:rPr>
          <w:rFonts w:asciiTheme="minorHAnsi" w:hAnsiTheme="minorHAnsi" w:cstheme="minorBidi"/>
          <w:color w:val="000000"/>
        </w:rPr>
        <w:t>rincipled and p</w:t>
      </w:r>
      <w:r w:rsidRPr="7D57E45A">
        <w:rPr>
          <w:rFonts w:asciiTheme="minorHAnsi" w:hAnsiTheme="minorHAnsi" w:cstheme="minorBidi"/>
          <w:color w:val="000000"/>
        </w:rPr>
        <w:t xml:space="preserve">ragmatic stance </w:t>
      </w:r>
      <w:r>
        <w:rPr>
          <w:rFonts w:asciiTheme="minorHAnsi" w:hAnsiTheme="minorHAnsi" w:cstheme="minorBidi"/>
          <w:color w:val="000000"/>
        </w:rPr>
        <w:t xml:space="preserve">and ensure that consumer choice is offered </w:t>
      </w:r>
      <w:r w:rsidRPr="7D57E45A">
        <w:rPr>
          <w:rFonts w:asciiTheme="minorHAnsi" w:hAnsiTheme="minorHAnsi" w:cstheme="minorBidi"/>
          <w:color w:val="000000"/>
        </w:rPr>
        <w:t>in the online environment</w:t>
      </w:r>
      <w:r>
        <w:rPr>
          <w:rFonts w:asciiTheme="minorHAnsi" w:hAnsiTheme="minorHAnsi" w:cstheme="minorBidi"/>
          <w:color w:val="000000"/>
        </w:rPr>
        <w:t xml:space="preserve">, as is the case currently within the existing online payments ecosystem. </w:t>
      </w:r>
    </w:p>
    <w:p w14:paraId="0043D77D" w14:textId="77777777" w:rsidR="001C5790" w:rsidRDefault="001C5790" w:rsidP="00E6134E">
      <w:pPr>
        <w:pStyle w:val="paragraph"/>
        <w:spacing w:before="0" w:beforeAutospacing="0" w:after="0" w:afterAutospacing="0"/>
        <w:jc w:val="both"/>
        <w:textAlignment w:val="baseline"/>
        <w:rPr>
          <w:rFonts w:asciiTheme="minorHAnsi" w:hAnsiTheme="minorHAnsi" w:cstheme="minorBidi"/>
          <w:color w:val="000000"/>
        </w:rPr>
      </w:pPr>
    </w:p>
    <w:p w14:paraId="6DAF80A8" w14:textId="10566AB6" w:rsidR="003351F0" w:rsidRDefault="003351F0" w:rsidP="00E6134E">
      <w:pPr>
        <w:pStyle w:val="paragraph"/>
        <w:spacing w:before="0" w:beforeAutospacing="0" w:after="0" w:afterAutospacing="0"/>
        <w:jc w:val="both"/>
        <w:rPr>
          <w:rFonts w:asciiTheme="minorHAnsi" w:hAnsiTheme="minorHAnsi" w:cstheme="minorBidi"/>
          <w:color w:val="000000" w:themeColor="text1"/>
        </w:rPr>
      </w:pPr>
      <w:r w:rsidRPr="4F2C9454">
        <w:rPr>
          <w:rFonts w:asciiTheme="minorHAnsi" w:hAnsiTheme="minorHAnsi" w:cstheme="minorBidi"/>
          <w:color w:val="000000"/>
        </w:rPr>
        <w:t xml:space="preserve">Additionally, </w:t>
      </w:r>
      <w:r>
        <w:rPr>
          <w:rFonts w:asciiTheme="minorHAnsi" w:hAnsiTheme="minorHAnsi" w:cstheme="minorBidi"/>
          <w:color w:val="000000"/>
        </w:rPr>
        <w:t>since</w:t>
      </w:r>
      <w:r w:rsidRPr="4F2C9454">
        <w:rPr>
          <w:rFonts w:asciiTheme="minorHAnsi" w:hAnsiTheme="minorHAnsi" w:cstheme="minorBidi"/>
          <w:color w:val="000000" w:themeColor="text1"/>
        </w:rPr>
        <w:t xml:space="preserve"> merchants have greater control to influence consumer choice </w:t>
      </w:r>
      <w:r>
        <w:rPr>
          <w:rFonts w:asciiTheme="minorHAnsi" w:hAnsiTheme="minorHAnsi" w:cstheme="minorBidi"/>
          <w:color w:val="000000" w:themeColor="text1"/>
        </w:rPr>
        <w:t xml:space="preserve">in the online environment, </w:t>
      </w:r>
      <w:r w:rsidRPr="4F2C9454">
        <w:rPr>
          <w:rFonts w:asciiTheme="minorHAnsi" w:hAnsiTheme="minorHAnsi" w:cstheme="minorBidi"/>
          <w:color w:val="000000" w:themeColor="text1"/>
        </w:rPr>
        <w:t>based on the design adopted during checkout</w:t>
      </w:r>
      <w:r>
        <w:rPr>
          <w:rFonts w:asciiTheme="minorHAnsi" w:hAnsiTheme="minorHAnsi" w:cstheme="minorBidi"/>
          <w:color w:val="000000" w:themeColor="text1"/>
        </w:rPr>
        <w:t xml:space="preserve">, </w:t>
      </w:r>
      <w:r w:rsidRPr="4F2C9454">
        <w:rPr>
          <w:rFonts w:asciiTheme="minorHAnsi" w:hAnsiTheme="minorHAnsi" w:cstheme="minorBidi"/>
          <w:color w:val="000000" w:themeColor="text1"/>
        </w:rPr>
        <w:t xml:space="preserve">consumer choice </w:t>
      </w:r>
      <w:r>
        <w:rPr>
          <w:rFonts w:asciiTheme="minorHAnsi" w:hAnsiTheme="minorHAnsi" w:cstheme="minorBidi"/>
          <w:color w:val="000000" w:themeColor="text1"/>
        </w:rPr>
        <w:t xml:space="preserve">needs to </w:t>
      </w:r>
      <w:r w:rsidRPr="4F2C9454">
        <w:rPr>
          <w:rFonts w:asciiTheme="minorHAnsi" w:hAnsiTheme="minorHAnsi" w:cstheme="minorBidi"/>
          <w:color w:val="000000" w:themeColor="text1"/>
        </w:rPr>
        <w:t>be transparently honoured. C</w:t>
      </w:r>
      <w:r w:rsidRPr="4F2C9454">
        <w:rPr>
          <w:rFonts w:asciiTheme="minorHAnsi" w:hAnsiTheme="minorHAnsi" w:cstheme="minorBidi"/>
          <w:color w:val="000000"/>
        </w:rPr>
        <w:t>onsumer choice of payment method is an established standard</w:t>
      </w:r>
      <w:r w:rsidRPr="4F2C9454">
        <w:rPr>
          <w:rFonts w:asciiTheme="minorHAnsi" w:hAnsiTheme="minorHAnsi" w:cstheme="minorBidi"/>
          <w:color w:val="000000" w:themeColor="text1"/>
        </w:rPr>
        <w:t xml:space="preserve"> that is expected</w:t>
      </w:r>
      <w:r w:rsidRPr="4F2C9454">
        <w:rPr>
          <w:rFonts w:asciiTheme="minorHAnsi" w:hAnsiTheme="minorHAnsi" w:cstheme="minorBidi"/>
          <w:color w:val="000000"/>
        </w:rPr>
        <w:t xml:space="preserve"> as part of </w:t>
      </w:r>
      <w:r w:rsidRPr="4F2C9454">
        <w:rPr>
          <w:rFonts w:asciiTheme="minorHAnsi" w:hAnsiTheme="minorHAnsi" w:cstheme="minorBidi"/>
          <w:color w:val="000000" w:themeColor="text1"/>
        </w:rPr>
        <w:t xml:space="preserve">an </w:t>
      </w:r>
      <w:r w:rsidRPr="4F2C9454">
        <w:rPr>
          <w:rFonts w:asciiTheme="minorHAnsi" w:hAnsiTheme="minorHAnsi" w:cstheme="minorBidi"/>
          <w:color w:val="000000"/>
        </w:rPr>
        <w:t xml:space="preserve">online </w:t>
      </w:r>
      <w:proofErr w:type="gramStart"/>
      <w:r w:rsidRPr="4F2C9454">
        <w:rPr>
          <w:rFonts w:asciiTheme="minorHAnsi" w:hAnsiTheme="minorHAnsi" w:cstheme="minorBidi"/>
          <w:color w:val="000000"/>
        </w:rPr>
        <w:t>payments</w:t>
      </w:r>
      <w:proofErr w:type="gramEnd"/>
      <w:r w:rsidRPr="4F2C9454">
        <w:rPr>
          <w:rFonts w:asciiTheme="minorHAnsi" w:hAnsiTheme="minorHAnsi" w:cstheme="minorBidi"/>
          <w:color w:val="000000" w:themeColor="text1"/>
        </w:rPr>
        <w:t xml:space="preserve"> ecosystem. As an increasing number of methods </w:t>
      </w:r>
      <w:r>
        <w:rPr>
          <w:rFonts w:asciiTheme="minorHAnsi" w:hAnsiTheme="minorHAnsi" w:cstheme="minorBidi"/>
          <w:color w:val="000000" w:themeColor="text1"/>
        </w:rPr>
        <w:t xml:space="preserve">and participants </w:t>
      </w:r>
      <w:r w:rsidRPr="4F2C9454">
        <w:rPr>
          <w:rFonts w:asciiTheme="minorHAnsi" w:hAnsiTheme="minorHAnsi" w:cstheme="minorBidi"/>
          <w:color w:val="000000" w:themeColor="text1"/>
        </w:rPr>
        <w:t xml:space="preserve">are added to the payment acceptance </w:t>
      </w:r>
      <w:r>
        <w:rPr>
          <w:rFonts w:asciiTheme="minorHAnsi" w:hAnsiTheme="minorHAnsi" w:cstheme="minorBidi"/>
          <w:color w:val="000000" w:themeColor="text1"/>
        </w:rPr>
        <w:t>options</w:t>
      </w:r>
      <w:r w:rsidRPr="4F2C9454">
        <w:rPr>
          <w:rFonts w:asciiTheme="minorHAnsi" w:hAnsiTheme="minorHAnsi" w:cstheme="minorBidi"/>
          <w:color w:val="000000" w:themeColor="text1"/>
        </w:rPr>
        <w:t xml:space="preserve">, deviating from this principle </w:t>
      </w:r>
      <w:r>
        <w:rPr>
          <w:rFonts w:asciiTheme="minorHAnsi" w:hAnsiTheme="minorHAnsi" w:cstheme="minorBidi"/>
          <w:color w:val="000000" w:themeColor="text1"/>
        </w:rPr>
        <w:t>will</w:t>
      </w:r>
      <w:r w:rsidRPr="4F2C9454">
        <w:rPr>
          <w:rFonts w:asciiTheme="minorHAnsi" w:hAnsiTheme="minorHAnsi" w:cstheme="minorBidi"/>
          <w:color w:val="000000" w:themeColor="text1"/>
        </w:rPr>
        <w:t xml:space="preserve"> </w:t>
      </w:r>
      <w:r>
        <w:rPr>
          <w:rFonts w:asciiTheme="minorHAnsi" w:hAnsiTheme="minorHAnsi" w:cstheme="minorBidi"/>
          <w:color w:val="000000" w:themeColor="text1"/>
        </w:rPr>
        <w:t xml:space="preserve">likely </w:t>
      </w:r>
      <w:r w:rsidRPr="4F2C9454">
        <w:rPr>
          <w:rFonts w:asciiTheme="minorHAnsi" w:hAnsiTheme="minorHAnsi" w:cstheme="minorBidi"/>
          <w:color w:val="000000" w:themeColor="text1"/>
        </w:rPr>
        <w:t>result in unintended consequences</w:t>
      </w:r>
      <w:r>
        <w:rPr>
          <w:rFonts w:asciiTheme="minorHAnsi" w:hAnsiTheme="minorHAnsi" w:cstheme="minorBidi"/>
          <w:color w:val="000000" w:themeColor="text1"/>
        </w:rPr>
        <w:t>, which is</w:t>
      </w:r>
      <w:r w:rsidRPr="4F2C9454">
        <w:rPr>
          <w:rFonts w:asciiTheme="minorHAnsi" w:hAnsiTheme="minorHAnsi" w:cstheme="minorBidi"/>
          <w:color w:val="000000" w:themeColor="text1"/>
        </w:rPr>
        <w:t xml:space="preserve"> why Visa encourages the </w:t>
      </w:r>
      <w:r>
        <w:rPr>
          <w:rFonts w:asciiTheme="minorHAnsi" w:hAnsiTheme="minorHAnsi" w:cstheme="minorBidi"/>
          <w:color w:val="000000" w:themeColor="text1"/>
        </w:rPr>
        <w:t xml:space="preserve">RBA to </w:t>
      </w:r>
      <w:r w:rsidRPr="4F2C9454">
        <w:rPr>
          <w:rFonts w:asciiTheme="minorHAnsi" w:hAnsiTheme="minorHAnsi" w:cstheme="minorBidi"/>
          <w:color w:val="000000" w:themeColor="text1"/>
        </w:rPr>
        <w:t xml:space="preserve">replace </w:t>
      </w:r>
      <w:r>
        <w:rPr>
          <w:rFonts w:asciiTheme="minorHAnsi" w:hAnsiTheme="minorHAnsi" w:cstheme="minorBidi"/>
          <w:color w:val="000000" w:themeColor="text1"/>
        </w:rPr>
        <w:t>P</w:t>
      </w:r>
      <w:r w:rsidRPr="4F2C9454">
        <w:rPr>
          <w:rFonts w:asciiTheme="minorHAnsi" w:hAnsiTheme="minorHAnsi" w:cstheme="minorBidi"/>
          <w:color w:val="000000" w:themeColor="text1"/>
        </w:rPr>
        <w:t xml:space="preserve">rinciple </w:t>
      </w:r>
      <w:r>
        <w:rPr>
          <w:rFonts w:asciiTheme="minorHAnsi" w:hAnsiTheme="minorHAnsi" w:cstheme="minorBidi"/>
          <w:color w:val="000000" w:themeColor="text1"/>
        </w:rPr>
        <w:t>T</w:t>
      </w:r>
      <w:r w:rsidRPr="4F2C9454">
        <w:rPr>
          <w:rFonts w:asciiTheme="minorHAnsi" w:hAnsiTheme="minorHAnsi" w:cstheme="minorBidi"/>
          <w:color w:val="000000" w:themeColor="text1"/>
        </w:rPr>
        <w:t xml:space="preserve">wo </w:t>
      </w:r>
      <w:r>
        <w:rPr>
          <w:rFonts w:asciiTheme="minorHAnsi" w:hAnsiTheme="minorHAnsi" w:cstheme="minorBidi"/>
          <w:color w:val="000000" w:themeColor="text1"/>
        </w:rPr>
        <w:t xml:space="preserve">with a </w:t>
      </w:r>
      <w:r w:rsidRPr="4F2C9454">
        <w:rPr>
          <w:rFonts w:asciiTheme="minorHAnsi" w:hAnsiTheme="minorHAnsi" w:cstheme="minorBidi"/>
          <w:color w:val="000000" w:themeColor="text1"/>
        </w:rPr>
        <w:t xml:space="preserve">principle </w:t>
      </w:r>
      <w:r>
        <w:rPr>
          <w:rFonts w:asciiTheme="minorHAnsi" w:hAnsiTheme="minorHAnsi" w:cstheme="minorBidi"/>
          <w:color w:val="000000" w:themeColor="text1"/>
        </w:rPr>
        <w:t xml:space="preserve">that provides </w:t>
      </w:r>
      <w:r w:rsidRPr="4F2C9454">
        <w:rPr>
          <w:rFonts w:asciiTheme="minorHAnsi" w:hAnsiTheme="minorHAnsi" w:cstheme="minorBidi"/>
          <w:color w:val="000000" w:themeColor="text1"/>
        </w:rPr>
        <w:t xml:space="preserve">consumer choice to be maintained in the online environment.        </w:t>
      </w:r>
    </w:p>
    <w:p w14:paraId="770370DA" w14:textId="10B04612" w:rsidR="001C5790" w:rsidRDefault="009D0F75" w:rsidP="00E6134E">
      <w:pPr>
        <w:pStyle w:val="paragraph"/>
        <w:spacing w:before="0" w:beforeAutospacing="0" w:after="0" w:afterAutospacing="0"/>
        <w:jc w:val="both"/>
        <w:textAlignment w:val="baseline"/>
        <w:rPr>
          <w:rFonts w:asciiTheme="minorHAnsi" w:hAnsiTheme="minorHAnsi" w:cstheme="minorBidi"/>
          <w:color w:val="000000" w:themeColor="text1"/>
        </w:rPr>
      </w:pPr>
      <w:r w:rsidRPr="000B5790">
        <w:rPr>
          <w:rFonts w:asciiTheme="minorHAnsi" w:hAnsiTheme="minorHAnsi" w:cstheme="minorHAnsi"/>
          <w:color w:val="000000" w:themeColor="text1"/>
        </w:rPr>
        <w:br/>
      </w:r>
      <w:r w:rsidR="0029141C" w:rsidRPr="4F2C9454">
        <w:rPr>
          <w:rFonts w:asciiTheme="minorHAnsi" w:hAnsiTheme="minorHAnsi" w:cstheme="minorBidi"/>
          <w:color w:val="000000" w:themeColor="text1"/>
        </w:rPr>
        <w:t>The RBA sets out a key principle in seeking to address transparency (Principle Three)</w:t>
      </w:r>
      <w:r w:rsidR="0029141C" w:rsidRPr="4F2C9454">
        <w:rPr>
          <w:rStyle w:val="FootnoteReference"/>
          <w:rFonts w:asciiTheme="minorHAnsi" w:hAnsiTheme="minorHAnsi" w:cstheme="minorBidi"/>
          <w:color w:val="000000" w:themeColor="text1"/>
        </w:rPr>
        <w:footnoteReference w:id="33"/>
      </w:r>
      <w:r w:rsidR="0029141C" w:rsidRPr="4F2C9454">
        <w:rPr>
          <w:rFonts w:asciiTheme="minorHAnsi" w:hAnsiTheme="minorHAnsi" w:cstheme="minorBidi"/>
          <w:color w:val="000000" w:themeColor="text1"/>
        </w:rPr>
        <w:t xml:space="preserve">. While we </w:t>
      </w:r>
      <w:r w:rsidR="0029141C" w:rsidRPr="4F2C9454">
        <w:rPr>
          <w:rFonts w:asciiTheme="minorHAnsi" w:hAnsiTheme="minorHAnsi" w:cstheme="minorBidi"/>
          <w:color w:val="000000" w:themeColor="text1"/>
        </w:rPr>
        <w:lastRenderedPageBreak/>
        <w:t xml:space="preserve">appreciate the RBA’s focus on ensuring that MCR is not used by merchants to mislead consumers, </w:t>
      </w:r>
      <w:r w:rsidR="001C5790">
        <w:rPr>
          <w:rFonts w:asciiTheme="minorHAnsi" w:hAnsiTheme="minorHAnsi" w:cstheme="minorBidi"/>
          <w:color w:val="000000" w:themeColor="text1"/>
        </w:rPr>
        <w:t>we believe</w:t>
      </w:r>
      <w:r w:rsidR="001C5790" w:rsidRPr="4F2C9454">
        <w:rPr>
          <w:rFonts w:asciiTheme="minorHAnsi" w:hAnsiTheme="minorHAnsi" w:cstheme="minorBidi"/>
          <w:color w:val="000000" w:themeColor="text1"/>
        </w:rPr>
        <w:t xml:space="preserve"> Principle Three</w:t>
      </w:r>
      <w:r w:rsidR="001C5790">
        <w:rPr>
          <w:rStyle w:val="FootnoteReference"/>
          <w:rFonts w:asciiTheme="minorHAnsi" w:hAnsiTheme="minorHAnsi" w:cstheme="minorBidi"/>
          <w:color w:val="000000" w:themeColor="text1"/>
        </w:rPr>
        <w:footnoteReference w:id="34"/>
      </w:r>
      <w:r w:rsidR="001C5790" w:rsidRPr="4F2C9454">
        <w:rPr>
          <w:rFonts w:asciiTheme="minorHAnsi" w:hAnsiTheme="minorHAnsi" w:cstheme="minorBidi"/>
          <w:color w:val="000000" w:themeColor="text1"/>
        </w:rPr>
        <w:t xml:space="preserve"> leaves substantial room for </w:t>
      </w:r>
      <w:r w:rsidR="001C5790">
        <w:rPr>
          <w:rFonts w:asciiTheme="minorHAnsi" w:hAnsiTheme="minorHAnsi" w:cstheme="minorBidi"/>
          <w:color w:val="000000" w:themeColor="text1"/>
        </w:rPr>
        <w:t xml:space="preserve">consumer </w:t>
      </w:r>
      <w:r w:rsidR="001C5790" w:rsidRPr="4F2C9454">
        <w:rPr>
          <w:rFonts w:asciiTheme="minorHAnsi" w:hAnsiTheme="minorHAnsi" w:cstheme="minorBidi"/>
          <w:color w:val="000000" w:themeColor="text1"/>
        </w:rPr>
        <w:t xml:space="preserve">confusion and </w:t>
      </w:r>
      <w:r w:rsidR="001C5790">
        <w:rPr>
          <w:rFonts w:asciiTheme="minorHAnsi" w:hAnsiTheme="minorHAnsi" w:cstheme="minorBidi"/>
          <w:color w:val="000000" w:themeColor="text1"/>
        </w:rPr>
        <w:t>a mismatch in consumer and merchant expectation for how a transaction will be processed. Aside from creating consumer dissatisfaction</w:t>
      </w:r>
      <w:r w:rsidR="001C5790">
        <w:rPr>
          <w:rStyle w:val="FootnoteReference"/>
          <w:rFonts w:asciiTheme="minorHAnsi" w:hAnsiTheme="minorHAnsi" w:cstheme="minorBidi"/>
          <w:color w:val="000000" w:themeColor="text1"/>
        </w:rPr>
        <w:footnoteReference w:id="35"/>
      </w:r>
      <w:r w:rsidR="001C5790">
        <w:rPr>
          <w:rFonts w:asciiTheme="minorHAnsi" w:hAnsiTheme="minorHAnsi" w:cstheme="minorBidi"/>
          <w:color w:val="000000" w:themeColor="text1"/>
        </w:rPr>
        <w:t>, s</w:t>
      </w:r>
      <w:r w:rsidR="001C5790" w:rsidRPr="4F2C9454">
        <w:rPr>
          <w:rFonts w:asciiTheme="minorHAnsi" w:hAnsiTheme="minorHAnsi" w:cstheme="minorBidi"/>
          <w:color w:val="000000" w:themeColor="text1"/>
        </w:rPr>
        <w:t>hopping cart abandonment</w:t>
      </w:r>
      <w:r w:rsidR="001C5790">
        <w:rPr>
          <w:rFonts w:asciiTheme="minorHAnsi" w:hAnsiTheme="minorHAnsi" w:cstheme="minorBidi"/>
          <w:color w:val="000000" w:themeColor="text1"/>
        </w:rPr>
        <w:t xml:space="preserve"> </w:t>
      </w:r>
      <w:r w:rsidR="001C5790" w:rsidRPr="4F2C9454">
        <w:rPr>
          <w:rFonts w:asciiTheme="minorHAnsi" w:hAnsiTheme="minorHAnsi" w:cstheme="minorBidi"/>
          <w:color w:val="000000" w:themeColor="text1"/>
        </w:rPr>
        <w:t>represent</w:t>
      </w:r>
      <w:r w:rsidR="001C5790">
        <w:rPr>
          <w:rFonts w:asciiTheme="minorHAnsi" w:hAnsiTheme="minorHAnsi" w:cstheme="minorBidi"/>
          <w:color w:val="000000" w:themeColor="text1"/>
        </w:rPr>
        <w:t xml:space="preserve">s </w:t>
      </w:r>
      <w:r w:rsidR="001C5790" w:rsidRPr="4F2C9454">
        <w:rPr>
          <w:rFonts w:asciiTheme="minorHAnsi" w:hAnsiTheme="minorHAnsi" w:cstheme="minorBidi"/>
          <w:color w:val="000000" w:themeColor="text1"/>
        </w:rPr>
        <w:t xml:space="preserve">a significant potential revenue loss for merchants. </w:t>
      </w:r>
    </w:p>
    <w:p w14:paraId="4919E25D" w14:textId="77777777" w:rsidR="009D0F75" w:rsidRDefault="009D0F75" w:rsidP="009D0F75">
      <w:pPr>
        <w:pStyle w:val="paragraph"/>
        <w:spacing w:before="0" w:beforeAutospacing="0" w:after="0" w:afterAutospacing="0"/>
        <w:jc w:val="both"/>
        <w:textAlignment w:val="baseline"/>
        <w:rPr>
          <w:rFonts w:asciiTheme="minorHAnsi" w:hAnsiTheme="minorHAnsi" w:cstheme="minorHAnsi"/>
          <w:color w:val="000000"/>
        </w:rPr>
      </w:pPr>
    </w:p>
    <w:p w14:paraId="3C906334" w14:textId="3626B6E1" w:rsidR="00C861C6" w:rsidRPr="001A3E60" w:rsidRDefault="00DA6B06" w:rsidP="009D0F75">
      <w:pPr>
        <w:pStyle w:val="paragraph"/>
        <w:spacing w:before="0" w:beforeAutospacing="0" w:after="0" w:afterAutospacing="0"/>
        <w:jc w:val="both"/>
        <w:textAlignment w:val="baseline"/>
        <w:rPr>
          <w:b/>
          <w:bCs/>
          <w:u w:val="single"/>
        </w:rPr>
      </w:pPr>
      <w:r w:rsidRPr="001A3E60">
        <w:rPr>
          <w:b/>
          <w:bCs/>
          <w:u w:val="single"/>
        </w:rPr>
        <w:t>Networks’ security capabilities</w:t>
      </w:r>
    </w:p>
    <w:p w14:paraId="489883F4" w14:textId="77777777" w:rsidR="00DA6B06" w:rsidRPr="000B5790" w:rsidRDefault="00DA6B06" w:rsidP="009D0F75">
      <w:pPr>
        <w:pStyle w:val="paragraph"/>
        <w:spacing w:before="0" w:beforeAutospacing="0" w:after="0" w:afterAutospacing="0"/>
        <w:jc w:val="both"/>
        <w:textAlignment w:val="baseline"/>
        <w:rPr>
          <w:rFonts w:asciiTheme="minorHAnsi" w:hAnsiTheme="minorHAnsi" w:cstheme="minorHAnsi"/>
          <w:color w:val="000000"/>
        </w:rPr>
      </w:pPr>
    </w:p>
    <w:p w14:paraId="010DD41E" w14:textId="77777777" w:rsidR="009D0F75" w:rsidRPr="000B5790" w:rsidRDefault="009D0F75" w:rsidP="009D0F75">
      <w:pPr>
        <w:pStyle w:val="paragraph"/>
        <w:spacing w:before="0" w:beforeAutospacing="0" w:after="0" w:afterAutospacing="0"/>
        <w:jc w:val="both"/>
        <w:textAlignment w:val="baseline"/>
        <w:rPr>
          <w:rFonts w:asciiTheme="minorHAnsi" w:hAnsiTheme="minorHAnsi" w:cstheme="minorHAnsi"/>
          <w:color w:val="000000"/>
        </w:rPr>
      </w:pPr>
      <w:r w:rsidRPr="4F2C9454">
        <w:rPr>
          <w:rFonts w:asciiTheme="minorHAnsi" w:hAnsiTheme="minorHAnsi" w:cstheme="minorBidi"/>
          <w:color w:val="000000" w:themeColor="text1"/>
        </w:rPr>
        <w:t>In the Consultation Paper, the RBA states that “International schemes and some acquirers have argued that material differences remain between the security capabilities and other product offerings of eftpos compared with the international schemes. Given the higher incidence of fraud in the e-commerce environment, these stakeholders have argued that LCR online could undermine security, adversely affecting all stakeholders in the online payments ecosystem”</w:t>
      </w:r>
      <w:r w:rsidRPr="4F2C9454">
        <w:rPr>
          <w:rStyle w:val="FootnoteReference"/>
          <w:rFonts w:asciiTheme="minorHAnsi" w:hAnsiTheme="minorHAnsi" w:cstheme="minorBidi"/>
          <w:color w:val="000000"/>
        </w:rPr>
        <w:footnoteReference w:id="36"/>
      </w:r>
      <w:r w:rsidRPr="4F2C9454">
        <w:rPr>
          <w:rFonts w:asciiTheme="minorHAnsi" w:hAnsiTheme="minorHAnsi" w:cstheme="minorBidi"/>
          <w:color w:val="000000" w:themeColor="text1"/>
        </w:rPr>
        <w:t>.</w:t>
      </w:r>
    </w:p>
    <w:p w14:paraId="0A8F3D92" w14:textId="77777777" w:rsidR="00E14A48" w:rsidRPr="000B5790" w:rsidRDefault="00E14A48" w:rsidP="00E14A48">
      <w:pPr>
        <w:pStyle w:val="paragraph"/>
        <w:spacing w:before="0" w:beforeAutospacing="0" w:after="0" w:afterAutospacing="0"/>
        <w:jc w:val="both"/>
        <w:textAlignment w:val="baseline"/>
        <w:rPr>
          <w:rFonts w:asciiTheme="minorHAnsi" w:hAnsiTheme="minorHAnsi" w:cstheme="minorBidi"/>
          <w:color w:val="000000"/>
        </w:rPr>
      </w:pPr>
    </w:p>
    <w:p w14:paraId="3439C622" w14:textId="128DDD14" w:rsidR="009D0F75" w:rsidRPr="00AB1CF6" w:rsidRDefault="009D0F75" w:rsidP="009D0F75">
      <w:pPr>
        <w:pStyle w:val="paragraph"/>
        <w:spacing w:before="0" w:beforeAutospacing="0" w:after="0" w:afterAutospacing="0"/>
        <w:jc w:val="both"/>
        <w:textAlignment w:val="baseline"/>
        <w:rPr>
          <w:rFonts w:asciiTheme="minorHAnsi" w:hAnsiTheme="minorHAnsi" w:cstheme="minorHAnsi"/>
        </w:rPr>
      </w:pPr>
      <w:r w:rsidRPr="000B5790">
        <w:rPr>
          <w:rFonts w:asciiTheme="minorHAnsi" w:hAnsiTheme="minorHAnsi" w:cstheme="minorHAnsi"/>
          <w:color w:val="000000" w:themeColor="text1"/>
        </w:rPr>
        <w:t>With more than 60 years of experience, Visa provides advanced functionality and experiences</w:t>
      </w:r>
      <w:r w:rsidR="00283210">
        <w:rPr>
          <w:rFonts w:asciiTheme="minorHAnsi" w:hAnsiTheme="minorHAnsi" w:cstheme="minorHAnsi"/>
          <w:color w:val="000000" w:themeColor="text1"/>
        </w:rPr>
        <w:t xml:space="preserve"> in these areas</w:t>
      </w:r>
      <w:r w:rsidR="00491D4D">
        <w:rPr>
          <w:rFonts w:asciiTheme="minorHAnsi" w:hAnsiTheme="minorHAnsi" w:cstheme="minorHAnsi"/>
          <w:color w:val="000000" w:themeColor="text1"/>
        </w:rPr>
        <w:t>.</w:t>
      </w:r>
      <w:r w:rsidRPr="000B5790">
        <w:rPr>
          <w:rFonts w:asciiTheme="minorHAnsi" w:hAnsiTheme="minorHAnsi" w:cstheme="minorHAnsi"/>
        </w:rPr>
        <w:t xml:space="preserve"> For example, we deploy sophisticated fraud monitoring, </w:t>
      </w:r>
      <w:proofErr w:type="gramStart"/>
      <w:r w:rsidRPr="000B5790">
        <w:rPr>
          <w:rFonts w:asciiTheme="minorHAnsi" w:hAnsiTheme="minorHAnsi" w:cstheme="minorHAnsi"/>
        </w:rPr>
        <w:t>detection</w:t>
      </w:r>
      <w:proofErr w:type="gramEnd"/>
      <w:r w:rsidRPr="000B5790">
        <w:rPr>
          <w:rFonts w:asciiTheme="minorHAnsi" w:hAnsiTheme="minorHAnsi" w:cstheme="minorHAnsi"/>
        </w:rPr>
        <w:t xml:space="preserve"> and prevention programs to protect the payments ecosystem. </w:t>
      </w:r>
      <w:r w:rsidR="00784AF9">
        <w:rPr>
          <w:rFonts w:asciiTheme="minorHAnsi" w:hAnsiTheme="minorHAnsi" w:cstheme="minorHAnsi"/>
        </w:rPr>
        <w:t>When Visa identifies a potential data compromise</w:t>
      </w:r>
      <w:r w:rsidR="00874FDB">
        <w:rPr>
          <w:rFonts w:asciiTheme="minorHAnsi" w:hAnsiTheme="minorHAnsi" w:cstheme="minorHAnsi"/>
        </w:rPr>
        <w:t xml:space="preserve"> in Australia or else</w:t>
      </w:r>
      <w:r w:rsidR="00794BAC">
        <w:rPr>
          <w:rFonts w:asciiTheme="minorHAnsi" w:hAnsiTheme="minorHAnsi" w:cstheme="minorHAnsi"/>
        </w:rPr>
        <w:t>where</w:t>
      </w:r>
      <w:r w:rsidR="00874FDB">
        <w:rPr>
          <w:rFonts w:asciiTheme="minorHAnsi" w:hAnsiTheme="minorHAnsi" w:cstheme="minorHAnsi"/>
        </w:rPr>
        <w:t xml:space="preserve"> in the world</w:t>
      </w:r>
      <w:r w:rsidR="00784AF9">
        <w:rPr>
          <w:rFonts w:asciiTheme="minorHAnsi" w:hAnsiTheme="minorHAnsi" w:cstheme="minorHAnsi"/>
        </w:rPr>
        <w:t xml:space="preserve">, our </w:t>
      </w:r>
      <w:r w:rsidR="00072B30">
        <w:rPr>
          <w:rFonts w:asciiTheme="minorHAnsi" w:hAnsiTheme="minorHAnsi" w:cstheme="minorHAnsi"/>
        </w:rPr>
        <w:t xml:space="preserve">cyber security </w:t>
      </w:r>
      <w:r w:rsidR="00784AF9">
        <w:rPr>
          <w:rFonts w:asciiTheme="minorHAnsi" w:hAnsiTheme="minorHAnsi" w:cstheme="minorHAnsi"/>
        </w:rPr>
        <w:t xml:space="preserve">experts </w:t>
      </w:r>
      <w:r w:rsidR="000C30F5">
        <w:rPr>
          <w:rFonts w:asciiTheme="minorHAnsi" w:hAnsiTheme="minorHAnsi" w:cstheme="minorHAnsi"/>
        </w:rPr>
        <w:t xml:space="preserve">actively </w:t>
      </w:r>
      <w:r w:rsidR="00E66D90">
        <w:rPr>
          <w:rFonts w:asciiTheme="minorHAnsi" w:hAnsiTheme="minorHAnsi" w:cstheme="minorHAnsi"/>
        </w:rPr>
        <w:t xml:space="preserve">work with the entity </w:t>
      </w:r>
      <w:r w:rsidR="002A2AFC">
        <w:rPr>
          <w:rFonts w:asciiTheme="minorHAnsi" w:hAnsiTheme="minorHAnsi" w:cstheme="minorHAnsi"/>
        </w:rPr>
        <w:t>at risk to contain the event and ensure minimal fraud impact to Visa accountholders</w:t>
      </w:r>
      <w:r w:rsidR="00874FDB">
        <w:rPr>
          <w:rFonts w:asciiTheme="minorHAnsi" w:hAnsiTheme="minorHAnsi" w:cstheme="minorHAnsi"/>
        </w:rPr>
        <w:t xml:space="preserve"> everywhere</w:t>
      </w:r>
      <w:r w:rsidR="002A2AFC">
        <w:rPr>
          <w:rFonts w:asciiTheme="minorHAnsi" w:hAnsiTheme="minorHAnsi" w:cstheme="minorHAnsi"/>
        </w:rPr>
        <w:t xml:space="preserve">. </w:t>
      </w:r>
      <w:r w:rsidR="00C24504">
        <w:rPr>
          <w:rFonts w:asciiTheme="minorHAnsi" w:hAnsiTheme="minorHAnsi" w:cstheme="minorHAnsi"/>
        </w:rPr>
        <w:t xml:space="preserve">Visa not only leads the industry </w:t>
      </w:r>
      <w:r w:rsidR="00423054">
        <w:rPr>
          <w:rFonts w:asciiTheme="minorHAnsi" w:hAnsiTheme="minorHAnsi" w:cstheme="minorHAnsi"/>
        </w:rPr>
        <w:t xml:space="preserve">in </w:t>
      </w:r>
      <w:r w:rsidR="005D351D">
        <w:rPr>
          <w:rFonts w:asciiTheme="minorHAnsi" w:hAnsiTheme="minorHAnsi" w:cstheme="minorHAnsi"/>
        </w:rPr>
        <w:t xml:space="preserve">evolving </w:t>
      </w:r>
      <w:r w:rsidR="00A27775">
        <w:rPr>
          <w:rFonts w:asciiTheme="minorHAnsi" w:hAnsiTheme="minorHAnsi" w:cstheme="minorHAnsi"/>
        </w:rPr>
        <w:t>data</w:t>
      </w:r>
      <w:r w:rsidR="005D351D">
        <w:rPr>
          <w:rFonts w:asciiTheme="minorHAnsi" w:hAnsiTheme="minorHAnsi" w:cstheme="minorHAnsi"/>
        </w:rPr>
        <w:t xml:space="preserve"> security standards to </w:t>
      </w:r>
      <w:r w:rsidR="006E64CE">
        <w:rPr>
          <w:rFonts w:asciiTheme="minorHAnsi" w:hAnsiTheme="minorHAnsi" w:cstheme="minorHAnsi"/>
        </w:rPr>
        <w:t>reduce</w:t>
      </w:r>
      <w:r w:rsidRPr="000B5790">
        <w:rPr>
          <w:rFonts w:asciiTheme="minorHAnsi" w:hAnsiTheme="minorHAnsi" w:cstheme="minorHAnsi"/>
        </w:rPr>
        <w:t xml:space="preserve"> the </w:t>
      </w:r>
      <w:r w:rsidR="006E64CE">
        <w:rPr>
          <w:rFonts w:asciiTheme="minorHAnsi" w:hAnsiTheme="minorHAnsi" w:cstheme="minorHAnsi"/>
        </w:rPr>
        <w:t>likelihood and impact of a data compromise</w:t>
      </w:r>
      <w:r w:rsidR="00786432">
        <w:rPr>
          <w:rFonts w:asciiTheme="minorHAnsi" w:hAnsiTheme="minorHAnsi" w:cstheme="minorHAnsi"/>
        </w:rPr>
        <w:t xml:space="preserve"> as </w:t>
      </w:r>
      <w:r w:rsidR="003344F9">
        <w:rPr>
          <w:rFonts w:asciiTheme="minorHAnsi" w:hAnsiTheme="minorHAnsi" w:cstheme="minorHAnsi"/>
        </w:rPr>
        <w:t>new threats and innovation in payments occurs</w:t>
      </w:r>
      <w:r w:rsidR="006E64CE">
        <w:rPr>
          <w:rFonts w:asciiTheme="minorHAnsi" w:hAnsiTheme="minorHAnsi" w:cstheme="minorHAnsi"/>
        </w:rPr>
        <w:t>, but we also share actionable intelligence</w:t>
      </w:r>
      <w:r w:rsidR="006315BA">
        <w:rPr>
          <w:rFonts w:asciiTheme="minorHAnsi" w:hAnsiTheme="minorHAnsi" w:cstheme="minorHAnsi"/>
        </w:rPr>
        <w:t xml:space="preserve"> and indicators of compromise</w:t>
      </w:r>
      <w:r w:rsidR="006E64CE">
        <w:rPr>
          <w:rFonts w:asciiTheme="minorHAnsi" w:hAnsiTheme="minorHAnsi" w:cstheme="minorHAnsi"/>
        </w:rPr>
        <w:t xml:space="preserve"> wit</w:t>
      </w:r>
      <w:r w:rsidR="00770F61">
        <w:rPr>
          <w:rFonts w:asciiTheme="minorHAnsi" w:hAnsiTheme="minorHAnsi" w:cstheme="minorHAnsi"/>
        </w:rPr>
        <w:t>h</w:t>
      </w:r>
      <w:r w:rsidR="006E64CE">
        <w:rPr>
          <w:rFonts w:asciiTheme="minorHAnsi" w:hAnsiTheme="minorHAnsi" w:cstheme="minorHAnsi"/>
        </w:rPr>
        <w:t xml:space="preserve"> </w:t>
      </w:r>
      <w:r w:rsidR="007C444B">
        <w:rPr>
          <w:rFonts w:asciiTheme="minorHAnsi" w:hAnsiTheme="minorHAnsi" w:cstheme="minorHAnsi"/>
        </w:rPr>
        <w:t>industry stakeholders</w:t>
      </w:r>
      <w:r w:rsidR="00910ECA">
        <w:rPr>
          <w:rFonts w:asciiTheme="minorHAnsi" w:hAnsiTheme="minorHAnsi" w:cstheme="minorHAnsi"/>
        </w:rPr>
        <w:t xml:space="preserve"> in Australia and worldwide</w:t>
      </w:r>
      <w:r w:rsidR="007C444B">
        <w:rPr>
          <w:rFonts w:asciiTheme="minorHAnsi" w:hAnsiTheme="minorHAnsi" w:cstheme="minorHAnsi"/>
        </w:rPr>
        <w:t>.</w:t>
      </w:r>
      <w:r w:rsidR="006E64CE">
        <w:rPr>
          <w:rFonts w:asciiTheme="minorHAnsi" w:hAnsiTheme="minorHAnsi" w:cstheme="minorHAnsi"/>
        </w:rPr>
        <w:t xml:space="preserve"> </w:t>
      </w:r>
    </w:p>
    <w:p w14:paraId="2772DF41" w14:textId="77777777" w:rsidR="009D0F75" w:rsidRPr="000B5790" w:rsidRDefault="009D0F75" w:rsidP="009D0F75">
      <w:pPr>
        <w:pStyle w:val="paragraph"/>
        <w:spacing w:before="0" w:beforeAutospacing="0" w:after="0" w:afterAutospacing="0"/>
        <w:jc w:val="both"/>
        <w:textAlignment w:val="baseline"/>
        <w:rPr>
          <w:rFonts w:asciiTheme="minorHAnsi" w:hAnsiTheme="minorHAnsi" w:cstheme="minorHAnsi"/>
          <w:color w:val="000000"/>
        </w:rPr>
      </w:pPr>
    </w:p>
    <w:p w14:paraId="41BBA531" w14:textId="1D20B577" w:rsidR="00445EB5" w:rsidRDefault="00AAD22C" w:rsidP="57E5BF5D">
      <w:pPr>
        <w:pStyle w:val="paragraph"/>
        <w:spacing w:before="0" w:beforeAutospacing="0" w:after="0" w:afterAutospacing="0"/>
        <w:jc w:val="both"/>
        <w:textAlignment w:val="baseline"/>
      </w:pPr>
      <w:r w:rsidRPr="4F2C9454">
        <w:rPr>
          <w:rFonts w:cstheme="minorBidi"/>
        </w:rPr>
        <w:t>Over the last five years, Visa has invested nearly US$9 billion</w:t>
      </w:r>
      <w:r w:rsidR="7F9DC2AF" w:rsidRPr="4F2C9454">
        <w:rPr>
          <w:rFonts w:cstheme="minorBidi"/>
        </w:rPr>
        <w:t xml:space="preserve"> globally</w:t>
      </w:r>
      <w:r w:rsidRPr="4F2C9454">
        <w:rPr>
          <w:rFonts w:cstheme="minorBidi"/>
        </w:rPr>
        <w:t xml:space="preserve"> in systems resilience, fraud management and cybersecurity, including tokenisation, Artificial Intelligence and blockchain-based solutions to bring even more security to every transaction</w:t>
      </w:r>
      <w:r w:rsidR="003462D1" w:rsidRPr="4F2C9454">
        <w:rPr>
          <w:rStyle w:val="FootnoteReference"/>
          <w:rFonts w:cstheme="minorBidi"/>
        </w:rPr>
        <w:footnoteReference w:id="37"/>
      </w:r>
      <w:r w:rsidRPr="4F2C9454">
        <w:rPr>
          <w:rFonts w:cstheme="minorBidi"/>
        </w:rPr>
        <w:t xml:space="preserve">. </w:t>
      </w:r>
      <w:r w:rsidRPr="00954DE4">
        <w:rPr>
          <w:rFonts w:cs="Segoe UI"/>
        </w:rPr>
        <w:t xml:space="preserve">Visa’s platform uses Artificial Intelligence and deep learning technology to monitor threats and keep payments safe. We </w:t>
      </w:r>
      <w:proofErr w:type="spellStart"/>
      <w:r w:rsidRPr="00954DE4">
        <w:rPr>
          <w:rFonts w:cs="Segoe UI"/>
        </w:rPr>
        <w:t>analyse</w:t>
      </w:r>
      <w:proofErr w:type="spellEnd"/>
      <w:r w:rsidRPr="00954DE4">
        <w:rPr>
          <w:rFonts w:cs="Segoe UI"/>
        </w:rPr>
        <w:t xml:space="preserve"> billions of security logs every day. </w:t>
      </w:r>
      <w:r>
        <w:rPr>
          <w:rStyle w:val="normaltextrun"/>
          <w:rFonts w:ascii="Segoe UI" w:hAnsi="Segoe UI" w:cs="Segoe UI"/>
          <w:color w:val="000000"/>
          <w:bdr w:val="none" w:sz="0" w:space="0" w:color="auto" w:frame="1"/>
        </w:rPr>
        <w:t xml:space="preserve">In </w:t>
      </w:r>
      <w:r w:rsidRPr="00151579">
        <w:t>Australia, Visa prevented more than AU$560 million in fraud from impacting businesses in the 12 months ending 30 June 2020</w:t>
      </w:r>
      <w:r w:rsidR="00445EB5">
        <w:rPr>
          <w:rStyle w:val="FootnoteReference"/>
        </w:rPr>
        <w:footnoteReference w:id="38"/>
      </w:r>
      <w:r>
        <w:t>.</w:t>
      </w:r>
      <w:r w:rsidR="1ABF86F7">
        <w:t xml:space="preserve"> </w:t>
      </w:r>
      <w:r w:rsidR="1ABF86F7" w:rsidRPr="4F2C9454">
        <w:rPr>
          <w:rFonts w:asciiTheme="minorHAnsi" w:hAnsiTheme="minorHAnsi" w:cstheme="minorBidi"/>
        </w:rPr>
        <w:t xml:space="preserve">Given the industry’s significant progress in combatting </w:t>
      </w:r>
      <w:r w:rsidR="59E85D2D" w:rsidRPr="4F2C9454">
        <w:rPr>
          <w:rFonts w:asciiTheme="minorHAnsi" w:hAnsiTheme="minorHAnsi" w:cstheme="minorBidi"/>
        </w:rPr>
        <w:t>card</w:t>
      </w:r>
      <w:r w:rsidR="00953611">
        <w:rPr>
          <w:rFonts w:asciiTheme="minorHAnsi" w:hAnsiTheme="minorHAnsi" w:cstheme="minorBidi"/>
        </w:rPr>
        <w:t xml:space="preserve"> </w:t>
      </w:r>
      <w:r w:rsidR="59E85D2D" w:rsidRPr="4F2C9454">
        <w:rPr>
          <w:rFonts w:asciiTheme="minorHAnsi" w:hAnsiTheme="minorHAnsi" w:cstheme="minorBidi"/>
        </w:rPr>
        <w:t>not</w:t>
      </w:r>
      <w:r w:rsidR="00953611">
        <w:rPr>
          <w:rFonts w:asciiTheme="minorHAnsi" w:hAnsiTheme="minorHAnsi" w:cstheme="minorBidi"/>
        </w:rPr>
        <w:t xml:space="preserve"> </w:t>
      </w:r>
      <w:r w:rsidR="59E85D2D" w:rsidRPr="4F2C9454">
        <w:rPr>
          <w:rFonts w:asciiTheme="minorHAnsi" w:hAnsiTheme="minorHAnsi" w:cstheme="minorBidi"/>
        </w:rPr>
        <w:t>present and card</w:t>
      </w:r>
      <w:r w:rsidR="00953611">
        <w:rPr>
          <w:rFonts w:asciiTheme="minorHAnsi" w:hAnsiTheme="minorHAnsi" w:cstheme="minorBidi"/>
        </w:rPr>
        <w:t xml:space="preserve"> </w:t>
      </w:r>
      <w:r w:rsidR="59E85D2D" w:rsidRPr="4F2C9454">
        <w:rPr>
          <w:rFonts w:asciiTheme="minorHAnsi" w:hAnsiTheme="minorHAnsi" w:cstheme="minorBidi"/>
        </w:rPr>
        <w:t xml:space="preserve">present </w:t>
      </w:r>
      <w:r w:rsidR="1ABF86F7" w:rsidRPr="4F2C9454">
        <w:rPr>
          <w:rFonts w:asciiTheme="minorHAnsi" w:hAnsiTheme="minorHAnsi" w:cstheme="minorBidi"/>
        </w:rPr>
        <w:t>fraud, careful consideration should be given to ensure this progress is not compromised</w:t>
      </w:r>
      <w:r w:rsidR="00E6134E">
        <w:rPr>
          <w:rFonts w:asciiTheme="minorHAnsi" w:hAnsiTheme="minorHAnsi" w:cstheme="minorBidi"/>
        </w:rPr>
        <w:t xml:space="preserve"> – otherwise the public interest may be negatively impacted</w:t>
      </w:r>
      <w:r w:rsidR="1ABF86F7" w:rsidRPr="4F2C9454">
        <w:rPr>
          <w:rFonts w:asciiTheme="minorHAnsi" w:hAnsiTheme="minorHAnsi" w:cstheme="minorBidi"/>
        </w:rPr>
        <w:t>.</w:t>
      </w:r>
    </w:p>
    <w:p w14:paraId="2213692F" w14:textId="77777777" w:rsidR="00445EB5" w:rsidRDefault="00445EB5" w:rsidP="00445EB5">
      <w:pPr>
        <w:pStyle w:val="paragraph"/>
        <w:spacing w:before="0" w:beforeAutospacing="0" w:after="0" w:afterAutospacing="0"/>
        <w:jc w:val="both"/>
        <w:textAlignment w:val="baseline"/>
        <w:rPr>
          <w:rFonts w:asciiTheme="minorHAnsi" w:hAnsiTheme="minorHAnsi" w:cstheme="minorHAnsi"/>
        </w:rPr>
      </w:pPr>
    </w:p>
    <w:p w14:paraId="7CEB9B16" w14:textId="17A6E351" w:rsidR="009D0F75" w:rsidRPr="000B5790" w:rsidRDefault="009D0F75" w:rsidP="009D0F75">
      <w:pPr>
        <w:pStyle w:val="paragraph"/>
        <w:spacing w:before="0" w:beforeAutospacing="0" w:after="0" w:afterAutospacing="0"/>
        <w:jc w:val="both"/>
        <w:textAlignment w:val="baseline"/>
        <w:rPr>
          <w:rFonts w:asciiTheme="minorHAnsi" w:hAnsiTheme="minorHAnsi" w:cstheme="minorHAnsi"/>
        </w:rPr>
      </w:pPr>
      <w:r w:rsidRPr="4F2C9454">
        <w:rPr>
          <w:rFonts w:asciiTheme="minorHAnsi" w:hAnsiTheme="minorHAnsi" w:cstheme="minorBidi"/>
        </w:rPr>
        <w:t>When paying with Visa online, these transactions are secured with additional data elements to facilitate consumer authentication – the in-store equivalent of a consumer entering their PIN</w:t>
      </w:r>
      <w:r w:rsidR="005B6DF9" w:rsidRPr="4F2C9454">
        <w:rPr>
          <w:rStyle w:val="FootnoteReference"/>
          <w:rFonts w:asciiTheme="minorHAnsi" w:hAnsiTheme="minorHAnsi" w:cstheme="minorBidi"/>
        </w:rPr>
        <w:footnoteReference w:id="39"/>
      </w:r>
      <w:r w:rsidRPr="4F2C9454">
        <w:rPr>
          <w:rFonts w:asciiTheme="minorHAnsi" w:hAnsiTheme="minorHAnsi" w:cstheme="minorBidi"/>
        </w:rPr>
        <w:t xml:space="preserve">. The network </w:t>
      </w:r>
      <w:r w:rsidRPr="4F2C9454">
        <w:rPr>
          <w:rFonts w:asciiTheme="minorHAnsi" w:hAnsiTheme="minorHAnsi" w:cstheme="minorBidi"/>
        </w:rPr>
        <w:lastRenderedPageBreak/>
        <w:t xml:space="preserve">additionally processes and validates these authentication elements on which issuers rely when deciding to authenticate a purchase. In some cases, transactions </w:t>
      </w:r>
      <w:r w:rsidR="62ECA1A3" w:rsidRPr="4F2C9454">
        <w:rPr>
          <w:rFonts w:asciiTheme="minorHAnsi" w:hAnsiTheme="minorHAnsi" w:cstheme="minorBidi"/>
        </w:rPr>
        <w:t xml:space="preserve">may </w:t>
      </w:r>
      <w:r w:rsidRPr="4F2C9454">
        <w:rPr>
          <w:rFonts w:asciiTheme="minorHAnsi" w:hAnsiTheme="minorHAnsi" w:cstheme="minorBidi"/>
        </w:rPr>
        <w:t xml:space="preserve">fail if </w:t>
      </w:r>
      <w:r w:rsidR="6625AC4A" w:rsidRPr="4F2C9454">
        <w:rPr>
          <w:rFonts w:asciiTheme="minorHAnsi" w:hAnsiTheme="minorHAnsi" w:cstheme="minorBidi"/>
        </w:rPr>
        <w:t xml:space="preserve">automatically </w:t>
      </w:r>
      <w:r w:rsidRPr="4F2C9454">
        <w:rPr>
          <w:rFonts w:asciiTheme="minorHAnsi" w:hAnsiTheme="minorHAnsi" w:cstheme="minorBidi"/>
        </w:rPr>
        <w:t>rerouted to an alternative payment network for processing. More broadly, Visa plays an instrumental role in operational resilience, for example, standing in to authenticate and process a transaction when a participant in the ecosystem faces an outage or similar situation</w:t>
      </w:r>
      <w:r w:rsidR="001D6C02" w:rsidRPr="4F2C9454">
        <w:rPr>
          <w:rStyle w:val="FootnoteReference"/>
          <w:rFonts w:asciiTheme="minorHAnsi" w:hAnsiTheme="minorHAnsi" w:cstheme="minorBidi"/>
        </w:rPr>
        <w:footnoteReference w:id="40"/>
      </w:r>
      <w:r w:rsidRPr="4F2C9454">
        <w:rPr>
          <w:rFonts w:asciiTheme="minorHAnsi" w:hAnsiTheme="minorHAnsi" w:cstheme="minorBidi"/>
        </w:rPr>
        <w:t xml:space="preserve">. </w:t>
      </w:r>
      <w:r w:rsidR="7BB1FC10" w:rsidRPr="4F2C9454">
        <w:rPr>
          <w:rFonts w:asciiTheme="minorHAnsi" w:hAnsiTheme="minorHAnsi" w:cstheme="minorBidi"/>
        </w:rPr>
        <w:t xml:space="preserve"> N</w:t>
      </w:r>
      <w:r w:rsidR="2E159B18" w:rsidRPr="4F2C9454">
        <w:rPr>
          <w:rFonts w:asciiTheme="minorHAnsi" w:hAnsiTheme="minorHAnsi" w:cstheme="minorBidi"/>
        </w:rPr>
        <w:t>etworks</w:t>
      </w:r>
      <w:r w:rsidR="7BB1FC10" w:rsidRPr="4F2C9454">
        <w:rPr>
          <w:rFonts w:asciiTheme="minorHAnsi" w:hAnsiTheme="minorHAnsi" w:cstheme="minorBidi"/>
        </w:rPr>
        <w:t xml:space="preserve"> that do not operate </w:t>
      </w:r>
      <w:r w:rsidR="53540F4C" w:rsidRPr="4F2C9454">
        <w:rPr>
          <w:rFonts w:asciiTheme="minorHAnsi" w:hAnsiTheme="minorHAnsi" w:cstheme="minorBidi"/>
        </w:rPr>
        <w:t xml:space="preserve">internationally or </w:t>
      </w:r>
      <w:r w:rsidR="5B640AB6" w:rsidRPr="4F2C9454">
        <w:rPr>
          <w:rFonts w:asciiTheme="minorHAnsi" w:hAnsiTheme="minorHAnsi" w:cstheme="minorBidi"/>
        </w:rPr>
        <w:t>invest</w:t>
      </w:r>
      <w:r w:rsidR="47500F09" w:rsidRPr="4F2C9454">
        <w:rPr>
          <w:rFonts w:asciiTheme="minorHAnsi" w:hAnsiTheme="minorHAnsi" w:cstheme="minorBidi"/>
        </w:rPr>
        <w:t xml:space="preserve"> as much </w:t>
      </w:r>
      <w:r w:rsidR="16B00CC9" w:rsidRPr="4F2C9454">
        <w:rPr>
          <w:rFonts w:asciiTheme="minorHAnsi" w:hAnsiTheme="minorHAnsi" w:cstheme="minorBidi"/>
        </w:rPr>
        <w:t xml:space="preserve">in threat </w:t>
      </w:r>
      <w:r w:rsidR="0563F369" w:rsidRPr="4F2C9454">
        <w:rPr>
          <w:rFonts w:asciiTheme="minorHAnsi" w:hAnsiTheme="minorHAnsi" w:cstheme="minorBidi"/>
        </w:rPr>
        <w:t xml:space="preserve">monitoring and </w:t>
      </w:r>
      <w:r w:rsidR="16B00CC9" w:rsidRPr="4F2C9454">
        <w:rPr>
          <w:rFonts w:asciiTheme="minorHAnsi" w:hAnsiTheme="minorHAnsi" w:cstheme="minorBidi"/>
        </w:rPr>
        <w:t>prevention</w:t>
      </w:r>
      <w:r w:rsidR="325983A0" w:rsidRPr="4F2C9454">
        <w:rPr>
          <w:rFonts w:asciiTheme="minorHAnsi" w:hAnsiTheme="minorHAnsi" w:cstheme="minorBidi"/>
        </w:rPr>
        <w:t xml:space="preserve"> may not be able to</w:t>
      </w:r>
      <w:r w:rsidR="2E159B18" w:rsidRPr="4F2C9454">
        <w:rPr>
          <w:rFonts w:asciiTheme="minorHAnsi" w:hAnsiTheme="minorHAnsi" w:cstheme="minorBidi"/>
        </w:rPr>
        <w:t xml:space="preserve"> offer the same or similar benefits</w:t>
      </w:r>
      <w:r w:rsidR="325983A0" w:rsidRPr="4F2C9454">
        <w:rPr>
          <w:rFonts w:asciiTheme="minorHAnsi" w:hAnsiTheme="minorHAnsi" w:cstheme="minorBidi"/>
        </w:rPr>
        <w:t xml:space="preserve"> </w:t>
      </w:r>
      <w:proofErr w:type="gramStart"/>
      <w:r w:rsidR="325983A0" w:rsidRPr="4F2C9454">
        <w:rPr>
          <w:rFonts w:asciiTheme="minorHAnsi" w:hAnsiTheme="minorHAnsi" w:cstheme="minorBidi"/>
        </w:rPr>
        <w:t>with regard to</w:t>
      </w:r>
      <w:proofErr w:type="gramEnd"/>
      <w:r w:rsidR="325983A0" w:rsidRPr="4F2C9454">
        <w:rPr>
          <w:rFonts w:asciiTheme="minorHAnsi" w:hAnsiTheme="minorHAnsi" w:cstheme="minorBidi"/>
        </w:rPr>
        <w:t xml:space="preserve"> security. </w:t>
      </w:r>
      <w:r w:rsidR="2E159B18" w:rsidRPr="4F2C9454">
        <w:rPr>
          <w:rFonts w:asciiTheme="minorHAnsi" w:hAnsiTheme="minorHAnsi" w:cstheme="minorBidi"/>
        </w:rPr>
        <w:t xml:space="preserve"> </w:t>
      </w:r>
    </w:p>
    <w:p w14:paraId="75A994B6" w14:textId="77777777" w:rsidR="009D0F75" w:rsidRPr="000B5790" w:rsidRDefault="009D0F75" w:rsidP="009D0F75">
      <w:pPr>
        <w:pStyle w:val="paragraph"/>
        <w:spacing w:before="0" w:beforeAutospacing="0" w:after="0" w:afterAutospacing="0"/>
        <w:jc w:val="both"/>
        <w:textAlignment w:val="baseline"/>
        <w:rPr>
          <w:rFonts w:asciiTheme="minorHAnsi" w:hAnsiTheme="minorHAnsi" w:cstheme="minorHAnsi"/>
        </w:rPr>
      </w:pPr>
    </w:p>
    <w:p w14:paraId="05BAFA24" w14:textId="7256F392" w:rsidR="009D0F75" w:rsidRPr="000B5790" w:rsidRDefault="009D0F75" w:rsidP="009D0F75">
      <w:pPr>
        <w:pStyle w:val="paragraph"/>
        <w:spacing w:before="0" w:beforeAutospacing="0" w:after="0" w:afterAutospacing="0"/>
        <w:jc w:val="both"/>
        <w:textAlignment w:val="baseline"/>
        <w:rPr>
          <w:rFonts w:asciiTheme="minorHAnsi" w:hAnsiTheme="minorHAnsi" w:cstheme="minorHAnsi"/>
        </w:rPr>
      </w:pPr>
      <w:r w:rsidRPr="000B5790">
        <w:rPr>
          <w:rFonts w:asciiTheme="minorHAnsi" w:hAnsiTheme="minorHAnsi" w:cstheme="minorHAnsi"/>
        </w:rPr>
        <w:t xml:space="preserve">In addition, Visa has defined </w:t>
      </w:r>
      <w:proofErr w:type="spellStart"/>
      <w:r w:rsidRPr="000B5790">
        <w:rPr>
          <w:rFonts w:asciiTheme="minorHAnsi" w:hAnsiTheme="minorHAnsi" w:cstheme="minorHAnsi"/>
        </w:rPr>
        <w:t>authorisation</w:t>
      </w:r>
      <w:proofErr w:type="spellEnd"/>
      <w:r w:rsidRPr="000B5790">
        <w:rPr>
          <w:rFonts w:asciiTheme="minorHAnsi" w:hAnsiTheme="minorHAnsi" w:cstheme="minorHAnsi"/>
        </w:rPr>
        <w:t xml:space="preserve"> data values to help identify initial storage and usage of stored payment credentials (card</w:t>
      </w:r>
      <w:r w:rsidR="00953611">
        <w:rPr>
          <w:rFonts w:asciiTheme="minorHAnsi" w:hAnsiTheme="minorHAnsi" w:cstheme="minorHAnsi"/>
        </w:rPr>
        <w:t xml:space="preserve"> </w:t>
      </w:r>
      <w:r w:rsidRPr="000B5790">
        <w:rPr>
          <w:rFonts w:asciiTheme="minorHAnsi" w:hAnsiTheme="minorHAnsi" w:cstheme="minorHAnsi"/>
        </w:rPr>
        <w:t>on</w:t>
      </w:r>
      <w:r w:rsidR="00953611">
        <w:rPr>
          <w:rFonts w:asciiTheme="minorHAnsi" w:hAnsiTheme="minorHAnsi" w:cstheme="minorHAnsi"/>
        </w:rPr>
        <w:t xml:space="preserve"> </w:t>
      </w:r>
      <w:r w:rsidRPr="000B5790">
        <w:rPr>
          <w:rFonts w:asciiTheme="minorHAnsi" w:hAnsiTheme="minorHAnsi" w:cstheme="minorHAnsi"/>
        </w:rPr>
        <w:t xml:space="preserve">file) to enable differentiated processing. </w:t>
      </w:r>
      <w:r w:rsidR="00EE4CFC">
        <w:rPr>
          <w:rFonts w:asciiTheme="minorHAnsi" w:hAnsiTheme="minorHAnsi" w:cstheme="minorHAnsi"/>
        </w:rPr>
        <w:t>We have</w:t>
      </w:r>
      <w:r w:rsidRPr="000B5790">
        <w:rPr>
          <w:rFonts w:asciiTheme="minorHAnsi" w:hAnsiTheme="minorHAnsi" w:cstheme="minorHAnsi"/>
        </w:rPr>
        <w:t xml:space="preserve"> updated </w:t>
      </w:r>
      <w:r w:rsidR="00EE4CFC">
        <w:rPr>
          <w:rFonts w:asciiTheme="minorHAnsi" w:hAnsiTheme="minorHAnsi" w:cstheme="minorHAnsi"/>
        </w:rPr>
        <w:t>our</w:t>
      </w:r>
      <w:r w:rsidRPr="000B5790">
        <w:rPr>
          <w:rFonts w:asciiTheme="minorHAnsi" w:hAnsiTheme="minorHAnsi" w:cstheme="minorHAnsi"/>
        </w:rPr>
        <w:t xml:space="preserve"> rules and processing specifications to address a comprehensive list of scenarios where payment credentials are stored with the merchant. These include standing instruction type transactions (e.g. installments or recurring payments) and industry-specific transactions (e.g. no show, delayed charges or incremental). </w:t>
      </w:r>
      <w:proofErr w:type="spellStart"/>
      <w:r w:rsidRPr="000B5790">
        <w:rPr>
          <w:rFonts w:asciiTheme="minorHAnsi" w:hAnsiTheme="minorHAnsi" w:cstheme="minorHAnsi"/>
        </w:rPr>
        <w:t>Recognising</w:t>
      </w:r>
      <w:proofErr w:type="spellEnd"/>
      <w:r w:rsidRPr="000B5790">
        <w:rPr>
          <w:rFonts w:asciiTheme="minorHAnsi" w:hAnsiTheme="minorHAnsi" w:cstheme="minorHAnsi"/>
        </w:rPr>
        <w:t xml:space="preserve"> stored credential transactions allows for greater visibility into the transaction risk, enabling processing and resulting in differential treatment. </w:t>
      </w:r>
    </w:p>
    <w:p w14:paraId="711AD978" w14:textId="77777777" w:rsidR="009D0F75" w:rsidRPr="000B5790" w:rsidRDefault="009D0F75" w:rsidP="009D0F75">
      <w:pPr>
        <w:pStyle w:val="paragraph"/>
        <w:spacing w:before="0" w:beforeAutospacing="0" w:after="0" w:afterAutospacing="0"/>
        <w:jc w:val="both"/>
        <w:textAlignment w:val="baseline"/>
        <w:rPr>
          <w:rFonts w:asciiTheme="minorHAnsi" w:hAnsiTheme="minorHAnsi" w:cstheme="minorHAnsi"/>
        </w:rPr>
      </w:pPr>
    </w:p>
    <w:p w14:paraId="44861E76" w14:textId="1FD1455A" w:rsidR="009D0F75" w:rsidRPr="000B5790" w:rsidRDefault="009D0F75" w:rsidP="00BA1FED">
      <w:pPr>
        <w:pStyle w:val="paragraph"/>
        <w:spacing w:before="0" w:beforeAutospacing="0" w:after="0" w:afterAutospacing="0"/>
        <w:jc w:val="both"/>
        <w:textAlignment w:val="baseline"/>
        <w:rPr>
          <w:rFonts w:asciiTheme="minorHAnsi" w:hAnsiTheme="minorHAnsi" w:cstheme="minorBidi"/>
          <w:color w:val="000000" w:themeColor="text1"/>
        </w:rPr>
      </w:pPr>
      <w:r w:rsidRPr="4F2C9454">
        <w:rPr>
          <w:rFonts w:asciiTheme="minorHAnsi" w:hAnsiTheme="minorHAnsi" w:cstheme="minorBidi"/>
        </w:rPr>
        <w:t xml:space="preserve">Like the RBA, </w:t>
      </w:r>
      <w:r w:rsidRPr="00030040">
        <w:rPr>
          <w:rFonts w:asciiTheme="minorHAnsi" w:hAnsiTheme="minorHAnsi" w:cstheme="minorBidi"/>
        </w:rPr>
        <w:t xml:space="preserve">Visa acknowledges that eftpos </w:t>
      </w:r>
      <w:r w:rsidR="4789E927" w:rsidRPr="00030040">
        <w:rPr>
          <w:rFonts w:asciiTheme="minorHAnsi" w:hAnsiTheme="minorHAnsi" w:cstheme="minorBidi"/>
        </w:rPr>
        <w:t>is</w:t>
      </w:r>
      <w:r w:rsidRPr="00030040">
        <w:rPr>
          <w:rFonts w:asciiTheme="minorHAnsi" w:hAnsiTheme="minorHAnsi" w:cstheme="minorBidi"/>
        </w:rPr>
        <w:t xml:space="preserve"> </w:t>
      </w:r>
      <w:r w:rsidR="4142481C" w:rsidRPr="00030040">
        <w:rPr>
          <w:rFonts w:asciiTheme="minorHAnsi" w:hAnsiTheme="minorHAnsi" w:cstheme="minorBidi"/>
        </w:rPr>
        <w:t>currently</w:t>
      </w:r>
      <w:r w:rsidRPr="00030040">
        <w:rPr>
          <w:rFonts w:asciiTheme="minorHAnsi" w:hAnsiTheme="minorHAnsi" w:cstheme="minorBidi"/>
        </w:rPr>
        <w:t xml:space="preserve"> building its online capabilities</w:t>
      </w:r>
      <w:r w:rsidR="00F86BC3" w:rsidRPr="00030040">
        <w:rPr>
          <w:rStyle w:val="FootnoteReference"/>
          <w:rFonts w:asciiTheme="minorHAnsi" w:hAnsiTheme="minorHAnsi" w:cstheme="minorBidi"/>
        </w:rPr>
        <w:footnoteReference w:id="41"/>
      </w:r>
      <w:r w:rsidRPr="00030040">
        <w:rPr>
          <w:rFonts w:asciiTheme="minorHAnsi" w:hAnsiTheme="minorHAnsi" w:cstheme="minorBidi"/>
        </w:rPr>
        <w:t xml:space="preserve">. </w:t>
      </w:r>
      <w:r w:rsidR="3C104530" w:rsidRPr="00030040">
        <w:rPr>
          <w:rFonts w:asciiTheme="minorHAnsi" w:hAnsiTheme="minorHAnsi" w:cstheme="minorBidi"/>
        </w:rPr>
        <w:t>As such</w:t>
      </w:r>
      <w:r w:rsidRPr="00030040">
        <w:rPr>
          <w:rFonts w:asciiTheme="minorHAnsi" w:hAnsiTheme="minorHAnsi" w:cstheme="minorBidi"/>
        </w:rPr>
        <w:t xml:space="preserve">, </w:t>
      </w:r>
      <w:r w:rsidR="0A60320B" w:rsidRPr="00030040">
        <w:rPr>
          <w:rFonts w:asciiTheme="minorHAnsi" w:hAnsiTheme="minorHAnsi" w:cstheme="minorBidi"/>
        </w:rPr>
        <w:t>inevitably</w:t>
      </w:r>
      <w:r w:rsidRPr="00030040">
        <w:rPr>
          <w:rFonts w:asciiTheme="minorHAnsi" w:hAnsiTheme="minorHAnsi" w:cstheme="minorBidi"/>
        </w:rPr>
        <w:t xml:space="preserve">, there are material differences between the security and product offerings. </w:t>
      </w:r>
      <w:r w:rsidRPr="00030040">
        <w:rPr>
          <w:rFonts w:asciiTheme="minorHAnsi" w:hAnsiTheme="minorHAnsi" w:cstheme="minorHAnsi"/>
          <w:color w:val="000000" w:themeColor="text1"/>
        </w:rPr>
        <w:br/>
      </w:r>
      <w:r w:rsidRPr="00030040">
        <w:rPr>
          <w:rFonts w:asciiTheme="minorHAnsi" w:hAnsiTheme="minorHAnsi" w:cstheme="minorBidi"/>
          <w:color w:val="000000" w:themeColor="text1"/>
        </w:rPr>
        <w:t xml:space="preserve">Against this backdrop, Visa is concerned that </w:t>
      </w:r>
      <w:r w:rsidR="2064B968" w:rsidRPr="00030040">
        <w:rPr>
          <w:rFonts w:asciiTheme="minorHAnsi" w:hAnsiTheme="minorHAnsi" w:cstheme="minorBidi"/>
          <w:color w:val="000000" w:themeColor="text1"/>
        </w:rPr>
        <w:t>P</w:t>
      </w:r>
      <w:r w:rsidRPr="00030040">
        <w:rPr>
          <w:rFonts w:asciiTheme="minorHAnsi" w:hAnsiTheme="minorHAnsi" w:cstheme="minorBidi"/>
          <w:color w:val="000000" w:themeColor="text1"/>
        </w:rPr>
        <w:t xml:space="preserve">rinciple </w:t>
      </w:r>
      <w:r w:rsidR="2064B968" w:rsidRPr="00030040">
        <w:rPr>
          <w:rFonts w:asciiTheme="minorHAnsi" w:hAnsiTheme="minorHAnsi" w:cstheme="minorBidi"/>
          <w:color w:val="000000" w:themeColor="text1"/>
        </w:rPr>
        <w:t>T</w:t>
      </w:r>
      <w:r w:rsidRPr="00030040">
        <w:rPr>
          <w:rFonts w:asciiTheme="minorHAnsi" w:hAnsiTheme="minorHAnsi" w:cstheme="minorBidi"/>
          <w:color w:val="000000" w:themeColor="text1"/>
        </w:rPr>
        <w:t>wo</w:t>
      </w:r>
      <w:r w:rsidRPr="00030040">
        <w:rPr>
          <w:rStyle w:val="FootnoteReference"/>
          <w:rFonts w:asciiTheme="minorHAnsi" w:hAnsiTheme="minorHAnsi" w:cstheme="minorBidi"/>
          <w:color w:val="000000" w:themeColor="text1"/>
        </w:rPr>
        <w:footnoteReference w:id="42"/>
      </w:r>
      <w:r w:rsidRPr="00030040">
        <w:rPr>
          <w:rFonts w:asciiTheme="minorHAnsi" w:hAnsiTheme="minorHAnsi" w:cstheme="minorBidi"/>
          <w:color w:val="000000" w:themeColor="text1"/>
        </w:rPr>
        <w:t xml:space="preserve"> deviates from established market practices and the online payments ecosystem at large will be adversely impacted. </w:t>
      </w:r>
      <w:r w:rsidR="00AE2643" w:rsidRPr="00030040">
        <w:rPr>
          <w:rFonts w:asciiTheme="minorHAnsi" w:hAnsiTheme="minorHAnsi" w:cstheme="minorBidi"/>
          <w:color w:val="000000" w:themeColor="text1"/>
        </w:rPr>
        <w:t>R</w:t>
      </w:r>
      <w:r w:rsidR="009B603F" w:rsidRPr="00030040">
        <w:rPr>
          <w:rFonts w:asciiTheme="minorHAnsi" w:hAnsiTheme="minorHAnsi" w:cstheme="minorBidi"/>
          <w:color w:val="000000" w:themeColor="text1"/>
        </w:rPr>
        <w:t>egard</w:t>
      </w:r>
      <w:r w:rsidR="00AE2643" w:rsidRPr="00030040">
        <w:rPr>
          <w:rFonts w:asciiTheme="minorHAnsi" w:hAnsiTheme="minorHAnsi" w:cstheme="minorBidi"/>
          <w:color w:val="000000" w:themeColor="text1"/>
        </w:rPr>
        <w:t>ing</w:t>
      </w:r>
      <w:r w:rsidR="009B603F" w:rsidRPr="00030040">
        <w:rPr>
          <w:rFonts w:asciiTheme="minorHAnsi" w:hAnsiTheme="minorHAnsi" w:cstheme="minorBidi"/>
          <w:color w:val="000000" w:themeColor="text1"/>
        </w:rPr>
        <w:t xml:space="preserve"> th</w:t>
      </w:r>
      <w:r w:rsidR="00920733" w:rsidRPr="00030040">
        <w:rPr>
          <w:rFonts w:asciiTheme="minorHAnsi" w:hAnsiTheme="minorHAnsi" w:cstheme="minorBidi"/>
          <w:color w:val="000000" w:themeColor="text1"/>
        </w:rPr>
        <w:t>ese</w:t>
      </w:r>
      <w:r w:rsidR="009B603F" w:rsidRPr="00030040">
        <w:rPr>
          <w:rFonts w:asciiTheme="minorHAnsi" w:hAnsiTheme="minorHAnsi" w:cstheme="minorBidi"/>
          <w:color w:val="000000" w:themeColor="text1"/>
        </w:rPr>
        <w:t xml:space="preserve"> concern</w:t>
      </w:r>
      <w:r w:rsidR="00920733" w:rsidRPr="00030040">
        <w:rPr>
          <w:rFonts w:asciiTheme="minorHAnsi" w:hAnsiTheme="minorHAnsi" w:cstheme="minorBidi"/>
          <w:color w:val="000000" w:themeColor="text1"/>
        </w:rPr>
        <w:t>s</w:t>
      </w:r>
      <w:r w:rsidR="009B603F" w:rsidRPr="00030040">
        <w:rPr>
          <w:rFonts w:asciiTheme="minorHAnsi" w:hAnsiTheme="minorHAnsi" w:cstheme="minorBidi"/>
          <w:color w:val="000000" w:themeColor="text1"/>
        </w:rPr>
        <w:t xml:space="preserve">, Visa believes that </w:t>
      </w:r>
      <w:r w:rsidR="000978F9" w:rsidRPr="00030040">
        <w:rPr>
          <w:rFonts w:asciiTheme="minorHAnsi" w:hAnsiTheme="minorHAnsi" w:cstheme="minorBidi"/>
          <w:color w:val="000000" w:themeColor="text1"/>
        </w:rPr>
        <w:t>it</w:t>
      </w:r>
      <w:r w:rsidRPr="00030040">
        <w:rPr>
          <w:rFonts w:asciiTheme="minorHAnsi" w:hAnsiTheme="minorHAnsi" w:cstheme="minorBidi"/>
          <w:color w:val="000000" w:themeColor="text1"/>
        </w:rPr>
        <w:t xml:space="preserve"> is vital that</w:t>
      </w:r>
      <w:r w:rsidR="4503A130" w:rsidRPr="00030040">
        <w:rPr>
          <w:rFonts w:asciiTheme="minorHAnsi" w:hAnsiTheme="minorHAnsi" w:cstheme="minorBidi"/>
          <w:color w:val="000000" w:themeColor="text1"/>
        </w:rPr>
        <w:t xml:space="preserve"> consumers and merchants continue to understand and trust that their payment options will deliver the benefits they expect with regard to security, convenience, and overall value</w:t>
      </w:r>
      <w:r w:rsidR="138B9F2A" w:rsidRPr="00030040">
        <w:rPr>
          <w:rFonts w:asciiTheme="minorHAnsi" w:hAnsiTheme="minorHAnsi" w:cstheme="minorBidi"/>
          <w:color w:val="000000" w:themeColor="text1"/>
        </w:rPr>
        <w:t xml:space="preserve">, </w:t>
      </w:r>
      <w:r w:rsidR="009818D9" w:rsidRPr="00030040">
        <w:rPr>
          <w:rFonts w:asciiTheme="minorHAnsi" w:hAnsiTheme="minorHAnsi" w:cstheme="minorBidi"/>
          <w:color w:val="000000" w:themeColor="text1"/>
        </w:rPr>
        <w:t>and that</w:t>
      </w:r>
      <w:r w:rsidRPr="00030040">
        <w:rPr>
          <w:rFonts w:asciiTheme="minorHAnsi" w:hAnsiTheme="minorHAnsi" w:cstheme="minorBidi"/>
          <w:color w:val="000000" w:themeColor="text1"/>
        </w:rPr>
        <w:t xml:space="preserve"> payment networks’ </w:t>
      </w:r>
      <w:r w:rsidR="7E82B41F" w:rsidRPr="00030040">
        <w:rPr>
          <w:rFonts w:asciiTheme="minorHAnsi" w:hAnsiTheme="minorHAnsi" w:cstheme="minorBidi"/>
          <w:color w:val="000000" w:themeColor="text1"/>
        </w:rPr>
        <w:t xml:space="preserve">respective </w:t>
      </w:r>
      <w:r w:rsidRPr="00030040">
        <w:rPr>
          <w:rFonts w:asciiTheme="minorHAnsi" w:hAnsiTheme="minorHAnsi" w:cstheme="minorBidi"/>
          <w:color w:val="000000" w:themeColor="text1"/>
        </w:rPr>
        <w:t xml:space="preserve">capability sets are </w:t>
      </w:r>
      <w:r w:rsidR="6B56176C" w:rsidRPr="00030040">
        <w:rPr>
          <w:rFonts w:asciiTheme="minorHAnsi" w:hAnsiTheme="minorHAnsi" w:cstheme="minorBidi"/>
          <w:color w:val="000000" w:themeColor="text1"/>
        </w:rPr>
        <w:t xml:space="preserve">clearly </w:t>
      </w:r>
      <w:r w:rsidR="223834B7" w:rsidRPr="00030040">
        <w:rPr>
          <w:rFonts w:asciiTheme="minorHAnsi" w:hAnsiTheme="minorHAnsi" w:cstheme="minorBidi"/>
          <w:color w:val="000000" w:themeColor="text1"/>
        </w:rPr>
        <w:t>delineated</w:t>
      </w:r>
      <w:r w:rsidR="2556EA31" w:rsidRPr="00030040">
        <w:rPr>
          <w:rFonts w:asciiTheme="minorHAnsi" w:hAnsiTheme="minorHAnsi" w:cstheme="minorBidi"/>
          <w:color w:val="000000" w:themeColor="text1"/>
        </w:rPr>
        <w:t xml:space="preserve"> in the online environ</w:t>
      </w:r>
      <w:r w:rsidR="007A6BE8" w:rsidRPr="00030040">
        <w:rPr>
          <w:rFonts w:asciiTheme="minorHAnsi" w:hAnsiTheme="minorHAnsi" w:cstheme="minorBidi"/>
          <w:color w:val="000000" w:themeColor="text1"/>
        </w:rPr>
        <w:t>ment</w:t>
      </w:r>
      <w:r w:rsidR="223834B7" w:rsidRPr="00030040">
        <w:rPr>
          <w:rFonts w:asciiTheme="minorHAnsi" w:hAnsiTheme="minorHAnsi" w:cstheme="minorBidi"/>
          <w:color w:val="000000" w:themeColor="text1"/>
        </w:rPr>
        <w:t>.</w:t>
      </w:r>
      <w:r w:rsidR="00476781">
        <w:rPr>
          <w:rFonts w:asciiTheme="minorHAnsi" w:hAnsiTheme="minorHAnsi" w:cstheme="minorBidi"/>
          <w:color w:val="000000" w:themeColor="text1"/>
        </w:rPr>
        <w:t xml:space="preserve"> </w:t>
      </w:r>
    </w:p>
    <w:p w14:paraId="30252FF6" w14:textId="77777777" w:rsidR="009D0F75" w:rsidRPr="000B5790" w:rsidRDefault="009D0F75" w:rsidP="009D0F75">
      <w:pPr>
        <w:pStyle w:val="paragraph"/>
        <w:spacing w:before="0" w:beforeAutospacing="0" w:after="0" w:afterAutospacing="0"/>
        <w:jc w:val="both"/>
        <w:textAlignment w:val="baseline"/>
        <w:rPr>
          <w:rFonts w:asciiTheme="minorHAnsi" w:hAnsiTheme="minorHAnsi" w:cstheme="minorHAnsi"/>
          <w:color w:val="000000" w:themeColor="text1"/>
        </w:rPr>
      </w:pPr>
    </w:p>
    <w:p w14:paraId="5D906C33" w14:textId="291BDEEB" w:rsidR="009D0F75" w:rsidRDefault="009D0F75" w:rsidP="009D0F75">
      <w:pPr>
        <w:pStyle w:val="paragraph"/>
        <w:spacing w:before="0" w:beforeAutospacing="0" w:after="0" w:afterAutospacing="0"/>
        <w:jc w:val="both"/>
        <w:textAlignment w:val="baseline"/>
        <w:rPr>
          <w:rFonts w:asciiTheme="minorHAnsi" w:hAnsiTheme="minorHAnsi" w:cstheme="minorBidi"/>
          <w:color w:val="000000" w:themeColor="text1"/>
        </w:rPr>
      </w:pPr>
      <w:r w:rsidRPr="66408A5B">
        <w:rPr>
          <w:rFonts w:asciiTheme="minorHAnsi" w:hAnsiTheme="minorHAnsi" w:cstheme="minorBidi"/>
          <w:color w:val="000000" w:themeColor="text1"/>
        </w:rPr>
        <w:t xml:space="preserve">Visa </w:t>
      </w:r>
      <w:proofErr w:type="spellStart"/>
      <w:r w:rsidRPr="66408A5B">
        <w:rPr>
          <w:rFonts w:asciiTheme="minorHAnsi" w:hAnsiTheme="minorHAnsi" w:cstheme="minorBidi"/>
          <w:color w:val="000000" w:themeColor="text1"/>
        </w:rPr>
        <w:t>recognises</w:t>
      </w:r>
      <w:proofErr w:type="spellEnd"/>
      <w:r w:rsidRPr="66408A5B">
        <w:rPr>
          <w:rFonts w:asciiTheme="minorHAnsi" w:hAnsiTheme="minorHAnsi" w:cstheme="minorBidi"/>
          <w:color w:val="000000" w:themeColor="text1"/>
        </w:rPr>
        <w:t xml:space="preserve"> that merchants will continue to offer new payment methods. Visa recommends that consumers continue to have the ability to select between payment </w:t>
      </w:r>
      <w:r w:rsidR="00BE415E">
        <w:rPr>
          <w:rFonts w:asciiTheme="minorHAnsi" w:hAnsiTheme="minorHAnsi" w:cstheme="minorBidi"/>
          <w:color w:val="000000" w:themeColor="text1"/>
        </w:rPr>
        <w:t>processing networks</w:t>
      </w:r>
      <w:r w:rsidRPr="66408A5B">
        <w:rPr>
          <w:rFonts w:asciiTheme="minorHAnsi" w:hAnsiTheme="minorHAnsi" w:cstheme="minorBidi"/>
          <w:color w:val="000000" w:themeColor="text1"/>
        </w:rPr>
        <w:t xml:space="preserve">, when using a DNDC to purchase online.  </w:t>
      </w:r>
    </w:p>
    <w:p w14:paraId="2D43957E" w14:textId="14CADE7D" w:rsidR="009A3FFD" w:rsidRDefault="009A3FFD" w:rsidP="009D0F75">
      <w:pPr>
        <w:pStyle w:val="paragraph"/>
        <w:spacing w:before="0" w:beforeAutospacing="0" w:after="0" w:afterAutospacing="0"/>
        <w:jc w:val="both"/>
        <w:textAlignment w:val="baseline"/>
        <w:rPr>
          <w:rFonts w:asciiTheme="minorHAnsi" w:hAnsiTheme="minorHAnsi" w:cstheme="minorBidi"/>
          <w:color w:val="000000" w:themeColor="text1"/>
        </w:rPr>
      </w:pPr>
    </w:p>
    <w:p w14:paraId="45C62179" w14:textId="53978AAE" w:rsidR="009A3FFD" w:rsidRPr="004C60A1" w:rsidRDefault="009A3FFD" w:rsidP="009D0F75">
      <w:pPr>
        <w:pStyle w:val="paragraph"/>
        <w:spacing w:before="0" w:beforeAutospacing="0" w:after="0" w:afterAutospacing="0"/>
        <w:jc w:val="both"/>
        <w:textAlignment w:val="baseline"/>
        <w:rPr>
          <w:rFonts w:asciiTheme="minorHAnsi" w:hAnsiTheme="minorHAnsi" w:cstheme="minorBidi"/>
          <w:color w:val="000000" w:themeColor="text1"/>
        </w:rPr>
      </w:pPr>
      <w:r>
        <w:rPr>
          <w:rFonts w:asciiTheme="minorHAnsi" w:hAnsiTheme="minorHAnsi" w:cstheme="minorBidi"/>
          <w:color w:val="000000" w:themeColor="text1"/>
        </w:rPr>
        <w:t>See the Appendix for further information on Visa’s perspectives regarding online MCR.</w:t>
      </w:r>
    </w:p>
    <w:p w14:paraId="5754C96F" w14:textId="77777777" w:rsidR="008D3EEB" w:rsidRDefault="008D3EEB" w:rsidP="00DD4320"/>
    <w:p w14:paraId="1399F8C2" w14:textId="4B873001" w:rsidR="00DD4320" w:rsidRPr="001A3E60" w:rsidRDefault="00DD4320" w:rsidP="00DD4320">
      <w:pPr>
        <w:spacing w:line="259" w:lineRule="auto"/>
        <w:jc w:val="both"/>
        <w:rPr>
          <w:rStyle w:val="IntenseEmphasis"/>
          <w:rFonts w:eastAsiaTheme="minorEastAsia"/>
          <w:b/>
          <w:i w:val="0"/>
          <w:iCs w:val="0"/>
          <w:color w:val="002060"/>
          <w:sz w:val="26"/>
          <w:szCs w:val="26"/>
        </w:rPr>
      </w:pPr>
      <w:r w:rsidRPr="001A3E60">
        <w:rPr>
          <w:rStyle w:val="IntenseEmphasis"/>
          <w:rFonts w:eastAsiaTheme="minorEastAsia"/>
          <w:b/>
          <w:i w:val="0"/>
          <w:iCs w:val="0"/>
          <w:color w:val="002060"/>
          <w:sz w:val="26"/>
          <w:szCs w:val="26"/>
        </w:rPr>
        <w:t xml:space="preserve">1.4 Tying </w:t>
      </w:r>
      <w:r w:rsidR="00BE5A5B" w:rsidRPr="001A3E60">
        <w:rPr>
          <w:rStyle w:val="IntenseEmphasis"/>
          <w:rFonts w:eastAsiaTheme="minorEastAsia"/>
          <w:b/>
          <w:i w:val="0"/>
          <w:iCs w:val="0"/>
          <w:color w:val="002060"/>
          <w:sz w:val="26"/>
          <w:szCs w:val="26"/>
        </w:rPr>
        <w:t>C</w:t>
      </w:r>
      <w:r w:rsidRPr="001A3E60">
        <w:rPr>
          <w:rStyle w:val="IntenseEmphasis"/>
          <w:rFonts w:eastAsiaTheme="minorEastAsia"/>
          <w:b/>
          <w:i w:val="0"/>
          <w:iCs w:val="0"/>
          <w:color w:val="002060"/>
          <w:sz w:val="26"/>
          <w:szCs w:val="26"/>
        </w:rPr>
        <w:t>onduct</w:t>
      </w:r>
      <w:r w:rsidRPr="001A3E60">
        <w:rPr>
          <w:rStyle w:val="IntenseEmphasis"/>
          <w:rFonts w:eastAsiaTheme="minorEastAsia"/>
          <w:b/>
          <w:bCs/>
          <w:i w:val="0"/>
          <w:iCs w:val="0"/>
          <w:color w:val="002060"/>
          <w:sz w:val="26"/>
          <w:szCs w:val="26"/>
        </w:rPr>
        <w:t xml:space="preserve"> </w:t>
      </w:r>
    </w:p>
    <w:p w14:paraId="3F7230A5" w14:textId="77777777" w:rsidR="00DD4320" w:rsidRDefault="00DD4320" w:rsidP="00DD4320">
      <w:pPr>
        <w:spacing w:line="259" w:lineRule="auto"/>
        <w:jc w:val="both"/>
      </w:pPr>
    </w:p>
    <w:p w14:paraId="3FD16BC6" w14:textId="1F5C0C3E" w:rsidR="167BD151" w:rsidRDefault="328553A0" w:rsidP="00E6134E">
      <w:pPr>
        <w:jc w:val="both"/>
      </w:pPr>
      <w:r>
        <w:t xml:space="preserve">The </w:t>
      </w:r>
      <w:r w:rsidR="62816A1C">
        <w:t>RBA</w:t>
      </w:r>
      <w:r>
        <w:t xml:space="preserve"> has identified a potential concern </w:t>
      </w:r>
      <w:r w:rsidR="00BE415E">
        <w:t>in relation to</w:t>
      </w:r>
      <w:r>
        <w:t xml:space="preserve"> the linking of strategic rates on credit card transactions to merchant decisions on debit card routing. </w:t>
      </w:r>
      <w:r w:rsidR="7CD63DBA">
        <w:t>In response, it</w:t>
      </w:r>
      <w:r>
        <w:t xml:space="preserve"> propose</w:t>
      </w:r>
      <w:r w:rsidR="7CD63DBA">
        <w:t>s</w:t>
      </w:r>
      <w:r>
        <w:t xml:space="preserve"> two options: (1) leaving this to the</w:t>
      </w:r>
      <w:r w:rsidR="36EC47B2">
        <w:t xml:space="preserve"> </w:t>
      </w:r>
      <w:r>
        <w:t>ACCC; or (2) seeking voluntary undertakings from the international schemes or introducing a new standard to regulate such conduct</w:t>
      </w:r>
      <w:r w:rsidR="00FB2F4F">
        <w:rPr>
          <w:rStyle w:val="FootnoteReference"/>
        </w:rPr>
        <w:footnoteReference w:id="43"/>
      </w:r>
      <w:r>
        <w:t xml:space="preserve">. Visa considers that </w:t>
      </w:r>
      <w:r w:rsidR="588F0712">
        <w:t>O</w:t>
      </w:r>
      <w:r>
        <w:t xml:space="preserve">ption </w:t>
      </w:r>
      <w:r w:rsidR="3A0C957E">
        <w:t>One</w:t>
      </w:r>
      <w:r>
        <w:t xml:space="preserve"> is appropriate.</w:t>
      </w:r>
    </w:p>
    <w:p w14:paraId="6598289D" w14:textId="5F4DDC3B" w:rsidR="7C6D651B" w:rsidRDefault="7C6D651B" w:rsidP="00E6134E">
      <w:pPr>
        <w:jc w:val="both"/>
      </w:pPr>
    </w:p>
    <w:p w14:paraId="2DE9F73A" w14:textId="0645FCB1" w:rsidR="167BD151" w:rsidRDefault="328553A0" w:rsidP="00E6134E">
      <w:pPr>
        <w:jc w:val="both"/>
      </w:pPr>
      <w:r>
        <w:lastRenderedPageBreak/>
        <w:t xml:space="preserve">Visa accepts that the mandate of the Bank under the </w:t>
      </w:r>
      <w:r w:rsidRPr="4F2C9454">
        <w:rPr>
          <w:i/>
          <w:iCs/>
        </w:rPr>
        <w:t>Reserve Bank Act</w:t>
      </w:r>
      <w:r>
        <w:t xml:space="preserve"> (1959) may be said to extend to the promotion of comp</w:t>
      </w:r>
      <w:r w:rsidR="1CB40DBE">
        <w:t>etition</w:t>
      </w:r>
      <w:r w:rsidR="00B07CA3">
        <w:rPr>
          <w:rStyle w:val="FootnoteReference"/>
        </w:rPr>
        <w:footnoteReference w:id="44"/>
      </w:r>
      <w:r>
        <w:t xml:space="preserve"> in payment services in the context of considering the overall stability of the financial system. Nevertheless, the ACCC is the principal regulator in respect of competition law issues and is the principal enforcement agency in respect of the provisions of the Competition and Consumer Act (</w:t>
      </w:r>
      <w:r w:rsidRPr="000E0199">
        <w:t>CCA</w:t>
      </w:r>
      <w:r>
        <w:t xml:space="preserve">). </w:t>
      </w:r>
    </w:p>
    <w:p w14:paraId="0BEC90B4" w14:textId="576DBC62" w:rsidR="167BD151" w:rsidRDefault="167BD151" w:rsidP="00E6134E">
      <w:pPr>
        <w:jc w:val="both"/>
      </w:pPr>
    </w:p>
    <w:p w14:paraId="5363C9CA" w14:textId="45810A24" w:rsidR="167BD151" w:rsidRDefault="328553A0" w:rsidP="00E6134E">
      <w:pPr>
        <w:jc w:val="both"/>
      </w:pPr>
      <w:r>
        <w:t xml:space="preserve">The CCA contains provisions which are appropriate to address any legitimate competition law concern flowing from any linking of credit and debit transactions and the ACCC is the appropriate body to consider whether conduct may be anti-competitive and therefore contravene the CCA. Visa considers that it is not consistent with good regulatory practice for the RBA to take steps to, in effect, regulate industry behaviour where there is an existing regulator and an existing legislative regime which can </w:t>
      </w:r>
      <w:r w:rsidR="7612C388">
        <w:t>adequately address</w:t>
      </w:r>
      <w:r>
        <w:t xml:space="preserve"> any relevant concerns.</w:t>
      </w:r>
    </w:p>
    <w:p w14:paraId="18362E27" w14:textId="778CCFFF" w:rsidR="7C6D651B" w:rsidRDefault="7C6D651B" w:rsidP="00E6134E">
      <w:pPr>
        <w:jc w:val="both"/>
      </w:pPr>
    </w:p>
    <w:p w14:paraId="4A72A855" w14:textId="161091EE" w:rsidR="00673EF2" w:rsidRPr="00673EF2" w:rsidRDefault="305BF8BD" w:rsidP="00E6134E">
      <w:pPr>
        <w:jc w:val="both"/>
      </w:pPr>
      <w:r>
        <w:t xml:space="preserve">As the RBA is aware, Visa </w:t>
      </w:r>
      <w:proofErr w:type="gramStart"/>
      <w:r>
        <w:t>entered into</w:t>
      </w:r>
      <w:proofErr w:type="gramEnd"/>
      <w:r>
        <w:t xml:space="preserve"> an Enforceable Undertaking (the Undertaking) with the ACCC in relation to </w:t>
      </w:r>
      <w:r w:rsidR="79C5F33E">
        <w:t>potential</w:t>
      </w:r>
      <w:r w:rsidR="6841720A">
        <w:t xml:space="preserve"> </w:t>
      </w:r>
      <w:r>
        <w:t>tying conduct in March 2021</w:t>
      </w:r>
      <w:r w:rsidR="00DD4320">
        <w:rPr>
          <w:rStyle w:val="FootnoteReference"/>
        </w:rPr>
        <w:footnoteReference w:id="45"/>
      </w:r>
      <w:r>
        <w:t xml:space="preserve">. </w:t>
      </w:r>
      <w:r w:rsidR="3C9265E5">
        <w:t>T</w:t>
      </w:r>
      <w:r>
        <w:t xml:space="preserve">he ACCC considered that the terms of the Undertaking were appropriate and proportional to address the potential conduct concerns. </w:t>
      </w:r>
      <w:r w:rsidR="0262FAE3" w:rsidRPr="4C39CFF2">
        <w:rPr>
          <w:rFonts w:ascii="Calibri" w:eastAsia="Calibri" w:hAnsi="Calibri" w:cs="Calibri"/>
        </w:rPr>
        <w:t>Visa notes that it has made no admission in respect of anti-competitive conduct. The fact that an undertaking was negotiated and implemented in such circumstances demonstrates the efficacy of an ACCC</w:t>
      </w:r>
      <w:r w:rsidR="008C5D9D">
        <w:rPr>
          <w:rFonts w:ascii="Calibri" w:eastAsia="Calibri" w:hAnsi="Calibri" w:cs="Calibri"/>
        </w:rPr>
        <w:t>-</w:t>
      </w:r>
      <w:r w:rsidR="0262FAE3" w:rsidRPr="4C39CFF2">
        <w:rPr>
          <w:rFonts w:ascii="Calibri" w:eastAsia="Calibri" w:hAnsi="Calibri" w:cs="Calibri"/>
        </w:rPr>
        <w:t>led approach to any competition concerns.</w:t>
      </w:r>
      <w:r w:rsidR="0262FAE3">
        <w:t xml:space="preserve"> </w:t>
      </w:r>
    </w:p>
    <w:p w14:paraId="44A241B2" w14:textId="63CCAF1A" w:rsidR="00673EF2" w:rsidRPr="00673EF2" w:rsidRDefault="00673EF2" w:rsidP="00673EF2">
      <w:pPr>
        <w:spacing w:line="259" w:lineRule="auto"/>
        <w:jc w:val="both"/>
      </w:pPr>
    </w:p>
    <w:p w14:paraId="6AC07FBD" w14:textId="04DD3950" w:rsidR="00673EF2" w:rsidRPr="00673EF2" w:rsidRDefault="005B698D" w:rsidP="00673EF2">
      <w:pPr>
        <w:spacing w:line="259" w:lineRule="auto"/>
        <w:jc w:val="both"/>
      </w:pPr>
      <w:bookmarkStart w:id="9" w:name="_Hlk75891825"/>
      <w:r w:rsidRPr="000816E5">
        <w:t>The RBA</w:t>
      </w:r>
      <w:r>
        <w:t>,</w:t>
      </w:r>
      <w:r w:rsidRPr="000816E5">
        <w:t xml:space="preserve"> in considering regulatory intervention</w:t>
      </w:r>
      <w:r>
        <w:t>,</w:t>
      </w:r>
      <w:r w:rsidRPr="000816E5">
        <w:t xml:space="preserve"> should ensure that regulation is minimally interventionist</w:t>
      </w:r>
      <w:r w:rsidRPr="249B2EC3">
        <w:rPr>
          <w:rFonts w:ascii="Calibri" w:eastAsia="Calibri" w:hAnsi="Calibri" w:cs="Calibri"/>
        </w:rPr>
        <w:t xml:space="preserve"> and not seek to regulate alleged </w:t>
      </w:r>
      <w:r>
        <w:rPr>
          <w:rFonts w:ascii="Calibri" w:eastAsia="Calibri" w:hAnsi="Calibri" w:cs="Calibri"/>
        </w:rPr>
        <w:t>anti-</w:t>
      </w:r>
      <w:r w:rsidRPr="249B2EC3">
        <w:rPr>
          <w:rFonts w:ascii="Calibri" w:eastAsia="Calibri" w:hAnsi="Calibri" w:cs="Calibri"/>
        </w:rPr>
        <w:t>competitive conduct outside of the scope of the CCA</w:t>
      </w:r>
      <w:r>
        <w:t>.</w:t>
      </w:r>
      <w:r w:rsidRPr="000816E5">
        <w:t xml:space="preserve"> </w:t>
      </w:r>
      <w:bookmarkEnd w:id="9"/>
      <w:r w:rsidRPr="69962C8B">
        <w:t>Visa submits that in this case, t</w:t>
      </w:r>
      <w:r w:rsidRPr="000816E5">
        <w:t xml:space="preserve">he </w:t>
      </w:r>
      <w:r>
        <w:t xml:space="preserve">RBA’s proposed </w:t>
      </w:r>
      <w:r w:rsidRPr="000816E5">
        <w:t>reach of regulatory intervention is significant.</w:t>
      </w:r>
      <w:r w:rsidRPr="69962C8B">
        <w:t xml:space="preserve"> </w:t>
      </w:r>
      <w:r>
        <w:t xml:space="preserve"> Option Two essentially allows the RBA to set aside a court enforceable undertaking entered into by Visa and another regulator of competent </w:t>
      </w:r>
      <w:proofErr w:type="gramStart"/>
      <w:r>
        <w:t>authority, and</w:t>
      </w:r>
      <w:proofErr w:type="gramEnd"/>
      <w:r>
        <w:t xml:space="preserve"> supplant it with different terms - without having the benefit of the underlying investigatory proceedings that led to the undertaking. If Option Two was implemented, this would undermine the ACCC’s position as the appropriate regulator as a party would not have full confidence that the matter had been finalised, and know that the RBA could step in and undermine the integrity of the engagement process and any agreement reached through it. </w:t>
      </w:r>
      <w:r w:rsidR="305BF8BD" w:rsidRPr="000816E5">
        <w:t>Unless there are clear reasons for deviation</w:t>
      </w:r>
      <w:r w:rsidR="305BF8BD">
        <w:t>,</w:t>
      </w:r>
      <w:r w:rsidR="305BF8BD" w:rsidRPr="000816E5">
        <w:t xml:space="preserve"> the </w:t>
      </w:r>
      <w:r w:rsidR="7E7F173C" w:rsidRPr="000816E5">
        <w:t>CCA</w:t>
      </w:r>
      <w:r w:rsidR="305BF8BD" w:rsidRPr="000816E5">
        <w:t xml:space="preserve"> is the appropriate mechanism to ensure appropriate competitive conditions in the Australian economy and the ACCC should be the prime enforcement agency</w:t>
      </w:r>
      <w:r w:rsidR="160A6DBC">
        <w:t xml:space="preserve"> </w:t>
      </w:r>
      <w:r w:rsidR="5F11F220">
        <w:t>regarding</w:t>
      </w:r>
      <w:r w:rsidR="160A6DBC">
        <w:t xml:space="preserve"> any competition-related concern</w:t>
      </w:r>
      <w:r w:rsidR="068B4CBD">
        <w:t>s</w:t>
      </w:r>
      <w:r w:rsidR="305BF8BD" w:rsidRPr="69962C8B">
        <w:t>.</w:t>
      </w:r>
    </w:p>
    <w:p w14:paraId="37831457" w14:textId="07432FD3" w:rsidR="44DC2575" w:rsidRDefault="44DC2575" w:rsidP="44DC2575">
      <w:pPr>
        <w:spacing w:line="259" w:lineRule="auto"/>
        <w:jc w:val="both"/>
      </w:pPr>
    </w:p>
    <w:p w14:paraId="0A53EFEC" w14:textId="294E7666" w:rsidR="2A3FA542" w:rsidRDefault="2A3FA542" w:rsidP="44DC2575">
      <w:pPr>
        <w:spacing w:line="259" w:lineRule="auto"/>
        <w:jc w:val="both"/>
      </w:pPr>
      <w:r>
        <w:t xml:space="preserve">All industry participants may bring concerns or issues to the attention of the ACCC (including the RBA). If the ACCC concludes that conduct does not contravene the CCA, Visa considers it would not be appropriate for the RBA to nevertheless regulate to address some perceived concern. This is, in effect, what would occur under </w:t>
      </w:r>
      <w:r w:rsidR="00B14E45">
        <w:t>O</w:t>
      </w:r>
      <w:r>
        <w:t xml:space="preserve">ption </w:t>
      </w:r>
      <w:r w:rsidR="000E17F5">
        <w:t>Two</w:t>
      </w:r>
      <w:r>
        <w:t>.</w:t>
      </w:r>
    </w:p>
    <w:p w14:paraId="75F15C62" w14:textId="77777777" w:rsidR="00DD4320" w:rsidRPr="000816E5" w:rsidRDefault="00DD4320" w:rsidP="00DD4320">
      <w:pPr>
        <w:spacing w:line="259" w:lineRule="auto"/>
        <w:jc w:val="both"/>
      </w:pPr>
    </w:p>
    <w:p w14:paraId="7FCC9DB7" w14:textId="004F9A40" w:rsidR="00DD4320" w:rsidRDefault="00DD4320" w:rsidP="00C41CA9">
      <w:pPr>
        <w:spacing w:line="259" w:lineRule="auto"/>
        <w:jc w:val="both"/>
      </w:pPr>
      <w:r w:rsidRPr="000816E5">
        <w:t xml:space="preserve">The experience of the recent Visa </w:t>
      </w:r>
      <w:r>
        <w:t>U</w:t>
      </w:r>
      <w:r w:rsidRPr="000816E5">
        <w:t xml:space="preserve">ndertaking is instructive. The ACCC considered that the </w:t>
      </w:r>
      <w:r>
        <w:t>U</w:t>
      </w:r>
      <w:r w:rsidRPr="000816E5">
        <w:t xml:space="preserve">ndertaking addressed relevant concerns and that Visa’s compliance with the terms of the </w:t>
      </w:r>
      <w:r>
        <w:t>U</w:t>
      </w:r>
      <w:r w:rsidRPr="000816E5">
        <w:t>ndertaking preclude any anti</w:t>
      </w:r>
      <w:r>
        <w:t>-</w:t>
      </w:r>
      <w:r w:rsidRPr="000816E5">
        <w:t>competitive outcome. Proposed regulation or undertakings which go beyond th</w:t>
      </w:r>
      <w:r>
        <w:t>e</w:t>
      </w:r>
      <w:r w:rsidRPr="000816E5">
        <w:t xml:space="preserve"> </w:t>
      </w:r>
      <w:r>
        <w:t>U</w:t>
      </w:r>
      <w:r w:rsidRPr="000816E5">
        <w:t xml:space="preserve">ndertaking </w:t>
      </w:r>
      <w:r w:rsidR="2CCFFEF9">
        <w:lastRenderedPageBreak/>
        <w:t>suggest</w:t>
      </w:r>
      <w:r>
        <w:t xml:space="preserve"> </w:t>
      </w:r>
      <w:r w:rsidRPr="000816E5">
        <w:t>regulatory overreach</w:t>
      </w:r>
      <w:r>
        <w:t>,</w:t>
      </w:r>
      <w:r w:rsidRPr="000816E5">
        <w:t xml:space="preserve"> which </w:t>
      </w:r>
      <w:r>
        <w:t xml:space="preserve">would </w:t>
      </w:r>
      <w:r w:rsidRPr="000816E5">
        <w:t>impose additional costs, limit efficiency</w:t>
      </w:r>
      <w:r w:rsidR="00B3726E">
        <w:t>, may have unintended consequences,</w:t>
      </w:r>
      <w:r w:rsidRPr="000816E5">
        <w:t xml:space="preserve"> and ultimately is detrimental </w:t>
      </w:r>
      <w:r>
        <w:t>to competition</w:t>
      </w:r>
      <w:r w:rsidR="00B3726E">
        <w:t>.</w:t>
      </w:r>
    </w:p>
    <w:p w14:paraId="27A3AE3D" w14:textId="0933E782" w:rsidR="00E01530" w:rsidRDefault="00E01530">
      <w:pPr>
        <w:rPr>
          <w:rFonts w:cstheme="minorHAnsi"/>
          <w:color w:val="000000" w:themeColor="text1"/>
        </w:rPr>
      </w:pPr>
    </w:p>
    <w:p w14:paraId="221081AB" w14:textId="2E6BC354" w:rsidR="00E01530" w:rsidRPr="001A3E60" w:rsidRDefault="00E01530" w:rsidP="00E01530">
      <w:pPr>
        <w:rPr>
          <w:rFonts w:cs="Segoe UI"/>
          <w:iCs/>
          <w:color w:val="002060"/>
        </w:rPr>
      </w:pPr>
      <w:r w:rsidRPr="001A3E60">
        <w:rPr>
          <w:rStyle w:val="IntenseEmphasis"/>
          <w:rFonts w:eastAsiaTheme="minorEastAsia"/>
          <w:b/>
          <w:i w:val="0"/>
          <w:color w:val="002060"/>
          <w:sz w:val="26"/>
          <w:szCs w:val="26"/>
        </w:rPr>
        <w:t>1.5 Dual</w:t>
      </w:r>
      <w:r w:rsidR="00821FD4" w:rsidRPr="001A3E60">
        <w:rPr>
          <w:rStyle w:val="IntenseEmphasis"/>
          <w:rFonts w:eastAsiaTheme="minorEastAsia"/>
          <w:b/>
          <w:i w:val="0"/>
          <w:color w:val="002060"/>
          <w:sz w:val="26"/>
          <w:szCs w:val="26"/>
        </w:rPr>
        <w:t>-</w:t>
      </w:r>
      <w:r w:rsidRPr="001A3E60">
        <w:rPr>
          <w:rStyle w:val="IntenseEmphasis"/>
          <w:rFonts w:eastAsiaTheme="minorEastAsia"/>
          <w:b/>
          <w:i w:val="0"/>
          <w:color w:val="002060"/>
          <w:sz w:val="26"/>
          <w:szCs w:val="26"/>
        </w:rPr>
        <w:t xml:space="preserve">Network Debit Cards </w:t>
      </w:r>
    </w:p>
    <w:p w14:paraId="7BDA9094" w14:textId="77777777" w:rsidR="00376B25" w:rsidRDefault="00376B25">
      <w:pPr>
        <w:rPr>
          <w:rFonts w:cstheme="minorHAnsi"/>
          <w:color w:val="000000" w:themeColor="text1"/>
        </w:rPr>
      </w:pPr>
    </w:p>
    <w:p w14:paraId="50CAB6FF" w14:textId="63E0AD39" w:rsidR="002D3EAF" w:rsidRPr="001A3E60" w:rsidRDefault="002D3EAF" w:rsidP="00376B25">
      <w:pPr>
        <w:jc w:val="both"/>
        <w:rPr>
          <w:b/>
          <w:bCs/>
          <w:iCs/>
          <w:u w:val="single"/>
        </w:rPr>
      </w:pPr>
      <w:r w:rsidRPr="001A3E60">
        <w:rPr>
          <w:b/>
          <w:bCs/>
          <w:iCs/>
          <w:u w:val="single"/>
        </w:rPr>
        <w:t xml:space="preserve">Comparison of </w:t>
      </w:r>
      <w:r w:rsidR="00C66E27">
        <w:rPr>
          <w:b/>
          <w:bCs/>
          <w:iCs/>
          <w:u w:val="single"/>
        </w:rPr>
        <w:t>c</w:t>
      </w:r>
      <w:r w:rsidRPr="001A3E60">
        <w:rPr>
          <w:b/>
          <w:bCs/>
          <w:iCs/>
          <w:u w:val="single"/>
        </w:rPr>
        <w:t xml:space="preserve">osts for </w:t>
      </w:r>
      <w:r w:rsidR="00C66E27">
        <w:rPr>
          <w:b/>
          <w:bCs/>
          <w:iCs/>
          <w:u w:val="single"/>
        </w:rPr>
        <w:t>n</w:t>
      </w:r>
      <w:r w:rsidRPr="001A3E60">
        <w:rPr>
          <w:b/>
          <w:bCs/>
          <w:iCs/>
          <w:u w:val="single"/>
        </w:rPr>
        <w:t>etworks</w:t>
      </w:r>
    </w:p>
    <w:p w14:paraId="762AA69B" w14:textId="77777777" w:rsidR="002D3EAF" w:rsidRDefault="002D3EAF" w:rsidP="00376B25">
      <w:pPr>
        <w:jc w:val="both"/>
      </w:pPr>
    </w:p>
    <w:p w14:paraId="5736131B" w14:textId="360C3BB5" w:rsidR="00376B25" w:rsidRDefault="0044C955" w:rsidP="00376B25">
      <w:pPr>
        <w:jc w:val="both"/>
      </w:pPr>
      <w:r>
        <w:t>Visa disagrees with the RBA’s following comment in the Consultation Paper: “For many merchants … payments via eftpos can be significantly cheaper to accept than payments via the international schemes”</w:t>
      </w:r>
      <w:r w:rsidR="00A25411">
        <w:rPr>
          <w:rStyle w:val="FootnoteReference"/>
        </w:rPr>
        <w:footnoteReference w:id="46"/>
      </w:r>
      <w:r>
        <w:t>. As Visa has outlined to the RBA previously, such rhetoric is enabled by the fact that</w:t>
      </w:r>
      <w:r w:rsidRPr="00376B25">
        <w:t xml:space="preserve"> </w:t>
      </w:r>
      <w:r>
        <w:t xml:space="preserve">currently publicly available data on Merchant Service Fees (MSFs) is </w:t>
      </w:r>
      <w:r w:rsidRPr="00387A0D">
        <w:t xml:space="preserve">not </w:t>
      </w:r>
      <w:r w:rsidRPr="00376B25">
        <w:t>granular enough</w:t>
      </w:r>
      <w:r>
        <w:t xml:space="preserve"> to allow for a true comparison of the costs of processing payments through </w:t>
      </w:r>
      <w:r w:rsidRPr="00376B25">
        <w:t>individual</w:t>
      </w:r>
      <w:r>
        <w:t xml:space="preserve"> networks. The RBA-published MSFs compare the fees charged for routing </w:t>
      </w:r>
      <w:r w:rsidR="00FF7F2C">
        <w:t>f2f</w:t>
      </w:r>
      <w:r>
        <w:t xml:space="preserve"> domestic debit transactions via the domestic network with the fees charged for routing domestic debit transactions, international debit transactions, </w:t>
      </w:r>
      <w:r w:rsidR="00FF7F2C">
        <w:t>f2f</w:t>
      </w:r>
      <w:r>
        <w:t xml:space="preserve"> </w:t>
      </w:r>
      <w:r w:rsidRPr="00376B25">
        <w:t>and</w:t>
      </w:r>
      <w:r>
        <w:t xml:space="preserve"> e-commerce transactions via </w:t>
      </w:r>
      <w:r w:rsidRPr="00376B25">
        <w:t>multiple</w:t>
      </w:r>
      <w:r>
        <w:t xml:space="preserve"> international networks. This is clearly not a like-for-like comparison. </w:t>
      </w:r>
    </w:p>
    <w:p w14:paraId="0615FEB8" w14:textId="77777777" w:rsidR="00376B25" w:rsidRDefault="00376B25" w:rsidP="00376B25">
      <w:pPr>
        <w:jc w:val="both"/>
      </w:pPr>
    </w:p>
    <w:p w14:paraId="3FB5EDF6" w14:textId="1479FABF" w:rsidR="00376B25" w:rsidRDefault="00376B25" w:rsidP="00376B25">
      <w:pPr>
        <w:jc w:val="both"/>
      </w:pPr>
      <w:r w:rsidRPr="00376B25">
        <w:t xml:space="preserve">Visa appreciates the RBA’s recent agreement, through dialogue with a AusPayNet working group, to remedy this significant shortcoming through capturing, and ensuring that acquirers report, accurate information at a sufficient level of detail. As a result, we anticipate that more accurate information regarding MSFs will become progressively available on the RBA’s website. </w:t>
      </w:r>
      <w:r w:rsidR="00E6134E">
        <w:t xml:space="preserve">Such an outcome </w:t>
      </w:r>
      <w:r w:rsidR="00DE3AD5">
        <w:t>is</w:t>
      </w:r>
      <w:r w:rsidR="00E6134E">
        <w:t xml:space="preserve"> in the public interest.</w:t>
      </w:r>
    </w:p>
    <w:p w14:paraId="7AB4E2C4" w14:textId="77777777" w:rsidR="00376B25" w:rsidRPr="00376B25" w:rsidRDefault="00376B25" w:rsidP="00376B25">
      <w:pPr>
        <w:jc w:val="both"/>
      </w:pPr>
    </w:p>
    <w:p w14:paraId="491E502C" w14:textId="57580C9A" w:rsidR="00376B25" w:rsidRPr="00376B25" w:rsidRDefault="00376B25" w:rsidP="6EBC522A">
      <w:pPr>
        <w:pStyle w:val="Default"/>
        <w:spacing w:after="160"/>
        <w:jc w:val="both"/>
        <w:rPr>
          <w:rFonts w:asciiTheme="minorHAnsi" w:hAnsiTheme="minorHAnsi" w:cstheme="minorBidi"/>
          <w:color w:val="auto"/>
          <w:sz w:val="22"/>
          <w:szCs w:val="22"/>
          <w:lang w:val="en-AU"/>
        </w:rPr>
      </w:pPr>
      <w:r w:rsidRPr="6EBC522A">
        <w:rPr>
          <w:rFonts w:asciiTheme="minorHAnsi" w:hAnsiTheme="minorHAnsi" w:cstheme="minorBidi"/>
          <w:color w:val="auto"/>
          <w:sz w:val="22"/>
          <w:szCs w:val="22"/>
          <w:lang w:val="en-AU"/>
        </w:rPr>
        <w:t xml:space="preserve">On MSFs more generally, it should be remembered that scheme fees are one </w:t>
      </w:r>
      <w:r w:rsidR="68238C2B" w:rsidRPr="6EBC522A">
        <w:rPr>
          <w:rFonts w:asciiTheme="minorHAnsi" w:hAnsiTheme="minorHAnsi" w:cstheme="minorBidi"/>
          <w:color w:val="auto"/>
          <w:sz w:val="22"/>
          <w:szCs w:val="22"/>
          <w:lang w:val="en-AU"/>
        </w:rPr>
        <w:t xml:space="preserve">small </w:t>
      </w:r>
      <w:r w:rsidRPr="6EBC522A">
        <w:rPr>
          <w:rFonts w:asciiTheme="minorHAnsi" w:hAnsiTheme="minorHAnsi" w:cstheme="minorBidi"/>
          <w:color w:val="auto"/>
          <w:sz w:val="22"/>
          <w:szCs w:val="22"/>
          <w:lang w:val="en-AU"/>
        </w:rPr>
        <w:t xml:space="preserve">component of an acquirer MSFs, which are accompanied by other costs that the acquirer chooses to incorporate as part of this fee. Acquirers determine the overall price for the underlying services that they provide to merchants. As already mentioned, some networks may have a simple value proposition to support one channel, while others may offer a complete suite of services that merchants can use (card present, mobile, </w:t>
      </w:r>
      <w:proofErr w:type="gramStart"/>
      <w:r w:rsidRPr="6EBC522A">
        <w:rPr>
          <w:rFonts w:asciiTheme="minorHAnsi" w:hAnsiTheme="minorHAnsi" w:cstheme="minorBidi"/>
          <w:color w:val="auto"/>
          <w:sz w:val="22"/>
          <w:szCs w:val="22"/>
          <w:lang w:val="en-AU"/>
        </w:rPr>
        <w:t>online</w:t>
      </w:r>
      <w:proofErr w:type="gramEnd"/>
      <w:r w:rsidRPr="6EBC522A">
        <w:rPr>
          <w:rFonts w:asciiTheme="minorHAnsi" w:hAnsiTheme="minorHAnsi" w:cstheme="minorBidi"/>
          <w:color w:val="auto"/>
          <w:sz w:val="22"/>
          <w:szCs w:val="22"/>
          <w:lang w:val="en-AU"/>
        </w:rPr>
        <w:t xml:space="preserve"> and international). If an acquirer wants to simplify its pricing, it might bundle all fees together to offer simplified weighted average pricing. In addition, depending on the acquirer pricing strategy and the network’s business model, pricing will be different. As a result, </w:t>
      </w:r>
      <w:r w:rsidR="00BE415E">
        <w:rPr>
          <w:rFonts w:asciiTheme="minorHAnsi" w:hAnsiTheme="minorHAnsi" w:cstheme="minorBidi"/>
          <w:color w:val="auto"/>
          <w:sz w:val="22"/>
          <w:szCs w:val="22"/>
          <w:lang w:val="en-AU"/>
        </w:rPr>
        <w:t>over-</w:t>
      </w:r>
      <w:r w:rsidRPr="6EBC522A">
        <w:rPr>
          <w:rFonts w:asciiTheme="minorHAnsi" w:hAnsiTheme="minorHAnsi" w:cstheme="minorBidi"/>
          <w:color w:val="auto"/>
          <w:sz w:val="22"/>
          <w:szCs w:val="22"/>
          <w:lang w:val="en-AU"/>
        </w:rPr>
        <w:t>simplified comparison</w:t>
      </w:r>
      <w:r w:rsidR="00BE415E">
        <w:rPr>
          <w:rFonts w:asciiTheme="minorHAnsi" w:hAnsiTheme="minorHAnsi" w:cstheme="minorBidi"/>
          <w:color w:val="auto"/>
          <w:sz w:val="22"/>
          <w:szCs w:val="22"/>
          <w:lang w:val="en-AU"/>
        </w:rPr>
        <w:t>s</w:t>
      </w:r>
      <w:r w:rsidRPr="6EBC522A">
        <w:rPr>
          <w:rFonts w:asciiTheme="minorHAnsi" w:hAnsiTheme="minorHAnsi" w:cstheme="minorBidi"/>
          <w:color w:val="auto"/>
          <w:sz w:val="22"/>
          <w:szCs w:val="22"/>
          <w:lang w:val="en-AU"/>
        </w:rPr>
        <w:t xml:space="preserve"> of one network to another seems inappropriate without </w:t>
      </w:r>
      <w:proofErr w:type="gramStart"/>
      <w:r w:rsidRPr="6EBC522A">
        <w:rPr>
          <w:rFonts w:asciiTheme="minorHAnsi" w:hAnsiTheme="minorHAnsi" w:cstheme="minorBidi"/>
          <w:color w:val="auto"/>
          <w:sz w:val="22"/>
          <w:szCs w:val="22"/>
          <w:lang w:val="en-AU"/>
        </w:rPr>
        <w:t>taking into account</w:t>
      </w:r>
      <w:proofErr w:type="gramEnd"/>
      <w:r w:rsidRPr="6EBC522A">
        <w:rPr>
          <w:rFonts w:asciiTheme="minorHAnsi" w:hAnsiTheme="minorHAnsi" w:cstheme="minorBidi"/>
          <w:color w:val="auto"/>
          <w:sz w:val="22"/>
          <w:szCs w:val="22"/>
          <w:lang w:val="en-AU"/>
        </w:rPr>
        <w:t xml:space="preserve"> the factors above, especially regarding separating all products and services to enable the comparison of pricing within each network on a like-for-like basis.</w:t>
      </w:r>
    </w:p>
    <w:p w14:paraId="24AC9005" w14:textId="77777777" w:rsidR="008D3EEB" w:rsidRDefault="008D3EEB">
      <w:pPr>
        <w:rPr>
          <w:rFonts w:eastAsiaTheme="majorEastAsia" w:cs="Segoe UI"/>
          <w:b/>
          <w:color w:val="002060"/>
          <w:sz w:val="32"/>
          <w:szCs w:val="32"/>
        </w:rPr>
      </w:pPr>
      <w:bookmarkStart w:id="10" w:name="_Toc74838195"/>
      <w:r>
        <w:rPr>
          <w:rFonts w:cs="Segoe UI"/>
          <w:b/>
          <w:color w:val="002060"/>
        </w:rPr>
        <w:br w:type="page"/>
      </w:r>
    </w:p>
    <w:p w14:paraId="26ADCA89" w14:textId="26219A49" w:rsidR="003B0569" w:rsidRPr="007A4078" w:rsidRDefault="003B0569" w:rsidP="004A32C5">
      <w:pPr>
        <w:pStyle w:val="Heading1"/>
        <w:numPr>
          <w:ilvl w:val="0"/>
          <w:numId w:val="5"/>
        </w:numPr>
        <w:rPr>
          <w:rFonts w:asciiTheme="minorHAnsi" w:hAnsiTheme="minorHAnsi" w:cs="Segoe UI"/>
          <w:b/>
          <w:color w:val="002060"/>
        </w:rPr>
      </w:pPr>
      <w:bookmarkStart w:id="11" w:name="_Toc76743590"/>
      <w:r w:rsidRPr="007A4078">
        <w:rPr>
          <w:rFonts w:asciiTheme="minorHAnsi" w:hAnsiTheme="minorHAnsi" w:cs="Segoe UI"/>
          <w:b/>
          <w:color w:val="002060"/>
        </w:rPr>
        <w:lastRenderedPageBreak/>
        <w:t xml:space="preserve">Interchange </w:t>
      </w:r>
      <w:bookmarkEnd w:id="10"/>
      <w:bookmarkEnd w:id="11"/>
    </w:p>
    <w:p w14:paraId="42549C97" w14:textId="036960DF" w:rsidR="0033017D" w:rsidRDefault="00A20483" w:rsidP="00382B85">
      <w:r>
        <w:rPr>
          <w:noProof/>
        </w:rPr>
        <mc:AlternateContent>
          <mc:Choice Requires="wps">
            <w:drawing>
              <wp:anchor distT="0" distB="0" distL="114300" distR="114300" simplePos="0" relativeHeight="251659278" behindDoc="1" locked="0" layoutInCell="1" allowOverlap="1" wp14:anchorId="5916EADE" wp14:editId="414AD09A">
                <wp:simplePos x="0" y="0"/>
                <wp:positionH relativeFrom="margin">
                  <wp:align>left</wp:align>
                </wp:positionH>
                <wp:positionV relativeFrom="paragraph">
                  <wp:posOffset>56515</wp:posOffset>
                </wp:positionV>
                <wp:extent cx="6048375" cy="1461770"/>
                <wp:effectExtent l="0" t="0" r="28575" b="24130"/>
                <wp:wrapNone/>
                <wp:docPr id="1071266273" name="Rectangle 10"/>
                <wp:cNvGraphicFramePr/>
                <a:graphic xmlns:a="http://schemas.openxmlformats.org/drawingml/2006/main">
                  <a:graphicData uri="http://schemas.microsoft.com/office/word/2010/wordprocessingShape">
                    <wps:wsp>
                      <wps:cNvSpPr/>
                      <wps:spPr>
                        <a:xfrm>
                          <a:off x="0" y="0"/>
                          <a:ext cx="6048375" cy="1461770"/>
                        </a:xfrm>
                        <a:prstGeom prst="rect">
                          <a:avLst/>
                        </a:prstGeom>
                        <a:solidFill>
                          <a:schemeClr val="bg1">
                            <a:lumMod val="85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BCC6C81" id="Rectangle 10" o:spid="_x0000_s1026" style="position:absolute;margin-left:0;margin-top:4.45pt;width:476.25pt;height:115.1pt;z-index:-25165720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" fillcolor="#d8d8d8 [2732]" strokecolor="black [3213]" strokeweight="1pt">
                <w10:wrap anchorx="margin"/>
              </v:rect>
            </w:pict>
          </mc:Fallback>
        </mc:AlternateContent>
      </w:r>
    </w:p>
    <w:p w14:paraId="65B497ED" w14:textId="0AC76D99" w:rsidR="004C464B" w:rsidRPr="00030040" w:rsidRDefault="004C464B" w:rsidP="001A3E60">
      <w:pPr>
        <w:ind w:left="142"/>
        <w:rPr>
          <w:rFonts w:cstheme="minorHAnsi"/>
        </w:rPr>
      </w:pPr>
      <w:r w:rsidRPr="004C464B">
        <w:rPr>
          <w:rStyle w:val="IntenseEmphasis"/>
          <w:rFonts w:eastAsiaTheme="minorEastAsia"/>
          <w:i w:val="0"/>
          <w:iCs w:val="0"/>
          <w:color w:val="2E74B5" w:themeColor="accent1" w:themeShade="BF"/>
          <w:sz w:val="26"/>
          <w:szCs w:val="26"/>
        </w:rPr>
        <w:t xml:space="preserve">Key </w:t>
      </w:r>
      <w:r w:rsidRPr="00030040">
        <w:rPr>
          <w:rStyle w:val="IntenseEmphasis"/>
          <w:rFonts w:eastAsiaTheme="minorEastAsia"/>
          <w:i w:val="0"/>
          <w:iCs w:val="0"/>
          <w:color w:val="2E74B5" w:themeColor="accent1" w:themeShade="BF"/>
          <w:sz w:val="26"/>
          <w:szCs w:val="26"/>
        </w:rPr>
        <w:t>Points</w:t>
      </w:r>
    </w:p>
    <w:p w14:paraId="00FF0A6A" w14:textId="148DEC44" w:rsidR="00A958A6" w:rsidRPr="00030040" w:rsidRDefault="00A958A6" w:rsidP="0077450A">
      <w:pPr>
        <w:pStyle w:val="ListParagraph"/>
        <w:numPr>
          <w:ilvl w:val="0"/>
          <w:numId w:val="11"/>
        </w:numPr>
        <w:jc w:val="both"/>
        <w:rPr>
          <w:rFonts w:asciiTheme="minorHAnsi" w:hAnsiTheme="minorHAnsi" w:cstheme="minorHAnsi"/>
        </w:rPr>
      </w:pPr>
      <w:bookmarkStart w:id="12" w:name="_Hlk76414193"/>
      <w:r w:rsidRPr="00030040">
        <w:rPr>
          <w:rFonts w:asciiTheme="minorHAnsi" w:hAnsiTheme="minorHAnsi" w:cstheme="minorHAnsi"/>
        </w:rPr>
        <w:t xml:space="preserve">Visa does not support the RBA reducing the cents-based debit interchange cap. Commercial adjustments for small ticket transactions have already pre-empted the need for such an adjustment, and further rate caps could have a detrimental effect on future investments in payments security and innovation. </w:t>
      </w:r>
    </w:p>
    <w:p w14:paraId="58683B2A" w14:textId="749E634A" w:rsidR="004C464B" w:rsidRPr="00030040" w:rsidRDefault="00A958A6" w:rsidP="0077450A">
      <w:pPr>
        <w:pStyle w:val="ListParagraph"/>
        <w:numPr>
          <w:ilvl w:val="0"/>
          <w:numId w:val="11"/>
        </w:numPr>
        <w:jc w:val="both"/>
        <w:rPr>
          <w:rFonts w:asciiTheme="minorHAnsi" w:hAnsiTheme="minorHAnsi" w:cstheme="minorHAnsi"/>
        </w:rPr>
      </w:pPr>
      <w:r w:rsidRPr="00030040">
        <w:rPr>
          <w:rFonts w:asciiTheme="minorHAnsi" w:hAnsiTheme="minorHAnsi" w:cstheme="minorHAnsi"/>
        </w:rPr>
        <w:t>Visa recommends that interchange for SNDCs be set somewhat higher than the proposed 6 cents to ensure that investment in security, among other things, is not negatively impacted.</w:t>
      </w:r>
    </w:p>
    <w:bookmarkEnd w:id="12"/>
    <w:p w14:paraId="7BEB23D3" w14:textId="5630EBFF" w:rsidR="3F6DF25F" w:rsidRPr="00A958A6" w:rsidRDefault="3F6DF25F" w:rsidP="3F6DF25F">
      <w:pPr>
        <w:jc w:val="both"/>
        <w:rPr>
          <w:rFonts w:eastAsia="Cambria" w:cstheme="minorHAnsi"/>
          <w:szCs w:val="24"/>
        </w:rPr>
      </w:pPr>
    </w:p>
    <w:p w14:paraId="4E1F6BCE" w14:textId="77777777" w:rsidR="00A958A6" w:rsidRDefault="00A958A6" w:rsidP="00FE0C1A">
      <w:pPr>
        <w:jc w:val="both"/>
        <w:rPr>
          <w:rStyle w:val="IntenseEmphasis"/>
          <w:rFonts w:eastAsiaTheme="minorEastAsia"/>
          <w:b/>
          <w:bCs/>
          <w:i w:val="0"/>
          <w:color w:val="2E74B5" w:themeColor="accent1" w:themeShade="BF"/>
          <w:sz w:val="26"/>
          <w:szCs w:val="26"/>
        </w:rPr>
      </w:pPr>
    </w:p>
    <w:p w14:paraId="01297D1D" w14:textId="2E40CAC9" w:rsidR="00FD7EAB" w:rsidRPr="001A3E60" w:rsidRDefault="006E6BD4" w:rsidP="00FE0C1A">
      <w:pPr>
        <w:jc w:val="both"/>
        <w:rPr>
          <w:rFonts w:cs="Segoe UI"/>
          <w:i/>
          <w:color w:val="002060"/>
        </w:rPr>
      </w:pPr>
      <w:r w:rsidRPr="001A3E60">
        <w:rPr>
          <w:rStyle w:val="IntenseEmphasis"/>
          <w:rFonts w:eastAsiaTheme="minorEastAsia"/>
          <w:b/>
          <w:bCs/>
          <w:i w:val="0"/>
          <w:color w:val="002060"/>
          <w:sz w:val="26"/>
          <w:szCs w:val="26"/>
        </w:rPr>
        <w:t xml:space="preserve">2.1 </w:t>
      </w:r>
      <w:r w:rsidR="009221ED" w:rsidRPr="001A3E60">
        <w:rPr>
          <w:rStyle w:val="IntenseEmphasis"/>
          <w:rFonts w:eastAsiaTheme="minorEastAsia"/>
          <w:b/>
          <w:bCs/>
          <w:i w:val="0"/>
          <w:color w:val="002060"/>
          <w:sz w:val="26"/>
          <w:szCs w:val="26"/>
        </w:rPr>
        <w:t xml:space="preserve">Debit </w:t>
      </w:r>
      <w:r w:rsidR="00BE5A5B" w:rsidRPr="001A3E60">
        <w:rPr>
          <w:rStyle w:val="IntenseEmphasis"/>
          <w:rFonts w:eastAsiaTheme="minorEastAsia"/>
          <w:b/>
          <w:bCs/>
          <w:i w:val="0"/>
          <w:color w:val="002060"/>
          <w:sz w:val="26"/>
          <w:szCs w:val="26"/>
        </w:rPr>
        <w:t>I</w:t>
      </w:r>
      <w:r w:rsidR="009221ED" w:rsidRPr="001A3E60">
        <w:rPr>
          <w:rStyle w:val="IntenseEmphasis"/>
          <w:rFonts w:eastAsiaTheme="minorEastAsia"/>
          <w:b/>
          <w:bCs/>
          <w:i w:val="0"/>
          <w:color w:val="002060"/>
          <w:sz w:val="26"/>
          <w:szCs w:val="26"/>
        </w:rPr>
        <w:t xml:space="preserve">nterchange </w:t>
      </w:r>
      <w:r w:rsidR="00BE5A5B" w:rsidRPr="001A3E60">
        <w:rPr>
          <w:rStyle w:val="IntenseEmphasis"/>
          <w:rFonts w:eastAsiaTheme="minorEastAsia"/>
          <w:b/>
          <w:bCs/>
          <w:i w:val="0"/>
          <w:color w:val="002060"/>
          <w:sz w:val="26"/>
          <w:szCs w:val="26"/>
        </w:rPr>
        <w:t>C</w:t>
      </w:r>
      <w:r w:rsidR="009221ED" w:rsidRPr="001A3E60">
        <w:rPr>
          <w:rStyle w:val="IntenseEmphasis"/>
          <w:rFonts w:eastAsiaTheme="minorEastAsia"/>
          <w:b/>
          <w:bCs/>
          <w:i w:val="0"/>
          <w:color w:val="002060"/>
          <w:sz w:val="26"/>
          <w:szCs w:val="26"/>
        </w:rPr>
        <w:t>ap</w:t>
      </w:r>
      <w:r w:rsidR="00FF2F95" w:rsidRPr="001A3E60">
        <w:rPr>
          <w:rStyle w:val="IntenseEmphasis"/>
          <w:rFonts w:eastAsiaTheme="minorEastAsia"/>
          <w:b/>
          <w:bCs/>
          <w:i w:val="0"/>
          <w:color w:val="002060"/>
          <w:sz w:val="26"/>
          <w:szCs w:val="26"/>
        </w:rPr>
        <w:t xml:space="preserve">/SNDC </w:t>
      </w:r>
      <w:r w:rsidR="00BE5A5B" w:rsidRPr="001A3E60">
        <w:rPr>
          <w:rStyle w:val="IntenseEmphasis"/>
          <w:rFonts w:eastAsiaTheme="minorEastAsia"/>
          <w:b/>
          <w:bCs/>
          <w:i w:val="0"/>
          <w:color w:val="002060"/>
          <w:sz w:val="26"/>
          <w:szCs w:val="26"/>
        </w:rPr>
        <w:t>I</w:t>
      </w:r>
      <w:r w:rsidR="00FF2F95" w:rsidRPr="001A3E60">
        <w:rPr>
          <w:rStyle w:val="IntenseEmphasis"/>
          <w:rFonts w:eastAsiaTheme="minorEastAsia"/>
          <w:b/>
          <w:bCs/>
          <w:i w:val="0"/>
          <w:color w:val="002060"/>
          <w:sz w:val="26"/>
          <w:szCs w:val="26"/>
        </w:rPr>
        <w:t>nterchange</w:t>
      </w:r>
      <w:r w:rsidRPr="001A3E60">
        <w:rPr>
          <w:rStyle w:val="IntenseEmphasis"/>
          <w:rFonts w:eastAsiaTheme="minorEastAsia"/>
          <w:b/>
          <w:bCs/>
          <w:i w:val="0"/>
          <w:color w:val="002060"/>
          <w:sz w:val="26"/>
          <w:szCs w:val="26"/>
        </w:rPr>
        <w:t xml:space="preserve"> </w:t>
      </w:r>
    </w:p>
    <w:p w14:paraId="086ECFAE" w14:textId="77777777" w:rsidR="00A958A6" w:rsidRDefault="00A958A6" w:rsidP="00A958A6">
      <w:pPr>
        <w:jc w:val="both"/>
      </w:pPr>
    </w:p>
    <w:p w14:paraId="4CB78A12" w14:textId="27BA6E29" w:rsidR="00A958A6" w:rsidRPr="00400B81" w:rsidRDefault="00A958A6" w:rsidP="00A958A6">
      <w:pPr>
        <w:jc w:val="both"/>
        <w:rPr>
          <w:rFonts w:cs="Segoe UI"/>
          <w:i/>
        </w:rPr>
      </w:pPr>
      <w:r w:rsidRPr="7D57E45A">
        <w:t>Visa welcomes that the PSB “</w:t>
      </w:r>
      <w:r w:rsidRPr="00400B81">
        <w:rPr>
          <w:rFonts w:cs="Segoe UI"/>
        </w:rPr>
        <w:t xml:space="preserve">does not see a strong case for significant reforms to the interchange regulations. The current interchange settings have been in effect for only </w:t>
      </w:r>
      <w:r w:rsidR="00954731">
        <w:rPr>
          <w:rFonts w:cs="Segoe UI"/>
        </w:rPr>
        <w:t>four</w:t>
      </w:r>
      <w:r w:rsidRPr="00400B81">
        <w:rPr>
          <w:rFonts w:cs="Segoe UI"/>
        </w:rPr>
        <w:t xml:space="preserve"> years and appear to be working well”</w:t>
      </w:r>
      <w:r>
        <w:rPr>
          <w:rStyle w:val="FootnoteReference"/>
          <w:rFonts w:cs="Segoe UI"/>
        </w:rPr>
        <w:footnoteReference w:id="47"/>
      </w:r>
      <w:r w:rsidRPr="00400B81">
        <w:rPr>
          <w:rFonts w:cs="Segoe UI"/>
        </w:rPr>
        <w:t>. With that being the case, we encourage the RBA to not proceed with its proposal to reduce the cents-based debit interchange cap from 15 cents to 10 cents for DNDCs (and all prepaid cards).</w:t>
      </w:r>
      <w:r w:rsidRPr="6EBC522A">
        <w:rPr>
          <w:rFonts w:cs="Segoe UI"/>
          <w:b/>
          <w:bCs/>
        </w:rPr>
        <w:t xml:space="preserve"> </w:t>
      </w:r>
    </w:p>
    <w:p w14:paraId="1D89CF49" w14:textId="77777777" w:rsidR="00FD7EAB" w:rsidRDefault="00FD7EAB" w:rsidP="00FD7EAB">
      <w:pPr>
        <w:autoSpaceDE w:val="0"/>
        <w:autoSpaceDN w:val="0"/>
        <w:adjustRightInd w:val="0"/>
        <w:jc w:val="both"/>
        <w:rPr>
          <w:rFonts w:cstheme="minorHAnsi"/>
        </w:rPr>
      </w:pPr>
    </w:p>
    <w:p w14:paraId="31E567A8" w14:textId="23C03E1B" w:rsidR="009B7FFD" w:rsidRDefault="77AD96F0" w:rsidP="009B7FFD">
      <w:pPr>
        <w:autoSpaceDE w:val="0"/>
        <w:autoSpaceDN w:val="0"/>
        <w:adjustRightInd w:val="0"/>
        <w:jc w:val="both"/>
        <w:rPr>
          <w:rFonts w:cstheme="minorHAnsi"/>
        </w:rPr>
      </w:pPr>
      <w:r w:rsidRPr="7D57E45A">
        <w:t xml:space="preserve">In taking this position, </w:t>
      </w:r>
      <w:r w:rsidR="098AF190" w:rsidRPr="7D57E45A">
        <w:t>Visa acknowledges the RBA’s concern</w:t>
      </w:r>
      <w:r w:rsidR="27DEC7EE" w:rsidRPr="7D57E45A">
        <w:t xml:space="preserve"> that </w:t>
      </w:r>
      <w:r w:rsidR="098AF190" w:rsidRPr="7D57E45A">
        <w:t>interchange may have on small ticket transactions</w:t>
      </w:r>
      <w:r w:rsidR="00726200" w:rsidRPr="7D57E45A">
        <w:rPr>
          <w:rStyle w:val="FootnoteReference"/>
        </w:rPr>
        <w:footnoteReference w:id="48"/>
      </w:r>
      <w:r w:rsidR="001C1C48">
        <w:t xml:space="preserve"> </w:t>
      </w:r>
      <w:r w:rsidR="098AF190" w:rsidRPr="7D57E45A">
        <w:t>and notes that we have made commercial adjustments to interchange to account for these transactions. For tokenised transactions under A</w:t>
      </w:r>
      <w:r w:rsidR="002337DB">
        <w:t>U</w:t>
      </w:r>
      <w:r w:rsidR="098AF190" w:rsidRPr="7D57E45A">
        <w:t>$15, we have implemented a lower interchange rate. In addition, Visa has ad valorem rates that scale based on ticket size. And the current effective interchange rates are well below the cap – showing our willingness to operate both within the rules and the spirit of the RBA’s regulatory framework. Collectively, these examples and the general advice</w:t>
      </w:r>
      <w:r w:rsidR="6971166C" w:rsidRPr="7D57E45A">
        <w:t xml:space="preserve"> that follows</w:t>
      </w:r>
      <w:r w:rsidR="098AF190" w:rsidRPr="7D57E45A">
        <w:t xml:space="preserve"> on Visa’s approach to interchange point to a responsible approach to putting in place the right incentives to grow the payments ecosystem. </w:t>
      </w:r>
    </w:p>
    <w:p w14:paraId="57D85BE0" w14:textId="77777777" w:rsidR="003748DF" w:rsidRDefault="003748DF" w:rsidP="009B7FFD">
      <w:pPr>
        <w:autoSpaceDE w:val="0"/>
        <w:autoSpaceDN w:val="0"/>
        <w:adjustRightInd w:val="0"/>
        <w:jc w:val="both"/>
        <w:rPr>
          <w:rFonts w:cstheme="minorHAnsi"/>
        </w:rPr>
      </w:pPr>
    </w:p>
    <w:p w14:paraId="798BCE82" w14:textId="35EC696F" w:rsidR="003748DF" w:rsidRDefault="00F07F4A" w:rsidP="009B7FFD">
      <w:pPr>
        <w:autoSpaceDE w:val="0"/>
        <w:autoSpaceDN w:val="0"/>
        <w:adjustRightInd w:val="0"/>
        <w:jc w:val="both"/>
      </w:pPr>
      <w:proofErr w:type="gramStart"/>
      <w:r>
        <w:t>With regard to</w:t>
      </w:r>
      <w:proofErr w:type="gramEnd"/>
      <w:r>
        <w:t xml:space="preserve"> SNDCs</w:t>
      </w:r>
      <w:r w:rsidR="001E473D">
        <w:t xml:space="preserve"> and as described in Section 1.1 above</w:t>
      </w:r>
      <w:r>
        <w:t xml:space="preserve">, Visa </w:t>
      </w:r>
      <w:r w:rsidR="00750A66">
        <w:t xml:space="preserve">accepts </w:t>
      </w:r>
      <w:r>
        <w:t>the RBA</w:t>
      </w:r>
      <w:r w:rsidR="0075201C">
        <w:t xml:space="preserve">’s expectation that </w:t>
      </w:r>
      <w:r w:rsidR="000E59C6">
        <w:t xml:space="preserve">some </w:t>
      </w:r>
      <w:r w:rsidR="00B04B34">
        <w:t xml:space="preserve">smaller </w:t>
      </w:r>
      <w:r w:rsidR="000E59C6">
        <w:t>institutions may decide to issue SNDCs</w:t>
      </w:r>
      <w:r w:rsidR="001E473D">
        <w:t xml:space="preserve">. </w:t>
      </w:r>
      <w:r w:rsidR="00386F13">
        <w:t xml:space="preserve">At the same time, Visa would suggest that </w:t>
      </w:r>
      <w:r w:rsidR="00597495" w:rsidRPr="51045237">
        <w:t xml:space="preserve">interchange </w:t>
      </w:r>
      <w:r w:rsidR="00386F13">
        <w:t xml:space="preserve">for SNDCs </w:t>
      </w:r>
      <w:r w:rsidR="00597495" w:rsidRPr="51045237">
        <w:t xml:space="preserve">should be set </w:t>
      </w:r>
      <w:r w:rsidR="002103B0">
        <w:t xml:space="preserve">somewhat </w:t>
      </w:r>
      <w:r w:rsidR="00597495" w:rsidRPr="51045237">
        <w:t xml:space="preserve">higher than </w:t>
      </w:r>
      <w:r w:rsidR="008538B7" w:rsidRPr="51045237">
        <w:t xml:space="preserve">the proposed </w:t>
      </w:r>
      <w:r w:rsidR="00D27707" w:rsidRPr="51045237">
        <w:t xml:space="preserve">6 cents </w:t>
      </w:r>
      <w:r w:rsidR="003D25B3" w:rsidRPr="51045237">
        <w:t xml:space="preserve">to ensure that </w:t>
      </w:r>
      <w:r w:rsidR="00B4044A" w:rsidRPr="51045237">
        <w:t>investment in security</w:t>
      </w:r>
      <w:r w:rsidR="009A7F22" w:rsidRPr="51045237">
        <w:t xml:space="preserve"> a</w:t>
      </w:r>
      <w:r w:rsidR="00CF4E4D" w:rsidRPr="51045237">
        <w:t>mong other things</w:t>
      </w:r>
      <w:r w:rsidR="009A7F22" w:rsidRPr="51045237">
        <w:t xml:space="preserve"> (as outlined in more detail directly below) is </w:t>
      </w:r>
      <w:r w:rsidR="00971EDA" w:rsidRPr="51045237">
        <w:t>not negatively impacted.</w:t>
      </w:r>
      <w:r w:rsidR="00BA2BA9">
        <w:t xml:space="preserve"> </w:t>
      </w:r>
      <w:r w:rsidR="00DC2B81">
        <w:t>T</w:t>
      </w:r>
      <w:r w:rsidR="00BA2BA9">
        <w:t>he economics of these transactions should be sufficient to drive innovation and security</w:t>
      </w:r>
      <w:r w:rsidR="00D55794">
        <w:t xml:space="preserve"> and, in </w:t>
      </w:r>
      <w:r w:rsidR="00BA2BA9">
        <w:t>Visa's view</w:t>
      </w:r>
      <w:r w:rsidR="000B18CA">
        <w:t>,</w:t>
      </w:r>
      <w:r w:rsidR="00BA2BA9">
        <w:t xml:space="preserve"> the 6 cents cap would likely put smaller issue</w:t>
      </w:r>
      <w:r w:rsidR="00AA57A7">
        <w:t>r</w:t>
      </w:r>
      <w:r w:rsidR="00BA2BA9">
        <w:t>s at a disadvantage</w:t>
      </w:r>
      <w:r w:rsidR="00971EDA" w:rsidRPr="51045237">
        <w:t>.</w:t>
      </w:r>
    </w:p>
    <w:p w14:paraId="7B9C3191" w14:textId="77777777" w:rsidR="009B7FFD" w:rsidRDefault="009B7FFD" w:rsidP="009B7FFD">
      <w:pPr>
        <w:autoSpaceDE w:val="0"/>
        <w:autoSpaceDN w:val="0"/>
        <w:adjustRightInd w:val="0"/>
        <w:jc w:val="both"/>
        <w:rPr>
          <w:rFonts w:cstheme="minorHAnsi"/>
        </w:rPr>
      </w:pPr>
    </w:p>
    <w:p w14:paraId="123314B3" w14:textId="28B63476" w:rsidR="00FD7EAB" w:rsidRDefault="009141AB" w:rsidP="00FD7EAB">
      <w:pPr>
        <w:autoSpaceDE w:val="0"/>
        <w:autoSpaceDN w:val="0"/>
        <w:adjustRightInd w:val="0"/>
        <w:jc w:val="both"/>
      </w:pPr>
      <w:r>
        <w:t xml:space="preserve">Further </w:t>
      </w:r>
      <w:r w:rsidR="00291597">
        <w:t>reductions</w:t>
      </w:r>
      <w:r w:rsidR="00FD7EAB">
        <w:t xml:space="preserve"> </w:t>
      </w:r>
      <w:r w:rsidR="009556A1">
        <w:t xml:space="preserve">to </w:t>
      </w:r>
      <w:r w:rsidR="00FD7EAB">
        <w:t>interchange could be highly detrimental</w:t>
      </w:r>
      <w:r w:rsidR="009556A1">
        <w:t xml:space="preserve"> to the </w:t>
      </w:r>
      <w:proofErr w:type="gramStart"/>
      <w:r w:rsidR="009556A1">
        <w:t>payments</w:t>
      </w:r>
      <w:proofErr w:type="gramEnd"/>
      <w:r w:rsidR="009556A1">
        <w:t xml:space="preserve"> ecosystem as a whole</w:t>
      </w:r>
      <w:r w:rsidR="00E56452">
        <w:t>, which would not be in the public interest</w:t>
      </w:r>
      <w:r w:rsidR="00FD7EAB">
        <w:t xml:space="preserve">. </w:t>
      </w:r>
      <w:r>
        <w:t xml:space="preserve">In Australia, </w:t>
      </w:r>
      <w:r w:rsidR="00FD7EAB">
        <w:t>Visa does not derive any revenue from interchange. Rather, we are motivated to set interchange at a</w:t>
      </w:r>
      <w:r w:rsidR="003A3066">
        <w:t>n</w:t>
      </w:r>
      <w:r w:rsidR="00E973AC">
        <w:t xml:space="preserve"> appropriate</w:t>
      </w:r>
      <w:r w:rsidR="00FD7EAB">
        <w:t xml:space="preserve"> level that increases the volume of digital transactions and balances the interests of all participants in the payments system, while remaining compliant with the RBA’s regulations.  </w:t>
      </w:r>
    </w:p>
    <w:p w14:paraId="69645306" w14:textId="77777777" w:rsidR="009724FD" w:rsidRDefault="009724FD" w:rsidP="00FD7EAB">
      <w:pPr>
        <w:autoSpaceDE w:val="0"/>
        <w:autoSpaceDN w:val="0"/>
        <w:adjustRightInd w:val="0"/>
        <w:jc w:val="both"/>
      </w:pPr>
    </w:p>
    <w:p w14:paraId="7723C182" w14:textId="3BDCD72C" w:rsidR="00C71A9F" w:rsidRDefault="009724FD" w:rsidP="009724FD">
      <w:pPr>
        <w:autoSpaceDE w:val="0"/>
        <w:autoSpaceDN w:val="0"/>
        <w:adjustRightInd w:val="0"/>
        <w:jc w:val="both"/>
      </w:pPr>
      <w:r>
        <w:t xml:space="preserve">More specifically, further interchange compression has the potential to undermine the ability of participants to invest in ongoing digital payments security, reliability, innovation, and utility to consumers and merchants. </w:t>
      </w:r>
      <w:r w:rsidR="00A5443D">
        <w:t>In addition</w:t>
      </w:r>
      <w:r>
        <w:t xml:space="preserve">, a further interchange reduction could distort the economics of </w:t>
      </w:r>
      <w:r>
        <w:lastRenderedPageBreak/>
        <w:t>the payments system</w:t>
      </w:r>
      <w:r w:rsidR="00A5443D">
        <w:t xml:space="preserve"> and </w:t>
      </w:r>
      <w:r>
        <w:t>stifle competition – outcomes which are not aligned to the RBA and PSB mandates.</w:t>
      </w:r>
    </w:p>
    <w:p w14:paraId="057C13AB" w14:textId="77777777" w:rsidR="00311610" w:rsidRDefault="00311610" w:rsidP="009724FD">
      <w:pPr>
        <w:autoSpaceDE w:val="0"/>
        <w:autoSpaceDN w:val="0"/>
        <w:adjustRightInd w:val="0"/>
        <w:jc w:val="both"/>
      </w:pPr>
    </w:p>
    <w:p w14:paraId="42752614" w14:textId="5EF81EC9" w:rsidR="00FD7EAB" w:rsidRPr="00A90E5C" w:rsidRDefault="00FD7EAB" w:rsidP="00FD7EAB">
      <w:pPr>
        <w:autoSpaceDE w:val="0"/>
        <w:autoSpaceDN w:val="0"/>
        <w:adjustRightInd w:val="0"/>
        <w:jc w:val="both"/>
      </w:pPr>
      <w:r w:rsidRPr="0F4AD59A">
        <w:t xml:space="preserve">For Visa, setting the right level and structure of interchange is not simply a mathematical formula or a cost-based exercise. It is process of ongoing fine-tuning </w:t>
      </w:r>
      <w:proofErr w:type="gramStart"/>
      <w:r w:rsidRPr="0F4AD59A">
        <w:t>in an effort to</w:t>
      </w:r>
      <w:proofErr w:type="gramEnd"/>
      <w:r w:rsidRPr="0F4AD59A">
        <w:t xml:space="preserve"> establish balance in the market.  </w:t>
      </w:r>
      <w:r w:rsidR="0C209120" w:rsidRPr="0F4AD59A">
        <w:t xml:space="preserve">Visa does not have an incentive to set </w:t>
      </w:r>
      <w:r w:rsidR="00673481">
        <w:t xml:space="preserve">interchange </w:t>
      </w:r>
      <w:r w:rsidR="0C209120" w:rsidRPr="0F4AD59A">
        <w:t xml:space="preserve">too high or too low, </w:t>
      </w:r>
      <w:r w:rsidR="007242E0">
        <w:t>but rather</w:t>
      </w:r>
      <w:r w:rsidR="0C209120" w:rsidRPr="0F4AD59A">
        <w:t xml:space="preserve"> to find the appropriate balance that can incentivi</w:t>
      </w:r>
      <w:r w:rsidR="006F103D">
        <w:t>s</w:t>
      </w:r>
      <w:r w:rsidR="0C209120" w:rsidRPr="0F4AD59A">
        <w:t xml:space="preserve">e both sides of the market. </w:t>
      </w:r>
      <w:r w:rsidRPr="0F4AD59A">
        <w:t xml:space="preserve">If interchange is too low, then consumers’ financial institutions will not issue cards </w:t>
      </w:r>
      <w:r w:rsidR="00D06A79">
        <w:t>nor</w:t>
      </w:r>
      <w:r w:rsidRPr="0F4AD59A">
        <w:t xml:space="preserve"> invest in accountholder usage programs from which </w:t>
      </w:r>
      <w:proofErr w:type="gramStart"/>
      <w:r w:rsidRPr="0F4AD59A">
        <w:t>merchants</w:t>
      </w:r>
      <w:proofErr w:type="gramEnd"/>
      <w:r w:rsidRPr="0F4AD59A">
        <w:t xml:space="preserve"> benefit; </w:t>
      </w:r>
      <w:r w:rsidRPr="00A90E5C">
        <w:t xml:space="preserve">if interchange is too high, businesses will not accept cards – which is clearly not the case in Australia. </w:t>
      </w:r>
    </w:p>
    <w:p w14:paraId="2342A515" w14:textId="77777777" w:rsidR="00FD7EAB" w:rsidRPr="00A90E5C" w:rsidRDefault="00FD7EAB" w:rsidP="00FD7EAB">
      <w:pPr>
        <w:autoSpaceDE w:val="0"/>
        <w:autoSpaceDN w:val="0"/>
        <w:adjustRightInd w:val="0"/>
        <w:jc w:val="both"/>
        <w:rPr>
          <w:rFonts w:cstheme="minorHAnsi"/>
        </w:rPr>
      </w:pPr>
    </w:p>
    <w:p w14:paraId="1AC8E964" w14:textId="3D253149" w:rsidR="00C50C7D" w:rsidRPr="00A90E5C" w:rsidRDefault="00C50C7D" w:rsidP="00C50C7D">
      <w:pPr>
        <w:autoSpaceDE w:val="0"/>
        <w:autoSpaceDN w:val="0"/>
        <w:adjustRightInd w:val="0"/>
        <w:jc w:val="both"/>
      </w:pPr>
      <w:r w:rsidRPr="00A90E5C">
        <w:t xml:space="preserve">In fact, there is more competition in Australia’s payments ecosystem today than ever before, with new entrants offering innovative payment solutions for both e-commerce and at the physical point of sale, thereby providing merchants and consumers with more choice and options. Many of these new entrants are offering products such as BNPL that come with significantly higher costs to merchants than interchange-based card transactions.  This environment is forcing traditional participants to differentiate themselves at all levels of the payments value chain. If the RBA were to further reduce interchange – both networks and issuers – would potentially be at a significant disadvantage to unregulated participants such as BNPL entities and have little to no incentive to deliver future innovative payments solutions in Australia over time. This could result in further consolidation of financial services, significantly reducing competition and negatively influencing Australia’s well-known leadership in payments innovation. </w:t>
      </w:r>
    </w:p>
    <w:p w14:paraId="4D408506" w14:textId="77777777" w:rsidR="00FD7EAB" w:rsidRPr="00A90E5C" w:rsidRDefault="00FD7EAB" w:rsidP="00FD7EAB">
      <w:pPr>
        <w:autoSpaceDE w:val="0"/>
        <w:autoSpaceDN w:val="0"/>
        <w:adjustRightInd w:val="0"/>
        <w:jc w:val="both"/>
        <w:rPr>
          <w:rFonts w:cstheme="minorHAnsi"/>
        </w:rPr>
      </w:pPr>
    </w:p>
    <w:p w14:paraId="76AF9F48" w14:textId="3B521AC2" w:rsidR="008810DD" w:rsidRDefault="27DEC7EE" w:rsidP="008810DD">
      <w:pPr>
        <w:autoSpaceDE w:val="0"/>
        <w:autoSpaceDN w:val="0"/>
        <w:adjustRightInd w:val="0"/>
        <w:jc w:val="both"/>
      </w:pPr>
      <w:r w:rsidRPr="00A90E5C">
        <w:t xml:space="preserve">As </w:t>
      </w:r>
      <w:r w:rsidR="173CE9E2" w:rsidRPr="00A90E5C">
        <w:t>previously</w:t>
      </w:r>
      <w:r w:rsidRPr="00A90E5C">
        <w:t xml:space="preserve"> mentioned, lower interchange would only serve to undermine the ability of participants to deliver ongoing digital payments security, stability, innovation and utility to consumers and businesses.  More specifically, smaller financial institutions – whether they be established credit unions or fintechs – could be negatively affected by interchange compression</w:t>
      </w:r>
      <w:r w:rsidRPr="1EA0688D">
        <w:t>, including reduced competition leading to unintended consolidation of the sector. The detrimental repercussions of interchange compression for smaller financial institutions emerged in the United States under the Durbin Amendment, even though financial institutions with assets of US</w:t>
      </w:r>
      <w:r w:rsidR="00A721A3">
        <w:t>$</w:t>
      </w:r>
      <w:r w:rsidRPr="1EA0688D">
        <w:t>10 billion or less were exempt from the legislation</w:t>
      </w:r>
      <w:r w:rsidR="00FD7EAB" w:rsidRPr="1EA0688D">
        <w:rPr>
          <w:rStyle w:val="FootnoteReference"/>
        </w:rPr>
        <w:footnoteReference w:id="49"/>
      </w:r>
      <w:r w:rsidRPr="1EA0688D">
        <w:t>. There is also concern that further reductions in interchange could result in detriment to consumers. For example, lower interchange could also result in higher account</w:t>
      </w:r>
      <w:r w:rsidR="215CB072" w:rsidRPr="1EA0688D">
        <w:t>-</w:t>
      </w:r>
      <w:r w:rsidRPr="1EA0688D">
        <w:t xml:space="preserve">holder fees and reduced usage </w:t>
      </w:r>
      <w:r w:rsidR="2EEB17D6" w:rsidRPr="1EA0688D">
        <w:t>as</w:t>
      </w:r>
      <w:r w:rsidRPr="1EA0688D">
        <w:t xml:space="preserve"> consumers</w:t>
      </w:r>
      <w:r w:rsidR="3755E1B4" w:rsidRPr="1EA0688D">
        <w:t xml:space="preserve"> </w:t>
      </w:r>
      <w:r w:rsidR="2F3E66D0" w:rsidRPr="1EA0688D">
        <w:t xml:space="preserve">depart </w:t>
      </w:r>
      <w:r w:rsidR="2EEB17D6" w:rsidRPr="1EA0688D">
        <w:t>from digital</w:t>
      </w:r>
      <w:r w:rsidR="2F3E66D0" w:rsidRPr="1EA0688D">
        <w:t xml:space="preserve"> banking services because of the higher fees. This </w:t>
      </w:r>
      <w:r w:rsidR="24DC7CDC" w:rsidRPr="1EA0688D">
        <w:t>may</w:t>
      </w:r>
      <w:r w:rsidR="2F3E66D0" w:rsidRPr="1EA0688D">
        <w:t xml:space="preserve"> negatively affect merchants, particularly in a market where the outlook is uncertain. </w:t>
      </w:r>
      <w:r w:rsidR="5FCB4575">
        <w:t xml:space="preserve">These risks are </w:t>
      </w:r>
      <w:r w:rsidR="00196A02">
        <w:t>real</w:t>
      </w:r>
      <w:r w:rsidR="5FCB4575">
        <w:t>. In fact, they are exactly what play</w:t>
      </w:r>
      <w:r w:rsidR="005242D1">
        <w:t>ed</w:t>
      </w:r>
      <w:r w:rsidR="5FCB4575">
        <w:t xml:space="preserve"> out in the U.S. in the aftermath of the Durbin Amendment.</w:t>
      </w:r>
    </w:p>
    <w:p w14:paraId="4A7E80C5" w14:textId="77777777" w:rsidR="008810DD" w:rsidRDefault="008810DD" w:rsidP="008810DD">
      <w:pPr>
        <w:autoSpaceDE w:val="0"/>
        <w:autoSpaceDN w:val="0"/>
        <w:adjustRightInd w:val="0"/>
        <w:rPr>
          <w:rFonts w:cstheme="minorHAnsi"/>
        </w:rPr>
      </w:pPr>
    </w:p>
    <w:p w14:paraId="721EE9E5" w14:textId="6B317B21" w:rsidR="008810DD" w:rsidRDefault="008810DD" w:rsidP="008810DD">
      <w:pPr>
        <w:autoSpaceDE w:val="0"/>
        <w:autoSpaceDN w:val="0"/>
        <w:adjustRightInd w:val="0"/>
        <w:jc w:val="both"/>
        <w:rPr>
          <w:rFonts w:cstheme="minorHAnsi"/>
        </w:rPr>
      </w:pPr>
      <w:r>
        <w:rPr>
          <w:rFonts w:cstheme="minorHAnsi"/>
        </w:rPr>
        <w:t xml:space="preserve">Interchange also plays a crucial role </w:t>
      </w:r>
      <w:proofErr w:type="gramStart"/>
      <w:r>
        <w:rPr>
          <w:rFonts w:cstheme="minorHAnsi"/>
        </w:rPr>
        <w:t>in regard to</w:t>
      </w:r>
      <w:proofErr w:type="gramEnd"/>
      <w:r>
        <w:rPr>
          <w:rFonts w:cstheme="minorHAnsi"/>
        </w:rPr>
        <w:t xml:space="preserve"> payments innovation and additional compression of interchange would put that at risk. Consumer and </w:t>
      </w:r>
      <w:r w:rsidR="00E3750B">
        <w:rPr>
          <w:rFonts w:cstheme="minorHAnsi"/>
        </w:rPr>
        <w:t>merchant</w:t>
      </w:r>
      <w:r>
        <w:rPr>
          <w:rFonts w:cstheme="minorHAnsi"/>
        </w:rPr>
        <w:t xml:space="preserve"> needs will continue to evolve as technology advances. In this environment, interchange will remain an important mechanism </w:t>
      </w:r>
      <w:r w:rsidR="00042581">
        <w:rPr>
          <w:rFonts w:cstheme="minorHAnsi"/>
        </w:rPr>
        <w:t>to create</w:t>
      </w:r>
      <w:r>
        <w:rPr>
          <w:rFonts w:cstheme="minorHAnsi"/>
        </w:rPr>
        <w:t xml:space="preserve"> new payment </w:t>
      </w:r>
      <w:r>
        <w:rPr>
          <w:rFonts w:cstheme="minorHAnsi"/>
        </w:rPr>
        <w:lastRenderedPageBreak/>
        <w:t>forms and tools valued by consumers and businesses</w:t>
      </w:r>
      <w:r w:rsidR="001B66AA">
        <w:rPr>
          <w:rFonts w:cstheme="minorHAnsi"/>
        </w:rPr>
        <w:t>,</w:t>
      </w:r>
      <w:r>
        <w:rPr>
          <w:rFonts w:cstheme="minorHAnsi"/>
        </w:rPr>
        <w:t xml:space="preserve"> which enables Australian banks and other organisations in the payments industry to remain competitive. </w:t>
      </w:r>
    </w:p>
    <w:p w14:paraId="7C5D1D16" w14:textId="77777777" w:rsidR="00724D3E" w:rsidRDefault="00724D3E" w:rsidP="008810DD">
      <w:pPr>
        <w:autoSpaceDE w:val="0"/>
        <w:autoSpaceDN w:val="0"/>
        <w:adjustRightInd w:val="0"/>
        <w:jc w:val="both"/>
        <w:rPr>
          <w:rFonts w:cstheme="minorHAnsi"/>
        </w:rPr>
      </w:pPr>
    </w:p>
    <w:p w14:paraId="238B31BA" w14:textId="49B6F237" w:rsidR="004C6841" w:rsidRDefault="230DF83A" w:rsidP="00EF6D52">
      <w:pPr>
        <w:jc w:val="both"/>
      </w:pPr>
      <w:bookmarkStart w:id="13" w:name="_Hlk76037637"/>
      <w:r w:rsidRPr="51045237">
        <w:t>The Consultation Paper requests advice</w:t>
      </w:r>
      <w:r w:rsidR="157E2455" w:rsidRPr="51045237">
        <w:t xml:space="preserve"> on how much time should be allowed between any final decisions </w:t>
      </w:r>
      <w:r w:rsidR="157E2455" w:rsidRPr="00677661">
        <w:t>being made on the interchange standards and the effective date of any new or revised standards</w:t>
      </w:r>
      <w:r w:rsidR="006E6BD4" w:rsidRPr="00677661">
        <w:rPr>
          <w:rStyle w:val="FootnoteReference"/>
        </w:rPr>
        <w:footnoteReference w:id="50"/>
      </w:r>
      <w:r w:rsidR="157E2455" w:rsidRPr="00677661">
        <w:t>.</w:t>
      </w:r>
      <w:r w:rsidR="157E2455" w:rsidRPr="00677661">
        <w:rPr>
          <w:color w:val="1F497D"/>
        </w:rPr>
        <w:t xml:space="preserve"> </w:t>
      </w:r>
      <w:r w:rsidR="4EB9010F">
        <w:t>Notwithstanding the points made above, s</w:t>
      </w:r>
      <w:r w:rsidR="333A7AE8" w:rsidRPr="00677661">
        <w:t xml:space="preserve">hould the RBA proceed to make its preliminary recommendation final, </w:t>
      </w:r>
      <w:r w:rsidR="157E2455" w:rsidRPr="00677661">
        <w:t xml:space="preserve">Visa recommends a minimum of six months from publication to implementation </w:t>
      </w:r>
      <w:r w:rsidR="5A13A175" w:rsidRPr="00A15A43">
        <w:t xml:space="preserve">in order </w:t>
      </w:r>
      <w:r w:rsidR="157E2455" w:rsidRPr="00A15A43">
        <w:t>to communicate and coord</w:t>
      </w:r>
      <w:r w:rsidR="157E2455" w:rsidRPr="004D4117">
        <w:t>inate</w:t>
      </w:r>
      <w:r w:rsidR="157E2455" w:rsidRPr="004B0AB4">
        <w:t xml:space="preserve"> with our </w:t>
      </w:r>
      <w:r w:rsidR="00E57FD3">
        <w:t>client</w:t>
      </w:r>
      <w:r w:rsidR="5A13A175" w:rsidRPr="004B0AB4">
        <w:t>s</w:t>
      </w:r>
      <w:r w:rsidR="157E2455" w:rsidRPr="004B0AB4">
        <w:t xml:space="preserve"> and properly plan for </w:t>
      </w:r>
      <w:r w:rsidR="4062816A" w:rsidRPr="004B0AB4">
        <w:t>t</w:t>
      </w:r>
      <w:r w:rsidR="23B91D7A" w:rsidRPr="004B0AB4">
        <w:t xml:space="preserve">hem and </w:t>
      </w:r>
      <w:r w:rsidR="157E2455" w:rsidRPr="004B0AB4">
        <w:t>Visa to update our systems.</w:t>
      </w:r>
    </w:p>
    <w:p w14:paraId="73F68F76" w14:textId="77777777" w:rsidR="00D02E6E" w:rsidRDefault="00D02E6E" w:rsidP="001A3E60"/>
    <w:p w14:paraId="61D79100" w14:textId="44AB1FFA" w:rsidR="001A3E60" w:rsidRDefault="00D02E6E" w:rsidP="001A3E60">
      <w:r>
        <w:rPr>
          <w:noProof/>
        </w:rPr>
        <mc:AlternateContent>
          <mc:Choice Requires="wps">
            <w:drawing>
              <wp:anchor distT="0" distB="0" distL="114300" distR="114300" simplePos="0" relativeHeight="251666446" behindDoc="1" locked="0" layoutInCell="1" allowOverlap="1" wp14:anchorId="00E96F41" wp14:editId="39613880">
                <wp:simplePos x="0" y="0"/>
                <wp:positionH relativeFrom="margin">
                  <wp:posOffset>0</wp:posOffset>
                </wp:positionH>
                <wp:positionV relativeFrom="paragraph">
                  <wp:posOffset>129667</wp:posOffset>
                </wp:positionV>
                <wp:extent cx="6048375" cy="4303776"/>
                <wp:effectExtent l="0" t="0" r="28575" b="20955"/>
                <wp:wrapNone/>
                <wp:docPr id="15" name="Rectangle 10"/>
                <wp:cNvGraphicFramePr/>
                <a:graphic xmlns:a="http://schemas.openxmlformats.org/drawingml/2006/main">
                  <a:graphicData uri="http://schemas.microsoft.com/office/word/2010/wordprocessingShape">
                    <wps:wsp>
                      <wps:cNvSpPr/>
                      <wps:spPr>
                        <a:xfrm>
                          <a:off x="0" y="0"/>
                          <a:ext cx="6048375" cy="4303776"/>
                        </a:xfrm>
                        <a:prstGeom prst="rect">
                          <a:avLst/>
                        </a:prstGeom>
                        <a:solidFill>
                          <a:schemeClr val="bg1">
                            <a:lumMod val="85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C721FD9" id="Rectangle 10" o:spid="_x0000_s1026" style="position:absolute;margin-left:0;margin-top:10.2pt;width:476.25pt;height:338.9pt;z-index:-25165003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" fillcolor="#d8d8d8 [2732]" strokecolor="black [3213]" strokeweight="1pt">
                <w10:wrap anchorx="margin"/>
              </v:rect>
            </w:pict>
          </mc:Fallback>
        </mc:AlternateContent>
      </w:r>
    </w:p>
    <w:p w14:paraId="25E285CB" w14:textId="0EA181FD" w:rsidR="001A3E60" w:rsidRPr="00030040" w:rsidRDefault="001A3E60" w:rsidP="001A3E60">
      <w:pPr>
        <w:ind w:left="142"/>
        <w:rPr>
          <w:rFonts w:cstheme="minorHAnsi"/>
        </w:rPr>
      </w:pPr>
      <w:r>
        <w:rPr>
          <w:rStyle w:val="IntenseEmphasis"/>
          <w:rFonts w:eastAsiaTheme="minorEastAsia"/>
          <w:i w:val="0"/>
          <w:iCs w:val="0"/>
          <w:color w:val="2E74B5" w:themeColor="accent1" w:themeShade="BF"/>
          <w:sz w:val="26"/>
          <w:szCs w:val="26"/>
        </w:rPr>
        <w:t>The Role of Interchange Payments</w:t>
      </w:r>
    </w:p>
    <w:p w14:paraId="15FA730A" w14:textId="7AEF902C" w:rsidR="001A3E60" w:rsidRPr="00A958A6" w:rsidRDefault="001A3E60" w:rsidP="00D02E6E">
      <w:pPr>
        <w:ind w:left="142"/>
        <w:jc w:val="both"/>
        <w:rPr>
          <w:rFonts w:eastAsia="Cambria" w:cstheme="minorHAnsi"/>
          <w:szCs w:val="24"/>
        </w:rPr>
      </w:pPr>
    </w:p>
    <w:p w14:paraId="0B1F1075" w14:textId="08A7B3DD" w:rsidR="00D02E6E" w:rsidRPr="00D02E6E" w:rsidRDefault="00D02E6E" w:rsidP="00D02E6E">
      <w:pPr>
        <w:autoSpaceDE w:val="0"/>
        <w:autoSpaceDN w:val="0"/>
        <w:adjustRightInd w:val="0"/>
        <w:ind w:left="142"/>
        <w:jc w:val="both"/>
        <w:rPr>
          <w:rFonts w:cstheme="minorHAnsi"/>
        </w:rPr>
      </w:pPr>
      <w:r w:rsidRPr="00D02E6E">
        <w:rPr>
          <w:rFonts w:cstheme="minorHAnsi"/>
        </w:rPr>
        <w:t xml:space="preserve">The primary role of interchange is to create the right balance of incentives and costs between the Issuer and Acquirer to optimise the growth of digital payments. This involves the transfer of value between an Acquirer and the Issuer each time a payment is made. The strong economic case for the transfer of value from one side of a four-party card scheme to the other has been accepted in the regulatory debate around interchange, as there is no expectation that the “user pays” principle will deliver efficient outcomes*. </w:t>
      </w:r>
    </w:p>
    <w:p w14:paraId="41C70A7B" w14:textId="25ABA696" w:rsidR="00D02E6E" w:rsidRPr="00D02E6E" w:rsidRDefault="00D02E6E" w:rsidP="00D02E6E">
      <w:pPr>
        <w:ind w:left="142"/>
        <w:jc w:val="both"/>
        <w:rPr>
          <w:rFonts w:ascii="Segoe UI" w:hAnsi="Segoe UI" w:cs="Arial"/>
          <w:szCs w:val="20"/>
        </w:rPr>
      </w:pPr>
    </w:p>
    <w:p w14:paraId="0BE9F072" w14:textId="77777777" w:rsidR="00D02E6E" w:rsidRPr="00D02E6E" w:rsidRDefault="00D02E6E" w:rsidP="00D02E6E">
      <w:pPr>
        <w:ind w:left="142"/>
        <w:jc w:val="both"/>
        <w:rPr>
          <w:rFonts w:cstheme="minorHAnsi"/>
          <w:szCs w:val="20"/>
        </w:rPr>
      </w:pPr>
      <w:r w:rsidRPr="00D02E6E">
        <w:rPr>
          <w:rFonts w:cstheme="minorHAnsi"/>
          <w:szCs w:val="20"/>
        </w:rPr>
        <w:t xml:space="preserve">Interchange also balances the needs and expectations of consumers and merchants. Consumers benefit from innovation that delivers increasingly secure and more convenient methods of payments, while merchants benefit from innovation that raises sales, reduces operational </w:t>
      </w:r>
      <w:proofErr w:type="gramStart"/>
      <w:r w:rsidRPr="00D02E6E">
        <w:rPr>
          <w:rFonts w:cstheme="minorHAnsi"/>
          <w:szCs w:val="20"/>
        </w:rPr>
        <w:t>costs</w:t>
      </w:r>
      <w:proofErr w:type="gramEnd"/>
      <w:r w:rsidRPr="00D02E6E">
        <w:rPr>
          <w:rFonts w:cstheme="minorHAnsi"/>
          <w:szCs w:val="20"/>
        </w:rPr>
        <w:t xml:space="preserve"> and increases the speed of payment transactions. Merchants also gain </w:t>
      </w:r>
      <w:proofErr w:type="gramStart"/>
      <w:r w:rsidRPr="00D02E6E">
        <w:rPr>
          <w:rFonts w:cstheme="minorHAnsi"/>
          <w:szCs w:val="20"/>
        </w:rPr>
        <w:t>as a result of</w:t>
      </w:r>
      <w:proofErr w:type="gramEnd"/>
      <w:r w:rsidRPr="00D02E6E">
        <w:rPr>
          <w:rFonts w:cstheme="minorHAnsi"/>
          <w:szCs w:val="20"/>
        </w:rPr>
        <w:t xml:space="preserve"> a payments process that is robust, delivers a payment guarantee, and provides readily accessible dispute handling. </w:t>
      </w:r>
    </w:p>
    <w:p w14:paraId="28B9FE23" w14:textId="77777777" w:rsidR="00D02E6E" w:rsidRPr="00D02E6E" w:rsidRDefault="00D02E6E" w:rsidP="00D02E6E">
      <w:pPr>
        <w:ind w:left="142"/>
        <w:jc w:val="both"/>
        <w:rPr>
          <w:rFonts w:cstheme="minorHAnsi"/>
          <w:szCs w:val="20"/>
        </w:rPr>
      </w:pPr>
    </w:p>
    <w:p w14:paraId="02574B74" w14:textId="77777777" w:rsidR="00D02E6E" w:rsidRPr="00D02E6E" w:rsidRDefault="00D02E6E" w:rsidP="00D02E6E">
      <w:pPr>
        <w:ind w:left="142"/>
        <w:jc w:val="both"/>
        <w:rPr>
          <w:rFonts w:cstheme="minorHAnsi"/>
          <w:szCs w:val="20"/>
        </w:rPr>
      </w:pPr>
      <w:r w:rsidRPr="00D02E6E">
        <w:rPr>
          <w:rFonts w:cstheme="minorHAnsi"/>
          <w:szCs w:val="20"/>
        </w:rPr>
        <w:t>Thus, merchants receive a wide variety of benefits from acceptance, the majority of which are created and funded by Issuers. Accordingly, the interchange rate, which the merchant’s bank pays to the Issuer in connection with each transaction, allows the Issuer to recoup some of the costs of payments innovation that benefits all participants of the payments system. Without interchange or equivalent payments, each Issuer would have to recover all its costs from the revenue received from consumers, and merchants would have the benefits of a payments system for free or at a cost that is not reflective of the value derived.</w:t>
      </w:r>
    </w:p>
    <w:p w14:paraId="69F6403C" w14:textId="77777777" w:rsidR="00D02E6E" w:rsidRPr="00D02E6E" w:rsidRDefault="00D02E6E" w:rsidP="00D02E6E">
      <w:pPr>
        <w:ind w:left="142"/>
        <w:rPr>
          <w:rFonts w:cstheme="minorHAnsi"/>
          <w:szCs w:val="20"/>
        </w:rPr>
      </w:pPr>
    </w:p>
    <w:p w14:paraId="270B2640" w14:textId="77777777" w:rsidR="00D02E6E" w:rsidRPr="009550F0" w:rsidRDefault="00D02E6E" w:rsidP="00D02E6E">
      <w:pPr>
        <w:ind w:left="142"/>
        <w:rPr>
          <w:rFonts w:cstheme="minorHAnsi"/>
          <w:sz w:val="16"/>
          <w:szCs w:val="16"/>
        </w:rPr>
      </w:pPr>
      <w:r w:rsidRPr="00D02E6E">
        <w:rPr>
          <w:rFonts w:cstheme="minorHAnsi"/>
          <w:sz w:val="16"/>
          <w:szCs w:val="16"/>
        </w:rPr>
        <w:t>*</w:t>
      </w:r>
      <w:r w:rsidRPr="00D02E6E">
        <w:rPr>
          <w:sz w:val="16"/>
          <w:szCs w:val="16"/>
        </w:rPr>
        <w:t xml:space="preserve"> </w:t>
      </w:r>
      <w:proofErr w:type="spellStart"/>
      <w:r w:rsidRPr="00D02E6E">
        <w:rPr>
          <w:rFonts w:cstheme="minorHAnsi"/>
          <w:sz w:val="16"/>
          <w:szCs w:val="16"/>
        </w:rPr>
        <w:t>Rysman</w:t>
      </w:r>
      <w:proofErr w:type="spellEnd"/>
      <w:r w:rsidRPr="00D02E6E">
        <w:rPr>
          <w:rFonts w:cstheme="minorHAnsi"/>
          <w:sz w:val="16"/>
          <w:szCs w:val="16"/>
        </w:rPr>
        <w:t xml:space="preserve">, Marc (2009), “The economics of two-sided markets”, Journal of Economic Perspectives, </w:t>
      </w:r>
      <w:hyperlink r:id="rId37" w:history="1">
        <w:r w:rsidRPr="00D02E6E">
          <w:rPr>
            <w:rStyle w:val="Hyperlink"/>
            <w:rFonts w:cstheme="minorHAnsi"/>
            <w:sz w:val="16"/>
            <w:szCs w:val="16"/>
          </w:rPr>
          <w:t>https://www.aeaweb.org/articles?id=10.1257/jep.23.3.125</w:t>
        </w:r>
      </w:hyperlink>
      <w:r w:rsidRPr="009550F0">
        <w:rPr>
          <w:rFonts w:cstheme="minorHAnsi"/>
          <w:sz w:val="16"/>
          <w:szCs w:val="16"/>
        </w:rPr>
        <w:t xml:space="preserve">   </w:t>
      </w:r>
    </w:p>
    <w:p w14:paraId="78735624" w14:textId="18B3717A" w:rsidR="00D02E6E" w:rsidRPr="00800201" w:rsidRDefault="00D02E6E" w:rsidP="00800201">
      <w:pPr>
        <w:rPr>
          <w:sz w:val="28"/>
          <w:szCs w:val="28"/>
        </w:rPr>
      </w:pPr>
      <w:r>
        <w:rPr>
          <w:sz w:val="28"/>
          <w:szCs w:val="28"/>
        </w:rPr>
        <w:br w:type="page"/>
      </w:r>
      <w:bookmarkStart w:id="14" w:name="_Hlk75937035"/>
      <w:bookmarkEnd w:id="13"/>
    </w:p>
    <w:p w14:paraId="63AEAE8C" w14:textId="624B1C76" w:rsidR="00691AB8" w:rsidRDefault="001D0AD8" w:rsidP="00D02E6E">
      <w:pPr>
        <w:pStyle w:val="Heading1"/>
        <w:numPr>
          <w:ilvl w:val="0"/>
          <w:numId w:val="5"/>
        </w:numPr>
        <w:spacing w:before="0"/>
        <w:ind w:left="357" w:hanging="357"/>
        <w:rPr>
          <w:rFonts w:asciiTheme="minorHAnsi" w:hAnsiTheme="minorHAnsi" w:cs="Segoe UI"/>
          <w:b/>
          <w:color w:val="002060"/>
        </w:rPr>
      </w:pPr>
      <w:bookmarkStart w:id="15" w:name="_Toc74838198"/>
      <w:bookmarkStart w:id="16" w:name="_Toc76743591"/>
      <w:bookmarkEnd w:id="14"/>
      <w:r w:rsidRPr="007A4078">
        <w:rPr>
          <w:rFonts w:asciiTheme="minorHAnsi" w:hAnsiTheme="minorHAnsi" w:cs="Segoe UI"/>
          <w:b/>
          <w:color w:val="002060"/>
        </w:rPr>
        <w:lastRenderedPageBreak/>
        <w:t>Other Issues</w:t>
      </w:r>
      <w:bookmarkEnd w:id="15"/>
      <w:bookmarkEnd w:id="16"/>
    </w:p>
    <w:p w14:paraId="79CC1094" w14:textId="1256EEF8" w:rsidR="00382D07" w:rsidRDefault="00472B4C" w:rsidP="00382D07">
      <w:r>
        <w:rPr>
          <w:noProof/>
        </w:rPr>
        <mc:AlternateContent>
          <mc:Choice Requires="wps">
            <w:drawing>
              <wp:anchor distT="0" distB="0" distL="114300" distR="114300" simplePos="0" relativeHeight="251658241" behindDoc="1" locked="0" layoutInCell="1" allowOverlap="1" wp14:anchorId="2C1A65EE" wp14:editId="4DCFF9B2">
                <wp:simplePos x="0" y="0"/>
                <wp:positionH relativeFrom="column">
                  <wp:posOffset>-85060</wp:posOffset>
                </wp:positionH>
                <wp:positionV relativeFrom="paragraph">
                  <wp:posOffset>152150</wp:posOffset>
                </wp:positionV>
                <wp:extent cx="6010275" cy="1403498"/>
                <wp:effectExtent l="0" t="0" r="28575" b="25400"/>
                <wp:wrapNone/>
                <wp:docPr id="14" name="Rectangle 14"/>
                <wp:cNvGraphicFramePr/>
                <a:graphic xmlns:a="http://schemas.openxmlformats.org/drawingml/2006/main">
                  <a:graphicData uri="http://schemas.microsoft.com/office/word/2010/wordprocessingShape">
                    <wps:wsp>
                      <wps:cNvSpPr/>
                      <wps:spPr>
                        <a:xfrm>
                          <a:off x="0" y="0"/>
                          <a:ext cx="6010275" cy="1403498"/>
                        </a:xfrm>
                        <a:prstGeom prst="rect">
                          <a:avLst/>
                        </a:prstGeom>
                        <a:solidFill>
                          <a:schemeClr val="bg1">
                            <a:lumMod val="85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C7FA789" id="Rectangle 14" o:spid="_x0000_s1026" style="position:absolute;margin-left:-6.7pt;margin-top:12pt;width:473.25pt;height:110.5pt;z-index:-251658239;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" fillcolor="#d8d8d8 [2732]" strokecolor="black [3213]" strokeweight="1pt"/>
            </w:pict>
          </mc:Fallback>
        </mc:AlternateContent>
      </w:r>
    </w:p>
    <w:p w14:paraId="313EEECF" w14:textId="77777777" w:rsidR="00472B4C" w:rsidRPr="00476B3F" w:rsidRDefault="00472B4C" w:rsidP="00472B4C">
      <w:pPr>
        <w:rPr>
          <w:rFonts w:cstheme="minorHAnsi"/>
        </w:rPr>
      </w:pPr>
      <w:r w:rsidRPr="004C464B">
        <w:rPr>
          <w:rStyle w:val="IntenseEmphasis"/>
          <w:rFonts w:eastAsiaTheme="minorEastAsia"/>
          <w:i w:val="0"/>
          <w:iCs w:val="0"/>
          <w:color w:val="2E74B5" w:themeColor="accent1" w:themeShade="BF"/>
          <w:sz w:val="26"/>
          <w:szCs w:val="26"/>
        </w:rPr>
        <w:t>Key Points</w:t>
      </w:r>
    </w:p>
    <w:p w14:paraId="49AAEF5F" w14:textId="77777777" w:rsidR="005D3D7B" w:rsidRPr="00590A8A" w:rsidRDefault="005D3D7B" w:rsidP="00D02E6E">
      <w:pPr>
        <w:pStyle w:val="ListParagraph"/>
        <w:numPr>
          <w:ilvl w:val="0"/>
          <w:numId w:val="11"/>
        </w:numPr>
        <w:ind w:right="288"/>
        <w:jc w:val="both"/>
        <w:rPr>
          <w:rFonts w:asciiTheme="minorHAnsi" w:hAnsiTheme="minorHAnsi" w:cstheme="minorHAnsi"/>
        </w:rPr>
      </w:pPr>
      <w:r w:rsidRPr="00590A8A">
        <w:rPr>
          <w:rFonts w:asciiTheme="minorHAnsi" w:hAnsiTheme="minorHAnsi" w:cstheme="minorHAnsi"/>
        </w:rPr>
        <w:t xml:space="preserve">Visa supports the RBA’s proposal to increase </w:t>
      </w:r>
      <w:r>
        <w:rPr>
          <w:rFonts w:asciiTheme="minorHAnsi" w:hAnsiTheme="minorHAnsi" w:cstheme="minorHAnsi"/>
        </w:rPr>
        <w:t xml:space="preserve">availability of </w:t>
      </w:r>
      <w:r w:rsidRPr="00590A8A">
        <w:rPr>
          <w:rFonts w:asciiTheme="minorHAnsi" w:hAnsiTheme="minorHAnsi" w:cstheme="minorHAnsi"/>
        </w:rPr>
        <w:t xml:space="preserve">pricing information for merchants and believe requirements could be even more frequent. </w:t>
      </w:r>
    </w:p>
    <w:p w14:paraId="20587716" w14:textId="39A757FC" w:rsidR="00481059" w:rsidRDefault="005D3D7B" w:rsidP="00D02E6E">
      <w:pPr>
        <w:pStyle w:val="ListParagraph"/>
        <w:numPr>
          <w:ilvl w:val="0"/>
          <w:numId w:val="11"/>
        </w:numPr>
        <w:ind w:right="288"/>
        <w:jc w:val="both"/>
        <w:rPr>
          <w:rFonts w:asciiTheme="minorHAnsi" w:hAnsiTheme="minorHAnsi" w:cstheme="minorHAnsi"/>
        </w:rPr>
      </w:pPr>
      <w:r w:rsidRPr="00590A8A">
        <w:rPr>
          <w:rFonts w:asciiTheme="minorHAnsi" w:hAnsiTheme="minorHAnsi" w:cstheme="minorHAnsi"/>
        </w:rPr>
        <w:t xml:space="preserve">Having acquirers share specific insights directly with merchants could be a viable alternative to the proposal to extend the </w:t>
      </w:r>
      <w:r w:rsidR="00BA0CAA">
        <w:rPr>
          <w:rFonts w:asciiTheme="minorHAnsi" w:hAnsiTheme="minorHAnsi" w:cstheme="minorHAnsi"/>
        </w:rPr>
        <w:t>CDR</w:t>
      </w:r>
      <w:r w:rsidRPr="00590A8A">
        <w:rPr>
          <w:rFonts w:asciiTheme="minorHAnsi" w:hAnsiTheme="minorHAnsi" w:cstheme="minorHAnsi"/>
        </w:rPr>
        <w:t xml:space="preserve"> to acquiring services. </w:t>
      </w:r>
    </w:p>
    <w:p w14:paraId="20E52959" w14:textId="5CD3FC42" w:rsidR="002662B7" w:rsidRPr="002662B7" w:rsidRDefault="002662B7" w:rsidP="00D02E6E">
      <w:pPr>
        <w:pStyle w:val="ListParagraph"/>
        <w:numPr>
          <w:ilvl w:val="0"/>
          <w:numId w:val="11"/>
        </w:numPr>
        <w:ind w:right="288"/>
        <w:jc w:val="both"/>
        <w:rPr>
          <w:rFonts w:asciiTheme="minorHAnsi" w:hAnsiTheme="minorHAnsi" w:cstheme="minorHAnsi"/>
        </w:rPr>
      </w:pPr>
      <w:r w:rsidRPr="002662B7">
        <w:rPr>
          <w:rFonts w:asciiTheme="minorHAnsi" w:hAnsiTheme="minorHAnsi" w:cstheme="minorHAnsi"/>
        </w:rPr>
        <w:t>Visa supports a new issuer beginning net compensation certification once it has completed a full financial year of operation following the public launch of its card product.</w:t>
      </w:r>
    </w:p>
    <w:p w14:paraId="68178BC5" w14:textId="77777777" w:rsidR="00382D07" w:rsidRPr="00472B4C" w:rsidRDefault="00382D07" w:rsidP="00472B4C"/>
    <w:p w14:paraId="4C9483A7" w14:textId="77777777" w:rsidR="00D02E6E" w:rsidRPr="00C162BA" w:rsidRDefault="00D02E6E" w:rsidP="00D02E6E">
      <w:pPr>
        <w:jc w:val="both"/>
      </w:pPr>
      <w:bookmarkStart w:id="17" w:name="_Toc74912360"/>
      <w:bookmarkStart w:id="18" w:name="_Toc74915164"/>
    </w:p>
    <w:p w14:paraId="4C5AA831" w14:textId="37CEB49C" w:rsidR="00B93A06" w:rsidRPr="00D02E6E" w:rsidRDefault="00800201" w:rsidP="00B93A06">
      <w:pPr>
        <w:rPr>
          <w:rFonts w:cs="Segoe UI"/>
          <w:b/>
          <w:color w:val="002060"/>
        </w:rPr>
      </w:pPr>
      <w:r>
        <w:rPr>
          <w:rStyle w:val="IntenseEmphasis"/>
          <w:rFonts w:eastAsiaTheme="minorEastAsia"/>
          <w:b/>
          <w:bCs/>
          <w:i w:val="0"/>
          <w:color w:val="002060"/>
          <w:sz w:val="26"/>
          <w:szCs w:val="26"/>
        </w:rPr>
        <w:t>3</w:t>
      </w:r>
      <w:r w:rsidR="00B93A06" w:rsidRPr="00D02E6E">
        <w:rPr>
          <w:rStyle w:val="IntenseEmphasis"/>
          <w:rFonts w:eastAsiaTheme="minorEastAsia"/>
          <w:b/>
          <w:bCs/>
          <w:i w:val="0"/>
          <w:color w:val="002060"/>
          <w:sz w:val="26"/>
          <w:szCs w:val="26"/>
        </w:rPr>
        <w:t xml:space="preserve">.1 </w:t>
      </w:r>
      <w:r w:rsidR="00B93A06" w:rsidRPr="00D02E6E">
        <w:rPr>
          <w:rStyle w:val="IntenseEmphasis"/>
          <w:rFonts w:eastAsiaTheme="minorEastAsia"/>
          <w:b/>
          <w:i w:val="0"/>
          <w:color w:val="002060"/>
          <w:sz w:val="26"/>
          <w:szCs w:val="26"/>
        </w:rPr>
        <w:t xml:space="preserve">Competition in </w:t>
      </w:r>
      <w:r w:rsidR="00BE5A5B" w:rsidRPr="00D02E6E">
        <w:rPr>
          <w:rStyle w:val="IntenseEmphasis"/>
          <w:rFonts w:eastAsiaTheme="minorEastAsia"/>
          <w:b/>
          <w:i w:val="0"/>
          <w:color w:val="002060"/>
          <w:sz w:val="26"/>
          <w:szCs w:val="26"/>
        </w:rPr>
        <w:t>C</w:t>
      </w:r>
      <w:r w:rsidR="00B93A06" w:rsidRPr="00D02E6E">
        <w:rPr>
          <w:rStyle w:val="IntenseEmphasis"/>
          <w:rFonts w:eastAsiaTheme="minorEastAsia"/>
          <w:b/>
          <w:i w:val="0"/>
          <w:color w:val="002060"/>
          <w:sz w:val="26"/>
          <w:szCs w:val="26"/>
        </w:rPr>
        <w:t xml:space="preserve">ard </w:t>
      </w:r>
      <w:r w:rsidR="00BE5A5B" w:rsidRPr="00D02E6E">
        <w:rPr>
          <w:rStyle w:val="IntenseEmphasis"/>
          <w:rFonts w:eastAsiaTheme="minorEastAsia"/>
          <w:b/>
          <w:i w:val="0"/>
          <w:color w:val="002060"/>
          <w:sz w:val="26"/>
          <w:szCs w:val="26"/>
        </w:rPr>
        <w:t>A</w:t>
      </w:r>
      <w:r w:rsidR="00B93A06" w:rsidRPr="00D02E6E">
        <w:rPr>
          <w:rStyle w:val="IntenseEmphasis"/>
          <w:rFonts w:eastAsiaTheme="minorEastAsia"/>
          <w:b/>
          <w:i w:val="0"/>
          <w:color w:val="002060"/>
          <w:sz w:val="26"/>
          <w:szCs w:val="26"/>
        </w:rPr>
        <w:t>cquiring</w:t>
      </w:r>
    </w:p>
    <w:p w14:paraId="788B8C7C" w14:textId="77777777" w:rsidR="00D02E6E" w:rsidRPr="00C162BA" w:rsidRDefault="00D02E6E" w:rsidP="00D02E6E">
      <w:pPr>
        <w:jc w:val="both"/>
      </w:pPr>
    </w:p>
    <w:p w14:paraId="33595004" w14:textId="29BEBF6F" w:rsidR="00AA647A" w:rsidRPr="00C162BA" w:rsidRDefault="00AA647A" w:rsidP="00C162BA">
      <w:pPr>
        <w:jc w:val="both"/>
        <w:rPr>
          <w:lang w:val="en-US"/>
        </w:rPr>
      </w:pPr>
      <w:r w:rsidRPr="00C162BA">
        <w:t>Visa welcomes the RBA’s proposal to increase the availability of pricing information for merchants</w:t>
      </w:r>
      <w:r w:rsidR="00B975AD">
        <w:rPr>
          <w:rStyle w:val="FootnoteReference"/>
        </w:rPr>
        <w:footnoteReference w:id="51"/>
      </w:r>
      <w:r w:rsidRPr="00C162BA">
        <w:t xml:space="preserve">, which would likely </w:t>
      </w:r>
      <w:r w:rsidR="00A20005">
        <w:t xml:space="preserve">raise </w:t>
      </w:r>
      <w:r w:rsidRPr="00C162BA">
        <w:t>competition between acquirers</w:t>
      </w:r>
      <w:r w:rsidR="00A20005">
        <w:t xml:space="preserve"> and, overall, is in the public interest</w:t>
      </w:r>
      <w:r w:rsidRPr="00C162BA">
        <w:t xml:space="preserve">. We also expect that the increase in pricing visibility would help reduce the length of time it commonly takes in the market for price reductions to pass through to merchants and which may be included in acquirer margins. In addition, Visa anticipates that the RBA’s proposal would encourage acquirers to increase their engagement with their merchant clients, including in cases where merchants are identified as paying above-market rates. We note that the RBA proposes that “acquirers and other entities that provide card acceptance services would be expected to notify their merchant customers about where to find the information at least once a year, likely at the same time as they provide the annual cost of acceptance statement". Visa recommends that the RBA </w:t>
      </w:r>
      <w:r w:rsidR="00A20005">
        <w:t xml:space="preserve">may wish to </w:t>
      </w:r>
      <w:r w:rsidRPr="00C162BA">
        <w:t xml:space="preserve">consider notifications being sent to merchants on a more regular basis, say, twice a year. </w:t>
      </w:r>
    </w:p>
    <w:p w14:paraId="045F8A90" w14:textId="77777777" w:rsidR="00AA647A" w:rsidRPr="00C162BA" w:rsidRDefault="00AA647A" w:rsidP="00C162BA">
      <w:pPr>
        <w:jc w:val="both"/>
      </w:pPr>
    </w:p>
    <w:p w14:paraId="4485CC92" w14:textId="63E73E9A" w:rsidR="0028625D" w:rsidRPr="00C162BA" w:rsidRDefault="254E0AD8" w:rsidP="00C162BA">
      <w:pPr>
        <w:jc w:val="both"/>
      </w:pPr>
      <w:r w:rsidRPr="00C162BA">
        <w:t>On the RBA’s proposal to possibly extend the C</w:t>
      </w:r>
      <w:r w:rsidR="00BA0CAA">
        <w:t>DR</w:t>
      </w:r>
      <w:r w:rsidRPr="00C162BA">
        <w:t xml:space="preserve"> to acquiring services provided to small businesses</w:t>
      </w:r>
      <w:r w:rsidR="0028625D" w:rsidRPr="00C162BA">
        <w:rPr>
          <w:rStyle w:val="FootnoteReference"/>
        </w:rPr>
        <w:footnoteReference w:id="52"/>
      </w:r>
      <w:r w:rsidR="08C5A3FB" w:rsidRPr="00C162BA">
        <w:t xml:space="preserve">, </w:t>
      </w:r>
      <w:r w:rsidRPr="00C162BA">
        <w:t xml:space="preserve">we appreciate the reasons for the RBA’s interest in exploring this, given that it aims to apply the CDR to </w:t>
      </w:r>
      <w:r w:rsidR="529C2DB6" w:rsidRPr="00C162BA">
        <w:t>increase</w:t>
      </w:r>
      <w:r w:rsidRPr="00C162BA">
        <w:t xml:space="preserve"> competition and improve price transparency for merchants. However, Visa notes that this approach raises questions regarding the data intended to be shared and ensuring consumer control of data is maintained as defined under the CDR. Given the complexities of seeking customer consent for data sharing in this scenario, we believe it may be more appropriate for acquirers to share specific insights about the merchant, such as MSFs, total volumes, Merchant Category Codes, and any other details to achieve the desired outcomes. Visa also notes that sharing </w:t>
      </w:r>
      <w:proofErr w:type="gramStart"/>
      <w:r w:rsidRPr="00C162BA">
        <w:t>all of</w:t>
      </w:r>
      <w:proofErr w:type="gramEnd"/>
      <w:r w:rsidRPr="00C162BA">
        <w:t xml:space="preserve"> the merchant’s card details (or any other form of payment) would require strong security measures to minimise the potential for sensitive payment data becoming compromised.</w:t>
      </w:r>
    </w:p>
    <w:p w14:paraId="3373BC24" w14:textId="77777777" w:rsidR="00325C9C" w:rsidRDefault="00325C9C" w:rsidP="00325C9C"/>
    <w:p w14:paraId="099A514A" w14:textId="0CCD7F07" w:rsidR="00691AB8" w:rsidRPr="00D02E6E" w:rsidRDefault="00800201" w:rsidP="00AF6931">
      <w:pPr>
        <w:rPr>
          <w:rFonts w:cs="Segoe UI"/>
          <w:b/>
          <w:color w:val="002060"/>
        </w:rPr>
      </w:pPr>
      <w:r>
        <w:rPr>
          <w:rStyle w:val="IntenseEmphasis"/>
          <w:rFonts w:eastAsiaTheme="minorEastAsia"/>
          <w:b/>
          <w:bCs/>
          <w:i w:val="0"/>
          <w:color w:val="002060"/>
          <w:sz w:val="26"/>
          <w:szCs w:val="26"/>
        </w:rPr>
        <w:t>3</w:t>
      </w:r>
      <w:r w:rsidR="00D70967" w:rsidRPr="00D02E6E">
        <w:rPr>
          <w:rStyle w:val="IntenseEmphasis"/>
          <w:rFonts w:eastAsiaTheme="minorEastAsia"/>
          <w:b/>
          <w:bCs/>
          <w:i w:val="0"/>
          <w:color w:val="002060"/>
          <w:sz w:val="26"/>
          <w:szCs w:val="26"/>
        </w:rPr>
        <w:t>.</w:t>
      </w:r>
      <w:r w:rsidR="00B93A06" w:rsidRPr="00D02E6E">
        <w:rPr>
          <w:rStyle w:val="IntenseEmphasis"/>
          <w:rFonts w:eastAsiaTheme="minorEastAsia"/>
          <w:b/>
          <w:bCs/>
          <w:i w:val="0"/>
          <w:color w:val="002060"/>
          <w:sz w:val="26"/>
          <w:szCs w:val="26"/>
        </w:rPr>
        <w:t>2</w:t>
      </w:r>
      <w:r w:rsidR="00D70967" w:rsidRPr="00D02E6E">
        <w:rPr>
          <w:rStyle w:val="IntenseEmphasis"/>
          <w:rFonts w:eastAsiaTheme="minorEastAsia"/>
          <w:b/>
          <w:bCs/>
          <w:i w:val="0"/>
          <w:color w:val="002060"/>
          <w:sz w:val="26"/>
          <w:szCs w:val="26"/>
        </w:rPr>
        <w:t xml:space="preserve"> </w:t>
      </w:r>
      <w:r w:rsidR="00691AB8" w:rsidRPr="00D02E6E">
        <w:rPr>
          <w:rStyle w:val="IntenseEmphasis"/>
          <w:rFonts w:eastAsiaTheme="minorEastAsia"/>
          <w:b/>
          <w:i w:val="0"/>
          <w:color w:val="002060"/>
          <w:sz w:val="26"/>
          <w:szCs w:val="26"/>
        </w:rPr>
        <w:t>Net Compensation</w:t>
      </w:r>
      <w:r w:rsidR="00691AB8" w:rsidRPr="00D02E6E">
        <w:rPr>
          <w:rFonts w:cs="Segoe UI"/>
          <w:b/>
          <w:color w:val="002060"/>
        </w:rPr>
        <w:t xml:space="preserve"> </w:t>
      </w:r>
      <w:r w:rsidR="00691AB8" w:rsidRPr="00D02E6E">
        <w:rPr>
          <w:rFonts w:cs="Segoe UI"/>
          <w:b/>
          <w:color w:val="002060"/>
          <w:sz w:val="26"/>
          <w:szCs w:val="26"/>
        </w:rPr>
        <w:t>Regulation</w:t>
      </w:r>
      <w:bookmarkEnd w:id="17"/>
      <w:bookmarkEnd w:id="18"/>
    </w:p>
    <w:p w14:paraId="5C58A48B" w14:textId="1A28A2D6" w:rsidR="00691AB8" w:rsidRDefault="00691AB8" w:rsidP="00691AB8"/>
    <w:p w14:paraId="3BD06454" w14:textId="283BE4CD" w:rsidR="00C347F9" w:rsidRDefault="007C2AD0" w:rsidP="00494870">
      <w:pPr>
        <w:jc w:val="both"/>
      </w:pPr>
      <w:r>
        <w:t>On the RBA’s preliminary assessment of net compensation regulation</w:t>
      </w:r>
      <w:r w:rsidR="00EE13AB">
        <w:rPr>
          <w:rStyle w:val="FootnoteReference"/>
        </w:rPr>
        <w:footnoteReference w:id="53"/>
      </w:r>
      <w:r>
        <w:t xml:space="preserve">, Visa supports </w:t>
      </w:r>
      <w:r w:rsidR="00BB546D">
        <w:t>a new issuer beginning certification</w:t>
      </w:r>
      <w:r w:rsidR="003F3FCF">
        <w:t xml:space="preserve"> once it has completed a full financial year of operation following the public launch of its card product (with the related scheme certifying at the same time as the issuer). </w:t>
      </w:r>
      <w:r w:rsidR="00B8081B">
        <w:t xml:space="preserve">We also </w:t>
      </w:r>
      <w:r w:rsidR="004F7B8D">
        <w:t xml:space="preserve">support a minor technical revision to part (a) of Standard No. </w:t>
      </w:r>
      <w:r w:rsidR="00015DB1">
        <w:t>2</w:t>
      </w:r>
      <w:r w:rsidR="0023322B">
        <w:t xml:space="preserve"> of 2016</w:t>
      </w:r>
      <w:r w:rsidR="00015DB1">
        <w:t xml:space="preserve"> </w:t>
      </w:r>
      <w:r w:rsidR="00C82AAD">
        <w:t xml:space="preserve">(The Setting of Interchange Fees in the Designated Debit and Prepaid Card Schemes and Net Payments to Issuers) </w:t>
      </w:r>
      <w:r w:rsidR="00E843FC">
        <w:t>includ</w:t>
      </w:r>
      <w:r w:rsidR="002A07C8">
        <w:t>ing</w:t>
      </w:r>
      <w:r w:rsidR="00E843FC">
        <w:t xml:space="preserve"> prepaid cards </w:t>
      </w:r>
      <w:r w:rsidR="00E843FC">
        <w:lastRenderedPageBreak/>
        <w:t xml:space="preserve">to bring </w:t>
      </w:r>
      <w:r w:rsidR="00A00755">
        <w:t xml:space="preserve">the </w:t>
      </w:r>
      <w:r w:rsidR="007933AC">
        <w:t>Standard</w:t>
      </w:r>
      <w:r w:rsidR="00A00755">
        <w:t xml:space="preserve"> in line with the RBA’s intent.</w:t>
      </w:r>
      <w:r w:rsidR="00F85D02">
        <w:t xml:space="preserve"> </w:t>
      </w:r>
      <w:r w:rsidR="00D96ABE">
        <w:t>In addition, Visa</w:t>
      </w:r>
      <w:r w:rsidR="00F85D02">
        <w:t xml:space="preserve"> agree</w:t>
      </w:r>
      <w:r w:rsidR="00D96ABE">
        <w:t>s</w:t>
      </w:r>
      <w:r w:rsidR="00F85D02">
        <w:t xml:space="preserve"> </w:t>
      </w:r>
      <w:r w:rsidR="00BC4F50">
        <w:t xml:space="preserve">with the PSB </w:t>
      </w:r>
      <w:r w:rsidR="00751EC9">
        <w:t xml:space="preserve">that card migration benefits should be </w:t>
      </w:r>
      <w:r w:rsidR="00FB69DA">
        <w:t>included</w:t>
      </w:r>
      <w:r w:rsidR="00EA2251">
        <w:t xml:space="preserve"> </w:t>
      </w:r>
      <w:r w:rsidR="0048C5F0">
        <w:t>in</w:t>
      </w:r>
      <w:r w:rsidR="00751EC9">
        <w:t xml:space="preserve"> net compensation calculations.</w:t>
      </w:r>
      <w:r w:rsidR="009C2BA8">
        <w:t xml:space="preserve"> </w:t>
      </w:r>
      <w:r w:rsidR="00D96ABE">
        <w:t>We also</w:t>
      </w:r>
      <w:r w:rsidR="009C2BA8">
        <w:t xml:space="preserve"> </w:t>
      </w:r>
      <w:r w:rsidR="00B51929">
        <w:t xml:space="preserve">continue to </w:t>
      </w:r>
      <w:r w:rsidR="009C2BA8">
        <w:t xml:space="preserve">support </w:t>
      </w:r>
      <w:r w:rsidR="00F5449D">
        <w:t xml:space="preserve">‘Core Service’ under both Standards No. 1 and No. 2 </w:t>
      </w:r>
      <w:r w:rsidR="002B558F">
        <w:t xml:space="preserve">of 2016 </w:t>
      </w:r>
      <w:r w:rsidR="007F1C1B">
        <w:t xml:space="preserve">being interpreted </w:t>
      </w:r>
      <w:r w:rsidR="02313079">
        <w:t>as defined</w:t>
      </w:r>
      <w:r w:rsidR="00A60FA7">
        <w:t xml:space="preserve"> </w:t>
      </w:r>
      <w:r w:rsidR="00B51929">
        <w:t xml:space="preserve">– in this case, </w:t>
      </w:r>
      <w:r w:rsidR="00A60FA7">
        <w:t xml:space="preserve">to exclude services that are provided by a scheme but that would traditionally have been performed by </w:t>
      </w:r>
      <w:r w:rsidR="00295BDC">
        <w:t xml:space="preserve">the </w:t>
      </w:r>
      <w:r w:rsidR="00A60FA7">
        <w:t>issuer or a third party.</w:t>
      </w:r>
    </w:p>
    <w:p w14:paraId="62386307" w14:textId="5A9FABFE" w:rsidR="0042252A" w:rsidRDefault="00C347F9" w:rsidP="00C347F9">
      <w:r>
        <w:br w:type="page"/>
      </w:r>
    </w:p>
    <w:p w14:paraId="1C2BC144" w14:textId="77777777" w:rsidR="00552E57" w:rsidRPr="00D70967" w:rsidRDefault="00552E57" w:rsidP="00494870">
      <w:pPr>
        <w:jc w:val="both"/>
      </w:pPr>
    </w:p>
    <w:p w14:paraId="391AB8A1" w14:textId="0E53D115" w:rsidR="002B762C" w:rsidRPr="00D02E6E" w:rsidRDefault="002B762C" w:rsidP="00D02E6E">
      <w:pPr>
        <w:pStyle w:val="Heading1"/>
        <w:numPr>
          <w:ilvl w:val="0"/>
          <w:numId w:val="5"/>
        </w:numPr>
        <w:spacing w:before="0"/>
        <w:ind w:left="357" w:hanging="357"/>
        <w:rPr>
          <w:rFonts w:cs="Segoe UI"/>
          <w:b/>
          <w:color w:val="002060"/>
        </w:rPr>
      </w:pPr>
      <w:bookmarkStart w:id="19" w:name="_Toc74838199"/>
      <w:bookmarkStart w:id="20" w:name="_Toc76743592"/>
      <w:r w:rsidRPr="00D02E6E">
        <w:rPr>
          <w:rFonts w:asciiTheme="minorHAnsi" w:hAnsiTheme="minorHAnsi" w:cs="Segoe UI"/>
          <w:b/>
          <w:color w:val="002060"/>
        </w:rPr>
        <w:t>Draft Standards</w:t>
      </w:r>
      <w:bookmarkEnd w:id="19"/>
      <w:bookmarkEnd w:id="20"/>
      <w:r w:rsidRPr="00D02E6E">
        <w:rPr>
          <w:rFonts w:ascii="Segoe UI" w:hAnsi="Segoe UI" w:cs="Segoe UI"/>
          <w:b/>
          <w:color w:val="002060"/>
        </w:rPr>
        <w:t xml:space="preserve"> </w:t>
      </w:r>
    </w:p>
    <w:p w14:paraId="791E653B" w14:textId="77777777" w:rsidR="00E57FD3" w:rsidRDefault="00E57FD3" w:rsidP="00E57FD3">
      <w:pPr>
        <w:jc w:val="both"/>
      </w:pPr>
    </w:p>
    <w:p w14:paraId="4E44CF7F" w14:textId="369777AA" w:rsidR="00E57FD3" w:rsidRPr="00E57FD3" w:rsidRDefault="00E57FD3" w:rsidP="00E57FD3">
      <w:pPr>
        <w:jc w:val="both"/>
        <w:rPr>
          <w:lang w:val="en-US"/>
        </w:rPr>
      </w:pPr>
      <w:r w:rsidRPr="00E57FD3">
        <w:t>Visa commends the RBA in preparing the draft Standards for public consultation. As the preliminary recommendations have not yet been finali</w:t>
      </w:r>
      <w:r>
        <w:t>s</w:t>
      </w:r>
      <w:r w:rsidRPr="00E57FD3">
        <w:t xml:space="preserve">ed, Visa </w:t>
      </w:r>
      <w:r>
        <w:t>has no comments to share</w:t>
      </w:r>
      <w:r w:rsidRPr="00E57FD3">
        <w:t xml:space="preserve"> in respect of the interim drafting. As set out in </w:t>
      </w:r>
      <w:r>
        <w:t>S</w:t>
      </w:r>
      <w:r w:rsidRPr="00E57FD3">
        <w:t xml:space="preserve">ection </w:t>
      </w:r>
      <w:r>
        <w:t>2.1</w:t>
      </w:r>
      <w:r w:rsidRPr="00E57FD3">
        <w:t xml:space="preserve">, should the </w:t>
      </w:r>
      <w:r>
        <w:t>RBA</w:t>
      </w:r>
      <w:r w:rsidRPr="00E57FD3">
        <w:t xml:space="preserve"> proceed to make its preliminary recommendations final, Visa recommends a minimum of six months from publication to implementation in order to communicate and coordinate with our </w:t>
      </w:r>
      <w:r w:rsidR="008E1371">
        <w:t>client</w:t>
      </w:r>
      <w:r w:rsidRPr="00E57FD3">
        <w:t>s and properly plan for them and Visa to update our systems, process</w:t>
      </w:r>
      <w:r>
        <w:t>es</w:t>
      </w:r>
      <w:r w:rsidRPr="00E57FD3">
        <w:t xml:space="preserve"> and operations.</w:t>
      </w:r>
    </w:p>
    <w:p w14:paraId="47DA6521" w14:textId="77777777" w:rsidR="00E57FD3" w:rsidRDefault="00E57FD3" w:rsidP="00472B4C">
      <w:pPr>
        <w:jc w:val="both"/>
        <w:rPr>
          <w:rFonts w:cs="Segoe UI"/>
          <w:b/>
        </w:rPr>
      </w:pPr>
    </w:p>
    <w:p w14:paraId="031E45BC" w14:textId="77777777" w:rsidR="00B913D8" w:rsidRPr="00954DE4" w:rsidRDefault="00B913D8" w:rsidP="00B913D8">
      <w:pPr>
        <w:rPr>
          <w:rFonts w:cs="Segoe UI"/>
        </w:rPr>
      </w:pPr>
    </w:p>
    <w:p w14:paraId="6245172B" w14:textId="77777777" w:rsidR="004F304C" w:rsidRDefault="000A796A">
      <w:pPr>
        <w:rPr>
          <w:rFonts w:cs="Segoe UI"/>
        </w:rPr>
      </w:pPr>
      <w:r>
        <w:rPr>
          <w:rFonts w:cs="Segoe UI"/>
        </w:rPr>
        <w:br w:type="page"/>
      </w:r>
    </w:p>
    <w:p w14:paraId="0F96BBAB" w14:textId="6F32C90F" w:rsidR="004F304C" w:rsidRPr="007A4078" w:rsidRDefault="004F304C" w:rsidP="004F304C">
      <w:pPr>
        <w:pStyle w:val="Heading1"/>
        <w:rPr>
          <w:rFonts w:asciiTheme="minorHAnsi" w:hAnsiTheme="minorHAnsi" w:cs="Segoe UI"/>
          <w:b/>
          <w:bCs/>
          <w:color w:val="002060"/>
        </w:rPr>
      </w:pPr>
      <w:bookmarkStart w:id="21" w:name="_Toc74838200"/>
      <w:bookmarkStart w:id="22" w:name="_Toc76743593"/>
      <w:r>
        <w:rPr>
          <w:rFonts w:asciiTheme="minorHAnsi" w:hAnsiTheme="minorHAnsi" w:cs="Segoe UI"/>
          <w:b/>
          <w:bCs/>
          <w:color w:val="002060"/>
        </w:rPr>
        <w:lastRenderedPageBreak/>
        <w:t>Conclusion</w:t>
      </w:r>
      <w:bookmarkEnd w:id="21"/>
      <w:bookmarkEnd w:id="22"/>
    </w:p>
    <w:p w14:paraId="59FF1156" w14:textId="6571C551" w:rsidR="000A796A" w:rsidRPr="00954DE4" w:rsidRDefault="000A796A" w:rsidP="6A9F711F">
      <w:pPr>
        <w:rPr>
          <w:rFonts w:cs="Segoe UI"/>
          <w:b/>
          <w:bCs/>
          <w:i/>
          <w:iCs/>
        </w:rPr>
      </w:pPr>
    </w:p>
    <w:p w14:paraId="3F1227CA" w14:textId="28BA9FEB" w:rsidR="000A796A" w:rsidRPr="008D071C" w:rsidRDefault="26964902" w:rsidP="002662B7">
      <w:pPr>
        <w:jc w:val="both"/>
      </w:pPr>
      <w:r w:rsidRPr="6A9F711F">
        <w:rPr>
          <w:rFonts w:ascii="Calibri" w:eastAsia="Calibri" w:hAnsi="Calibri" w:cs="Calibri"/>
          <w:color w:val="000000" w:themeColor="text1"/>
        </w:rPr>
        <w:t xml:space="preserve">When Visa responded to the RBA’s Review of Retail Payments Regulation Issues Paper in February 2020, we noted that the Review was taking place at a critical juncture. Little did any of us realise that the COVID-19 pandemic would reinforce – more so than was already the case </w:t>
      </w:r>
      <w:r w:rsidR="008D071C">
        <w:rPr>
          <w:rFonts w:ascii="Calibri" w:eastAsia="Calibri" w:hAnsi="Calibri" w:cs="Calibri"/>
          <w:color w:val="000000" w:themeColor="text1"/>
        </w:rPr>
        <w:t>–</w:t>
      </w:r>
      <w:r w:rsidR="008D071C" w:rsidRPr="6A9F711F">
        <w:rPr>
          <w:rFonts w:ascii="Calibri" w:eastAsia="Calibri" w:hAnsi="Calibri" w:cs="Calibri"/>
          <w:color w:val="000000" w:themeColor="text1"/>
        </w:rPr>
        <w:t xml:space="preserve"> </w:t>
      </w:r>
      <w:r w:rsidRPr="6A9F711F">
        <w:rPr>
          <w:rFonts w:ascii="Calibri" w:eastAsia="Calibri" w:hAnsi="Calibri" w:cs="Calibri"/>
          <w:color w:val="000000" w:themeColor="text1"/>
        </w:rPr>
        <w:t xml:space="preserve">the importance of a secure and innovative digital payments system. More specifically, the pandemic has highlighted that a resilient, efficient, and competitive digital payments system is essential to the stability and revitalisation of the Australian economy. This is central to Visa’s mission. We always seek to contribute significantly to economic growth, </w:t>
      </w:r>
      <w:proofErr w:type="gramStart"/>
      <w:r w:rsidRPr="6A9F711F">
        <w:rPr>
          <w:rFonts w:ascii="Calibri" w:eastAsia="Calibri" w:hAnsi="Calibri" w:cs="Calibri"/>
          <w:color w:val="000000" w:themeColor="text1"/>
        </w:rPr>
        <w:t>development</w:t>
      </w:r>
      <w:proofErr w:type="gramEnd"/>
      <w:r w:rsidRPr="6A9F711F">
        <w:rPr>
          <w:rFonts w:ascii="Calibri" w:eastAsia="Calibri" w:hAnsi="Calibri" w:cs="Calibri"/>
          <w:color w:val="000000" w:themeColor="text1"/>
        </w:rPr>
        <w:t xml:space="preserve"> and financial inclusion in the countries in which we operate. </w:t>
      </w:r>
    </w:p>
    <w:p w14:paraId="1CAB0A28" w14:textId="4AE63E01" w:rsidR="000A796A" w:rsidRPr="00954DE4" w:rsidRDefault="26964902" w:rsidP="002662B7">
      <w:pPr>
        <w:jc w:val="both"/>
      </w:pPr>
      <w:r w:rsidRPr="6A9F711F">
        <w:rPr>
          <w:rFonts w:ascii="Calibri" w:eastAsia="Calibri" w:hAnsi="Calibri" w:cs="Calibri"/>
          <w:color w:val="000000" w:themeColor="text1"/>
        </w:rPr>
        <w:t xml:space="preserve"> </w:t>
      </w:r>
    </w:p>
    <w:p w14:paraId="66BCB4C2" w14:textId="47A6F3AE" w:rsidR="0085666D" w:rsidRDefault="26964902" w:rsidP="002662B7">
      <w:pPr>
        <w:jc w:val="both"/>
        <w:rPr>
          <w:rFonts w:ascii="Calibri" w:eastAsia="Calibri" w:hAnsi="Calibri" w:cs="Calibri"/>
          <w:color w:val="000000" w:themeColor="text1"/>
        </w:rPr>
      </w:pPr>
      <w:r w:rsidRPr="6A9F711F">
        <w:rPr>
          <w:rFonts w:ascii="Calibri" w:eastAsia="Calibri" w:hAnsi="Calibri" w:cs="Calibri"/>
          <w:color w:val="000000" w:themeColor="text1"/>
        </w:rPr>
        <w:t xml:space="preserve">This backdrop is in addition to what was already apparent regarding the payments industry in Australia: the payments ecosystem is evolving at an unprecedented pace. Traditional electronic payments are giving way to frictionless, digital experiences across a host of new connected devices and consumer </w:t>
      </w:r>
      <w:proofErr w:type="gramStart"/>
      <w:r w:rsidRPr="6A9F711F">
        <w:rPr>
          <w:rFonts w:ascii="Calibri" w:eastAsia="Calibri" w:hAnsi="Calibri" w:cs="Calibri"/>
          <w:color w:val="000000" w:themeColor="text1"/>
        </w:rPr>
        <w:t>journeys;</w:t>
      </w:r>
      <w:proofErr w:type="gramEnd"/>
      <w:r w:rsidRPr="6A9F711F">
        <w:rPr>
          <w:rFonts w:ascii="Calibri" w:eastAsia="Calibri" w:hAnsi="Calibri" w:cs="Calibri"/>
          <w:color w:val="000000" w:themeColor="text1"/>
        </w:rPr>
        <w:t xml:space="preserve"> while alternative and innovative methods of interbank and digital payments are emerging. Technological advances, fast-changing consumer behaviours, and open innovation and collaboration between organisations are driving this trend. Consumers expect to be able to buy products and services with their computers, tablets, phones, c</w:t>
      </w:r>
      <w:r w:rsidR="00E57FD3">
        <w:rPr>
          <w:rFonts w:ascii="Calibri" w:eastAsia="Calibri" w:hAnsi="Calibri" w:cs="Calibri"/>
          <w:color w:val="000000" w:themeColor="text1"/>
        </w:rPr>
        <w:t>onnected</w:t>
      </w:r>
      <w:r w:rsidRPr="6A9F711F">
        <w:rPr>
          <w:rFonts w:ascii="Calibri" w:eastAsia="Calibri" w:hAnsi="Calibri" w:cs="Calibri"/>
          <w:color w:val="000000" w:themeColor="text1"/>
        </w:rPr>
        <w:t xml:space="preserve"> and wearable devices, and they also expect </w:t>
      </w:r>
      <w:r w:rsidRPr="0084002B">
        <w:rPr>
          <w:rFonts w:ascii="Calibri" w:eastAsia="Calibri" w:hAnsi="Calibri" w:cs="Calibri"/>
          <w:color w:val="000000" w:themeColor="text1"/>
        </w:rPr>
        <w:t xml:space="preserve">the payment process to be as secure as it is seamless and convenient on the payment product of their choice. </w:t>
      </w:r>
      <w:r w:rsidR="0084002B" w:rsidRPr="0084002B">
        <w:t>As previously stated, a May 2021 survey finds that consumers resid</w:t>
      </w:r>
      <w:r w:rsidR="00C347F9">
        <w:t xml:space="preserve">ing </w:t>
      </w:r>
      <w:r w:rsidR="0084002B" w:rsidRPr="0084002B">
        <w:t xml:space="preserve">in Australia </w:t>
      </w:r>
      <w:r w:rsidR="0084002B" w:rsidRPr="0084002B">
        <w:rPr>
          <w:rStyle w:val="normaltextrun"/>
          <w:rFonts w:ascii="Calibri" w:hAnsi="Calibri"/>
          <w:color w:val="000000"/>
          <w:shd w:val="clear" w:color="auto" w:fill="FFFFFF"/>
        </w:rPr>
        <w:t>want to know how their online debit card purchase will be processed (95 per cent) and 61 per cent believe that retailers should not decide for them</w:t>
      </w:r>
      <w:r w:rsidR="007A239F">
        <w:rPr>
          <w:rStyle w:val="FootnoteReference"/>
          <w:rFonts w:ascii="Calibri" w:hAnsi="Calibri"/>
          <w:color w:val="000000"/>
          <w:shd w:val="clear" w:color="auto" w:fill="FFFFFF"/>
        </w:rPr>
        <w:footnoteReference w:id="54"/>
      </w:r>
      <w:r w:rsidR="0084002B" w:rsidRPr="0084002B">
        <w:rPr>
          <w:rStyle w:val="normaltextrun"/>
          <w:rFonts w:ascii="Calibri" w:hAnsi="Calibri"/>
          <w:color w:val="000000"/>
          <w:shd w:val="clear" w:color="auto" w:fill="FFFFFF"/>
        </w:rPr>
        <w:t>.</w:t>
      </w:r>
    </w:p>
    <w:p w14:paraId="7988A3AC" w14:textId="77777777" w:rsidR="0085666D" w:rsidRDefault="0085666D" w:rsidP="002662B7">
      <w:pPr>
        <w:jc w:val="both"/>
        <w:rPr>
          <w:rFonts w:ascii="Calibri" w:eastAsia="Calibri" w:hAnsi="Calibri" w:cs="Calibri"/>
          <w:color w:val="000000" w:themeColor="text1"/>
        </w:rPr>
      </w:pPr>
    </w:p>
    <w:p w14:paraId="01BAB28C" w14:textId="706F5123" w:rsidR="000A796A" w:rsidRPr="00954DE4" w:rsidRDefault="26964902" w:rsidP="002662B7">
      <w:pPr>
        <w:jc w:val="both"/>
      </w:pPr>
      <w:r w:rsidRPr="6A9F711F">
        <w:rPr>
          <w:rFonts w:ascii="Calibri" w:eastAsia="Calibri" w:hAnsi="Calibri" w:cs="Calibri"/>
          <w:color w:val="000000" w:themeColor="text1"/>
        </w:rPr>
        <w:t xml:space="preserve">Merchant expectations have also heightened – with growing interest in new point-of-sale infrastructure and software as well as the leveraging of other technologies to drive and monitor sales. In addition, the providers of payment solutions are multiplying and diversifying. This is a progressively complicated, </w:t>
      </w:r>
      <w:proofErr w:type="gramStart"/>
      <w:r w:rsidRPr="6A9F711F">
        <w:rPr>
          <w:rFonts w:ascii="Calibri" w:eastAsia="Calibri" w:hAnsi="Calibri" w:cs="Calibri"/>
          <w:color w:val="000000" w:themeColor="text1"/>
        </w:rPr>
        <w:t>competitive</w:t>
      </w:r>
      <w:proofErr w:type="gramEnd"/>
      <w:r w:rsidRPr="6A9F711F">
        <w:rPr>
          <w:rFonts w:ascii="Calibri" w:eastAsia="Calibri" w:hAnsi="Calibri" w:cs="Calibri"/>
          <w:color w:val="000000" w:themeColor="text1"/>
        </w:rPr>
        <w:t xml:space="preserve"> and dynamic area, with providers ranging from traditional financial institutions – large and small – to digital giants and fintechs.</w:t>
      </w:r>
    </w:p>
    <w:p w14:paraId="1834768D" w14:textId="1F1EEC3B" w:rsidR="000A796A" w:rsidRPr="00954DE4" w:rsidRDefault="26964902" w:rsidP="002662B7">
      <w:pPr>
        <w:jc w:val="both"/>
      </w:pPr>
      <w:r w:rsidRPr="6A9F711F">
        <w:rPr>
          <w:rFonts w:ascii="Calibri" w:eastAsia="Calibri" w:hAnsi="Calibri" w:cs="Calibri"/>
          <w:color w:val="000000" w:themeColor="text1"/>
        </w:rPr>
        <w:t xml:space="preserve"> </w:t>
      </w:r>
    </w:p>
    <w:p w14:paraId="3C26BD56" w14:textId="0BD3B9C2" w:rsidR="000A796A" w:rsidRPr="00954DE4" w:rsidRDefault="26964902" w:rsidP="002662B7">
      <w:pPr>
        <w:jc w:val="both"/>
      </w:pPr>
      <w:r w:rsidRPr="6A9F711F">
        <w:rPr>
          <w:rFonts w:ascii="Calibri" w:eastAsia="Calibri" w:hAnsi="Calibri" w:cs="Calibri"/>
          <w:color w:val="000000" w:themeColor="text1"/>
        </w:rPr>
        <w:t xml:space="preserve">Given this environment, Visa has approached the Review with the belief that industry consultation helps determine the practical implications of regulatory reform and ensures the development of effective and </w:t>
      </w:r>
      <w:proofErr w:type="gramStart"/>
      <w:r w:rsidRPr="6A9F711F">
        <w:rPr>
          <w:rFonts w:ascii="Calibri" w:eastAsia="Calibri" w:hAnsi="Calibri" w:cs="Calibri"/>
          <w:color w:val="000000" w:themeColor="text1"/>
        </w:rPr>
        <w:t>commercially-viable</w:t>
      </w:r>
      <w:proofErr w:type="gramEnd"/>
      <w:r w:rsidRPr="6A9F711F">
        <w:rPr>
          <w:rFonts w:ascii="Calibri" w:eastAsia="Calibri" w:hAnsi="Calibri" w:cs="Calibri"/>
          <w:color w:val="000000" w:themeColor="text1"/>
        </w:rPr>
        <w:t xml:space="preserve"> safeguards for all participants in the payments environment. It is critical that industry and regulatory bodies such as the RBA work closely together to ensure that regulation is not only appropriate for the current environment, but also remains relevant for the foreseeable future, while allowing industry to compete and innovate. </w:t>
      </w:r>
    </w:p>
    <w:p w14:paraId="2E0D5013" w14:textId="614EBB66" w:rsidR="000A796A" w:rsidRPr="00954DE4" w:rsidRDefault="26964902" w:rsidP="002662B7">
      <w:pPr>
        <w:jc w:val="both"/>
      </w:pPr>
      <w:r w:rsidRPr="6A9F711F">
        <w:rPr>
          <w:rFonts w:ascii="Calibri" w:eastAsia="Calibri" w:hAnsi="Calibri" w:cs="Calibri"/>
          <w:color w:val="000000" w:themeColor="text1"/>
        </w:rPr>
        <w:t xml:space="preserve"> </w:t>
      </w:r>
    </w:p>
    <w:p w14:paraId="5A53E965" w14:textId="55DE6626" w:rsidR="000A796A" w:rsidRPr="00954DE4" w:rsidRDefault="26964902" w:rsidP="002662B7">
      <w:pPr>
        <w:jc w:val="both"/>
      </w:pPr>
      <w:r w:rsidRPr="6A9F711F">
        <w:rPr>
          <w:rFonts w:ascii="Calibri" w:eastAsia="Calibri" w:hAnsi="Calibri" w:cs="Calibri"/>
        </w:rPr>
        <w:t xml:space="preserve">With this approach in mind, Visa has been committed to engaging with the RBA throughout the Review. Furthermore, we remain committed going forward to seeking to ensure that the Review’s conclusions contribute to maintaining an inclusive payments system that is operating effectively for the benefit of the Australian economy, </w:t>
      </w:r>
      <w:proofErr w:type="gramStart"/>
      <w:r w:rsidRPr="6A9F711F">
        <w:rPr>
          <w:rFonts w:ascii="Calibri" w:eastAsia="Calibri" w:hAnsi="Calibri" w:cs="Calibri"/>
        </w:rPr>
        <w:t>business</w:t>
      </w:r>
      <w:proofErr w:type="gramEnd"/>
      <w:r w:rsidRPr="6A9F711F">
        <w:rPr>
          <w:rFonts w:ascii="Calibri" w:eastAsia="Calibri" w:hAnsi="Calibri" w:cs="Calibri"/>
        </w:rPr>
        <w:t xml:space="preserve"> and consumers.</w:t>
      </w:r>
    </w:p>
    <w:p w14:paraId="589DD9CD" w14:textId="4B494D28" w:rsidR="000A796A" w:rsidRPr="00954DE4" w:rsidRDefault="00D70967" w:rsidP="00C50C7D">
      <w:pPr>
        <w:jc w:val="both"/>
        <w:rPr>
          <w:rFonts w:cs="Segoe UI"/>
          <w:b/>
          <w:bCs/>
          <w:i/>
          <w:iCs/>
        </w:rPr>
      </w:pPr>
      <w:r w:rsidRPr="6A9F711F">
        <w:rPr>
          <w:rFonts w:cs="Segoe UI"/>
          <w:b/>
          <w:bCs/>
          <w:i/>
          <w:iCs/>
        </w:rPr>
        <w:br w:type="page"/>
      </w:r>
    </w:p>
    <w:p w14:paraId="5325D40D" w14:textId="77777777" w:rsidR="009B384F" w:rsidRPr="007A4078" w:rsidRDefault="009B384F" w:rsidP="0020057A">
      <w:pPr>
        <w:pStyle w:val="Heading1"/>
        <w:rPr>
          <w:rFonts w:asciiTheme="minorHAnsi" w:hAnsiTheme="minorHAnsi" w:cs="Segoe UI"/>
          <w:b/>
          <w:color w:val="002060"/>
        </w:rPr>
      </w:pPr>
      <w:bookmarkStart w:id="23" w:name="_Toc76743594"/>
      <w:bookmarkStart w:id="24" w:name="_Toc74838201"/>
      <w:r w:rsidRPr="007A4078">
        <w:rPr>
          <w:rFonts w:asciiTheme="minorHAnsi" w:hAnsiTheme="minorHAnsi" w:cs="Segoe UI"/>
          <w:b/>
          <w:color w:val="002060"/>
        </w:rPr>
        <w:lastRenderedPageBreak/>
        <w:t>About Visa</w:t>
      </w:r>
      <w:bookmarkEnd w:id="23"/>
    </w:p>
    <w:bookmarkEnd w:id="24"/>
    <w:p w14:paraId="6D44C864" w14:textId="77777777" w:rsidR="009B384F" w:rsidRPr="00954DE4" w:rsidRDefault="009B384F" w:rsidP="009B384F">
      <w:pPr>
        <w:rPr>
          <w:rFonts w:cs="Segoe UI"/>
        </w:rPr>
      </w:pPr>
    </w:p>
    <w:p w14:paraId="5386E201" w14:textId="7B67E663" w:rsidR="00FF3C13" w:rsidRPr="00954DE4" w:rsidRDefault="00FF3C13" w:rsidP="0075269A">
      <w:pPr>
        <w:jc w:val="both"/>
        <w:rPr>
          <w:rStyle w:val="normaltextrun"/>
          <w:rFonts w:cs="Segoe UI"/>
        </w:rPr>
      </w:pPr>
      <w:r w:rsidRPr="00954DE4">
        <w:rPr>
          <w:rStyle w:val="normaltextrun"/>
          <w:rFonts w:cs="Segoe UI"/>
        </w:rPr>
        <w:t xml:space="preserve">Visa is the world’s leader in digital payments. Our mission is to connect the world through the most secure, </w:t>
      </w:r>
      <w:proofErr w:type="gramStart"/>
      <w:r w:rsidRPr="00954DE4">
        <w:rPr>
          <w:rStyle w:val="normaltextrun"/>
          <w:rFonts w:cs="Segoe UI"/>
        </w:rPr>
        <w:t>reliable</w:t>
      </w:r>
      <w:proofErr w:type="gramEnd"/>
      <w:r w:rsidRPr="00954DE4">
        <w:rPr>
          <w:rStyle w:val="normaltextrun"/>
          <w:rFonts w:cs="Segoe UI"/>
        </w:rPr>
        <w:t xml:space="preserve"> and innovative payment network - enabling individuals, businesses and economies to thrive. Our advanced global processing network, </w:t>
      </w:r>
      <w:proofErr w:type="spellStart"/>
      <w:r w:rsidRPr="00954DE4">
        <w:rPr>
          <w:rStyle w:val="normaltextrun"/>
          <w:rFonts w:cs="Segoe UI"/>
        </w:rPr>
        <w:t>VisaNet</w:t>
      </w:r>
      <w:proofErr w:type="spellEnd"/>
      <w:r w:rsidRPr="00954DE4">
        <w:rPr>
          <w:rStyle w:val="normaltextrun"/>
          <w:rFonts w:cs="Segoe UI"/>
        </w:rPr>
        <w:t xml:space="preserve">, provides secure and reliable payments around the world, and is capable of handling more than 65,000 transaction messages a second. The company’s relentless focus on innovation is a catalyst for the rapid growth of digital commerce on any device for everyone, everywhere. As the world moves from </w:t>
      </w:r>
      <w:proofErr w:type="spellStart"/>
      <w:r w:rsidRPr="00954DE4">
        <w:rPr>
          <w:rStyle w:val="normaltextrun"/>
          <w:rFonts w:cs="Segoe UI"/>
        </w:rPr>
        <w:t>analog</w:t>
      </w:r>
      <w:proofErr w:type="spellEnd"/>
      <w:r w:rsidRPr="00954DE4">
        <w:rPr>
          <w:rStyle w:val="normaltextrun"/>
          <w:rFonts w:cs="Segoe UI"/>
        </w:rPr>
        <w:t xml:space="preserve"> to digital, Visa is applying our network, people, </w:t>
      </w:r>
      <w:proofErr w:type="gramStart"/>
      <w:r w:rsidRPr="00954DE4">
        <w:rPr>
          <w:rStyle w:val="normaltextrun"/>
          <w:rFonts w:cs="Segoe UI"/>
        </w:rPr>
        <w:t>products</w:t>
      </w:r>
      <w:proofErr w:type="gramEnd"/>
      <w:r w:rsidRPr="00954DE4">
        <w:rPr>
          <w:rStyle w:val="normaltextrun"/>
          <w:rFonts w:cs="Segoe UI"/>
        </w:rPr>
        <w:t xml:space="preserve"> and scale to reshape the future of commerce. </w:t>
      </w:r>
    </w:p>
    <w:p w14:paraId="78991A80" w14:textId="77777777" w:rsidR="00FF3C13" w:rsidRPr="00954DE4" w:rsidRDefault="00FF3C13" w:rsidP="0075269A">
      <w:pPr>
        <w:jc w:val="both"/>
        <w:rPr>
          <w:rStyle w:val="normaltextrun"/>
          <w:rFonts w:cs="Segoe UI"/>
        </w:rPr>
      </w:pPr>
    </w:p>
    <w:p w14:paraId="38AB94B3" w14:textId="1DAB170A" w:rsidR="002C2BB8" w:rsidRDefault="00FF3C13" w:rsidP="0075269A">
      <w:pPr>
        <w:jc w:val="both"/>
        <w:rPr>
          <w:rStyle w:val="normaltextrun"/>
          <w:rFonts w:cs="Segoe UI"/>
        </w:rPr>
      </w:pPr>
      <w:r w:rsidRPr="00954DE4">
        <w:rPr>
          <w:rStyle w:val="normaltextrun"/>
          <w:rFonts w:cs="Segoe UI"/>
        </w:rPr>
        <w:t xml:space="preserve">In Australia, Visa has </w:t>
      </w:r>
      <w:r w:rsidR="004C76C2">
        <w:rPr>
          <w:rStyle w:val="normaltextrun"/>
          <w:rFonts w:cs="Segoe UI"/>
        </w:rPr>
        <w:t>offices</w:t>
      </w:r>
      <w:r w:rsidRPr="00954DE4">
        <w:rPr>
          <w:rStyle w:val="normaltextrun"/>
          <w:rFonts w:cs="Segoe UI"/>
        </w:rPr>
        <w:t xml:space="preserve"> in Sydney and Melbourne. Together with our Australian financial institution</w:t>
      </w:r>
      <w:r w:rsidR="00171BA3">
        <w:rPr>
          <w:rStyle w:val="normaltextrun"/>
          <w:rFonts w:cs="Segoe UI"/>
        </w:rPr>
        <w:t>s</w:t>
      </w:r>
      <w:r w:rsidRPr="00954DE4">
        <w:rPr>
          <w:rStyle w:val="normaltextrun"/>
          <w:rFonts w:cs="Segoe UI"/>
        </w:rPr>
        <w:t xml:space="preserve">, </w:t>
      </w:r>
      <w:r w:rsidR="00171BA3">
        <w:rPr>
          <w:rStyle w:val="normaltextrun"/>
          <w:rFonts w:cs="Segoe UI"/>
        </w:rPr>
        <w:t>fintech</w:t>
      </w:r>
      <w:r w:rsidRPr="00954DE4">
        <w:rPr>
          <w:rStyle w:val="normaltextrun"/>
          <w:rFonts w:cs="Segoe UI"/>
        </w:rPr>
        <w:t xml:space="preserve"> and merchant clients, and our technology partners, we are committed to building a future of commerce that fosters Australian economic growth and innovation. </w:t>
      </w:r>
      <w:r w:rsidR="002E62FB">
        <w:rPr>
          <w:rStyle w:val="normaltextrun"/>
          <w:rFonts w:cs="Segoe UI"/>
        </w:rPr>
        <w:t>In 2019</w:t>
      </w:r>
      <w:r w:rsidR="002E62FB" w:rsidRPr="00954DE4">
        <w:rPr>
          <w:rStyle w:val="normaltextrun"/>
          <w:rFonts w:cs="Segoe UI"/>
        </w:rPr>
        <w:t xml:space="preserve">, Visa partnered with Startup Muster to gain insight into Australia’s fast-growing </w:t>
      </w:r>
      <w:r w:rsidR="002E62FB">
        <w:rPr>
          <w:rStyle w:val="normaltextrun"/>
          <w:rFonts w:cs="Segoe UI"/>
        </w:rPr>
        <w:t>f</w:t>
      </w:r>
      <w:r w:rsidR="002E62FB" w:rsidRPr="00954DE4">
        <w:rPr>
          <w:rStyle w:val="normaltextrun"/>
          <w:rFonts w:cs="Segoe UI"/>
        </w:rPr>
        <w:t>in</w:t>
      </w:r>
      <w:r w:rsidR="002E62FB">
        <w:rPr>
          <w:rStyle w:val="normaltextrun"/>
          <w:rFonts w:cs="Segoe UI"/>
        </w:rPr>
        <w:t>t</w:t>
      </w:r>
      <w:r w:rsidR="002E62FB" w:rsidRPr="00954DE4">
        <w:rPr>
          <w:rStyle w:val="normaltextrun"/>
          <w:rFonts w:cs="Segoe UI"/>
        </w:rPr>
        <w:t xml:space="preserve">ech industry and how startup founders can best be supported. </w:t>
      </w:r>
      <w:r w:rsidR="00E7536B">
        <w:rPr>
          <w:rStyle w:val="normaltextrun"/>
          <w:rFonts w:cs="Segoe UI"/>
        </w:rPr>
        <w:t>In</w:t>
      </w:r>
      <w:r w:rsidR="00912341">
        <w:rPr>
          <w:rStyle w:val="normaltextrun"/>
          <w:rFonts w:cs="Segoe UI"/>
        </w:rPr>
        <w:t xml:space="preserve"> </w:t>
      </w:r>
      <w:r w:rsidR="002C2BB8">
        <w:rPr>
          <w:rStyle w:val="normaltextrun"/>
          <w:rFonts w:cs="Segoe UI"/>
        </w:rPr>
        <w:t>2021, Visa partnered with the Coun</w:t>
      </w:r>
      <w:r w:rsidR="002E62FB">
        <w:rPr>
          <w:rStyle w:val="normaltextrun"/>
          <w:rFonts w:cs="Segoe UI"/>
        </w:rPr>
        <w:t xml:space="preserve">cil of Small Business Organisations Australia (COSBOA) regarding its Accelerator for Enterprising Women program, to ensure Australia’s next generation of businesswomen have the support and skills required to run and grow their businesses, and to transform the industries in which they work. </w:t>
      </w:r>
      <w:r w:rsidR="00912341" w:rsidRPr="00954DE4">
        <w:rPr>
          <w:rStyle w:val="normaltextrun"/>
          <w:rFonts w:cs="Segoe UI"/>
        </w:rPr>
        <w:t xml:space="preserve">Enabling this type of entrepreneurship and innovation, which benefits Australian consumers, </w:t>
      </w:r>
      <w:proofErr w:type="gramStart"/>
      <w:r w:rsidR="00912341" w:rsidRPr="00954DE4">
        <w:rPr>
          <w:rStyle w:val="normaltextrun"/>
          <w:rFonts w:cs="Segoe UI"/>
        </w:rPr>
        <w:t>merchants</w:t>
      </w:r>
      <w:proofErr w:type="gramEnd"/>
      <w:r w:rsidR="00912341" w:rsidRPr="00954DE4">
        <w:rPr>
          <w:rStyle w:val="normaltextrun"/>
          <w:rFonts w:cs="Segoe UI"/>
        </w:rPr>
        <w:t xml:space="preserve"> and the economy, is a core focus for our business in Australia.</w:t>
      </w:r>
    </w:p>
    <w:p w14:paraId="58482B6A" w14:textId="77777777" w:rsidR="00FF3C13" w:rsidRPr="00954DE4" w:rsidRDefault="00FF3C13" w:rsidP="0075269A">
      <w:pPr>
        <w:jc w:val="both"/>
        <w:rPr>
          <w:rStyle w:val="normaltextrun"/>
          <w:rFonts w:cs="Segoe UI"/>
        </w:rPr>
      </w:pPr>
    </w:p>
    <w:p w14:paraId="39122918" w14:textId="1F90B09F" w:rsidR="009B384F" w:rsidRPr="00954DE4" w:rsidRDefault="7C542F3C" w:rsidP="0075269A">
      <w:pPr>
        <w:jc w:val="both"/>
        <w:rPr>
          <w:rStyle w:val="normaltextrun"/>
          <w:rFonts w:cs="Segoe UI"/>
        </w:rPr>
      </w:pPr>
      <w:r w:rsidRPr="6A9F711F">
        <w:rPr>
          <w:rStyle w:val="normaltextrun"/>
          <w:rFonts w:cs="Segoe UI"/>
        </w:rPr>
        <w:t>Visa is</w:t>
      </w:r>
      <w:r w:rsidR="3DB24682" w:rsidRPr="6A9F711F">
        <w:rPr>
          <w:rStyle w:val="normaltextrun"/>
          <w:rFonts w:cs="Segoe UI"/>
        </w:rPr>
        <w:t xml:space="preserve"> also working to expand acceptance across the </w:t>
      </w:r>
      <w:proofErr w:type="gramStart"/>
      <w:r w:rsidR="3DB24682" w:rsidRPr="6A9F711F">
        <w:rPr>
          <w:rStyle w:val="normaltextrun"/>
          <w:rFonts w:cs="Segoe UI"/>
        </w:rPr>
        <w:t>payments</w:t>
      </w:r>
      <w:proofErr w:type="gramEnd"/>
      <w:r w:rsidR="3DB24682" w:rsidRPr="6A9F711F">
        <w:rPr>
          <w:rStyle w:val="normaltextrun"/>
          <w:rFonts w:cs="Segoe UI"/>
        </w:rPr>
        <w:t xml:space="preserve"> ecosystem, ensuring that every Australian can not only pay, but also be paid in a </w:t>
      </w:r>
      <w:r w:rsidRPr="6A9F711F">
        <w:rPr>
          <w:rStyle w:val="normaltextrun"/>
          <w:rFonts w:cs="Segoe UI"/>
        </w:rPr>
        <w:t xml:space="preserve">secure and </w:t>
      </w:r>
      <w:r w:rsidR="3DB24682" w:rsidRPr="6A9F711F">
        <w:rPr>
          <w:rStyle w:val="normaltextrun"/>
          <w:rFonts w:cs="Segoe UI"/>
        </w:rPr>
        <w:t xml:space="preserve">convenient way. One way we have furthered these efforts is by partnering with Quest Payment Systems and The Big Issue, the independent magazine sold by homeless, </w:t>
      </w:r>
      <w:proofErr w:type="gramStart"/>
      <w:r w:rsidR="3DB24682" w:rsidRPr="6A9F711F">
        <w:rPr>
          <w:rStyle w:val="normaltextrun"/>
          <w:rFonts w:cs="Segoe UI"/>
        </w:rPr>
        <w:t>marginalised</w:t>
      </w:r>
      <w:proofErr w:type="gramEnd"/>
      <w:r w:rsidR="3DB24682" w:rsidRPr="6A9F711F">
        <w:rPr>
          <w:rStyle w:val="normaltextrun"/>
          <w:rFonts w:cs="Segoe UI"/>
        </w:rPr>
        <w:t xml:space="preserve"> and disadvantaged people, to enable Big Issue vendors to accept digital payments. We have</w:t>
      </w:r>
      <w:r w:rsidR="6870DFB8" w:rsidRPr="6A9F711F">
        <w:rPr>
          <w:rStyle w:val="normaltextrun"/>
          <w:rFonts w:cs="Segoe UI"/>
        </w:rPr>
        <w:t xml:space="preserve"> also launched #WhereYouShopMatters, an initiative focused on supporting </w:t>
      </w:r>
      <w:r w:rsidR="3DB24682" w:rsidRPr="6A9F711F">
        <w:rPr>
          <w:rStyle w:val="normaltextrun"/>
          <w:rFonts w:cs="Segoe UI"/>
        </w:rPr>
        <w:t xml:space="preserve">Australian </w:t>
      </w:r>
      <w:r w:rsidR="6870DFB8" w:rsidRPr="6A9F711F">
        <w:rPr>
          <w:rStyle w:val="normaltextrun"/>
          <w:rFonts w:cs="Segoe UI"/>
        </w:rPr>
        <w:t>small businesses</w:t>
      </w:r>
      <w:r w:rsidR="3537134C" w:rsidRPr="6A9F711F">
        <w:rPr>
          <w:rStyle w:val="normaltextrun"/>
          <w:rFonts w:cs="Segoe UI"/>
        </w:rPr>
        <w:t xml:space="preserve"> </w:t>
      </w:r>
      <w:r w:rsidR="6870DFB8" w:rsidRPr="6A9F711F">
        <w:rPr>
          <w:rStyle w:val="normaltextrun"/>
          <w:rFonts w:cs="Segoe UI"/>
        </w:rPr>
        <w:t xml:space="preserve">through </w:t>
      </w:r>
      <w:r w:rsidR="3DB24682" w:rsidRPr="6A9F711F">
        <w:rPr>
          <w:rStyle w:val="normaltextrun"/>
          <w:rFonts w:cs="Segoe UI"/>
        </w:rPr>
        <w:t>education and promotion.</w:t>
      </w:r>
      <w:r w:rsidR="4D8C4E15" w:rsidRPr="6A9F711F">
        <w:rPr>
          <w:rStyle w:val="normaltextrun"/>
          <w:rFonts w:cs="Segoe UI"/>
        </w:rPr>
        <w:t xml:space="preserve"> </w:t>
      </w:r>
      <w:r w:rsidR="79D85FE7" w:rsidRPr="6A9F711F">
        <w:rPr>
          <w:rStyle w:val="normaltextrun"/>
          <w:rFonts w:cs="Segoe UI"/>
        </w:rPr>
        <w:t xml:space="preserve">Since </w:t>
      </w:r>
      <w:r w:rsidR="31F21FE0" w:rsidRPr="6A9F711F">
        <w:rPr>
          <w:rStyle w:val="normaltextrun"/>
          <w:rFonts w:cs="Segoe UI"/>
        </w:rPr>
        <w:t>202</w:t>
      </w:r>
      <w:r w:rsidR="41441D37" w:rsidRPr="6A9F711F">
        <w:rPr>
          <w:rStyle w:val="normaltextrun"/>
          <w:rFonts w:cs="Segoe UI"/>
        </w:rPr>
        <w:t>0</w:t>
      </w:r>
      <w:r w:rsidR="4D8C4E15" w:rsidRPr="6A9F711F">
        <w:rPr>
          <w:rStyle w:val="normaltextrun"/>
          <w:rFonts w:cs="Segoe UI"/>
        </w:rPr>
        <w:t xml:space="preserve">, Visa </w:t>
      </w:r>
      <w:r w:rsidR="31F21FE0" w:rsidRPr="6A9F711F">
        <w:rPr>
          <w:rStyle w:val="normaltextrun"/>
          <w:rFonts w:cs="Segoe UI"/>
        </w:rPr>
        <w:t xml:space="preserve">has </w:t>
      </w:r>
      <w:r w:rsidR="7FA75AC8" w:rsidRPr="6A9F711F">
        <w:rPr>
          <w:rStyle w:val="normaltextrun"/>
          <w:rFonts w:cs="Segoe UI"/>
        </w:rPr>
        <w:t>worked</w:t>
      </w:r>
      <w:r w:rsidR="4D8C4E15" w:rsidRPr="6A9F711F">
        <w:rPr>
          <w:rStyle w:val="normaltextrun"/>
          <w:rFonts w:cs="Segoe UI"/>
        </w:rPr>
        <w:t xml:space="preserve"> with </w:t>
      </w:r>
      <w:r w:rsidR="4EB4190B" w:rsidRPr="6A9F711F">
        <w:rPr>
          <w:rStyle w:val="normaltextrun"/>
          <w:rFonts w:cs="Segoe UI"/>
        </w:rPr>
        <w:t xml:space="preserve">Australian not-for-profit, </w:t>
      </w:r>
      <w:r w:rsidR="4D8C4E15" w:rsidRPr="6A9F711F">
        <w:rPr>
          <w:rStyle w:val="normaltextrun"/>
          <w:rFonts w:cs="Segoe UI"/>
        </w:rPr>
        <w:t>Global Sisters</w:t>
      </w:r>
      <w:r w:rsidR="0428F63C" w:rsidRPr="6A9F711F">
        <w:rPr>
          <w:rStyle w:val="normaltextrun"/>
          <w:rFonts w:cs="Segoe UI"/>
        </w:rPr>
        <w:t>,</w:t>
      </w:r>
      <w:r w:rsidR="4000BA1C" w:rsidRPr="6A9F711F">
        <w:rPr>
          <w:rStyle w:val="normaltextrun"/>
          <w:rFonts w:cs="Segoe UI"/>
        </w:rPr>
        <w:t xml:space="preserve"> to </w:t>
      </w:r>
      <w:r w:rsidR="48299FD8" w:rsidRPr="6A9F711F">
        <w:rPr>
          <w:rStyle w:val="normaltextrun"/>
          <w:rFonts w:cs="Segoe UI"/>
        </w:rPr>
        <w:t>provide business</w:t>
      </w:r>
      <w:r w:rsidR="5455BF19" w:rsidRPr="6A9F711F">
        <w:rPr>
          <w:rStyle w:val="normaltextrun"/>
          <w:rFonts w:cs="Segoe UI"/>
        </w:rPr>
        <w:t xml:space="preserve"> mentoring</w:t>
      </w:r>
      <w:r w:rsidR="5E56FC51" w:rsidRPr="6A9F711F">
        <w:rPr>
          <w:rStyle w:val="normaltextrun"/>
          <w:rFonts w:cs="Segoe UI"/>
        </w:rPr>
        <w:t xml:space="preserve"> and coaching</w:t>
      </w:r>
      <w:r w:rsidR="48634CCF" w:rsidRPr="6A9F711F">
        <w:rPr>
          <w:rStyle w:val="normaltextrun"/>
          <w:rFonts w:cs="Segoe UI"/>
        </w:rPr>
        <w:t xml:space="preserve"> to aspiring</w:t>
      </w:r>
      <w:r w:rsidR="032CC671" w:rsidRPr="6A9F711F">
        <w:rPr>
          <w:rStyle w:val="normaltextrun"/>
          <w:rFonts w:cs="Segoe UI"/>
        </w:rPr>
        <w:t xml:space="preserve"> Australian businesswomen</w:t>
      </w:r>
      <w:r w:rsidR="05596EDE" w:rsidRPr="6A9F711F">
        <w:rPr>
          <w:rStyle w:val="normaltextrun"/>
          <w:rFonts w:cs="Segoe UI"/>
        </w:rPr>
        <w:t xml:space="preserve"> who recently graduated from Global Sisters’ small business education program</w:t>
      </w:r>
      <w:r w:rsidR="032CC671" w:rsidRPr="6A9F711F">
        <w:rPr>
          <w:rStyle w:val="normaltextrun"/>
          <w:rFonts w:cs="Segoe UI"/>
        </w:rPr>
        <w:t xml:space="preserve">. </w:t>
      </w:r>
    </w:p>
    <w:p w14:paraId="2DF730FE" w14:textId="78068423" w:rsidR="004F304C" w:rsidRDefault="004F304C">
      <w:pPr>
        <w:rPr>
          <w:rFonts w:cs="Segoe UI"/>
          <w:b/>
          <w:color w:val="002060"/>
        </w:rPr>
      </w:pPr>
      <w:r>
        <w:rPr>
          <w:rFonts w:cs="Segoe UI"/>
          <w:b/>
          <w:color w:val="002060"/>
        </w:rPr>
        <w:br w:type="page"/>
      </w:r>
    </w:p>
    <w:p w14:paraId="2D0817DF" w14:textId="307694B4" w:rsidR="002006A7" w:rsidRDefault="004F304C" w:rsidP="004F304C">
      <w:pPr>
        <w:pStyle w:val="Heading1"/>
        <w:rPr>
          <w:rFonts w:asciiTheme="minorHAnsi" w:hAnsiTheme="minorHAnsi" w:cs="Segoe UI"/>
          <w:b/>
          <w:bCs/>
          <w:color w:val="002060"/>
        </w:rPr>
      </w:pPr>
      <w:bookmarkStart w:id="25" w:name="_Toc74838202"/>
      <w:bookmarkStart w:id="26" w:name="_Toc76743595"/>
      <w:r w:rsidRPr="004F304C">
        <w:rPr>
          <w:rFonts w:asciiTheme="minorHAnsi" w:hAnsiTheme="minorHAnsi" w:cs="Segoe UI"/>
          <w:b/>
          <w:bCs/>
          <w:color w:val="002060"/>
        </w:rPr>
        <w:lastRenderedPageBreak/>
        <w:t>Appendix</w:t>
      </w:r>
      <w:bookmarkEnd w:id="25"/>
      <w:bookmarkEnd w:id="26"/>
      <w:r w:rsidRPr="004F304C">
        <w:rPr>
          <w:rFonts w:asciiTheme="minorHAnsi" w:hAnsiTheme="minorHAnsi" w:cs="Segoe UI"/>
          <w:b/>
          <w:bCs/>
          <w:color w:val="002060"/>
        </w:rPr>
        <w:t xml:space="preserve"> </w:t>
      </w:r>
    </w:p>
    <w:p w14:paraId="50338FD0" w14:textId="6520F0E8" w:rsidR="007B7642" w:rsidRDefault="007B7642" w:rsidP="007B7642"/>
    <w:p w14:paraId="3BC6E606" w14:textId="1C390CA6" w:rsidR="007B7642" w:rsidRPr="00D02E6E" w:rsidRDefault="007B7642" w:rsidP="007B7642">
      <w:pPr>
        <w:rPr>
          <w:rStyle w:val="IntenseEmphasis"/>
          <w:rFonts w:eastAsiaTheme="minorEastAsia"/>
          <w:b/>
          <w:i w:val="0"/>
          <w:iCs w:val="0"/>
          <w:color w:val="002060"/>
          <w:sz w:val="26"/>
          <w:szCs w:val="26"/>
        </w:rPr>
      </w:pPr>
      <w:r w:rsidRPr="00D02E6E">
        <w:rPr>
          <w:rStyle w:val="IntenseEmphasis"/>
          <w:rFonts w:eastAsiaTheme="minorEastAsia"/>
          <w:b/>
          <w:i w:val="0"/>
          <w:iCs w:val="0"/>
          <w:color w:val="002060"/>
          <w:sz w:val="26"/>
          <w:szCs w:val="26"/>
        </w:rPr>
        <w:t>Introduction</w:t>
      </w:r>
      <w:r w:rsidR="00966A09" w:rsidRPr="00D02E6E">
        <w:rPr>
          <w:rStyle w:val="IntenseEmphasis"/>
          <w:rFonts w:eastAsiaTheme="minorEastAsia"/>
          <w:b/>
          <w:i w:val="0"/>
          <w:iCs w:val="0"/>
          <w:color w:val="002060"/>
          <w:sz w:val="26"/>
          <w:szCs w:val="26"/>
        </w:rPr>
        <w:t xml:space="preserve"> – Merchant Choice Routing in the Online Environment</w:t>
      </w:r>
    </w:p>
    <w:p w14:paraId="14D77AD2" w14:textId="298F949F" w:rsidR="007B7642" w:rsidRPr="00A90E5C" w:rsidRDefault="007B7642" w:rsidP="007B7642"/>
    <w:p w14:paraId="7278286A" w14:textId="7096FF6E" w:rsidR="007B7642" w:rsidRPr="00A90E5C" w:rsidRDefault="008E7654" w:rsidP="007B7642">
      <w:pPr>
        <w:jc w:val="both"/>
      </w:pPr>
      <w:r w:rsidRPr="00A90E5C">
        <w:t>The following pages outline</w:t>
      </w:r>
      <w:r w:rsidR="007B7642" w:rsidRPr="00A90E5C">
        <w:t xml:space="preserve"> how the established market practices for online payments can continue to enable consumer choice of payment method for DNDCs in ‘guest checkout’ and ‘stored credential’ (or ‘card-on-file') payments experiences.</w:t>
      </w:r>
    </w:p>
    <w:p w14:paraId="06B35E47" w14:textId="77777777" w:rsidR="007B7642" w:rsidRPr="00A90E5C" w:rsidRDefault="007B7642" w:rsidP="007B7642">
      <w:pPr>
        <w:jc w:val="both"/>
      </w:pPr>
    </w:p>
    <w:p w14:paraId="2A346F55" w14:textId="72432322" w:rsidR="007B7642" w:rsidRPr="00A90E5C" w:rsidRDefault="007517EB" w:rsidP="007B7642">
      <w:pPr>
        <w:jc w:val="both"/>
      </w:pPr>
      <w:r w:rsidRPr="00A90E5C">
        <w:t>The</w:t>
      </w:r>
      <w:r w:rsidR="007B7642" w:rsidRPr="00A90E5C">
        <w:t xml:space="preserve"> examples that follow illustrate that the online environment provides an opportunity to offer both merchant and consumer choice, driving competition and innovation in the market. The merchant can influence choice of payment method through </w:t>
      </w:r>
      <w:proofErr w:type="gramStart"/>
      <w:r w:rsidR="007B7642" w:rsidRPr="00A90E5C">
        <w:t>a number of</w:t>
      </w:r>
      <w:proofErr w:type="gramEnd"/>
      <w:r w:rsidR="007B7642" w:rsidRPr="00A90E5C">
        <w:t xml:space="preserve"> options – for example:</w:t>
      </w:r>
    </w:p>
    <w:p w14:paraId="389FE9CB" w14:textId="77777777" w:rsidR="007B7642" w:rsidRPr="00A90E5C" w:rsidRDefault="007B7642" w:rsidP="004A32C5">
      <w:pPr>
        <w:pStyle w:val="ListParagraph"/>
        <w:numPr>
          <w:ilvl w:val="0"/>
          <w:numId w:val="13"/>
        </w:numPr>
        <w:spacing w:after="160" w:line="259" w:lineRule="auto"/>
        <w:jc w:val="both"/>
        <w:rPr>
          <w:rFonts w:asciiTheme="minorHAnsi" w:eastAsiaTheme="minorHAnsi" w:hAnsiTheme="minorHAnsi"/>
          <w:szCs w:val="22"/>
        </w:rPr>
      </w:pPr>
      <w:r w:rsidRPr="00A90E5C">
        <w:rPr>
          <w:rFonts w:asciiTheme="minorHAnsi" w:eastAsiaTheme="minorHAnsi" w:hAnsiTheme="minorHAnsi"/>
          <w:szCs w:val="22"/>
        </w:rPr>
        <w:t xml:space="preserve">the order in which the payment methods are </w:t>
      </w:r>
      <w:proofErr w:type="gramStart"/>
      <w:r w:rsidRPr="00A90E5C">
        <w:rPr>
          <w:rFonts w:asciiTheme="minorHAnsi" w:eastAsiaTheme="minorHAnsi" w:hAnsiTheme="minorHAnsi"/>
          <w:szCs w:val="22"/>
        </w:rPr>
        <w:t>displayed;</w:t>
      </w:r>
      <w:proofErr w:type="gramEnd"/>
      <w:r w:rsidRPr="00A90E5C">
        <w:rPr>
          <w:rFonts w:asciiTheme="minorHAnsi" w:eastAsiaTheme="minorHAnsi" w:hAnsiTheme="minorHAnsi"/>
          <w:szCs w:val="22"/>
        </w:rPr>
        <w:t xml:space="preserve"> </w:t>
      </w:r>
    </w:p>
    <w:p w14:paraId="69D8E962" w14:textId="77777777" w:rsidR="007B7642" w:rsidRPr="00A90E5C" w:rsidRDefault="007B7642" w:rsidP="004A32C5">
      <w:pPr>
        <w:pStyle w:val="ListParagraph"/>
        <w:numPr>
          <w:ilvl w:val="0"/>
          <w:numId w:val="13"/>
        </w:numPr>
        <w:spacing w:after="160" w:line="259" w:lineRule="auto"/>
        <w:jc w:val="both"/>
        <w:rPr>
          <w:rFonts w:asciiTheme="minorHAnsi" w:eastAsiaTheme="minorHAnsi" w:hAnsiTheme="minorHAnsi"/>
          <w:szCs w:val="22"/>
        </w:rPr>
      </w:pPr>
      <w:r w:rsidRPr="00A90E5C">
        <w:rPr>
          <w:rFonts w:asciiTheme="minorHAnsi" w:eastAsiaTheme="minorHAnsi" w:hAnsiTheme="minorHAnsi"/>
          <w:szCs w:val="22"/>
        </w:rPr>
        <w:t>providing consumers with information on fees associated with different payment methods; and</w:t>
      </w:r>
    </w:p>
    <w:p w14:paraId="417E503C" w14:textId="77777777" w:rsidR="007B7642" w:rsidRPr="00A90E5C" w:rsidRDefault="007B7642" w:rsidP="004A32C5">
      <w:pPr>
        <w:pStyle w:val="ListParagraph"/>
        <w:numPr>
          <w:ilvl w:val="0"/>
          <w:numId w:val="13"/>
        </w:numPr>
        <w:spacing w:after="160" w:line="259" w:lineRule="auto"/>
        <w:jc w:val="both"/>
        <w:rPr>
          <w:rFonts w:asciiTheme="minorHAnsi" w:eastAsiaTheme="minorHAnsi" w:hAnsiTheme="minorHAnsi"/>
          <w:szCs w:val="22"/>
        </w:rPr>
      </w:pPr>
      <w:r w:rsidRPr="00A90E5C">
        <w:rPr>
          <w:rFonts w:asciiTheme="minorHAnsi" w:eastAsiaTheme="minorHAnsi" w:hAnsiTheme="minorHAnsi"/>
          <w:szCs w:val="22"/>
        </w:rPr>
        <w:t>providing consumers with information on security, features and benefits associated with different payment methods.</w:t>
      </w:r>
    </w:p>
    <w:p w14:paraId="0445526F" w14:textId="6F288E57" w:rsidR="00850A3B" w:rsidRDefault="007B7642" w:rsidP="006A5B07">
      <w:pPr>
        <w:jc w:val="both"/>
      </w:pPr>
      <w:r w:rsidRPr="00A90E5C">
        <w:t xml:space="preserve">Consumers </w:t>
      </w:r>
      <w:r w:rsidR="008E7654" w:rsidRPr="00A90E5C">
        <w:t xml:space="preserve">can </w:t>
      </w:r>
      <w:r w:rsidRPr="00A90E5C">
        <w:t>exercise an informed choice, based on information, and clearly displayed and labelled options.</w:t>
      </w:r>
    </w:p>
    <w:p w14:paraId="4E9FC124" w14:textId="5BC844F3" w:rsidR="003B75BE" w:rsidRDefault="00850A3B" w:rsidP="003B75BE">
      <w:r>
        <w:br w:type="page"/>
      </w:r>
    </w:p>
    <w:p w14:paraId="1AC61984" w14:textId="33502AF6" w:rsidR="003B75BE" w:rsidRPr="00D02E6E" w:rsidRDefault="003B75BE" w:rsidP="003B75BE">
      <w:pPr>
        <w:rPr>
          <w:rStyle w:val="IntenseEmphasis"/>
          <w:rFonts w:eastAsiaTheme="minorEastAsia"/>
          <w:b/>
          <w:i w:val="0"/>
          <w:iCs w:val="0"/>
          <w:color w:val="002060"/>
          <w:sz w:val="26"/>
          <w:szCs w:val="26"/>
        </w:rPr>
      </w:pPr>
      <w:r w:rsidRPr="00D02E6E">
        <w:rPr>
          <w:rStyle w:val="IntenseEmphasis"/>
          <w:rFonts w:eastAsiaTheme="minorEastAsia"/>
          <w:b/>
          <w:i w:val="0"/>
          <w:iCs w:val="0"/>
          <w:color w:val="002060"/>
          <w:sz w:val="26"/>
          <w:szCs w:val="26"/>
        </w:rPr>
        <w:lastRenderedPageBreak/>
        <w:t>DNDC Operation in ‘Guest Checkout’</w:t>
      </w:r>
    </w:p>
    <w:p w14:paraId="4D03EB15" w14:textId="3CEEAD22" w:rsidR="003B75BE" w:rsidRDefault="003B75BE" w:rsidP="003B75BE"/>
    <w:p w14:paraId="5AEFD718" w14:textId="112D7011" w:rsidR="00AD5966" w:rsidRDefault="00AD5966" w:rsidP="00AD5966">
      <w:pPr>
        <w:spacing w:after="240"/>
        <w:jc w:val="both"/>
      </w:pPr>
      <w:r w:rsidRPr="00AD5966">
        <w:t>For ‘guest checkout’, merchants display which payment options are available to the customer at the first step of the payments journey. Two variations are provided below where DNDCs are presented as separate buttons that allow either to be selected by the customer. Following the customer selection of payment method, the respective payment method’s customer journey is presented, including entry of payment credential, authentication, and security features.</w:t>
      </w:r>
    </w:p>
    <w:p w14:paraId="26092289" w14:textId="2D0A059B" w:rsidR="00441AC0" w:rsidRDefault="00441AC0" w:rsidP="00AD5966">
      <w:pPr>
        <w:spacing w:after="240"/>
        <w:jc w:val="both"/>
      </w:pPr>
      <w:r w:rsidRPr="00441AC0">
        <w:t>Some merchants already utilise these payment method selection</w:t>
      </w:r>
      <w:r w:rsidRPr="00441AC0" w:rsidDel="00276C17">
        <w:t xml:space="preserve"> </w:t>
      </w:r>
      <w:r w:rsidRPr="00441AC0">
        <w:t xml:space="preserve">methodologies and would add an </w:t>
      </w:r>
      <w:r w:rsidR="00286F5A">
        <w:t>eftpos</w:t>
      </w:r>
      <w:r w:rsidRPr="00441AC0">
        <w:t xml:space="preserve"> button/option to support DNDCs.</w:t>
      </w:r>
    </w:p>
    <w:p w14:paraId="6201B796" w14:textId="77777777" w:rsidR="00441AC0" w:rsidRPr="00AD5966" w:rsidRDefault="00441AC0" w:rsidP="00AD5966">
      <w:pPr>
        <w:spacing w:after="240"/>
        <w:jc w:val="both"/>
      </w:pPr>
    </w:p>
    <w:p w14:paraId="32B5C061" w14:textId="77777777" w:rsidR="00966A09" w:rsidRDefault="00966A09" w:rsidP="00441AC0">
      <w:pPr>
        <w:spacing w:after="240"/>
        <w:jc w:val="both"/>
      </w:pPr>
    </w:p>
    <w:p w14:paraId="1226E511" w14:textId="77777777" w:rsidR="00DA38EB" w:rsidRDefault="00DA38EB" w:rsidP="00441AC0">
      <w:pPr>
        <w:spacing w:after="240"/>
        <w:jc w:val="both"/>
      </w:pPr>
    </w:p>
    <w:p w14:paraId="2F24FEA1" w14:textId="23DDE1A9" w:rsidR="00441AC0" w:rsidRPr="000B3300" w:rsidRDefault="00441AC0" w:rsidP="00441AC0">
      <w:pPr>
        <w:spacing w:after="240"/>
        <w:jc w:val="both"/>
      </w:pPr>
      <w:r w:rsidRPr="00AD5966">
        <w:rPr>
          <w:noProof/>
        </w:rPr>
        <w:drawing>
          <wp:anchor distT="0" distB="0" distL="114300" distR="114300" simplePos="0" relativeHeight="251658249" behindDoc="0" locked="0" layoutInCell="1" allowOverlap="1" wp14:anchorId="2FA8A0FE" wp14:editId="314C8A38">
            <wp:simplePos x="0" y="0"/>
            <wp:positionH relativeFrom="column">
              <wp:posOffset>346710</wp:posOffset>
            </wp:positionH>
            <wp:positionV relativeFrom="paragraph">
              <wp:posOffset>247015</wp:posOffset>
            </wp:positionV>
            <wp:extent cx="2134235" cy="4634865"/>
            <wp:effectExtent l="133350" t="95250" r="132715" b="165735"/>
            <wp:wrapTopAndBottom/>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pic:cNvPicPr>
                  </pic:nvPicPr>
                  <pic:blipFill>
                    <a:blip r:embed="rId38">
                      <a:extLst>
                        <a:ext uri="{28A0092B-C50C-407E-A947-70E740481C1C}">
                          <a14:useLocalDpi xmlns:a14="http://schemas.microsoft.com/office/drawing/2010/main" val="0"/>
                        </a:ext>
                      </a:extLst>
                    </a:blip>
                    <a:stretch>
                      <a:fillRect/>
                    </a:stretch>
                  </pic:blipFill>
                  <pic:spPr>
                    <a:xfrm>
                      <a:off x="0" y="0"/>
                      <a:ext cx="2134235" cy="4634865"/>
                    </a:xfrm>
                    <a:prstGeom prst="rect">
                      <a:avLst/>
                    </a:prstGeom>
                    <a:effectLst>
                      <a:outerShdw blurRad="190500" dist="38100" dir="5400000" algn="t" rotWithShape="0">
                        <a:prstClr val="black">
                          <a:alpha val="10000"/>
                        </a:prstClr>
                      </a:outerShdw>
                    </a:effectLst>
                  </pic:spPr>
                </pic:pic>
              </a:graphicData>
            </a:graphic>
            <wp14:sizeRelH relativeFrom="margin">
              <wp14:pctWidth>0</wp14:pctWidth>
            </wp14:sizeRelH>
            <wp14:sizeRelV relativeFrom="margin">
              <wp14:pctHeight>0</wp14:pctHeight>
            </wp14:sizeRelV>
          </wp:anchor>
        </w:drawing>
      </w:r>
      <w:r w:rsidRPr="00AD5966">
        <w:rPr>
          <w:noProof/>
        </w:rPr>
        <w:drawing>
          <wp:anchor distT="0" distB="0" distL="114300" distR="114300" simplePos="0" relativeHeight="251658248" behindDoc="0" locked="0" layoutInCell="1" allowOverlap="1" wp14:anchorId="3E1BA7B5" wp14:editId="6F21E8EA">
            <wp:simplePos x="0" y="0"/>
            <wp:positionH relativeFrom="column">
              <wp:posOffset>2995295</wp:posOffset>
            </wp:positionH>
            <wp:positionV relativeFrom="paragraph">
              <wp:posOffset>247015</wp:posOffset>
            </wp:positionV>
            <wp:extent cx="2116455" cy="4595495"/>
            <wp:effectExtent l="133350" t="95250" r="131445" b="167005"/>
            <wp:wrapTopAndBottom/>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39">
                      <a:extLst>
                        <a:ext uri="{28A0092B-C50C-407E-A947-70E740481C1C}">
                          <a14:useLocalDpi xmlns:a14="http://schemas.microsoft.com/office/drawing/2010/main" val="0"/>
                        </a:ext>
                      </a:extLst>
                    </a:blip>
                    <a:stretch>
                      <a:fillRect/>
                    </a:stretch>
                  </pic:blipFill>
                  <pic:spPr>
                    <a:xfrm>
                      <a:off x="0" y="0"/>
                      <a:ext cx="2116455" cy="4595495"/>
                    </a:xfrm>
                    <a:prstGeom prst="rect">
                      <a:avLst/>
                    </a:prstGeom>
                    <a:effectLst>
                      <a:outerShdw blurRad="190500" dist="38100" dir="5400000" algn="t" rotWithShape="0">
                        <a:prstClr val="black">
                          <a:alpha val="10000"/>
                        </a:prstClr>
                      </a:outerShdw>
                    </a:effectLst>
                  </pic:spPr>
                </pic:pic>
              </a:graphicData>
            </a:graphic>
            <wp14:sizeRelH relativeFrom="margin">
              <wp14:pctWidth>0</wp14:pctWidth>
            </wp14:sizeRelH>
            <wp14:sizeRelV relativeFrom="margin">
              <wp14:pctHeight>0</wp14:pctHeight>
            </wp14:sizeRelV>
          </wp:anchor>
        </w:drawing>
      </w:r>
    </w:p>
    <w:p w14:paraId="47EBEF8E" w14:textId="54189CBD" w:rsidR="00E7138F" w:rsidRPr="00D02E6E" w:rsidRDefault="00E7138F" w:rsidP="00DA38EB">
      <w:pPr>
        <w:rPr>
          <w:rStyle w:val="IntenseEmphasis"/>
          <w:rFonts w:eastAsiaTheme="minorEastAsia"/>
          <w:b/>
          <w:i w:val="0"/>
          <w:iCs w:val="0"/>
          <w:color w:val="002060"/>
        </w:rPr>
      </w:pPr>
      <w:bookmarkStart w:id="27" w:name="_Toc75938408"/>
      <w:bookmarkStart w:id="28" w:name="_Toc76741968"/>
      <w:bookmarkStart w:id="29" w:name="_Toc76742141"/>
      <w:bookmarkStart w:id="30" w:name="_Toc76742310"/>
      <w:r w:rsidRPr="00DA38EB">
        <w:rPr>
          <w:rStyle w:val="IntenseEmphasis"/>
          <w:rFonts w:eastAsiaTheme="minorEastAsia"/>
          <w:b/>
          <w:i w:val="0"/>
          <w:iCs w:val="0"/>
          <w:color w:val="002060"/>
          <w:sz w:val="26"/>
          <w:szCs w:val="26"/>
        </w:rPr>
        <w:lastRenderedPageBreak/>
        <w:t>DNDC Operation for Merchant-initiated Transactions (recurring transactions)</w:t>
      </w:r>
      <w:bookmarkEnd w:id="27"/>
      <w:bookmarkEnd w:id="28"/>
      <w:bookmarkEnd w:id="29"/>
      <w:bookmarkEnd w:id="30"/>
    </w:p>
    <w:p w14:paraId="2718B5AB" w14:textId="1026C388" w:rsidR="00E7138F" w:rsidRPr="00D02E6E" w:rsidRDefault="00E7138F" w:rsidP="00E7138F">
      <w:pPr>
        <w:rPr>
          <w:rFonts w:cstheme="minorHAnsi"/>
          <w:b/>
          <w:bCs/>
          <w:color w:val="44546A" w:themeColor="text2"/>
        </w:rPr>
      </w:pPr>
    </w:p>
    <w:p w14:paraId="415208A8" w14:textId="25696A56" w:rsidR="00E7138F" w:rsidRPr="00D02E6E" w:rsidRDefault="00E7138F" w:rsidP="00E7138F">
      <w:pPr>
        <w:rPr>
          <w:rFonts w:cstheme="minorHAnsi"/>
          <w:b/>
          <w:bCs/>
          <w:u w:val="single"/>
        </w:rPr>
      </w:pPr>
      <w:r w:rsidRPr="00D02E6E">
        <w:rPr>
          <w:rFonts w:cstheme="minorHAnsi"/>
          <w:b/>
          <w:bCs/>
          <w:u w:val="single"/>
        </w:rPr>
        <w:t xml:space="preserve">Existing </w:t>
      </w:r>
      <w:r w:rsidR="00044731" w:rsidRPr="00D02E6E">
        <w:rPr>
          <w:rFonts w:cstheme="minorHAnsi"/>
          <w:b/>
          <w:bCs/>
          <w:u w:val="single"/>
        </w:rPr>
        <w:t>Card</w:t>
      </w:r>
      <w:r w:rsidR="00D80AB5" w:rsidRPr="00D02E6E">
        <w:rPr>
          <w:rFonts w:cstheme="minorHAnsi"/>
          <w:b/>
          <w:bCs/>
          <w:u w:val="single"/>
        </w:rPr>
        <w:t xml:space="preserve"> </w:t>
      </w:r>
      <w:proofErr w:type="gramStart"/>
      <w:r w:rsidR="00D80AB5" w:rsidRPr="00D02E6E">
        <w:rPr>
          <w:rFonts w:cstheme="minorHAnsi"/>
          <w:b/>
          <w:bCs/>
          <w:u w:val="single"/>
        </w:rPr>
        <w:t>On</w:t>
      </w:r>
      <w:proofErr w:type="gramEnd"/>
      <w:r w:rsidR="00D80AB5" w:rsidRPr="00D02E6E">
        <w:rPr>
          <w:rFonts w:cstheme="minorHAnsi"/>
          <w:b/>
          <w:bCs/>
          <w:u w:val="single"/>
        </w:rPr>
        <w:t xml:space="preserve"> File</w:t>
      </w:r>
      <w:r w:rsidRPr="00D02E6E">
        <w:rPr>
          <w:rFonts w:cstheme="minorHAnsi"/>
          <w:b/>
          <w:bCs/>
          <w:u w:val="single"/>
        </w:rPr>
        <w:t xml:space="preserve">, credential storage </w:t>
      </w:r>
    </w:p>
    <w:p w14:paraId="0322F3D2" w14:textId="4863CA80" w:rsidR="00E7138F" w:rsidRPr="00D02E6E" w:rsidRDefault="00E7138F" w:rsidP="00E7138F">
      <w:pPr>
        <w:rPr>
          <w:rFonts w:cstheme="minorHAnsi"/>
        </w:rPr>
      </w:pPr>
    </w:p>
    <w:p w14:paraId="182509C1" w14:textId="09B1445B" w:rsidR="00E7138F" w:rsidRPr="00E7138F" w:rsidRDefault="00E7138F" w:rsidP="00E7138F">
      <w:pPr>
        <w:spacing w:after="240"/>
        <w:jc w:val="both"/>
      </w:pPr>
      <w:r w:rsidRPr="00E7138F">
        <w:t xml:space="preserve">For </w:t>
      </w:r>
      <w:r w:rsidR="00D80AB5">
        <w:t xml:space="preserve">Card </w:t>
      </w:r>
      <w:proofErr w:type="gramStart"/>
      <w:r w:rsidR="00D80AB5">
        <w:t>On</w:t>
      </w:r>
      <w:proofErr w:type="gramEnd"/>
      <w:r w:rsidR="00D80AB5">
        <w:t xml:space="preserve"> File (</w:t>
      </w:r>
      <w:r w:rsidRPr="00E7138F">
        <w:t>COF</w:t>
      </w:r>
      <w:r w:rsidR="00D80AB5">
        <w:t>)</w:t>
      </w:r>
      <w:r w:rsidRPr="00E7138F">
        <w:t xml:space="preserve"> credentials already stored by merchants, merchants display the stored credential using the brandmark in the payment management section within the customer’s online account. For example, the Visa brandmark will be displayed in the case of a credential with a Primary Account Number starting with 4. In the case of existing COF credentials, a merchant can enable a customer to select </w:t>
      </w:r>
      <w:r w:rsidR="00286F5A">
        <w:t>eftpos</w:t>
      </w:r>
      <w:r w:rsidRPr="00E7138F">
        <w:t xml:space="preserve"> within the payment management section and fulfil the necessary </w:t>
      </w:r>
      <w:r w:rsidR="00286F5A">
        <w:t>eftpos</w:t>
      </w:r>
      <w:r w:rsidRPr="00E7138F">
        <w:t xml:space="preserve"> authentication and security requirements. </w:t>
      </w:r>
    </w:p>
    <w:p w14:paraId="5FF3E257" w14:textId="70980FED" w:rsidR="00E7138F" w:rsidRPr="00E7138F" w:rsidRDefault="005D609C" w:rsidP="00E7138F">
      <w:pPr>
        <w:spacing w:after="240"/>
        <w:jc w:val="both"/>
      </w:pPr>
      <w:r w:rsidRPr="00440639">
        <w:rPr>
          <w:rFonts w:ascii="Segoe UI" w:hAnsi="Segoe UI" w:cs="Segoe UI"/>
          <w:noProof/>
        </w:rPr>
        <w:drawing>
          <wp:anchor distT="0" distB="0" distL="114300" distR="114300" simplePos="0" relativeHeight="251658250" behindDoc="0" locked="0" layoutInCell="1" allowOverlap="1" wp14:anchorId="4F7F19B6" wp14:editId="7F478597">
            <wp:simplePos x="0" y="0"/>
            <wp:positionH relativeFrom="margin">
              <wp:posOffset>1431925</wp:posOffset>
            </wp:positionH>
            <wp:positionV relativeFrom="paragraph">
              <wp:posOffset>535305</wp:posOffset>
            </wp:positionV>
            <wp:extent cx="2041523" cy="4423723"/>
            <wp:effectExtent l="133350" t="95250" r="130810" b="167640"/>
            <wp:wrapTopAndBottom/>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pic:nvPicPr>
                  <pic:blipFill>
                    <a:blip r:embed="rId40">
                      <a:extLst>
                        <a:ext uri="{28A0092B-C50C-407E-A947-70E740481C1C}">
                          <a14:useLocalDpi xmlns:a14="http://schemas.microsoft.com/office/drawing/2010/main" val="0"/>
                        </a:ext>
                      </a:extLst>
                    </a:blip>
                    <a:stretch>
                      <a:fillRect/>
                    </a:stretch>
                  </pic:blipFill>
                  <pic:spPr>
                    <a:xfrm>
                      <a:off x="0" y="0"/>
                      <a:ext cx="2041523" cy="4423723"/>
                    </a:xfrm>
                    <a:prstGeom prst="rect">
                      <a:avLst/>
                    </a:prstGeom>
                    <a:effectLst>
                      <a:outerShdw blurRad="190500" dist="38100" dir="5400000" algn="t" rotWithShape="0">
                        <a:prstClr val="black">
                          <a:alpha val="10000"/>
                        </a:prstClr>
                      </a:outerShdw>
                    </a:effectLst>
                  </pic:spPr>
                </pic:pic>
              </a:graphicData>
            </a:graphic>
            <wp14:sizeRelH relativeFrom="page">
              <wp14:pctWidth>0</wp14:pctWidth>
            </wp14:sizeRelH>
            <wp14:sizeRelV relativeFrom="page">
              <wp14:pctHeight>0</wp14:pctHeight>
            </wp14:sizeRelV>
          </wp:anchor>
        </w:drawing>
      </w:r>
      <w:r w:rsidR="00E7138F" w:rsidRPr="00E7138F">
        <w:t xml:space="preserve">The example below illustrates how the customer can select and enable </w:t>
      </w:r>
      <w:r w:rsidR="00286F5A">
        <w:t>eftpos</w:t>
      </w:r>
      <w:r w:rsidR="00E7138F" w:rsidRPr="00E7138F">
        <w:t xml:space="preserve"> for payment.</w:t>
      </w:r>
    </w:p>
    <w:p w14:paraId="41CA0024" w14:textId="3799E8BB" w:rsidR="00441AC0" w:rsidRDefault="00441AC0" w:rsidP="00F4614B">
      <w:pPr>
        <w:rPr>
          <w:rFonts w:ascii="Segoe UI" w:hAnsi="Segoe UI" w:cs="Segoe UI"/>
        </w:rPr>
      </w:pPr>
    </w:p>
    <w:p w14:paraId="4AE01F35" w14:textId="299E43B9" w:rsidR="005D609C" w:rsidRDefault="005D609C" w:rsidP="00E7138F">
      <w:pPr>
        <w:jc w:val="center"/>
        <w:rPr>
          <w:rFonts w:ascii="Segoe UI" w:hAnsi="Segoe UI" w:cs="Segoe UI"/>
        </w:rPr>
      </w:pPr>
    </w:p>
    <w:p w14:paraId="3798DE5C" w14:textId="0A5E1700" w:rsidR="005D609C" w:rsidRDefault="005D609C" w:rsidP="00E7138F">
      <w:pPr>
        <w:jc w:val="center"/>
        <w:rPr>
          <w:rFonts w:ascii="Segoe UI" w:hAnsi="Segoe UI" w:cs="Segoe UI"/>
        </w:rPr>
      </w:pPr>
    </w:p>
    <w:p w14:paraId="562ED001" w14:textId="77777777" w:rsidR="002662B7" w:rsidRDefault="002662B7">
      <w:pPr>
        <w:rPr>
          <w:rStyle w:val="IntenseEmphasis"/>
          <w:rFonts w:eastAsiaTheme="minorEastAsia"/>
          <w:b/>
          <w:bCs/>
          <w:i w:val="0"/>
          <w:iCs w:val="0"/>
          <w:color w:val="2E74B5" w:themeColor="accent1" w:themeShade="BF"/>
          <w:sz w:val="26"/>
          <w:szCs w:val="26"/>
        </w:rPr>
      </w:pPr>
      <w:r>
        <w:rPr>
          <w:rStyle w:val="IntenseEmphasis"/>
          <w:rFonts w:eastAsiaTheme="minorEastAsia"/>
          <w:b/>
          <w:bCs/>
          <w:i w:val="0"/>
          <w:iCs w:val="0"/>
          <w:color w:val="2E74B5" w:themeColor="accent1" w:themeShade="BF"/>
          <w:sz w:val="26"/>
          <w:szCs w:val="26"/>
        </w:rPr>
        <w:br w:type="page"/>
      </w:r>
    </w:p>
    <w:p w14:paraId="6C199E9F" w14:textId="093F2303" w:rsidR="00F4614B" w:rsidRPr="006436F1" w:rsidRDefault="00F4614B" w:rsidP="00F4614B">
      <w:pPr>
        <w:rPr>
          <w:rStyle w:val="IntenseEmphasis"/>
          <w:rFonts w:eastAsiaTheme="minorEastAsia"/>
          <w:b/>
          <w:bCs/>
          <w:i w:val="0"/>
          <w:iCs w:val="0"/>
          <w:color w:val="002060"/>
          <w:sz w:val="26"/>
          <w:szCs w:val="26"/>
        </w:rPr>
      </w:pPr>
      <w:r w:rsidRPr="006436F1">
        <w:rPr>
          <w:rStyle w:val="IntenseEmphasis"/>
          <w:rFonts w:eastAsiaTheme="minorEastAsia"/>
          <w:b/>
          <w:bCs/>
          <w:i w:val="0"/>
          <w:iCs w:val="0"/>
          <w:color w:val="002060"/>
          <w:sz w:val="26"/>
          <w:szCs w:val="26"/>
        </w:rPr>
        <w:lastRenderedPageBreak/>
        <w:t>New COF, credential storage</w:t>
      </w:r>
    </w:p>
    <w:p w14:paraId="2DE73180" w14:textId="40C10F6B" w:rsidR="00F4614B" w:rsidRPr="00440639" w:rsidRDefault="00F4614B" w:rsidP="00F4614B">
      <w:pPr>
        <w:rPr>
          <w:rFonts w:ascii="Segoe UI" w:hAnsi="Segoe UI" w:cs="Segoe UI"/>
        </w:rPr>
      </w:pPr>
    </w:p>
    <w:p w14:paraId="1962B92B" w14:textId="385144A6" w:rsidR="00F4614B" w:rsidRPr="004041FF" w:rsidRDefault="00F4614B" w:rsidP="00F4614B">
      <w:pPr>
        <w:spacing w:after="240"/>
        <w:jc w:val="both"/>
      </w:pPr>
      <w:r w:rsidRPr="004041FF">
        <w:t xml:space="preserve">The steps taken by merchants and customers in the initial storage of a credential for a standing instruction with the merchant is just like the ‘guest checkout’ experience. </w:t>
      </w:r>
    </w:p>
    <w:p w14:paraId="7B666CE7" w14:textId="596CD099" w:rsidR="00F4614B" w:rsidRPr="004041FF" w:rsidDel="00A512A9" w:rsidRDefault="00F4614B" w:rsidP="00F4614B">
      <w:pPr>
        <w:spacing w:after="240"/>
        <w:jc w:val="both"/>
      </w:pPr>
      <w:r w:rsidRPr="004041FF">
        <w:t>The selection of a payment method using a credential from a DNDC can be introduced at the first step of the payments journey where merchants provide payment methods</w:t>
      </w:r>
      <w:r w:rsidR="00D80AB5">
        <w:t xml:space="preserve"> from which</w:t>
      </w:r>
      <w:r w:rsidRPr="004041FF">
        <w:t xml:space="preserve"> customers select. Merchants typically prompt customers to save the credential on file for later use as part of the purchase journey through the creation of an account.</w:t>
      </w:r>
    </w:p>
    <w:p w14:paraId="236CC24C" w14:textId="77777777" w:rsidR="00F4614B" w:rsidRPr="004041FF" w:rsidRDefault="00F4614B" w:rsidP="00F4614B">
      <w:pPr>
        <w:spacing w:after="240"/>
        <w:jc w:val="both"/>
      </w:pPr>
      <w:r w:rsidRPr="004041FF">
        <w:t>Visa’s view is that the customer/cardholder choice of payment method should be preserved for the entire card lifecycle or until the customer/cardholder expressly requests to change the payment method. This ensures no transaction processing data integrity issues arise and enables a better customer experience, which benefits merchants.</w:t>
      </w:r>
    </w:p>
    <w:p w14:paraId="1E669223" w14:textId="77777777" w:rsidR="00F4614B" w:rsidRPr="004041FF" w:rsidRDefault="00F4614B" w:rsidP="00F4614B">
      <w:pPr>
        <w:spacing w:after="240"/>
        <w:jc w:val="both"/>
      </w:pPr>
      <w:r w:rsidRPr="004041FF">
        <w:t xml:space="preserve">In our assessment, it would be acceptable for merchants to seek to store both DNDC payment methods on initial storage, enabling customers to have both methods available for use.       </w:t>
      </w:r>
    </w:p>
    <w:p w14:paraId="4BBCB020" w14:textId="263BB60D" w:rsidR="003B75BE" w:rsidRPr="003B75BE" w:rsidRDefault="00F4614B" w:rsidP="000B3300">
      <w:pPr>
        <w:spacing w:after="240"/>
        <w:jc w:val="both"/>
      </w:pPr>
      <w:r w:rsidRPr="004041FF">
        <w:rPr>
          <w:noProof/>
        </w:rPr>
        <mc:AlternateContent>
          <mc:Choice Requires="wpg">
            <w:drawing>
              <wp:anchor distT="0" distB="0" distL="114300" distR="114300" simplePos="0" relativeHeight="251658251" behindDoc="0" locked="0" layoutInCell="1" allowOverlap="1" wp14:anchorId="5AD5A3DE" wp14:editId="50FC62D3">
                <wp:simplePos x="0" y="0"/>
                <wp:positionH relativeFrom="margin">
                  <wp:align>center</wp:align>
                </wp:positionH>
                <wp:positionV relativeFrom="paragraph">
                  <wp:posOffset>1367456</wp:posOffset>
                </wp:positionV>
                <wp:extent cx="5433561" cy="3745230"/>
                <wp:effectExtent l="127000" t="88900" r="129540" b="166370"/>
                <wp:wrapTopAndBottom/>
                <wp:docPr id="29" name="Group 29"/>
                <wp:cNvGraphicFramePr/>
                <a:graphic xmlns:a="http://schemas.openxmlformats.org/drawingml/2006/main">
                  <a:graphicData uri="http://schemas.microsoft.com/office/word/2010/wordprocessingGroup">
                    <wpg:wgp>
                      <wpg:cNvGrpSpPr/>
                      <wpg:grpSpPr>
                        <a:xfrm>
                          <a:off x="0" y="0"/>
                          <a:ext cx="5433561" cy="3745230"/>
                          <a:chOff x="0" y="0"/>
                          <a:chExt cx="5433561" cy="3745230"/>
                        </a:xfrm>
                      </wpg:grpSpPr>
                      <pic:pic xmlns:pic="http://schemas.openxmlformats.org/drawingml/2006/picture">
                        <pic:nvPicPr>
                          <pic:cNvPr id="8" name="Picture 8"/>
                          <pic:cNvPicPr>
                            <a:picLocks noChangeAspect="1"/>
                          </pic:cNvPicPr>
                        </pic:nvPicPr>
                        <pic:blipFill>
                          <a:blip r:embed="rId41">
                            <a:extLst>
                              <a:ext uri="{28A0092B-C50C-407E-A947-70E740481C1C}">
                                <a14:useLocalDpi xmlns:a14="http://schemas.microsoft.com/office/drawing/2010/main" val="0"/>
                              </a:ext>
                            </a:extLst>
                          </a:blip>
                          <a:stretch>
                            <a:fillRect/>
                          </a:stretch>
                        </pic:blipFill>
                        <pic:spPr>
                          <a:xfrm>
                            <a:off x="0" y="0"/>
                            <a:ext cx="1727835" cy="3745230"/>
                          </a:xfrm>
                          <a:prstGeom prst="rect">
                            <a:avLst/>
                          </a:prstGeom>
                          <a:effectLst>
                            <a:outerShdw blurRad="190500" dist="38100" dir="5400000" algn="t" rotWithShape="0">
                              <a:prstClr val="black">
                                <a:alpha val="10000"/>
                              </a:prstClr>
                            </a:outerShdw>
                          </a:effectLst>
                        </pic:spPr>
                      </pic:pic>
                      <pic:pic xmlns:pic="http://schemas.openxmlformats.org/drawingml/2006/picture">
                        <pic:nvPicPr>
                          <pic:cNvPr id="16" name="Picture 16"/>
                          <pic:cNvPicPr>
                            <a:picLocks noChangeAspect="1"/>
                          </pic:cNvPicPr>
                        </pic:nvPicPr>
                        <pic:blipFill>
                          <a:blip r:embed="rId42">
                            <a:extLst>
                              <a:ext uri="{28A0092B-C50C-407E-A947-70E740481C1C}">
                                <a14:useLocalDpi xmlns:a14="http://schemas.microsoft.com/office/drawing/2010/main" val="0"/>
                              </a:ext>
                            </a:extLst>
                          </a:blip>
                          <a:stretch>
                            <a:fillRect/>
                          </a:stretch>
                        </pic:blipFill>
                        <pic:spPr>
                          <a:xfrm>
                            <a:off x="1844842" y="0"/>
                            <a:ext cx="1727835" cy="3745230"/>
                          </a:xfrm>
                          <a:prstGeom prst="rect">
                            <a:avLst/>
                          </a:prstGeom>
                          <a:effectLst>
                            <a:outerShdw blurRad="190500" dist="38100" dir="5400000" algn="t" rotWithShape="0">
                              <a:prstClr val="black">
                                <a:alpha val="10000"/>
                              </a:prstClr>
                            </a:outerShdw>
                          </a:effectLst>
                        </pic:spPr>
                      </pic:pic>
                      <pic:pic xmlns:pic="http://schemas.openxmlformats.org/drawingml/2006/picture">
                        <pic:nvPicPr>
                          <pic:cNvPr id="17" name="Picture 17"/>
                          <pic:cNvPicPr>
                            <a:picLocks noChangeAspect="1"/>
                          </pic:cNvPicPr>
                        </pic:nvPicPr>
                        <pic:blipFill>
                          <a:blip r:embed="rId43">
                            <a:extLst>
                              <a:ext uri="{28A0092B-C50C-407E-A947-70E740481C1C}">
                                <a14:useLocalDpi xmlns:a14="http://schemas.microsoft.com/office/drawing/2010/main" val="0"/>
                              </a:ext>
                            </a:extLst>
                          </a:blip>
                          <a:stretch>
                            <a:fillRect/>
                          </a:stretch>
                        </pic:blipFill>
                        <pic:spPr>
                          <a:xfrm>
                            <a:off x="3705726" y="0"/>
                            <a:ext cx="1727835" cy="3745230"/>
                          </a:xfrm>
                          <a:prstGeom prst="rect">
                            <a:avLst/>
                          </a:prstGeom>
                          <a:effectLst>
                            <a:outerShdw blurRad="190500" dist="38100" dir="5400000" algn="t" rotWithShape="0">
                              <a:prstClr val="black">
                                <a:alpha val="10000"/>
                              </a:prstClr>
                            </a:outerShdw>
                          </a:effectLst>
                        </pic:spPr>
                      </pic:pic>
                    </wpg:wgp>
                  </a:graphicData>
                </a:graphic>
              </wp:anchor>
            </w:drawing>
          </mc:Choice>
          <mc:Fallback>
            <w:pict>
              <v:group w14:anchorId="48A24690" id="Group 29" o:spid="_x0000_s1026" style="position:absolute;margin-left:0;margin-top:107.65pt;width:427.85pt;height:294.9pt;z-index:251658251;mso-position-horizontal:center;mso-position-horizontal-relative:margin" coordsize="54335,3745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">
                <v:shape id="Picture 8" o:spid="_x0000_s1027" type="#_x0000_t75" style="position:absolute;width:17278;height:3745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">
                  <v:imagedata r:id="rId44" o:title=""/>
                  <v:shadow on="t" color="black" opacity="6553f" origin=",-.5" offset="0,3pt"/>
                </v:shape>
                <v:shape id="Picture 16" o:spid="_x0000_s1028" type="#_x0000_t75" style="position:absolute;left:18448;width:17278;height:3745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">
                  <v:imagedata r:id="rId45" o:title=""/>
                  <v:shadow on="t" color="black" opacity="6553f" origin=",-.5" offset="0,3pt"/>
                </v:shape>
                <v:shape id="Picture 17" o:spid="_x0000_s1029" type="#_x0000_t75" style="position:absolute;left:37057;width:17278;height:3745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">
                  <v:imagedata r:id="rId46" o:title=""/>
                  <v:shadow on="t" color="black" opacity="6553f" origin=",-.5" offset="0,3pt"/>
                </v:shape>
                <w10:wrap type="topAndBottom" anchorx="margin"/>
              </v:group>
            </w:pict>
          </mc:Fallback>
        </mc:AlternateContent>
      </w:r>
      <w:r w:rsidRPr="004041FF">
        <w:t>In the example below, the</w:t>
      </w:r>
      <w:r w:rsidRPr="004041FF" w:rsidDel="007227C1">
        <w:t xml:space="preserve"> </w:t>
      </w:r>
      <w:r w:rsidRPr="004041FF">
        <w:t>customer journey of adding a new payment method is shown. The customer would first select ‘Add payment method’ and then be presented with the list of payment methods available to them. The customer is then required to enter the respective payment credential, authentication, and security features (not pictured below). The final image shows the newly added payment method. In this example, the customer has elected to change their preferred method to be via bank account.</w:t>
      </w:r>
      <w:r w:rsidRPr="000D59EF">
        <w:rPr>
          <w:rFonts w:ascii="Segoe UI Light" w:hAnsi="Segoe UI Light" w:cs="Segoe UI Light"/>
          <w:color w:val="44546A" w:themeColor="text2"/>
        </w:rPr>
        <w:t xml:space="preserve"> </w:t>
      </w:r>
    </w:p>
    <w:sectPr w:rsidR="003B75BE" w:rsidRPr="003B75BE" w:rsidSect="00310E4C">
      <w:headerReference w:type="default" r:id="rId47"/>
      <w:pgSz w:w="12240" w:h="15840"/>
      <w:pgMar w:top="1440" w:right="1608"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281D481" w14:textId="77777777" w:rsidR="00C66E27" w:rsidRDefault="00C66E27" w:rsidP="007E0901">
      <w:r>
        <w:separator/>
      </w:r>
    </w:p>
  </w:endnote>
  <w:endnote w:type="continuationSeparator" w:id="0">
    <w:p w14:paraId="43E77CB6" w14:textId="77777777" w:rsidR="00C66E27" w:rsidRDefault="00C66E27" w:rsidP="007E0901">
      <w:r>
        <w:continuationSeparator/>
      </w:r>
    </w:p>
  </w:endnote>
  <w:endnote w:type="continuationNotice" w:id="1">
    <w:p w14:paraId="25CB48C9" w14:textId="77777777" w:rsidR="00C66E27" w:rsidRDefault="00C66E2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Yu Mincho">
    <w:charset w:val="80"/>
    <w:family w:val="roman"/>
    <w:pitch w:val="variable"/>
    <w:sig w:usb0="800002E7" w:usb1="2AC7FCFF" w:usb2="00000012" w:usb3="00000000" w:csb0="0002009F" w:csb1="00000000"/>
  </w:font>
  <w:font w:name="Helvetica">
    <w:panose1 w:val="020B0604020202020204"/>
    <w:charset w:val="00"/>
    <w:family w:val="swiss"/>
    <w:pitch w:val="variable"/>
    <w:sig w:usb0="E0002EFF" w:usb1="C000785B" w:usb2="00000009" w:usb3="00000000" w:csb0="000001FF" w:csb1="00000000"/>
  </w:font>
  <w:font w:name="Segoe UI Light">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BCA4E7C" w14:textId="77777777" w:rsidR="00C66E27" w:rsidRDefault="00C66E27">
    <w:pPr>
      <w:pStyle w:val="Footer"/>
    </w:pPr>
  </w:p>
  <w:p w14:paraId="7B31D6B7" w14:textId="77777777" w:rsidR="00C66E27" w:rsidRDefault="00C66E2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092239620"/>
      <w:docPartObj>
        <w:docPartGallery w:val="Page Numbers (Bottom of Page)"/>
        <w:docPartUnique/>
      </w:docPartObj>
    </w:sdtPr>
    <w:sdtEndPr>
      <w:rPr>
        <w:color w:val="7F7F7F" w:themeColor="background1" w:themeShade="7F"/>
        <w:spacing w:val="60"/>
      </w:rPr>
    </w:sdtEndPr>
    <w:sdtContent>
      <w:p w14:paraId="4804819E" w14:textId="7EE983D3" w:rsidR="00C66E27" w:rsidRDefault="00C66E27">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1C02FC4B" w14:textId="77777777" w:rsidR="00C66E27" w:rsidRDefault="00C66E2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D8EAE6D" w14:textId="77777777" w:rsidR="00C66E27" w:rsidRDefault="00C66E27">
    <w:pPr>
      <w:pStyle w:val="Footer"/>
    </w:pPr>
  </w:p>
  <w:p w14:paraId="35C650C2" w14:textId="77777777" w:rsidR="00C66E27" w:rsidRDefault="00C66E27">
    <w:pPr>
      <w:pStyle w:val="FooterLine"/>
    </w:pPr>
  </w:p>
  <w:p w14:paraId="1414EF0E" w14:textId="742E5796" w:rsidR="00C66E27" w:rsidRDefault="00C66E27">
    <w:pPr>
      <w:pStyle w:val="Footer"/>
      <w:tabs>
        <w:tab w:val="right" w:pos="8787"/>
      </w:tabs>
    </w:pPr>
    <w:r>
      <w:fldChar w:fldCharType="begin"/>
    </w:r>
    <w:r>
      <w:instrText xml:space="preserve"> DOCPROPERTY "DocID"  \* CHARFORMAT </w:instrText>
    </w:r>
    <w:r>
      <w:fldChar w:fldCharType="separate"/>
    </w:r>
    <w:r w:rsidR="00080163">
      <w:rPr>
        <w:b/>
        <w:bCs/>
        <w:lang w:val="en-US"/>
      </w:rPr>
      <w:t>Error! Unknown document property name.</w:t>
    </w:r>
    <w:r>
      <w:fldChar w:fldCharType="end"/>
    </w:r>
    <w:r>
      <w:tab/>
    </w:r>
    <w:r>
      <w:fldChar w:fldCharType="begin"/>
    </w:r>
    <w:r>
      <w:instrText xml:space="preserve"> page </w:instrText>
    </w:r>
    <w:r>
      <w:fldChar w:fldCharType="separate"/>
    </w:r>
    <w:r>
      <w:rPr>
        <w:noProof/>
      </w:rPr>
      <w:t>2</w:t>
    </w:r>
    <w: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82389382"/>
      <w:docPartObj>
        <w:docPartGallery w:val="Page Numbers (Bottom of Page)"/>
        <w:docPartUnique/>
      </w:docPartObj>
    </w:sdtPr>
    <w:sdtEndPr>
      <w:rPr>
        <w:color w:val="7F7F7F" w:themeColor="background1" w:themeShade="7F"/>
        <w:spacing w:val="60"/>
      </w:rPr>
    </w:sdtEndPr>
    <w:sdtContent>
      <w:p w14:paraId="595C5B55" w14:textId="0121CAB6" w:rsidR="00C66E27" w:rsidRDefault="00C66E27">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1AB4FD4C" w14:textId="77777777" w:rsidR="00C66E27" w:rsidRDefault="00C66E27" w:rsidP="00F65609">
    <w:pPr>
      <w:pStyle w:val="Footer"/>
      <w:tabs>
        <w:tab w:val="right" w:pos="9214"/>
      </w:tabs>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2E13DD9" w14:textId="77777777" w:rsidR="00C66E27" w:rsidRDefault="00C66E27" w:rsidP="00F65609">
    <w:pPr>
      <w:tabs>
        <w:tab w:val="left" w:pos="2268"/>
        <w:tab w:val="left" w:pos="3500"/>
        <w:tab w:val="left" w:pos="7400"/>
      </w:tabs>
      <w:rPr>
        <w:rFonts w:ascii="Helvetica" w:hAnsi="Helvetica"/>
        <w:color w:val="0023A0"/>
        <w:sz w:val="16"/>
      </w:rPr>
    </w:pPr>
    <w:r>
      <w:rPr>
        <w:rFonts w:ascii="Helvetica" w:hAnsi="Helvetica"/>
        <w:color w:val="0023A0"/>
        <w:sz w:val="16"/>
      </w:rPr>
      <w:t>Visa AP (Australia) Pty Ltd</w:t>
    </w:r>
    <w:r>
      <w:rPr>
        <w:rFonts w:ascii="Helvetica" w:hAnsi="Helvetica"/>
        <w:color w:val="0023A0"/>
        <w:sz w:val="16"/>
      </w:rPr>
      <w:tab/>
    </w:r>
    <w:r>
      <w:rPr>
        <w:rFonts w:ascii="Helvetica" w:hAnsi="Helvetica"/>
        <w:color w:val="0023A0"/>
        <w:sz w:val="16"/>
      </w:rPr>
      <w:tab/>
      <w:t>Level 39, Tower Two</w:t>
    </w:r>
    <w:r>
      <w:rPr>
        <w:rFonts w:ascii="Helvetica" w:hAnsi="Helvetica"/>
        <w:color w:val="0023A0"/>
        <w:sz w:val="16"/>
      </w:rPr>
      <w:tab/>
    </w:r>
    <w:hyperlink r:id="rId1" w:history="1">
      <w:r w:rsidRPr="00183448">
        <w:rPr>
          <w:rStyle w:val="Hyperlink"/>
          <w:rFonts w:ascii="Helvetica" w:hAnsi="Helvetica"/>
          <w:sz w:val="16"/>
        </w:rPr>
        <w:t>www.visa.com.au</w:t>
      </w:r>
    </w:hyperlink>
  </w:p>
  <w:p w14:paraId="760E9D3F" w14:textId="77777777" w:rsidR="00C66E27" w:rsidRDefault="00C66E27" w:rsidP="00F65609">
    <w:pPr>
      <w:tabs>
        <w:tab w:val="left" w:pos="2268"/>
        <w:tab w:val="left" w:pos="3500"/>
        <w:tab w:val="left" w:pos="7400"/>
        <w:tab w:val="right" w:pos="8647"/>
      </w:tabs>
      <w:rPr>
        <w:rFonts w:ascii="Helvetica" w:hAnsi="Helvetica"/>
        <w:color w:val="0023A0"/>
        <w:sz w:val="16"/>
      </w:rPr>
    </w:pPr>
    <w:r>
      <w:rPr>
        <w:rFonts w:ascii="Helvetica" w:hAnsi="Helvetica"/>
        <w:color w:val="0023A0"/>
        <w:sz w:val="16"/>
      </w:rPr>
      <w:t>ABN 20 134 885 564</w:t>
    </w:r>
    <w:r>
      <w:rPr>
        <w:rFonts w:ascii="Helvetica" w:hAnsi="Helvetica"/>
        <w:color w:val="0023A0"/>
        <w:sz w:val="16"/>
      </w:rPr>
      <w:tab/>
    </w:r>
    <w:r>
      <w:rPr>
        <w:rFonts w:ascii="Helvetica" w:hAnsi="Helvetica"/>
        <w:color w:val="0023A0"/>
        <w:sz w:val="16"/>
      </w:rPr>
      <w:tab/>
      <w:t>International Towers Sydney</w:t>
    </w:r>
    <w:r>
      <w:rPr>
        <w:rFonts w:ascii="Helvetica" w:hAnsi="Helvetica"/>
        <w:color w:val="0023A0"/>
        <w:sz w:val="16"/>
      </w:rPr>
      <w:tab/>
      <w:t>t +61 2 9253 8800</w:t>
    </w:r>
  </w:p>
  <w:p w14:paraId="29B37DE9" w14:textId="77777777" w:rsidR="00C66E27" w:rsidRDefault="00C66E27" w:rsidP="00F65609">
    <w:pPr>
      <w:tabs>
        <w:tab w:val="left" w:pos="2268"/>
        <w:tab w:val="left" w:pos="3500"/>
        <w:tab w:val="left" w:pos="7400"/>
        <w:tab w:val="right" w:pos="8647"/>
      </w:tabs>
      <w:rPr>
        <w:rFonts w:ascii="Helvetica" w:hAnsi="Helvetica"/>
        <w:color w:val="0023A0"/>
        <w:sz w:val="16"/>
      </w:rPr>
    </w:pPr>
    <w:r>
      <w:rPr>
        <w:rFonts w:ascii="Helvetica" w:hAnsi="Helvetica"/>
        <w:color w:val="0023A0"/>
        <w:sz w:val="16"/>
      </w:rPr>
      <w:tab/>
    </w:r>
    <w:r>
      <w:rPr>
        <w:rFonts w:ascii="Helvetica" w:hAnsi="Helvetica"/>
        <w:color w:val="0023A0"/>
        <w:sz w:val="16"/>
      </w:rPr>
      <w:tab/>
      <w:t>200 Barangaroo Avenue</w:t>
    </w:r>
    <w:r>
      <w:rPr>
        <w:rFonts w:ascii="Helvetica" w:hAnsi="Helvetica"/>
        <w:color w:val="0023A0"/>
        <w:sz w:val="16"/>
      </w:rPr>
      <w:tab/>
      <w:t>f +61 2 9253 8801</w:t>
    </w:r>
  </w:p>
  <w:p w14:paraId="65F22F94" w14:textId="77777777" w:rsidR="00C66E27" w:rsidRDefault="00C66E27" w:rsidP="00F65609">
    <w:pPr>
      <w:tabs>
        <w:tab w:val="left" w:pos="2268"/>
        <w:tab w:val="left" w:pos="3500"/>
        <w:tab w:val="left" w:pos="7400"/>
        <w:tab w:val="right" w:pos="8647"/>
      </w:tabs>
      <w:rPr>
        <w:rFonts w:ascii="Helvetica" w:hAnsi="Helvetica"/>
        <w:color w:val="0023A0"/>
        <w:sz w:val="16"/>
      </w:rPr>
    </w:pPr>
    <w:r>
      <w:rPr>
        <w:rFonts w:ascii="Helvetica" w:hAnsi="Helvetica"/>
        <w:color w:val="0023A0"/>
        <w:sz w:val="16"/>
      </w:rPr>
      <w:tab/>
    </w:r>
    <w:r>
      <w:rPr>
        <w:rFonts w:ascii="Helvetica" w:hAnsi="Helvetica"/>
        <w:color w:val="0023A0"/>
        <w:sz w:val="16"/>
      </w:rPr>
      <w:tab/>
    </w:r>
    <w:proofErr w:type="gramStart"/>
    <w:r>
      <w:rPr>
        <w:rFonts w:ascii="Helvetica" w:hAnsi="Helvetica"/>
        <w:color w:val="0023A0"/>
        <w:sz w:val="16"/>
      </w:rPr>
      <w:t>Barangaroo  NSW</w:t>
    </w:r>
    <w:proofErr w:type="gramEnd"/>
    <w:r>
      <w:rPr>
        <w:rFonts w:ascii="Helvetica" w:hAnsi="Helvetica"/>
        <w:color w:val="0023A0"/>
        <w:sz w:val="16"/>
      </w:rPr>
      <w:t xml:space="preserve">  2000</w:t>
    </w:r>
  </w:p>
  <w:p w14:paraId="17183C1A" w14:textId="77777777" w:rsidR="00C66E27" w:rsidRDefault="00C66E27" w:rsidP="00F65609">
    <w:pPr>
      <w:tabs>
        <w:tab w:val="left" w:pos="2268"/>
        <w:tab w:val="left" w:pos="3500"/>
        <w:tab w:val="left" w:pos="7400"/>
        <w:tab w:val="right" w:pos="8647"/>
      </w:tabs>
      <w:rPr>
        <w:rFonts w:ascii="Helvetica" w:hAnsi="Helvetica"/>
        <w:color w:val="0023A0"/>
        <w:sz w:val="16"/>
      </w:rPr>
    </w:pPr>
    <w:r>
      <w:rPr>
        <w:rFonts w:ascii="Helvetica" w:hAnsi="Helvetica"/>
        <w:color w:val="0023A0"/>
        <w:sz w:val="16"/>
      </w:rPr>
      <w:tab/>
    </w:r>
    <w:r>
      <w:rPr>
        <w:rFonts w:ascii="Helvetica" w:hAnsi="Helvetica"/>
        <w:color w:val="0023A0"/>
        <w:sz w:val="16"/>
      </w:rPr>
      <w:tab/>
      <w:t>Australia</w:t>
    </w:r>
  </w:p>
  <w:p w14:paraId="17C6642D" w14:textId="77777777" w:rsidR="00C66E27" w:rsidRDefault="00C66E27">
    <w:pPr>
      <w:pStyle w:val="Footer"/>
    </w:pPr>
  </w:p>
  <w:p w14:paraId="30FDC4B3" w14:textId="77777777" w:rsidR="00C66E27" w:rsidRDefault="00C66E2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1D9E6E2" w14:textId="77777777" w:rsidR="00C66E27" w:rsidRDefault="00C66E27" w:rsidP="007E0901">
      <w:r>
        <w:separator/>
      </w:r>
    </w:p>
  </w:footnote>
  <w:footnote w:type="continuationSeparator" w:id="0">
    <w:p w14:paraId="3C3BE66A" w14:textId="77777777" w:rsidR="00C66E27" w:rsidRDefault="00C66E27" w:rsidP="007E0901">
      <w:r>
        <w:continuationSeparator/>
      </w:r>
    </w:p>
  </w:footnote>
  <w:footnote w:type="continuationNotice" w:id="1">
    <w:p w14:paraId="561FCBD0" w14:textId="77777777" w:rsidR="00C66E27" w:rsidRDefault="00C66E27"/>
  </w:footnote>
  <w:footnote w:id="2">
    <w:p w14:paraId="70929CE3" w14:textId="7E44C0E6" w:rsidR="00C66E27" w:rsidRPr="00211454" w:rsidRDefault="00C66E27">
      <w:pPr>
        <w:pStyle w:val="FootnoteText"/>
        <w:rPr>
          <w:lang w:val="en-US"/>
        </w:rPr>
      </w:pPr>
      <w:r>
        <w:rPr>
          <w:rStyle w:val="FootnoteReference"/>
        </w:rPr>
        <w:footnoteRef/>
      </w:r>
      <w:r>
        <w:t xml:space="preserve"> </w:t>
      </w:r>
      <w:r w:rsidRPr="00211454">
        <w:rPr>
          <w:sz w:val="18"/>
          <w:szCs w:val="18"/>
        </w:rPr>
        <w:t xml:space="preserve">For further details on the benefits of </w:t>
      </w:r>
      <w:r>
        <w:rPr>
          <w:sz w:val="18"/>
          <w:szCs w:val="18"/>
        </w:rPr>
        <w:t>digital</w:t>
      </w:r>
      <w:r w:rsidRPr="00211454">
        <w:rPr>
          <w:sz w:val="18"/>
          <w:szCs w:val="18"/>
        </w:rPr>
        <w:t xml:space="preserve"> payments to economies, see the Visa-commissioned report (2017), Cashless Cities: Realising the benefits of digital payments, </w:t>
      </w:r>
      <w:hyperlink r:id="rId1" w:history="1">
        <w:r w:rsidRPr="00211454">
          <w:rPr>
            <w:rStyle w:val="Hyperlink"/>
            <w:sz w:val="18"/>
            <w:szCs w:val="18"/>
          </w:rPr>
          <w:t>https://usa.visa.com/dam/VCOM/global/visaeverywhere/documents/visa-cashless-cities-report.pdf</w:t>
        </w:r>
      </w:hyperlink>
      <w:r>
        <w:rPr>
          <w:sz w:val="18"/>
          <w:szCs w:val="18"/>
        </w:rPr>
        <w:t xml:space="preserve"> </w:t>
      </w:r>
      <w:r w:rsidRPr="00211454">
        <w:rPr>
          <w:sz w:val="18"/>
          <w:szCs w:val="18"/>
        </w:rPr>
        <w:t xml:space="preserve">and Moody’s Analytics (2016), The Impact of Electronic Payments on Economic Growth, </w:t>
      </w:r>
      <w:hyperlink r:id="rId2" w:history="1">
        <w:r w:rsidRPr="00211454">
          <w:rPr>
            <w:rStyle w:val="Hyperlink"/>
            <w:sz w:val="18"/>
            <w:szCs w:val="18"/>
          </w:rPr>
          <w:t>https://usa.visa.com/dam/VCOM/download/visa-everywhere/global-impact/impactof-electronic-payments-on-economic-growth.pdf</w:t>
        </w:r>
      </w:hyperlink>
      <w:r>
        <w:rPr>
          <w:sz w:val="18"/>
          <w:szCs w:val="18"/>
        </w:rPr>
        <w:t xml:space="preserve"> </w:t>
      </w:r>
    </w:p>
  </w:footnote>
  <w:footnote w:id="3">
    <w:p w14:paraId="1D62120C" w14:textId="77777777" w:rsidR="00C66E27" w:rsidRPr="00D75D4A" w:rsidRDefault="00C66E27" w:rsidP="00DC64AB">
      <w:pPr>
        <w:pStyle w:val="FootnoteText"/>
        <w:rPr>
          <w:sz w:val="18"/>
          <w:szCs w:val="18"/>
        </w:rPr>
      </w:pPr>
      <w:r>
        <w:rPr>
          <w:rStyle w:val="FootnoteReference"/>
        </w:rPr>
        <w:footnoteRef/>
      </w:r>
      <w:r>
        <w:t xml:space="preserve"> </w:t>
      </w:r>
      <w:r w:rsidRPr="00D75D4A">
        <w:rPr>
          <w:sz w:val="18"/>
          <w:szCs w:val="18"/>
        </w:rPr>
        <w:t xml:space="preserve">Reserve Bank of Australia (2019), RBA Governor Philip Lowe speech, “A Payments System for the Digital Economy”, </w:t>
      </w:r>
      <w:hyperlink r:id="rId3" w:history="1">
        <w:r w:rsidRPr="00D75D4A">
          <w:rPr>
            <w:rStyle w:val="Hyperlink"/>
            <w:sz w:val="18"/>
            <w:szCs w:val="18"/>
          </w:rPr>
          <w:t>https://rba.gov.au/speeches/2019/sp-gov-2019-12-10.html</w:t>
        </w:r>
      </w:hyperlink>
      <w:r w:rsidRPr="00D75D4A">
        <w:rPr>
          <w:sz w:val="18"/>
          <w:szCs w:val="18"/>
        </w:rPr>
        <w:t xml:space="preserve"> </w:t>
      </w:r>
    </w:p>
  </w:footnote>
  <w:footnote w:id="4">
    <w:p w14:paraId="3B1D42BA" w14:textId="77777777" w:rsidR="00C66E27" w:rsidRPr="00D75D4A" w:rsidRDefault="00C66E27" w:rsidP="00331D60">
      <w:pPr>
        <w:pStyle w:val="FootnoteText"/>
        <w:rPr>
          <w:sz w:val="18"/>
          <w:szCs w:val="18"/>
        </w:rPr>
      </w:pPr>
      <w:r w:rsidRPr="00D75D4A">
        <w:rPr>
          <w:rStyle w:val="FootnoteReference"/>
          <w:sz w:val="18"/>
          <w:szCs w:val="18"/>
        </w:rPr>
        <w:footnoteRef/>
      </w:r>
      <w:r w:rsidRPr="00D75D4A">
        <w:rPr>
          <w:sz w:val="18"/>
          <w:szCs w:val="18"/>
        </w:rPr>
        <w:t xml:space="preserve"> Reserve Bank of Australia website, </w:t>
      </w:r>
      <w:hyperlink r:id="rId4" w:history="1">
        <w:r w:rsidRPr="00D75D4A">
          <w:rPr>
            <w:rStyle w:val="Hyperlink"/>
            <w:sz w:val="18"/>
            <w:szCs w:val="18"/>
          </w:rPr>
          <w:t>https://rba.gov.au/about-rba/</w:t>
        </w:r>
      </w:hyperlink>
      <w:r w:rsidRPr="00D75D4A">
        <w:rPr>
          <w:sz w:val="18"/>
          <w:szCs w:val="18"/>
        </w:rPr>
        <w:t xml:space="preserve"> </w:t>
      </w:r>
    </w:p>
  </w:footnote>
  <w:footnote w:id="5">
    <w:p w14:paraId="6C95BF8C" w14:textId="0A008971" w:rsidR="00C66E27" w:rsidRPr="00D75D4A" w:rsidRDefault="00C66E27" w:rsidP="00331D60">
      <w:pPr>
        <w:pStyle w:val="FootnoteText"/>
        <w:rPr>
          <w:sz w:val="18"/>
          <w:szCs w:val="18"/>
        </w:rPr>
      </w:pPr>
      <w:r w:rsidRPr="00D75D4A">
        <w:rPr>
          <w:rStyle w:val="FootnoteReference"/>
          <w:sz w:val="18"/>
          <w:szCs w:val="18"/>
        </w:rPr>
        <w:footnoteRef/>
      </w:r>
      <w:r w:rsidRPr="00D75D4A">
        <w:rPr>
          <w:sz w:val="18"/>
          <w:szCs w:val="18"/>
        </w:rPr>
        <w:t xml:space="preserve"> Reserve Bank of Australia (2019), </w:t>
      </w:r>
      <w:r>
        <w:rPr>
          <w:sz w:val="18"/>
          <w:szCs w:val="18"/>
        </w:rPr>
        <w:t>“</w:t>
      </w:r>
      <w:r w:rsidRPr="00472B4C">
        <w:rPr>
          <w:iCs/>
          <w:sz w:val="18"/>
          <w:szCs w:val="18"/>
        </w:rPr>
        <w:t xml:space="preserve">Payments System Board Annual Report 2019”, </w:t>
      </w:r>
      <w:hyperlink r:id="rId5" w:history="1">
        <w:r w:rsidRPr="00472B4C">
          <w:rPr>
            <w:rStyle w:val="Hyperlink"/>
            <w:sz w:val="18"/>
            <w:szCs w:val="18"/>
          </w:rPr>
          <w:t>https://www.rba.gov.au/publications/annual-reports/psb/2019/</w:t>
        </w:r>
      </w:hyperlink>
      <w:r w:rsidRPr="00472B4C">
        <w:rPr>
          <w:sz w:val="18"/>
          <w:szCs w:val="18"/>
        </w:rPr>
        <w:t>, p43</w:t>
      </w:r>
    </w:p>
  </w:footnote>
  <w:footnote w:id="6">
    <w:p w14:paraId="55F00E40" w14:textId="6AD3BB97" w:rsidR="00C66E27" w:rsidRPr="00AA557C" w:rsidRDefault="00C66E27">
      <w:pPr>
        <w:pStyle w:val="FootnoteText"/>
        <w:rPr>
          <w:lang w:val="en-US"/>
        </w:rPr>
      </w:pPr>
      <w:r>
        <w:rPr>
          <w:rStyle w:val="FootnoteReference"/>
        </w:rPr>
        <w:footnoteRef/>
      </w:r>
      <w:r>
        <w:t xml:space="preserve"> </w:t>
      </w:r>
      <w:r w:rsidRPr="007A723E">
        <w:rPr>
          <w:sz w:val="18"/>
          <w:szCs w:val="18"/>
        </w:rPr>
        <w:t xml:space="preserve">CLEAR (2021) ‘Uncovering preference for routing debit transactions in Australia’ research commissioned by Visa in May 2021. Based on survey of 2,045 Australian debit cardholders </w:t>
      </w:r>
      <w:r>
        <w:rPr>
          <w:sz w:val="18"/>
          <w:szCs w:val="18"/>
        </w:rPr>
        <w:t xml:space="preserve">aged </w:t>
      </w:r>
      <w:r w:rsidRPr="007A723E">
        <w:rPr>
          <w:sz w:val="18"/>
          <w:szCs w:val="18"/>
        </w:rPr>
        <w:t>between 18-75 years</w:t>
      </w:r>
      <w:r>
        <w:rPr>
          <w:sz w:val="18"/>
          <w:szCs w:val="18"/>
        </w:rPr>
        <w:t xml:space="preserve"> undertaken in an independent capacity</w:t>
      </w:r>
      <w:r w:rsidRPr="007A723E">
        <w:rPr>
          <w:sz w:val="18"/>
          <w:szCs w:val="18"/>
        </w:rPr>
        <w:t>.</w:t>
      </w:r>
      <w:r>
        <w:t xml:space="preserve">  </w:t>
      </w:r>
    </w:p>
  </w:footnote>
  <w:footnote w:id="7">
    <w:p w14:paraId="45DB9CF1" w14:textId="6E420303" w:rsidR="00C66E27" w:rsidRPr="00D05642" w:rsidRDefault="00C66E27">
      <w:pPr>
        <w:rPr>
          <w:sz w:val="20"/>
          <w:szCs w:val="20"/>
        </w:rPr>
      </w:pPr>
      <w:r w:rsidRPr="7D57E45A">
        <w:rPr>
          <w:rStyle w:val="FootnoteReference"/>
        </w:rPr>
        <w:footnoteRef/>
      </w:r>
      <w:r>
        <w:t xml:space="preserve"> </w:t>
      </w:r>
      <w:r w:rsidRPr="00472B4C">
        <w:rPr>
          <w:sz w:val="18"/>
          <w:szCs w:val="18"/>
        </w:rPr>
        <w:t xml:space="preserve">Australian Competition &amp; Consumer Commission website, “Consumer data right – project overview”, </w:t>
      </w:r>
      <w:hyperlink r:id="rId6" w:history="1">
        <w:r w:rsidRPr="00472B4C">
          <w:rPr>
            <w:rStyle w:val="Hyperlink"/>
            <w:sz w:val="18"/>
            <w:szCs w:val="18"/>
          </w:rPr>
          <w:t>https://www.accc.gov.au/focus-areas/consumer-data-right-cdr-0</w:t>
        </w:r>
      </w:hyperlink>
      <w:r>
        <w:rPr>
          <w:sz w:val="20"/>
          <w:szCs w:val="20"/>
        </w:rPr>
        <w:t xml:space="preserve"> </w:t>
      </w:r>
    </w:p>
  </w:footnote>
  <w:footnote w:id="8">
    <w:p w14:paraId="7180367A" w14:textId="76715C66" w:rsidR="00C66E27" w:rsidRPr="00472B4C" w:rsidRDefault="00C66E27" w:rsidP="007A723E">
      <w:pPr>
        <w:pStyle w:val="FootnoteText"/>
        <w:rPr>
          <w:sz w:val="18"/>
          <w:szCs w:val="18"/>
          <w:lang w:val="en-US"/>
        </w:rPr>
      </w:pPr>
      <w:r w:rsidRPr="00D05642">
        <w:rPr>
          <w:rStyle w:val="FootnoteReference"/>
        </w:rPr>
        <w:footnoteRef/>
      </w:r>
      <w:r w:rsidRPr="00D05642">
        <w:t xml:space="preserve"> </w:t>
      </w:r>
      <w:r w:rsidRPr="00472B4C">
        <w:rPr>
          <w:sz w:val="18"/>
          <w:szCs w:val="18"/>
        </w:rPr>
        <w:t xml:space="preserve">Visa believes that MCR more accurately describes payments routing than Least Cost Routing (LCR) because it is not the case that contactless debit transactions which are routed to and processed by </w:t>
      </w:r>
      <w:r w:rsidRPr="005D4B84">
        <w:rPr>
          <w:sz w:val="18"/>
          <w:szCs w:val="18"/>
        </w:rPr>
        <w:t>international payment schemes are, as some have</w:t>
      </w:r>
      <w:r w:rsidRPr="00D05642">
        <w:t xml:space="preserve"> </w:t>
      </w:r>
      <w:r w:rsidRPr="00472B4C">
        <w:rPr>
          <w:sz w:val="18"/>
          <w:szCs w:val="18"/>
        </w:rPr>
        <w:t>suggested, always more expensive than transactions routed to the domestic payments scheme. Visa Submission to the RBA</w:t>
      </w:r>
      <w:r>
        <w:rPr>
          <w:sz w:val="18"/>
          <w:szCs w:val="18"/>
        </w:rPr>
        <w:t xml:space="preserve"> (2020)</w:t>
      </w:r>
      <w:r w:rsidRPr="00472B4C">
        <w:rPr>
          <w:sz w:val="18"/>
          <w:szCs w:val="18"/>
        </w:rPr>
        <w:t xml:space="preserve">:  </w:t>
      </w:r>
      <w:hyperlink r:id="rId7" w:history="1">
        <w:r w:rsidRPr="00472B4C">
          <w:rPr>
            <w:rStyle w:val="Hyperlink"/>
            <w:sz w:val="18"/>
            <w:szCs w:val="18"/>
          </w:rPr>
          <w:t>https://www.rba.gov.au/payments-and-infrastructure/submissions/review-of-retail-payments-regulation/visa.pdf</w:t>
        </w:r>
      </w:hyperlink>
      <w:r w:rsidRPr="00472B4C">
        <w:rPr>
          <w:sz w:val="18"/>
          <w:szCs w:val="18"/>
        </w:rPr>
        <w:t xml:space="preserve">  As a result, this submission references MCR rather than LCR unless directly quoting the RBA or others.</w:t>
      </w:r>
    </w:p>
  </w:footnote>
  <w:footnote w:id="9">
    <w:p w14:paraId="0E7D57EA" w14:textId="56AA026C" w:rsidR="00C66E27" w:rsidRPr="00C67EC6" w:rsidRDefault="00C66E27" w:rsidP="007A723E">
      <w:pPr>
        <w:pStyle w:val="FootnoteText"/>
        <w:rPr>
          <w:i/>
          <w:iCs/>
          <w:lang w:val="en-US"/>
        </w:rPr>
      </w:pPr>
      <w:r w:rsidRPr="00D05642">
        <w:rPr>
          <w:rStyle w:val="FootnoteReference"/>
        </w:rPr>
        <w:footnoteRef/>
      </w:r>
      <w:r w:rsidRPr="00D05642">
        <w:t xml:space="preserve"> </w:t>
      </w:r>
      <w:r w:rsidRPr="00472B4C">
        <w:rPr>
          <w:sz w:val="18"/>
          <w:szCs w:val="18"/>
          <w:lang w:val="en-US"/>
        </w:rPr>
        <w:t>Visa (2019), US</w:t>
      </w:r>
      <w:r>
        <w:rPr>
          <w:sz w:val="18"/>
          <w:szCs w:val="18"/>
          <w:lang w:val="en-US"/>
        </w:rPr>
        <w:t>$</w:t>
      </w:r>
      <w:r w:rsidRPr="00472B4C">
        <w:rPr>
          <w:sz w:val="18"/>
          <w:szCs w:val="18"/>
          <w:lang w:val="en-US"/>
        </w:rPr>
        <w:t>9 billion investment figure based on internal data on global technology and operations investments between FY</w:t>
      </w:r>
      <w:r>
        <w:rPr>
          <w:sz w:val="18"/>
          <w:szCs w:val="18"/>
          <w:lang w:val="en-US"/>
        </w:rPr>
        <w:t>20</w:t>
      </w:r>
      <w:r w:rsidRPr="00472B4C">
        <w:rPr>
          <w:sz w:val="18"/>
          <w:szCs w:val="18"/>
          <w:lang w:val="en-US"/>
        </w:rPr>
        <w:t>15-FY</w:t>
      </w:r>
      <w:r>
        <w:rPr>
          <w:sz w:val="18"/>
          <w:szCs w:val="18"/>
          <w:lang w:val="en-US"/>
        </w:rPr>
        <w:t>20</w:t>
      </w:r>
      <w:r w:rsidRPr="00472B4C">
        <w:rPr>
          <w:sz w:val="18"/>
          <w:szCs w:val="18"/>
          <w:lang w:val="en-US"/>
        </w:rPr>
        <w:t xml:space="preserve">19. More information available at </w:t>
      </w:r>
      <w:hyperlink r:id="rId8" w:history="1">
        <w:r w:rsidRPr="00472B4C">
          <w:rPr>
            <w:rStyle w:val="Hyperlink"/>
            <w:sz w:val="18"/>
            <w:szCs w:val="18"/>
          </w:rPr>
          <w:t>https://usa.visa.com/visa-everywhere/blog/bdp/2019/12/24/investing-in-the-1577207091483.html</w:t>
        </w:r>
      </w:hyperlink>
      <w:r>
        <w:t xml:space="preserve"> </w:t>
      </w:r>
    </w:p>
  </w:footnote>
  <w:footnote w:id="10">
    <w:p w14:paraId="13C40982" w14:textId="2036BB1C" w:rsidR="00C66E27" w:rsidRPr="00295873" w:rsidRDefault="00C66E27" w:rsidP="007A723E">
      <w:pPr>
        <w:pStyle w:val="FootnoteText"/>
        <w:rPr>
          <w:lang w:val="en-US"/>
        </w:rPr>
      </w:pPr>
      <w:r w:rsidRPr="00C67EC6">
        <w:rPr>
          <w:rStyle w:val="FootnoteReference"/>
        </w:rPr>
        <w:footnoteRef/>
      </w:r>
      <w:r w:rsidRPr="00C67EC6">
        <w:t xml:space="preserve"> </w:t>
      </w:r>
      <w:r w:rsidRPr="00472B4C">
        <w:rPr>
          <w:sz w:val="18"/>
          <w:szCs w:val="18"/>
          <w:lang w:val="en-US"/>
        </w:rPr>
        <w:t xml:space="preserve">Visa (2020), “Visa prevents more than $560 million in fraud from impacting Australian businesses”, </w:t>
      </w:r>
      <w:hyperlink r:id="rId9" w:history="1">
        <w:r w:rsidRPr="00472B4C">
          <w:rPr>
            <w:rStyle w:val="Hyperlink"/>
            <w:sz w:val="18"/>
            <w:szCs w:val="18"/>
            <w:lang w:val="en-US"/>
          </w:rPr>
          <w:t>https://www.visa.com.au/about-visa/newsroom/press-releases/visa-prevents-more-than-560-million-in-fraud-from-impacting-australian-businesses.html</w:t>
        </w:r>
      </w:hyperlink>
      <w:r>
        <w:rPr>
          <w:lang w:val="en-US"/>
        </w:rPr>
        <w:t xml:space="preserve">  </w:t>
      </w:r>
    </w:p>
  </w:footnote>
  <w:footnote w:id="11">
    <w:p w14:paraId="7F3CFE96" w14:textId="0C5D341E" w:rsidR="00C66E27" w:rsidRPr="00153587" w:rsidRDefault="00C66E27" w:rsidP="00F30E8D">
      <w:pPr>
        <w:pStyle w:val="FootnoteText"/>
        <w:rPr>
          <w:lang w:val="en-US"/>
        </w:rPr>
      </w:pPr>
      <w:r>
        <w:rPr>
          <w:rStyle w:val="FootnoteReference"/>
        </w:rPr>
        <w:footnoteRef/>
      </w:r>
      <w:r>
        <w:t xml:space="preserve"> </w:t>
      </w:r>
      <w:r w:rsidRPr="00472B4C">
        <w:rPr>
          <w:sz w:val="18"/>
          <w:szCs w:val="18"/>
          <w:lang w:val="en-US"/>
        </w:rPr>
        <w:t>Visa (2017)</w:t>
      </w:r>
      <w:r>
        <w:rPr>
          <w:sz w:val="18"/>
          <w:szCs w:val="18"/>
          <w:lang w:val="en-US"/>
        </w:rPr>
        <w:t>,</w:t>
      </w:r>
      <w:r w:rsidRPr="00472B4C">
        <w:rPr>
          <w:sz w:val="18"/>
          <w:szCs w:val="18"/>
          <w:lang w:val="en-US"/>
        </w:rPr>
        <w:t xml:space="preserve"> “Future of Security Roadmap”, </w:t>
      </w:r>
      <w:hyperlink r:id="rId10" w:history="1">
        <w:r w:rsidRPr="00472B4C">
          <w:rPr>
            <w:rStyle w:val="Hyperlink"/>
            <w:sz w:val="18"/>
            <w:szCs w:val="18"/>
            <w:lang w:val="en-US"/>
          </w:rPr>
          <w:t>https://www.visa.com.au/pay-with-visa/security/future-of-security-roadmap.html</w:t>
        </w:r>
      </w:hyperlink>
      <w:r>
        <w:rPr>
          <w:lang w:val="en-US"/>
        </w:rPr>
        <w:t xml:space="preserve"> </w:t>
      </w:r>
    </w:p>
  </w:footnote>
  <w:footnote w:id="12">
    <w:p w14:paraId="4EBCFAC3" w14:textId="41C94FB8" w:rsidR="00C66E27" w:rsidRPr="00DE20BF" w:rsidRDefault="00C66E27">
      <w:pPr>
        <w:pStyle w:val="FootnoteText"/>
        <w:rPr>
          <w:lang w:val="en-US"/>
        </w:rPr>
      </w:pPr>
      <w:r>
        <w:rPr>
          <w:rStyle w:val="FootnoteReference"/>
        </w:rPr>
        <w:footnoteRef/>
      </w:r>
      <w:r>
        <w:t xml:space="preserve"> </w:t>
      </w:r>
      <w:r w:rsidRPr="007A723E">
        <w:rPr>
          <w:sz w:val="18"/>
          <w:szCs w:val="18"/>
        </w:rPr>
        <w:t xml:space="preserve">CLEAR (2021) ‘Uncovering preference for routing debit transactions in Australia’ research commissioned by Visa in May 2021. Based on survey of 2,045 Australian debit cardholders </w:t>
      </w:r>
      <w:r>
        <w:rPr>
          <w:sz w:val="18"/>
          <w:szCs w:val="18"/>
        </w:rPr>
        <w:t xml:space="preserve">aged </w:t>
      </w:r>
      <w:r w:rsidRPr="007A723E">
        <w:rPr>
          <w:sz w:val="18"/>
          <w:szCs w:val="18"/>
        </w:rPr>
        <w:t>between 18-75 years</w:t>
      </w:r>
      <w:r>
        <w:rPr>
          <w:sz w:val="18"/>
          <w:szCs w:val="18"/>
        </w:rPr>
        <w:t xml:space="preserve"> undertaken in an independent capacity</w:t>
      </w:r>
      <w:r w:rsidRPr="007A723E">
        <w:rPr>
          <w:sz w:val="18"/>
          <w:szCs w:val="18"/>
        </w:rPr>
        <w:t>.</w:t>
      </w:r>
      <w:r>
        <w:t xml:space="preserve">  </w:t>
      </w:r>
    </w:p>
  </w:footnote>
  <w:footnote w:id="13">
    <w:p w14:paraId="595CF018" w14:textId="7D74EC20" w:rsidR="00C66E27" w:rsidRPr="00EA6C4E" w:rsidRDefault="00C66E27">
      <w:pPr>
        <w:pStyle w:val="FootnoteText"/>
        <w:rPr>
          <w:sz w:val="18"/>
          <w:szCs w:val="18"/>
          <w:lang w:val="en-US"/>
        </w:rPr>
      </w:pPr>
      <w:r w:rsidRPr="00270936">
        <w:rPr>
          <w:rStyle w:val="FootnoteReference"/>
        </w:rPr>
        <w:footnoteRef/>
      </w:r>
      <w:r w:rsidRPr="00270936">
        <w:t xml:space="preserve"> </w:t>
      </w:r>
      <w:r w:rsidRPr="00EA6C4E">
        <w:rPr>
          <w:sz w:val="18"/>
          <w:szCs w:val="18"/>
        </w:rPr>
        <w:t>The RBA Consultation Paper states that Option Two ‘would set an explicit expectation that the major banks would continue to issue DNDCs’.</w:t>
      </w:r>
      <w:r w:rsidRPr="00EA6C4E">
        <w:rPr>
          <w:rFonts w:ascii="Calibri" w:hAnsi="Calibri" w:cs="Calibri"/>
          <w:sz w:val="18"/>
          <w:szCs w:val="18"/>
        </w:rPr>
        <w:t xml:space="preserve"> Reserve Bank of Australia (2021), “Review of Retail Payments Regulation – Consultation Paper”,</w:t>
      </w:r>
      <w:r w:rsidRPr="00EA6C4E">
        <w:rPr>
          <w:sz w:val="18"/>
          <w:szCs w:val="18"/>
        </w:rPr>
        <w:t xml:space="preserve"> </w:t>
      </w:r>
      <w:hyperlink r:id="rId11" w:history="1">
        <w:r w:rsidRPr="00EA6C4E">
          <w:rPr>
            <w:rStyle w:val="Hyperlink"/>
            <w:rFonts w:ascii="Calibri" w:hAnsi="Calibri" w:cs="Calibri"/>
            <w:sz w:val="18"/>
            <w:szCs w:val="18"/>
          </w:rPr>
          <w:t>https://www.rba.gov.au/payments-and-infrastructure/review-of-retail-payments-regulation/consultation-paper-202105/pdf/review-of-retail-payments-regulation-consultation-paper-202105.pdf</w:t>
        </w:r>
      </w:hyperlink>
      <w:r w:rsidRPr="00EA6C4E">
        <w:rPr>
          <w:rStyle w:val="Hyperlink"/>
          <w:rFonts w:ascii="Calibri" w:hAnsi="Calibri" w:cs="Calibri"/>
          <w:sz w:val="18"/>
          <w:szCs w:val="18"/>
        </w:rPr>
        <w:t>,</w:t>
      </w:r>
      <w:r w:rsidRPr="00EA6C4E">
        <w:rPr>
          <w:rFonts w:ascii="Calibri" w:hAnsi="Calibri" w:cs="Calibri"/>
          <w:sz w:val="18"/>
          <w:szCs w:val="18"/>
        </w:rPr>
        <w:t xml:space="preserve"> p11</w:t>
      </w:r>
    </w:p>
  </w:footnote>
  <w:footnote w:id="14">
    <w:p w14:paraId="13E0032B" w14:textId="49BF10C8" w:rsidR="00C66E27" w:rsidRPr="00EA6C4E" w:rsidRDefault="00C66E27" w:rsidP="6619BE4C">
      <w:pPr>
        <w:pStyle w:val="FootnoteText"/>
        <w:spacing w:line="259" w:lineRule="auto"/>
        <w:rPr>
          <w:sz w:val="18"/>
          <w:szCs w:val="18"/>
        </w:rPr>
      </w:pPr>
      <w:r w:rsidRPr="6619BE4C">
        <w:rPr>
          <w:rStyle w:val="FootnoteReference"/>
        </w:rPr>
        <w:footnoteRef/>
      </w:r>
      <w:r>
        <w:t xml:space="preserve"> </w:t>
      </w:r>
      <w:r w:rsidRPr="00994586">
        <w:rPr>
          <w:sz w:val="18"/>
          <w:szCs w:val="18"/>
        </w:rPr>
        <w:t xml:space="preserve">This view is based on advice from our </w:t>
      </w:r>
      <w:r>
        <w:rPr>
          <w:sz w:val="18"/>
          <w:szCs w:val="18"/>
        </w:rPr>
        <w:t>client</w:t>
      </w:r>
      <w:r w:rsidRPr="00994586">
        <w:rPr>
          <w:sz w:val="18"/>
          <w:szCs w:val="18"/>
        </w:rPr>
        <w:t>s regarding the implications of delivering new capabilities on DNDCs.</w:t>
      </w:r>
    </w:p>
  </w:footnote>
  <w:footnote w:id="15">
    <w:p w14:paraId="102BB3C5" w14:textId="1EA52B70" w:rsidR="00C66E27" w:rsidRPr="00270936" w:rsidRDefault="00C66E27">
      <w:pPr>
        <w:pStyle w:val="FootnoteText"/>
        <w:rPr>
          <w:lang w:val="en-US"/>
        </w:rPr>
      </w:pPr>
      <w:r w:rsidRPr="00270936">
        <w:rPr>
          <w:rStyle w:val="FootnoteReference"/>
        </w:rPr>
        <w:footnoteRef/>
      </w:r>
      <w:r w:rsidRPr="00EA6C4E">
        <w:rPr>
          <w:sz w:val="18"/>
          <w:szCs w:val="18"/>
        </w:rPr>
        <w:t xml:space="preserve"> Australian Prudential Regulation Authority</w:t>
      </w:r>
      <w:r>
        <w:rPr>
          <w:sz w:val="18"/>
          <w:szCs w:val="18"/>
        </w:rPr>
        <w:t xml:space="preserve"> (2021)</w:t>
      </w:r>
      <w:r w:rsidRPr="00EA6C4E">
        <w:rPr>
          <w:sz w:val="18"/>
          <w:szCs w:val="18"/>
        </w:rPr>
        <w:t xml:space="preserve">, “APRA Monthly Authorised Deposit –taking Institution Statistics, March 21,” </w:t>
      </w:r>
      <w:hyperlink r:id="rId12" w:history="1">
        <w:r w:rsidRPr="00EA6C4E">
          <w:rPr>
            <w:rStyle w:val="Hyperlink"/>
            <w:sz w:val="18"/>
            <w:szCs w:val="18"/>
          </w:rPr>
          <w:t>https://www.apra.gov.au/monthly-authorised-deposit-taking-institution-statistics</w:t>
        </w:r>
      </w:hyperlink>
      <w:r>
        <w:rPr>
          <w:sz w:val="18"/>
          <w:szCs w:val="18"/>
        </w:rPr>
        <w:t xml:space="preserve"> </w:t>
      </w:r>
    </w:p>
  </w:footnote>
  <w:footnote w:id="16">
    <w:p w14:paraId="7D0A8A3B" w14:textId="676F11BB" w:rsidR="00C66E27" w:rsidRPr="00535014" w:rsidDel="00C4083A" w:rsidRDefault="00C66E27">
      <w:pPr>
        <w:pStyle w:val="FootnoteText"/>
        <w:rPr>
          <w:sz w:val="18"/>
          <w:szCs w:val="18"/>
          <w:lang w:val="en-US"/>
        </w:rPr>
      </w:pPr>
      <w:r w:rsidRPr="00270936" w:rsidDel="00C4083A">
        <w:rPr>
          <w:rStyle w:val="FootnoteReference"/>
        </w:rPr>
        <w:footnoteRef/>
      </w:r>
      <w:r w:rsidRPr="00270936" w:rsidDel="00C4083A">
        <w:t xml:space="preserve"> </w:t>
      </w:r>
      <w:r w:rsidRPr="00535014" w:rsidDel="00C4083A">
        <w:rPr>
          <w:rFonts w:ascii="Calibri" w:hAnsi="Calibri" w:cs="Calibri"/>
          <w:sz w:val="18"/>
          <w:szCs w:val="18"/>
        </w:rPr>
        <w:t>Reserve Bank of Australia (2021), “Review of Retail Payments Regulation – Consultation Paper”,</w:t>
      </w:r>
      <w:r w:rsidRPr="00535014" w:rsidDel="00C4083A">
        <w:rPr>
          <w:sz w:val="18"/>
          <w:szCs w:val="18"/>
        </w:rPr>
        <w:t xml:space="preserve"> </w:t>
      </w:r>
      <w:hyperlink r:id="rId13" w:history="1">
        <w:r w:rsidRPr="00535014" w:rsidDel="00C4083A">
          <w:rPr>
            <w:rStyle w:val="Hyperlink"/>
            <w:rFonts w:ascii="Calibri" w:hAnsi="Calibri" w:cs="Calibri"/>
            <w:sz w:val="18"/>
            <w:szCs w:val="18"/>
          </w:rPr>
          <w:t>https://www.rba.gov.au/payments-and-infrastructure/review-of-retail-payments-regulation/consultation-paper-202105/pdf/review-of-retail-payments-regulation-consultation-paper-202105.pdf</w:t>
        </w:r>
      </w:hyperlink>
      <w:r w:rsidRPr="00535014" w:rsidDel="00C4083A">
        <w:rPr>
          <w:rFonts w:ascii="Calibri" w:hAnsi="Calibri" w:cs="Calibri"/>
          <w:sz w:val="18"/>
          <w:szCs w:val="18"/>
        </w:rPr>
        <w:t>, p16</w:t>
      </w:r>
    </w:p>
  </w:footnote>
  <w:footnote w:id="17">
    <w:p w14:paraId="3C31377F" w14:textId="08D5DDC2" w:rsidR="00C66E27" w:rsidRPr="00535014" w:rsidDel="004317A0" w:rsidRDefault="00C66E27" w:rsidP="00F13788">
      <w:pPr>
        <w:pStyle w:val="FootnoteText"/>
        <w:rPr>
          <w:sz w:val="18"/>
          <w:szCs w:val="18"/>
          <w:lang w:val="en-US"/>
        </w:rPr>
      </w:pPr>
      <w:r w:rsidDel="004317A0">
        <w:rPr>
          <w:rStyle w:val="FootnoteReference"/>
        </w:rPr>
        <w:footnoteRef/>
      </w:r>
      <w:r w:rsidDel="004317A0">
        <w:t xml:space="preserve"> </w:t>
      </w:r>
      <w:r w:rsidRPr="00F13788">
        <w:rPr>
          <w:sz w:val="18"/>
          <w:szCs w:val="18"/>
        </w:rPr>
        <w:t>Retail Finance Intelligence Pty Limited (</w:t>
      </w:r>
      <w:r>
        <w:rPr>
          <w:sz w:val="18"/>
          <w:szCs w:val="18"/>
        </w:rPr>
        <w:t>2021</w:t>
      </w:r>
      <w:r w:rsidRPr="00F13788">
        <w:rPr>
          <w:sz w:val="18"/>
          <w:szCs w:val="18"/>
        </w:rPr>
        <w:t xml:space="preserve">), Australian Merchant Acquiring Program </w:t>
      </w:r>
      <w:r>
        <w:rPr>
          <w:sz w:val="18"/>
          <w:szCs w:val="18"/>
        </w:rPr>
        <w:t xml:space="preserve">April 2021 </w:t>
      </w:r>
      <w:r w:rsidRPr="00F13788">
        <w:rPr>
          <w:sz w:val="18"/>
          <w:szCs w:val="18"/>
        </w:rPr>
        <w:t>Survey. Th</w:t>
      </w:r>
      <w:r>
        <w:rPr>
          <w:sz w:val="18"/>
          <w:szCs w:val="18"/>
        </w:rPr>
        <w:t xml:space="preserve">is is a </w:t>
      </w:r>
      <w:r w:rsidRPr="00F13788">
        <w:rPr>
          <w:sz w:val="18"/>
          <w:szCs w:val="18"/>
        </w:rPr>
        <w:t>quantitative survey Visa commissioned and it was conducted by Retail Finance Intelligence in an independent capacity</w:t>
      </w:r>
      <w:r>
        <w:rPr>
          <w:sz w:val="18"/>
          <w:szCs w:val="18"/>
        </w:rPr>
        <w:t>.</w:t>
      </w:r>
    </w:p>
  </w:footnote>
  <w:footnote w:id="18">
    <w:p w14:paraId="63D7BC4A" w14:textId="79E511B5" w:rsidR="00C66E27" w:rsidRPr="009933B4" w:rsidRDefault="00C66E27">
      <w:pPr>
        <w:pStyle w:val="FootnoteText"/>
        <w:rPr>
          <w:lang w:val="en-US"/>
        </w:rPr>
      </w:pPr>
      <w:r>
        <w:rPr>
          <w:rStyle w:val="FootnoteReference"/>
        </w:rPr>
        <w:footnoteRef/>
      </w:r>
      <w:r>
        <w:t xml:space="preserve"> </w:t>
      </w:r>
      <w:r w:rsidRPr="00535014">
        <w:rPr>
          <w:rFonts w:ascii="Calibri" w:hAnsi="Calibri" w:cs="Calibri"/>
          <w:sz w:val="18"/>
          <w:szCs w:val="18"/>
        </w:rPr>
        <w:t>Reserve Bank of Australia (2021), “Review of Retail Payments Regulation – Consultation Paper”,</w:t>
      </w:r>
      <w:r w:rsidRPr="00535014">
        <w:rPr>
          <w:sz w:val="18"/>
          <w:szCs w:val="18"/>
        </w:rPr>
        <w:t xml:space="preserve"> </w:t>
      </w:r>
      <w:hyperlink r:id="rId14" w:history="1">
        <w:r w:rsidRPr="00535014">
          <w:rPr>
            <w:rStyle w:val="Hyperlink"/>
            <w:rFonts w:ascii="Calibri" w:hAnsi="Calibri" w:cs="Calibri"/>
            <w:sz w:val="18"/>
            <w:szCs w:val="18"/>
          </w:rPr>
          <w:t>https://www.rba.gov.au/payments-and-infrastructure/review-of-retail-payments-regulation/consultation-paper-202105/pdf/review-of-retail-payments-regulation-consultation-paper-202105.pdf</w:t>
        </w:r>
      </w:hyperlink>
      <w:r w:rsidRPr="00535014">
        <w:rPr>
          <w:rFonts w:ascii="Calibri" w:hAnsi="Calibri" w:cs="Calibri"/>
          <w:sz w:val="18"/>
          <w:szCs w:val="18"/>
        </w:rPr>
        <w:t>, p18</w:t>
      </w:r>
    </w:p>
  </w:footnote>
  <w:footnote w:id="19">
    <w:p w14:paraId="38AC1D54" w14:textId="3D7FAF1D" w:rsidR="00C66E27" w:rsidRPr="005A252E" w:rsidRDefault="00C66E27">
      <w:pPr>
        <w:pStyle w:val="FootnoteText"/>
        <w:rPr>
          <w:sz w:val="18"/>
          <w:szCs w:val="18"/>
          <w:lang w:val="en-US"/>
        </w:rPr>
      </w:pPr>
      <w:r>
        <w:rPr>
          <w:rStyle w:val="FootnoteReference"/>
        </w:rPr>
        <w:footnoteRef/>
      </w:r>
      <w:r>
        <w:t xml:space="preserve"> </w:t>
      </w:r>
      <w:bookmarkStart w:id="7" w:name="_Hlk76647461"/>
      <w:r w:rsidRPr="00BF6FC7">
        <w:rPr>
          <w:sz w:val="18"/>
          <w:szCs w:val="18"/>
        </w:rPr>
        <w:t>Of the merchants aware of MCR, 38 per cent did not make changes to the way they process transactions.</w:t>
      </w:r>
      <w:bookmarkEnd w:id="7"/>
    </w:p>
  </w:footnote>
  <w:footnote w:id="20">
    <w:p w14:paraId="0195A738" w14:textId="0C57C1BF" w:rsidR="00C66E27" w:rsidRPr="00AE2643" w:rsidRDefault="00C66E27">
      <w:pPr>
        <w:pStyle w:val="FootnoteText"/>
        <w:rPr>
          <w:lang w:val="en-US"/>
        </w:rPr>
      </w:pPr>
      <w:r>
        <w:rPr>
          <w:rStyle w:val="FootnoteReference"/>
        </w:rPr>
        <w:footnoteRef/>
      </w:r>
      <w:r>
        <w:t xml:space="preserve"> </w:t>
      </w:r>
      <w:r w:rsidRPr="00F13788">
        <w:rPr>
          <w:sz w:val="18"/>
          <w:szCs w:val="18"/>
        </w:rPr>
        <w:t>Retail Finance Intelligence Pty Limited (</w:t>
      </w:r>
      <w:r>
        <w:rPr>
          <w:sz w:val="18"/>
          <w:szCs w:val="18"/>
        </w:rPr>
        <w:t>2021</w:t>
      </w:r>
      <w:r w:rsidRPr="00F13788">
        <w:rPr>
          <w:sz w:val="18"/>
          <w:szCs w:val="18"/>
        </w:rPr>
        <w:t xml:space="preserve">), Australian Merchant Acquiring Program </w:t>
      </w:r>
      <w:r>
        <w:rPr>
          <w:sz w:val="18"/>
          <w:szCs w:val="18"/>
        </w:rPr>
        <w:t xml:space="preserve">April 2021 </w:t>
      </w:r>
      <w:r w:rsidRPr="00F13788">
        <w:rPr>
          <w:sz w:val="18"/>
          <w:szCs w:val="18"/>
        </w:rPr>
        <w:t>Survey</w:t>
      </w:r>
      <w:r>
        <w:rPr>
          <w:sz w:val="18"/>
          <w:szCs w:val="18"/>
        </w:rPr>
        <w:t>.</w:t>
      </w:r>
    </w:p>
  </w:footnote>
  <w:footnote w:id="21">
    <w:p w14:paraId="7F3983F9" w14:textId="6E05EDCC" w:rsidR="00C66E27" w:rsidRPr="009933B4" w:rsidRDefault="00C66E27">
      <w:pPr>
        <w:pStyle w:val="FootnoteText"/>
        <w:rPr>
          <w:lang w:val="en-US"/>
        </w:rPr>
      </w:pPr>
      <w:r>
        <w:rPr>
          <w:rStyle w:val="FootnoteReference"/>
        </w:rPr>
        <w:footnoteRef/>
      </w:r>
      <w:r>
        <w:t xml:space="preserve"> </w:t>
      </w:r>
      <w:r w:rsidRPr="00535014">
        <w:rPr>
          <w:sz w:val="18"/>
          <w:szCs w:val="18"/>
          <w:lang w:val="en-US"/>
        </w:rPr>
        <w:t xml:space="preserve">Visa (2020), “Visa Inc.’s Response to the Reserve Bank of Australia’s Review of Retail Payments Regulation Issues Paper”, </w:t>
      </w:r>
      <w:hyperlink r:id="rId15" w:history="1">
        <w:r w:rsidRPr="00535014">
          <w:rPr>
            <w:rStyle w:val="Hyperlink"/>
            <w:sz w:val="18"/>
            <w:szCs w:val="18"/>
            <w:lang w:val="en-US"/>
          </w:rPr>
          <w:t>https://www.rba.gov.au/payments-and-infrastructure/submissions/review-of-retail-payments-regulation/visa.pdf</w:t>
        </w:r>
      </w:hyperlink>
      <w:r w:rsidRPr="00535014">
        <w:rPr>
          <w:sz w:val="18"/>
          <w:szCs w:val="18"/>
          <w:lang w:val="en-US"/>
        </w:rPr>
        <w:t>, p20</w:t>
      </w:r>
    </w:p>
  </w:footnote>
  <w:footnote w:id="22">
    <w:p w14:paraId="20352821" w14:textId="63041378" w:rsidR="00C66E27" w:rsidRPr="00A60DAD" w:rsidRDefault="00C66E27" w:rsidP="00FA592A">
      <w:pPr>
        <w:pStyle w:val="FootnoteText"/>
      </w:pPr>
      <w:r>
        <w:rPr>
          <w:rStyle w:val="FootnoteReference"/>
        </w:rPr>
        <w:footnoteRef/>
      </w:r>
      <w:r>
        <w:t xml:space="preserve"> </w:t>
      </w:r>
      <w:r w:rsidRPr="00521D08">
        <w:rPr>
          <w:rFonts w:ascii="Calibri" w:hAnsi="Calibri" w:cs="Calibri"/>
          <w:sz w:val="18"/>
          <w:szCs w:val="18"/>
        </w:rPr>
        <w:t xml:space="preserve">Reserve Bank of Australia (2021), “Review of Retail Payments Regulation – Consultation Paper”, </w:t>
      </w:r>
      <w:hyperlink r:id="rId16" w:history="1">
        <w:r w:rsidRPr="0078797F">
          <w:rPr>
            <w:rStyle w:val="Hyperlink"/>
            <w:rFonts w:ascii="Calibri" w:hAnsi="Calibri" w:cs="Calibri"/>
            <w:sz w:val="18"/>
            <w:szCs w:val="18"/>
          </w:rPr>
          <w:t>https://www.rba.gov.au/payments-and-infrastructure/review-of-retail-payments-regulation/consultation-paper-202105/pdf/review-of-retail-payments-regulation-consultation-paper-202105.pdf</w:t>
        </w:r>
      </w:hyperlink>
      <w:r>
        <w:rPr>
          <w:rFonts w:ascii="Calibri" w:hAnsi="Calibri" w:cs="Calibri"/>
          <w:sz w:val="18"/>
          <w:szCs w:val="18"/>
        </w:rPr>
        <w:t xml:space="preserve"> </w:t>
      </w:r>
      <w:r w:rsidRPr="00521D08">
        <w:rPr>
          <w:rFonts w:ascii="Calibri" w:hAnsi="Calibri" w:cs="Calibri"/>
          <w:sz w:val="18"/>
          <w:szCs w:val="18"/>
        </w:rPr>
        <w:t>,</w:t>
      </w:r>
      <w:r>
        <w:rPr>
          <w:rFonts w:ascii="Calibri" w:hAnsi="Calibri" w:cs="Calibri"/>
          <w:sz w:val="18"/>
          <w:szCs w:val="18"/>
        </w:rPr>
        <w:t xml:space="preserve"> </w:t>
      </w:r>
      <w:r w:rsidRPr="00521D08">
        <w:rPr>
          <w:rFonts w:ascii="Calibri" w:hAnsi="Calibri" w:cs="Calibri"/>
          <w:sz w:val="18"/>
          <w:szCs w:val="18"/>
        </w:rPr>
        <w:t>p1</w:t>
      </w:r>
      <w:r>
        <w:rPr>
          <w:rFonts w:ascii="Calibri" w:hAnsi="Calibri" w:cs="Calibri"/>
          <w:sz w:val="18"/>
          <w:szCs w:val="18"/>
        </w:rPr>
        <w:t>1</w:t>
      </w:r>
      <w:r>
        <w:t xml:space="preserve"> </w:t>
      </w:r>
      <w:r w:rsidRPr="00A60DAD">
        <w:t xml:space="preserve"> </w:t>
      </w:r>
    </w:p>
  </w:footnote>
  <w:footnote w:id="23">
    <w:p w14:paraId="267E6977" w14:textId="4F602E93" w:rsidR="00C66E27" w:rsidRPr="00491992" w:rsidRDefault="00C66E27" w:rsidP="009D0F75">
      <w:pPr>
        <w:pStyle w:val="FootnoteText"/>
        <w:rPr>
          <w:rFonts w:ascii="Segoe UI" w:hAnsi="Segoe UI" w:cs="Segoe UI"/>
          <w:sz w:val="18"/>
          <w:szCs w:val="18"/>
        </w:rPr>
      </w:pPr>
      <w:r w:rsidRPr="00491992">
        <w:rPr>
          <w:rStyle w:val="FootnoteReference"/>
          <w:sz w:val="18"/>
          <w:szCs w:val="18"/>
        </w:rPr>
        <w:footnoteRef/>
      </w:r>
      <w:r w:rsidRPr="00491992">
        <w:rPr>
          <w:rStyle w:val="FootnoteReference"/>
          <w:sz w:val="18"/>
          <w:szCs w:val="18"/>
        </w:rPr>
        <w:t xml:space="preserve"> </w:t>
      </w:r>
      <w:r w:rsidRPr="00491992">
        <w:rPr>
          <w:sz w:val="18"/>
          <w:szCs w:val="18"/>
        </w:rPr>
        <w:t xml:space="preserve"> ibid.</w:t>
      </w:r>
      <w:r w:rsidRPr="00491992">
        <w:rPr>
          <w:rFonts w:ascii="Calibri" w:hAnsi="Calibri" w:cs="Calibri"/>
          <w:sz w:val="18"/>
          <w:szCs w:val="18"/>
        </w:rPr>
        <w:t>, p18</w:t>
      </w:r>
    </w:p>
  </w:footnote>
  <w:footnote w:id="24">
    <w:p w14:paraId="40E24D0F" w14:textId="3853F00B" w:rsidR="00C66E27" w:rsidRPr="00222D28" w:rsidRDefault="00C66E27">
      <w:pPr>
        <w:pStyle w:val="FootnoteText"/>
        <w:rPr>
          <w:lang w:val="en-US"/>
        </w:rPr>
      </w:pPr>
      <w:r>
        <w:rPr>
          <w:rStyle w:val="FootnoteReference"/>
        </w:rPr>
        <w:footnoteRef/>
      </w:r>
      <w:r>
        <w:t xml:space="preserve"> </w:t>
      </w:r>
      <w:r w:rsidRPr="007A723E">
        <w:rPr>
          <w:sz w:val="18"/>
          <w:szCs w:val="18"/>
        </w:rPr>
        <w:t xml:space="preserve">CLEAR (2021) ‘Uncovering preference for routing debit transactions in Australia’ research commissioned by Visa in May 2021. Based on survey of 2,045 Australian debit cardholders </w:t>
      </w:r>
      <w:r>
        <w:rPr>
          <w:sz w:val="18"/>
          <w:szCs w:val="18"/>
        </w:rPr>
        <w:t xml:space="preserve">aged </w:t>
      </w:r>
      <w:r w:rsidRPr="007A723E">
        <w:rPr>
          <w:sz w:val="18"/>
          <w:szCs w:val="18"/>
        </w:rPr>
        <w:t>between 18-75 years</w:t>
      </w:r>
      <w:r>
        <w:rPr>
          <w:sz w:val="18"/>
          <w:szCs w:val="18"/>
        </w:rPr>
        <w:t xml:space="preserve"> undertaken in an independent capacity</w:t>
      </w:r>
      <w:r w:rsidRPr="007A723E">
        <w:rPr>
          <w:sz w:val="18"/>
          <w:szCs w:val="18"/>
        </w:rPr>
        <w:t>.</w:t>
      </w:r>
      <w:r>
        <w:t xml:space="preserve">  </w:t>
      </w:r>
    </w:p>
  </w:footnote>
  <w:footnote w:id="25">
    <w:p w14:paraId="709118AD" w14:textId="59EBB596" w:rsidR="00C66E27" w:rsidRPr="00AE2643" w:rsidRDefault="00C66E27">
      <w:pPr>
        <w:pStyle w:val="FootnoteText"/>
        <w:rPr>
          <w:sz w:val="18"/>
          <w:szCs w:val="18"/>
          <w:lang w:val="en-US"/>
        </w:rPr>
      </w:pPr>
      <w:r w:rsidRPr="00AE2643">
        <w:rPr>
          <w:rStyle w:val="FootnoteReference"/>
          <w:sz w:val="18"/>
          <w:szCs w:val="18"/>
        </w:rPr>
        <w:footnoteRef/>
      </w:r>
      <w:r w:rsidRPr="00AE2643">
        <w:rPr>
          <w:sz w:val="18"/>
          <w:szCs w:val="18"/>
        </w:rPr>
        <w:t xml:space="preserve"> ibid.</w:t>
      </w:r>
    </w:p>
  </w:footnote>
  <w:footnote w:id="26">
    <w:p w14:paraId="1B1534F3" w14:textId="6368FDE3" w:rsidR="00C66E27" w:rsidRPr="00AE2643" w:rsidRDefault="00C66E27">
      <w:pPr>
        <w:pStyle w:val="FootnoteText"/>
        <w:rPr>
          <w:sz w:val="18"/>
          <w:szCs w:val="18"/>
          <w:lang w:val="en-US"/>
        </w:rPr>
      </w:pPr>
      <w:r w:rsidRPr="00AE2643">
        <w:rPr>
          <w:rStyle w:val="FootnoteReference"/>
          <w:sz w:val="18"/>
          <w:szCs w:val="18"/>
        </w:rPr>
        <w:footnoteRef/>
      </w:r>
      <w:r w:rsidRPr="00AE2643">
        <w:rPr>
          <w:sz w:val="18"/>
          <w:szCs w:val="18"/>
        </w:rPr>
        <w:t xml:space="preserve"> ibid.</w:t>
      </w:r>
    </w:p>
  </w:footnote>
  <w:footnote w:id="27">
    <w:p w14:paraId="5783FF3C" w14:textId="427E97CF" w:rsidR="00C66E27" w:rsidRPr="00621824" w:rsidRDefault="00C66E27" w:rsidP="003351F0">
      <w:pPr>
        <w:pStyle w:val="FootnoteText"/>
        <w:rPr>
          <w:sz w:val="18"/>
          <w:szCs w:val="18"/>
        </w:rPr>
      </w:pPr>
      <w:r>
        <w:rPr>
          <w:rStyle w:val="FootnoteReference"/>
        </w:rPr>
        <w:footnoteRef/>
      </w:r>
      <w:r>
        <w:t xml:space="preserve"> </w:t>
      </w:r>
      <w:r w:rsidRPr="00C66E27">
        <w:rPr>
          <w:sz w:val="18"/>
          <w:szCs w:val="18"/>
        </w:rPr>
        <w:t>ibid.</w:t>
      </w:r>
      <w:r>
        <w:t xml:space="preserve"> </w:t>
      </w:r>
    </w:p>
  </w:footnote>
  <w:footnote w:id="28">
    <w:p w14:paraId="3317BEA5" w14:textId="5EF0808C" w:rsidR="00C66E27" w:rsidRPr="009B603F" w:rsidRDefault="00C66E27">
      <w:pPr>
        <w:pStyle w:val="FootnoteText"/>
        <w:rPr>
          <w:sz w:val="18"/>
          <w:szCs w:val="18"/>
          <w:lang w:val="en-US"/>
        </w:rPr>
      </w:pPr>
      <w:r w:rsidRPr="009B603F">
        <w:rPr>
          <w:rStyle w:val="FootnoteReference"/>
          <w:sz w:val="18"/>
          <w:szCs w:val="18"/>
        </w:rPr>
        <w:footnoteRef/>
      </w:r>
      <w:r w:rsidRPr="009B603F">
        <w:rPr>
          <w:sz w:val="18"/>
          <w:szCs w:val="18"/>
        </w:rPr>
        <w:t xml:space="preserve"> </w:t>
      </w:r>
      <w:r w:rsidRPr="009B603F">
        <w:rPr>
          <w:sz w:val="18"/>
          <w:szCs w:val="18"/>
          <w:lang w:val="en-US"/>
        </w:rPr>
        <w:t>ibid.</w:t>
      </w:r>
    </w:p>
  </w:footnote>
  <w:footnote w:id="29">
    <w:p w14:paraId="67B66BA4" w14:textId="75F88ED1" w:rsidR="00C66E27" w:rsidRPr="00621824" w:rsidRDefault="00C66E27">
      <w:pPr>
        <w:pStyle w:val="FootnoteText"/>
        <w:rPr>
          <w:sz w:val="18"/>
          <w:szCs w:val="18"/>
          <w:lang w:val="en-US"/>
        </w:rPr>
      </w:pPr>
      <w:r w:rsidRPr="00621824">
        <w:rPr>
          <w:rStyle w:val="FootnoteReference"/>
          <w:sz w:val="18"/>
          <w:szCs w:val="18"/>
        </w:rPr>
        <w:footnoteRef/>
      </w:r>
      <w:r w:rsidRPr="00621824">
        <w:rPr>
          <w:sz w:val="18"/>
          <w:szCs w:val="18"/>
        </w:rPr>
        <w:t xml:space="preserve"> </w:t>
      </w:r>
      <w:r w:rsidRPr="00621824">
        <w:rPr>
          <w:sz w:val="18"/>
          <w:szCs w:val="18"/>
          <w:lang w:val="en-US"/>
        </w:rPr>
        <w:t>ibid.</w:t>
      </w:r>
    </w:p>
  </w:footnote>
  <w:footnote w:id="30">
    <w:p w14:paraId="7DE38366" w14:textId="77777777" w:rsidR="00C66E27" w:rsidRDefault="00C66E27" w:rsidP="003351F0">
      <w:r w:rsidRPr="00621824">
        <w:rPr>
          <w:rStyle w:val="FootnoteReference"/>
          <w:sz w:val="18"/>
          <w:szCs w:val="18"/>
        </w:rPr>
        <w:footnoteRef/>
      </w:r>
      <w:r w:rsidRPr="00621824">
        <w:rPr>
          <w:sz w:val="18"/>
          <w:szCs w:val="18"/>
        </w:rPr>
        <w:t xml:space="preserve"> European</w:t>
      </w:r>
      <w:r w:rsidRPr="007A723E">
        <w:rPr>
          <w:sz w:val="18"/>
          <w:szCs w:val="18"/>
        </w:rPr>
        <w:t xml:space="preserve"> Commission website (2021) “Payment Services”,  </w:t>
      </w:r>
      <w:hyperlink r:id="rId17" w:history="1">
        <w:r w:rsidRPr="007A723E">
          <w:rPr>
            <w:rStyle w:val="Hyperlink"/>
            <w:sz w:val="18"/>
            <w:szCs w:val="18"/>
          </w:rPr>
          <w:t>https://ec.europa.eu/info/business-economy-euro/banking-and-finance/consumer-finance-and-payments/payment-services/payment-services_en</w:t>
        </w:r>
      </w:hyperlink>
      <w:r>
        <w:rPr>
          <w:sz w:val="20"/>
          <w:szCs w:val="20"/>
        </w:rPr>
        <w:t xml:space="preserve"> </w:t>
      </w:r>
    </w:p>
  </w:footnote>
  <w:footnote w:id="31">
    <w:p w14:paraId="72F8E1AF" w14:textId="20A705FC" w:rsidR="00C66E27" w:rsidRPr="007171C1" w:rsidRDefault="00C66E27" w:rsidP="00A606A1">
      <w:pPr>
        <w:pStyle w:val="FootnoteText"/>
        <w:rPr>
          <w:lang w:val="en-US"/>
        </w:rPr>
      </w:pPr>
      <w:r>
        <w:rPr>
          <w:rStyle w:val="FootnoteReference"/>
        </w:rPr>
        <w:footnoteRef/>
      </w:r>
      <w:r>
        <w:t xml:space="preserve"> </w:t>
      </w:r>
      <w:r w:rsidRPr="004E0E37">
        <w:rPr>
          <w:sz w:val="18"/>
          <w:szCs w:val="18"/>
          <w:lang w:val="en-US"/>
        </w:rPr>
        <w:t>Australian Competition &amp; Consumer Commission</w:t>
      </w:r>
      <w:r>
        <w:rPr>
          <w:sz w:val="18"/>
          <w:szCs w:val="18"/>
          <w:lang w:val="en-US"/>
        </w:rPr>
        <w:t xml:space="preserve"> </w:t>
      </w:r>
      <w:r w:rsidRPr="004E0E37">
        <w:rPr>
          <w:sz w:val="18"/>
          <w:szCs w:val="18"/>
          <w:lang w:val="en-US"/>
        </w:rPr>
        <w:t xml:space="preserve">(2018) ACCC Chair Rod Sims Speech, “Consumer data and regulatory reform”, </w:t>
      </w:r>
      <w:hyperlink r:id="rId18" w:history="1">
        <w:r w:rsidRPr="004E0E37">
          <w:rPr>
            <w:rStyle w:val="Hyperlink"/>
            <w:sz w:val="18"/>
            <w:szCs w:val="18"/>
            <w:lang w:val="en-US"/>
          </w:rPr>
          <w:t>https://www.accc.gov.au/speech/consumer-data-and-regulatory-reform</w:t>
        </w:r>
      </w:hyperlink>
      <w:r w:rsidRPr="004E0E37">
        <w:rPr>
          <w:sz w:val="18"/>
          <w:szCs w:val="18"/>
          <w:lang w:val="en-US"/>
        </w:rPr>
        <w:t xml:space="preserve">  </w:t>
      </w:r>
    </w:p>
  </w:footnote>
  <w:footnote w:id="32">
    <w:p w14:paraId="59B1DC6D" w14:textId="7C1A7B29" w:rsidR="00C66E27" w:rsidRDefault="00C66E27" w:rsidP="003351F0">
      <w:r w:rsidRPr="7BDEACC8">
        <w:rPr>
          <w:rStyle w:val="FootnoteReference"/>
        </w:rPr>
        <w:footnoteRef/>
      </w:r>
      <w:r w:rsidRPr="004E0E37">
        <w:rPr>
          <w:sz w:val="18"/>
          <w:szCs w:val="18"/>
        </w:rPr>
        <w:t>A</w:t>
      </w:r>
      <w:r>
        <w:rPr>
          <w:sz w:val="18"/>
          <w:szCs w:val="18"/>
        </w:rPr>
        <w:t xml:space="preserve">ustralian </w:t>
      </w:r>
      <w:r w:rsidRPr="004E0E37">
        <w:rPr>
          <w:sz w:val="18"/>
          <w:szCs w:val="18"/>
        </w:rPr>
        <w:t>C</w:t>
      </w:r>
      <w:r>
        <w:rPr>
          <w:sz w:val="18"/>
          <w:szCs w:val="18"/>
        </w:rPr>
        <w:t>ompetition &amp; Consumer Commission</w:t>
      </w:r>
      <w:r w:rsidRPr="004E0E37">
        <w:rPr>
          <w:sz w:val="18"/>
          <w:szCs w:val="18"/>
        </w:rPr>
        <w:t xml:space="preserve"> (2021) “Google misled consumers about the collection and use of location data”, </w:t>
      </w:r>
      <w:hyperlink r:id="rId19" w:history="1">
        <w:r w:rsidRPr="004E0E37">
          <w:rPr>
            <w:rStyle w:val="Hyperlink"/>
            <w:sz w:val="18"/>
            <w:szCs w:val="18"/>
          </w:rPr>
          <w:t>https://www.accc.gov.au/media-release/google-misled-consumers-about-the-collection-and-use-of-location-data</w:t>
        </w:r>
      </w:hyperlink>
      <w:r>
        <w:rPr>
          <w:sz w:val="20"/>
          <w:szCs w:val="20"/>
        </w:rPr>
        <w:t xml:space="preserve"> </w:t>
      </w:r>
    </w:p>
  </w:footnote>
  <w:footnote w:id="33">
    <w:p w14:paraId="2599DE62" w14:textId="77777777" w:rsidR="00C66E27" w:rsidRPr="007B14A5" w:rsidRDefault="00C66E27" w:rsidP="0029141C">
      <w:pPr>
        <w:pStyle w:val="FootnoteText"/>
        <w:rPr>
          <w:lang w:val="en-US"/>
        </w:rPr>
      </w:pPr>
      <w:r>
        <w:rPr>
          <w:rStyle w:val="FootnoteReference"/>
        </w:rPr>
        <w:footnoteRef/>
      </w:r>
      <w:r>
        <w:t xml:space="preserve"> </w:t>
      </w:r>
      <w:r w:rsidRPr="004E0E37">
        <w:rPr>
          <w:rFonts w:ascii="Calibri" w:hAnsi="Calibri" w:cs="Calibri"/>
          <w:sz w:val="18"/>
          <w:szCs w:val="18"/>
        </w:rPr>
        <w:t>Reserve Bank of Australia (2021), “Review of Retail Payments Regulation – Consultation Paper”,</w:t>
      </w:r>
      <w:r w:rsidRPr="004E0E37">
        <w:rPr>
          <w:sz w:val="18"/>
          <w:szCs w:val="18"/>
        </w:rPr>
        <w:t xml:space="preserve"> </w:t>
      </w:r>
      <w:hyperlink r:id="rId20" w:history="1">
        <w:r w:rsidRPr="004E0E37">
          <w:rPr>
            <w:rStyle w:val="Hyperlink"/>
            <w:rFonts w:ascii="Calibri" w:hAnsi="Calibri" w:cs="Calibri"/>
            <w:sz w:val="18"/>
            <w:szCs w:val="18"/>
          </w:rPr>
          <w:t>https://www.rba.gov.au/payments-and-infrastructure/review-of-retail-payments-regulation/consultation-paper-202105/pdf/review-of-retail-payments-regulation-consultation-paper-202105.pdf</w:t>
        </w:r>
      </w:hyperlink>
      <w:r w:rsidRPr="004E0E37">
        <w:rPr>
          <w:rFonts w:ascii="Calibri" w:hAnsi="Calibri" w:cs="Calibri"/>
          <w:sz w:val="18"/>
          <w:szCs w:val="18"/>
        </w:rPr>
        <w:t>, p1</w:t>
      </w:r>
      <w:r>
        <w:rPr>
          <w:rFonts w:ascii="Calibri" w:hAnsi="Calibri" w:cs="Calibri"/>
          <w:sz w:val="18"/>
          <w:szCs w:val="18"/>
        </w:rPr>
        <w:t>9</w:t>
      </w:r>
    </w:p>
  </w:footnote>
  <w:footnote w:id="34">
    <w:p w14:paraId="678BF4AC" w14:textId="06C84491" w:rsidR="00C66E27" w:rsidRPr="004E0E37" w:rsidRDefault="00C66E27" w:rsidP="001C5790">
      <w:pPr>
        <w:pStyle w:val="FootnoteText"/>
        <w:rPr>
          <w:lang w:val="en-US"/>
        </w:rPr>
      </w:pPr>
      <w:r>
        <w:rPr>
          <w:rStyle w:val="FootnoteReference"/>
        </w:rPr>
        <w:footnoteRef/>
      </w:r>
      <w:r>
        <w:t xml:space="preserve"> </w:t>
      </w:r>
      <w:r w:rsidRPr="005D4B84">
        <w:rPr>
          <w:sz w:val="18"/>
          <w:szCs w:val="18"/>
        </w:rPr>
        <w:t>ibid.</w:t>
      </w:r>
      <w:r>
        <w:t xml:space="preserve"> </w:t>
      </w:r>
    </w:p>
  </w:footnote>
  <w:footnote w:id="35">
    <w:p w14:paraId="557CD3DD" w14:textId="3B8AA6F8" w:rsidR="00C66E27" w:rsidRPr="00601743" w:rsidRDefault="00C66E27">
      <w:pPr>
        <w:pStyle w:val="FootnoteText"/>
        <w:rPr>
          <w:lang w:val="en-US"/>
        </w:rPr>
      </w:pPr>
      <w:r>
        <w:rPr>
          <w:rStyle w:val="FootnoteReference"/>
        </w:rPr>
        <w:footnoteRef/>
      </w:r>
      <w:r>
        <w:t xml:space="preserve"> </w:t>
      </w:r>
      <w:r w:rsidRPr="00EE2B94">
        <w:rPr>
          <w:rFonts w:ascii="Calibri" w:hAnsi="Calibri" w:cs="Segoe UI"/>
          <w:sz w:val="18"/>
          <w:szCs w:val="18"/>
          <w:lang w:val="en-US"/>
        </w:rPr>
        <w:t>According to CLEAR’s research, 29 per cent of consumers would shop at a different retailer if their preferred choice of payment network brand was overridden.</w:t>
      </w:r>
    </w:p>
  </w:footnote>
  <w:footnote w:id="36">
    <w:p w14:paraId="10C162FA" w14:textId="4422FF4C" w:rsidR="00C66E27" w:rsidRPr="003124DD" w:rsidRDefault="00C66E27" w:rsidP="009D0F75">
      <w:pPr>
        <w:pStyle w:val="FootnoteText"/>
        <w:rPr>
          <w:sz w:val="18"/>
          <w:szCs w:val="18"/>
        </w:rPr>
      </w:pPr>
      <w:r>
        <w:rPr>
          <w:rStyle w:val="FootnoteReference"/>
        </w:rPr>
        <w:footnoteRef/>
      </w:r>
      <w:r>
        <w:t xml:space="preserve"> </w:t>
      </w:r>
      <w:r w:rsidRPr="003124DD">
        <w:rPr>
          <w:rFonts w:ascii="Calibri" w:hAnsi="Calibri" w:cs="Calibri"/>
          <w:sz w:val="18"/>
          <w:szCs w:val="18"/>
        </w:rPr>
        <w:t>Reserve Bank of Australia (2021), “Review of Retail Payments Regulation – Consultation Paper”,</w:t>
      </w:r>
      <w:r w:rsidRPr="003124DD">
        <w:rPr>
          <w:sz w:val="18"/>
          <w:szCs w:val="18"/>
        </w:rPr>
        <w:t xml:space="preserve"> </w:t>
      </w:r>
      <w:hyperlink r:id="rId21" w:history="1">
        <w:r w:rsidRPr="003124DD">
          <w:rPr>
            <w:rStyle w:val="Hyperlink"/>
            <w:rFonts w:ascii="Calibri" w:hAnsi="Calibri" w:cs="Calibri"/>
            <w:sz w:val="18"/>
            <w:szCs w:val="18"/>
          </w:rPr>
          <w:t>https://www.rba.gov.au/payments-and-infrastructure/review-of-retail-payments-regulation/consultation-paper-202105/pdf/review-of-retail-payments-regulation-consultation-paper-202105.pdf</w:t>
        </w:r>
      </w:hyperlink>
      <w:r w:rsidRPr="003124DD">
        <w:rPr>
          <w:rFonts w:ascii="Calibri" w:hAnsi="Calibri" w:cs="Calibri"/>
          <w:sz w:val="18"/>
          <w:szCs w:val="18"/>
        </w:rPr>
        <w:t>, p</w:t>
      </w:r>
      <w:r>
        <w:rPr>
          <w:rFonts w:ascii="Calibri" w:hAnsi="Calibri" w:cs="Calibri"/>
          <w:sz w:val="18"/>
          <w:szCs w:val="18"/>
        </w:rPr>
        <w:t>p16-</w:t>
      </w:r>
      <w:r w:rsidRPr="003124DD">
        <w:rPr>
          <w:rFonts w:ascii="Calibri" w:hAnsi="Calibri" w:cs="Calibri"/>
          <w:sz w:val="18"/>
          <w:szCs w:val="18"/>
        </w:rPr>
        <w:t>17</w:t>
      </w:r>
    </w:p>
  </w:footnote>
  <w:footnote w:id="37">
    <w:p w14:paraId="266DB95E" w14:textId="26E06A25" w:rsidR="00C66E27" w:rsidRPr="003124DD" w:rsidRDefault="00C66E27">
      <w:pPr>
        <w:pStyle w:val="FootnoteText"/>
        <w:rPr>
          <w:sz w:val="18"/>
          <w:szCs w:val="18"/>
          <w:lang w:val="en-US"/>
        </w:rPr>
      </w:pPr>
      <w:r>
        <w:rPr>
          <w:rStyle w:val="FootnoteReference"/>
        </w:rPr>
        <w:footnoteRef/>
      </w:r>
      <w:r>
        <w:t xml:space="preserve"> </w:t>
      </w:r>
      <w:r w:rsidRPr="003124DD">
        <w:rPr>
          <w:sz w:val="18"/>
          <w:szCs w:val="18"/>
          <w:lang w:val="en-US"/>
        </w:rPr>
        <w:t>Visa (2019), U</w:t>
      </w:r>
      <w:r>
        <w:rPr>
          <w:sz w:val="18"/>
          <w:szCs w:val="18"/>
          <w:lang w:val="en-US"/>
        </w:rPr>
        <w:t>S$9</w:t>
      </w:r>
      <w:r w:rsidRPr="003124DD">
        <w:rPr>
          <w:sz w:val="18"/>
          <w:szCs w:val="18"/>
          <w:lang w:val="en-US"/>
        </w:rPr>
        <w:t xml:space="preserve"> billion investment figure based on internal data on global technology and operations investments between FY15-FY19. More information available at </w:t>
      </w:r>
      <w:hyperlink r:id="rId22" w:history="1">
        <w:r w:rsidRPr="003124DD">
          <w:rPr>
            <w:rStyle w:val="Hyperlink"/>
            <w:sz w:val="18"/>
            <w:szCs w:val="18"/>
          </w:rPr>
          <w:t>https://usa.visa.com/visa-everywhere/blog/bdp/2019/12/24/investing-in-the-1577207091483.html</w:t>
        </w:r>
      </w:hyperlink>
    </w:p>
  </w:footnote>
  <w:footnote w:id="38">
    <w:p w14:paraId="1B56EE68" w14:textId="599E35B0" w:rsidR="00C66E27" w:rsidRPr="00295873" w:rsidRDefault="00C66E27" w:rsidP="00445EB5">
      <w:pPr>
        <w:pStyle w:val="FootnoteText"/>
        <w:rPr>
          <w:lang w:val="en-US"/>
        </w:rPr>
      </w:pPr>
      <w:r w:rsidRPr="00102F0E">
        <w:rPr>
          <w:rStyle w:val="FootnoteReference"/>
        </w:rPr>
        <w:footnoteRef/>
      </w:r>
      <w:r w:rsidRPr="00102F0E">
        <w:t xml:space="preserve"> </w:t>
      </w:r>
      <w:r w:rsidRPr="003124DD">
        <w:rPr>
          <w:sz w:val="18"/>
          <w:szCs w:val="18"/>
          <w:lang w:val="en-US"/>
        </w:rPr>
        <w:t xml:space="preserve">Visa (2020), “Visa prevents more than $560 million in fraud from impacting Australian businesses”, </w:t>
      </w:r>
      <w:hyperlink r:id="rId23" w:history="1">
        <w:r w:rsidRPr="003124DD">
          <w:rPr>
            <w:rStyle w:val="Hyperlink"/>
            <w:sz w:val="18"/>
            <w:szCs w:val="18"/>
            <w:lang w:val="en-US"/>
          </w:rPr>
          <w:t>https://www.visa.com.au/about-visa/newsroom/press-releases/visa-prevents-more-than-560-million-in-fraud-from-impacting-australian-businesses.html</w:t>
        </w:r>
      </w:hyperlink>
      <w:r>
        <w:rPr>
          <w:lang w:val="en-US"/>
        </w:rPr>
        <w:t xml:space="preserve">  </w:t>
      </w:r>
    </w:p>
  </w:footnote>
  <w:footnote w:id="39">
    <w:p w14:paraId="706B0F79" w14:textId="2994400A" w:rsidR="00C66E27" w:rsidRPr="00422E27" w:rsidRDefault="00C66E27">
      <w:pPr>
        <w:pStyle w:val="FootnoteText"/>
        <w:rPr>
          <w:lang w:val="en-US"/>
        </w:rPr>
      </w:pPr>
      <w:r>
        <w:rPr>
          <w:rStyle w:val="FootnoteReference"/>
        </w:rPr>
        <w:footnoteRef/>
      </w:r>
      <w:r>
        <w:t xml:space="preserve"> </w:t>
      </w:r>
      <w:r w:rsidRPr="00A97FA3">
        <w:rPr>
          <w:sz w:val="18"/>
          <w:szCs w:val="18"/>
        </w:rPr>
        <w:t>In a card present environment, presentation of a physical chip enables encrypted data to be incorporated as part of the payment message (including the Cardholder Verification Method – such as a unique PIN) that is secured end-to-end, from the POS through to the Issuer</w:t>
      </w:r>
    </w:p>
  </w:footnote>
  <w:footnote w:id="40">
    <w:p w14:paraId="43268CBE" w14:textId="58A23C75" w:rsidR="00C66E27" w:rsidRPr="001D6C02" w:rsidRDefault="00C66E27">
      <w:pPr>
        <w:pStyle w:val="FootnoteText"/>
        <w:rPr>
          <w:lang w:val="en-US"/>
        </w:rPr>
      </w:pPr>
      <w:r>
        <w:rPr>
          <w:rStyle w:val="FootnoteReference"/>
        </w:rPr>
        <w:footnoteRef/>
      </w:r>
      <w:r w:rsidRPr="00962D14">
        <w:t xml:space="preserve"> </w:t>
      </w:r>
      <w:r w:rsidRPr="00A97FA3">
        <w:rPr>
          <w:sz w:val="18"/>
          <w:szCs w:val="18"/>
          <w:lang w:val="en-US"/>
        </w:rPr>
        <w:t>Visa (2020)</w:t>
      </w:r>
      <w:r>
        <w:rPr>
          <w:sz w:val="18"/>
          <w:szCs w:val="18"/>
          <w:lang w:val="en-US"/>
        </w:rPr>
        <w:t>,</w:t>
      </w:r>
      <w:r w:rsidRPr="00A97FA3">
        <w:rPr>
          <w:sz w:val="18"/>
          <w:szCs w:val="18"/>
          <w:lang w:val="en-US"/>
        </w:rPr>
        <w:t xml:space="preserve"> “Visa Harnesses Real-Time Deep Learning to Enhance Transaction Processing”, </w:t>
      </w:r>
      <w:hyperlink r:id="rId24" w:history="1">
        <w:r w:rsidRPr="00A97FA3">
          <w:rPr>
            <w:rStyle w:val="Hyperlink"/>
            <w:sz w:val="18"/>
            <w:szCs w:val="18"/>
            <w:lang w:val="en-US"/>
          </w:rPr>
          <w:t>https://usa.visa.com/about-visa/newsroom/press-releases.releaseId.17301.html</w:t>
        </w:r>
      </w:hyperlink>
      <w:r>
        <w:rPr>
          <w:lang w:val="en-US"/>
        </w:rPr>
        <w:t xml:space="preserve"> </w:t>
      </w:r>
    </w:p>
  </w:footnote>
  <w:footnote w:id="41">
    <w:p w14:paraId="60B1A5EA" w14:textId="5F7428D5" w:rsidR="00C66E27" w:rsidRPr="00F86BC3" w:rsidRDefault="00C66E27">
      <w:pPr>
        <w:pStyle w:val="FootnoteText"/>
        <w:rPr>
          <w:lang w:val="en-US"/>
        </w:rPr>
      </w:pPr>
      <w:r>
        <w:rPr>
          <w:rStyle w:val="FootnoteReference"/>
        </w:rPr>
        <w:footnoteRef/>
      </w:r>
      <w:r>
        <w:t xml:space="preserve"> </w:t>
      </w:r>
      <w:r w:rsidRPr="00A97FA3">
        <w:rPr>
          <w:rFonts w:ascii="Calibri" w:hAnsi="Calibri" w:cs="Calibri"/>
          <w:sz w:val="18"/>
          <w:szCs w:val="18"/>
        </w:rPr>
        <w:t>Reserve Bank of Australia (2021), “Review of Retail Payments Regulation – Consultation Paper”,</w:t>
      </w:r>
      <w:r w:rsidRPr="00A97FA3">
        <w:rPr>
          <w:sz w:val="18"/>
          <w:szCs w:val="18"/>
        </w:rPr>
        <w:t xml:space="preserve"> </w:t>
      </w:r>
      <w:hyperlink r:id="rId25" w:history="1">
        <w:r w:rsidRPr="00A97FA3">
          <w:rPr>
            <w:rStyle w:val="Hyperlink"/>
            <w:rFonts w:ascii="Calibri" w:hAnsi="Calibri" w:cs="Calibri"/>
            <w:sz w:val="18"/>
            <w:szCs w:val="18"/>
          </w:rPr>
          <w:t>https://www.rba.gov.au/payments-and-infrastructure/review-of-retail-payments-regulation/consultation-paper-202105/pdf/review-of-retail-payments-regulation-consultation-paper-202105.pdf</w:t>
        </w:r>
      </w:hyperlink>
      <w:r w:rsidRPr="00A97FA3">
        <w:rPr>
          <w:rFonts w:ascii="Calibri" w:hAnsi="Calibri" w:cs="Calibri"/>
          <w:sz w:val="18"/>
          <w:szCs w:val="18"/>
        </w:rPr>
        <w:t>, p16</w:t>
      </w:r>
    </w:p>
  </w:footnote>
  <w:footnote w:id="42">
    <w:p w14:paraId="7CA8C7A7" w14:textId="5BB0B909" w:rsidR="00C66E27" w:rsidRDefault="00C66E27" w:rsidP="009D0F75">
      <w:pPr>
        <w:pStyle w:val="FootnoteText"/>
      </w:pPr>
      <w:r>
        <w:rPr>
          <w:rStyle w:val="FootnoteReference"/>
        </w:rPr>
        <w:footnoteRef/>
      </w:r>
      <w:r>
        <w:t xml:space="preserve"> </w:t>
      </w:r>
      <w:r>
        <w:rPr>
          <w:rFonts w:ascii="Calibri" w:hAnsi="Calibri" w:cs="Calibri"/>
          <w:sz w:val="18"/>
          <w:szCs w:val="18"/>
        </w:rPr>
        <w:t xml:space="preserve">ibid., </w:t>
      </w:r>
      <w:r w:rsidRPr="00A97FA3">
        <w:rPr>
          <w:sz w:val="18"/>
          <w:szCs w:val="18"/>
        </w:rPr>
        <w:t>p18</w:t>
      </w:r>
    </w:p>
  </w:footnote>
  <w:footnote w:id="43">
    <w:p w14:paraId="613C7A81" w14:textId="4B68E02A" w:rsidR="00C66E27" w:rsidRPr="007D6082" w:rsidRDefault="00C66E27">
      <w:pPr>
        <w:pStyle w:val="FootnoteText"/>
        <w:rPr>
          <w:lang w:val="en-US"/>
        </w:rPr>
      </w:pPr>
      <w:r>
        <w:rPr>
          <w:rStyle w:val="FootnoteReference"/>
        </w:rPr>
        <w:footnoteRef/>
      </w:r>
      <w:r>
        <w:t xml:space="preserve"> </w:t>
      </w:r>
      <w:r>
        <w:rPr>
          <w:rFonts w:ascii="Calibri" w:hAnsi="Calibri" w:cs="Calibri"/>
          <w:sz w:val="18"/>
          <w:szCs w:val="18"/>
        </w:rPr>
        <w:t>ibid.,</w:t>
      </w:r>
      <w:r w:rsidRPr="00A97FA3">
        <w:rPr>
          <w:sz w:val="18"/>
          <w:szCs w:val="18"/>
        </w:rPr>
        <w:t xml:space="preserve"> p14</w:t>
      </w:r>
    </w:p>
  </w:footnote>
  <w:footnote w:id="44">
    <w:p w14:paraId="529D0620" w14:textId="14AE7C24" w:rsidR="00C66E27" w:rsidRPr="007D6082" w:rsidRDefault="00C66E27">
      <w:pPr>
        <w:pStyle w:val="FootnoteText"/>
        <w:rPr>
          <w:lang w:val="en-US"/>
        </w:rPr>
      </w:pPr>
      <w:r>
        <w:rPr>
          <w:rStyle w:val="FootnoteReference"/>
        </w:rPr>
        <w:footnoteRef/>
      </w:r>
      <w:r>
        <w:t xml:space="preserve"> </w:t>
      </w:r>
      <w:r>
        <w:rPr>
          <w:rFonts w:ascii="Calibri" w:hAnsi="Calibri" w:cs="Calibri"/>
          <w:sz w:val="18"/>
          <w:szCs w:val="18"/>
        </w:rPr>
        <w:t>ibid.</w:t>
      </w:r>
    </w:p>
  </w:footnote>
  <w:footnote w:id="45">
    <w:p w14:paraId="70FAAD8B" w14:textId="3DCF1FF8" w:rsidR="00C66E27" w:rsidRPr="005E40D3" w:rsidRDefault="00C66E27" w:rsidP="00DD4320">
      <w:pPr>
        <w:pStyle w:val="FootnoteText"/>
        <w:rPr>
          <w:lang w:val="en-US"/>
        </w:rPr>
      </w:pPr>
      <w:r>
        <w:rPr>
          <w:rStyle w:val="FootnoteReference"/>
        </w:rPr>
        <w:footnoteRef/>
      </w:r>
      <w:r>
        <w:t xml:space="preserve"> </w:t>
      </w:r>
      <w:r w:rsidRPr="00A97FA3">
        <w:rPr>
          <w:sz w:val="18"/>
          <w:szCs w:val="18"/>
          <w:lang w:val="en-US"/>
        </w:rPr>
        <w:t xml:space="preserve">Australian Competition and Consumer Commission (2021) </w:t>
      </w:r>
      <w:r w:rsidRPr="00A97FA3">
        <w:rPr>
          <w:sz w:val="18"/>
          <w:szCs w:val="18"/>
        </w:rPr>
        <w:t xml:space="preserve">“Visa undertakes to address competition concerns over debit card payments”, </w:t>
      </w:r>
      <w:hyperlink r:id="rId26" w:history="1">
        <w:r w:rsidRPr="00A97FA3">
          <w:rPr>
            <w:rStyle w:val="Hyperlink"/>
            <w:sz w:val="18"/>
            <w:szCs w:val="18"/>
          </w:rPr>
          <w:t>https://www.accc.gov.au/media-release/visa-undertakes-to-address-competition-concerns-over-debit-card-payments</w:t>
        </w:r>
      </w:hyperlink>
      <w:r>
        <w:t xml:space="preserve"> </w:t>
      </w:r>
    </w:p>
  </w:footnote>
  <w:footnote w:id="46">
    <w:p w14:paraId="72A954E8" w14:textId="593CB0D4" w:rsidR="00C66E27" w:rsidRPr="00C32292" w:rsidRDefault="00C66E27">
      <w:pPr>
        <w:pStyle w:val="FootnoteText"/>
        <w:rPr>
          <w:lang w:val="en-US"/>
        </w:rPr>
      </w:pPr>
      <w:r>
        <w:rPr>
          <w:rStyle w:val="FootnoteReference"/>
        </w:rPr>
        <w:footnoteRef/>
      </w:r>
      <w:r>
        <w:t xml:space="preserve"> </w:t>
      </w:r>
      <w:r w:rsidRPr="00AF6479">
        <w:rPr>
          <w:rFonts w:ascii="Calibri" w:hAnsi="Calibri" w:cs="Calibri"/>
          <w:sz w:val="18"/>
          <w:szCs w:val="18"/>
        </w:rPr>
        <w:t>Reserve Bank of Australia (2021), “Review of Retail Payments Regulation – Consultation Paper”,</w:t>
      </w:r>
      <w:r w:rsidRPr="00AF6479">
        <w:rPr>
          <w:sz w:val="18"/>
          <w:szCs w:val="18"/>
        </w:rPr>
        <w:t xml:space="preserve"> </w:t>
      </w:r>
      <w:hyperlink r:id="rId27" w:history="1">
        <w:r w:rsidRPr="00AF6479">
          <w:rPr>
            <w:rStyle w:val="Hyperlink"/>
            <w:rFonts w:ascii="Calibri" w:hAnsi="Calibri" w:cs="Calibri"/>
            <w:sz w:val="18"/>
            <w:szCs w:val="18"/>
          </w:rPr>
          <w:t>https://www.rba.gov.au/payments-and-infrastructure/review-of-retail-payments-regulation/consultation-paper-202105/pdf/review-of-retail-payments-regulation-consultation-paper-202105.pdf</w:t>
        </w:r>
      </w:hyperlink>
      <w:r w:rsidRPr="00AF6479">
        <w:rPr>
          <w:rFonts w:ascii="Calibri" w:hAnsi="Calibri" w:cs="Calibri"/>
          <w:sz w:val="18"/>
          <w:szCs w:val="18"/>
        </w:rPr>
        <w:t>, p8</w:t>
      </w:r>
    </w:p>
  </w:footnote>
  <w:footnote w:id="47">
    <w:p w14:paraId="3838AA68" w14:textId="2DFE63A3" w:rsidR="00C66E27" w:rsidRPr="00F86BC3" w:rsidRDefault="00C66E27" w:rsidP="00A958A6">
      <w:pPr>
        <w:pStyle w:val="FootnoteText"/>
        <w:rPr>
          <w:lang w:val="en-US"/>
        </w:rPr>
      </w:pPr>
      <w:r>
        <w:rPr>
          <w:rStyle w:val="FootnoteReference"/>
        </w:rPr>
        <w:footnoteRef/>
      </w:r>
      <w:r w:rsidR="00EC3B8D">
        <w:t xml:space="preserve"> </w:t>
      </w:r>
      <w:r w:rsidR="00EC3B8D">
        <w:rPr>
          <w:rFonts w:ascii="Calibri" w:hAnsi="Calibri" w:cs="Calibri"/>
          <w:sz w:val="18"/>
          <w:szCs w:val="18"/>
        </w:rPr>
        <w:t xml:space="preserve">ibid., </w:t>
      </w:r>
      <w:r w:rsidRPr="0058106E">
        <w:rPr>
          <w:rFonts w:ascii="Calibri" w:hAnsi="Calibri" w:cs="Calibri"/>
          <w:sz w:val="18"/>
          <w:szCs w:val="18"/>
        </w:rPr>
        <w:t>p3</w:t>
      </w:r>
    </w:p>
  </w:footnote>
  <w:footnote w:id="48">
    <w:p w14:paraId="1984BD06" w14:textId="7DB8B40F" w:rsidR="00C66E27" w:rsidRPr="00F86BC3" w:rsidRDefault="00C66E27">
      <w:pPr>
        <w:pStyle w:val="FootnoteText"/>
        <w:rPr>
          <w:lang w:val="en-US"/>
        </w:rPr>
      </w:pPr>
      <w:r>
        <w:rPr>
          <w:rStyle w:val="FootnoteReference"/>
        </w:rPr>
        <w:footnoteRef/>
      </w:r>
      <w:r>
        <w:t xml:space="preserve"> </w:t>
      </w:r>
      <w:r>
        <w:rPr>
          <w:rFonts w:ascii="Calibri" w:hAnsi="Calibri" w:cs="Calibri"/>
          <w:sz w:val="18"/>
          <w:szCs w:val="18"/>
        </w:rPr>
        <w:t>ibid.</w:t>
      </w:r>
    </w:p>
  </w:footnote>
  <w:footnote w:id="49">
    <w:p w14:paraId="00E3E1C8" w14:textId="3CD84D09" w:rsidR="00C66E27" w:rsidRPr="00F86BC3" w:rsidRDefault="00C66E27" w:rsidP="00FD7EAB">
      <w:pPr>
        <w:pStyle w:val="FootnoteText"/>
      </w:pPr>
      <w:r>
        <w:rPr>
          <w:rStyle w:val="FootnoteReference"/>
          <w:sz w:val="18"/>
          <w:szCs w:val="18"/>
        </w:rPr>
        <w:footnoteRef/>
      </w:r>
      <w:r>
        <w:rPr>
          <w:sz w:val="18"/>
          <w:szCs w:val="18"/>
        </w:rPr>
        <w:t xml:space="preserve"> </w:t>
      </w:r>
      <w:r w:rsidRPr="00E72BFE">
        <w:rPr>
          <w:sz w:val="18"/>
          <w:szCs w:val="18"/>
        </w:rPr>
        <w:t xml:space="preserve">The </w:t>
      </w:r>
      <w:r w:rsidR="00EC3B8D">
        <w:rPr>
          <w:sz w:val="18"/>
          <w:szCs w:val="18"/>
        </w:rPr>
        <w:t xml:space="preserve">then </w:t>
      </w:r>
      <w:r w:rsidRPr="00E72BFE">
        <w:rPr>
          <w:sz w:val="18"/>
          <w:szCs w:val="18"/>
        </w:rPr>
        <w:t xml:space="preserve">Executive Director of the Electronic Payments Coalition, Molly Wilkinson, has noted: “The Durbin Amendment essentially cut larger banks’ per-transaction debit interchange revenues in half and, in the process shifted more cost-sharing responsibility on to the small Durbin ‘exempt’ banks …” For further details, see Wilkinson, Molly (2017), “Small Banks and Credit Unions Paying Millions For Durbin Amendment”, </w:t>
      </w:r>
      <w:r w:rsidRPr="00E72BFE">
        <w:rPr>
          <w:i/>
          <w:sz w:val="18"/>
          <w:szCs w:val="18"/>
        </w:rPr>
        <w:t>Forbes</w:t>
      </w:r>
      <w:r w:rsidRPr="00E72BFE">
        <w:rPr>
          <w:sz w:val="18"/>
          <w:szCs w:val="18"/>
        </w:rPr>
        <w:t xml:space="preserve">, </w:t>
      </w:r>
      <w:hyperlink r:id="rId28" w:anchor="6b8e008b2a0a" w:history="1">
        <w:r w:rsidRPr="00E72BFE">
          <w:rPr>
            <w:rStyle w:val="Hyperlink"/>
            <w:sz w:val="18"/>
            <w:szCs w:val="18"/>
          </w:rPr>
          <w:t>https://www.forbes.com/sites/realspin/2017/02/07/small-banks-and-credit-unions-paying-millions-for-durbin-amendment/#6b8e008b2a0a</w:t>
        </w:r>
      </w:hyperlink>
      <w:r>
        <w:rPr>
          <w:rStyle w:val="Hyperlink"/>
          <w:sz w:val="18"/>
          <w:szCs w:val="18"/>
        </w:rPr>
        <w:t xml:space="preserve">. </w:t>
      </w:r>
      <w:r w:rsidRPr="00E3292B">
        <w:rPr>
          <w:rStyle w:val="Hyperlink"/>
          <w:color w:val="auto"/>
          <w:sz w:val="18"/>
          <w:szCs w:val="18"/>
          <w:u w:val="none"/>
        </w:rPr>
        <w:t>See also Mukharlyamov, Vladimir, and Sarin, Natasha, (2019), “The Impact of the Durbin Amendments on Banks, Merchants and Consumers”, Penn Law: Legal Scholarship Repository, January.</w:t>
      </w:r>
      <w:r>
        <w:rPr>
          <w:rStyle w:val="Hyperlink"/>
          <w:sz w:val="18"/>
          <w:szCs w:val="18"/>
        </w:rPr>
        <w:t xml:space="preserve"> </w:t>
      </w:r>
      <w:hyperlink r:id="rId29" w:history="1">
        <w:r w:rsidRPr="00E3292B">
          <w:rPr>
            <w:rStyle w:val="Hyperlink"/>
            <w:rFonts w:eastAsia="Times New Roman"/>
            <w:sz w:val="18"/>
            <w:szCs w:val="18"/>
          </w:rPr>
          <w:t>https://scholarship.law.upenn.edu/cgi/viewcontent.cgi?article=3048&amp;context=faculty_scholarship</w:t>
        </w:r>
      </w:hyperlink>
    </w:p>
  </w:footnote>
  <w:footnote w:id="50">
    <w:p w14:paraId="0D7EA960" w14:textId="45E2D431" w:rsidR="00C66E27" w:rsidRPr="006E6BD4" w:rsidRDefault="00C66E27">
      <w:pPr>
        <w:pStyle w:val="FootnoteText"/>
        <w:rPr>
          <w:lang w:val="en-US"/>
        </w:rPr>
      </w:pPr>
      <w:r>
        <w:rPr>
          <w:rStyle w:val="FootnoteReference"/>
        </w:rPr>
        <w:footnoteRef/>
      </w:r>
      <w:r>
        <w:t xml:space="preserve"> </w:t>
      </w:r>
      <w:r w:rsidR="00EC3B8D">
        <w:rPr>
          <w:rFonts w:ascii="Calibri" w:hAnsi="Calibri" w:cs="Calibri"/>
          <w:sz w:val="18"/>
          <w:szCs w:val="18"/>
        </w:rPr>
        <w:t>R</w:t>
      </w:r>
      <w:r w:rsidRPr="00E72BFE">
        <w:rPr>
          <w:rFonts w:ascii="Calibri" w:hAnsi="Calibri" w:cs="Calibri"/>
          <w:sz w:val="18"/>
          <w:szCs w:val="18"/>
        </w:rPr>
        <w:t>eserve Bank of Australia (2021), “Review of Retail Payments Regulation – Consultation Paper”,</w:t>
      </w:r>
      <w:r w:rsidRPr="00E72BFE">
        <w:rPr>
          <w:sz w:val="18"/>
          <w:szCs w:val="18"/>
        </w:rPr>
        <w:t xml:space="preserve"> </w:t>
      </w:r>
      <w:hyperlink r:id="rId30" w:history="1">
        <w:r w:rsidRPr="00E72BFE">
          <w:rPr>
            <w:rStyle w:val="Hyperlink"/>
            <w:rFonts w:ascii="Calibri" w:hAnsi="Calibri" w:cs="Calibri"/>
            <w:sz w:val="18"/>
            <w:szCs w:val="18"/>
          </w:rPr>
          <w:t>https://www.rba.gov.au/payments-and-infrastructure/review-of-retail-payments-regulation/consultation-paper-202105/pdf/review-of-retail-payments-regulation-consultation-paper-202105.pdf</w:t>
        </w:r>
      </w:hyperlink>
      <w:r w:rsidRPr="00E72BFE">
        <w:rPr>
          <w:rFonts w:ascii="Calibri" w:hAnsi="Calibri" w:cs="Calibri"/>
          <w:sz w:val="18"/>
          <w:szCs w:val="18"/>
        </w:rPr>
        <w:t>, p49</w:t>
      </w:r>
    </w:p>
  </w:footnote>
  <w:footnote w:id="51">
    <w:p w14:paraId="15C2D2F4" w14:textId="48AF2010" w:rsidR="00C66E27" w:rsidRPr="00AE2643" w:rsidRDefault="00C66E27">
      <w:pPr>
        <w:pStyle w:val="FootnoteText"/>
        <w:rPr>
          <w:sz w:val="18"/>
          <w:szCs w:val="18"/>
          <w:lang w:val="en-US"/>
        </w:rPr>
      </w:pPr>
      <w:r>
        <w:rPr>
          <w:rStyle w:val="FootnoteReference"/>
        </w:rPr>
        <w:footnoteRef/>
      </w:r>
      <w:r>
        <w:t xml:space="preserve"> </w:t>
      </w:r>
      <w:r w:rsidRPr="00AE2643">
        <w:rPr>
          <w:sz w:val="18"/>
          <w:szCs w:val="18"/>
          <w:lang w:val="en-US"/>
        </w:rPr>
        <w:t>ibid., p41</w:t>
      </w:r>
    </w:p>
  </w:footnote>
  <w:footnote w:id="52">
    <w:p w14:paraId="7F6449AE" w14:textId="3B4961F1" w:rsidR="00C66E27" w:rsidRPr="008E73E6" w:rsidRDefault="00C66E27">
      <w:pPr>
        <w:pStyle w:val="FootnoteText"/>
        <w:rPr>
          <w:lang w:val="en-US"/>
        </w:rPr>
      </w:pPr>
      <w:r>
        <w:rPr>
          <w:rStyle w:val="FootnoteReference"/>
        </w:rPr>
        <w:footnoteRef/>
      </w:r>
      <w:r>
        <w:t xml:space="preserve"> </w:t>
      </w:r>
      <w:r w:rsidRPr="00713150">
        <w:rPr>
          <w:rFonts w:ascii="Calibri" w:hAnsi="Calibri" w:cs="Calibri"/>
          <w:sz w:val="18"/>
          <w:szCs w:val="18"/>
        </w:rPr>
        <w:t>ibid., p42</w:t>
      </w:r>
    </w:p>
  </w:footnote>
  <w:footnote w:id="53">
    <w:p w14:paraId="70CAA896" w14:textId="1A85B8DF" w:rsidR="00C66E27" w:rsidRPr="00EE13AB" w:rsidRDefault="00C66E27">
      <w:pPr>
        <w:pStyle w:val="FootnoteText"/>
        <w:rPr>
          <w:sz w:val="18"/>
          <w:szCs w:val="18"/>
          <w:lang w:val="en-US"/>
        </w:rPr>
      </w:pPr>
      <w:r w:rsidRPr="00EE13AB">
        <w:rPr>
          <w:rStyle w:val="FootnoteReference"/>
          <w:sz w:val="18"/>
          <w:szCs w:val="18"/>
        </w:rPr>
        <w:footnoteRef/>
      </w:r>
      <w:r w:rsidRPr="00EE13AB">
        <w:rPr>
          <w:sz w:val="18"/>
          <w:szCs w:val="18"/>
        </w:rPr>
        <w:t xml:space="preserve"> </w:t>
      </w:r>
      <w:r w:rsidRPr="00EE13AB">
        <w:rPr>
          <w:sz w:val="18"/>
          <w:szCs w:val="18"/>
          <w:lang w:val="en-US"/>
        </w:rPr>
        <w:t>Ibid., p43</w:t>
      </w:r>
    </w:p>
  </w:footnote>
  <w:footnote w:id="54">
    <w:p w14:paraId="1177626F" w14:textId="229A3456" w:rsidR="00C66E27" w:rsidRPr="00EE13AB" w:rsidRDefault="00C66E27">
      <w:pPr>
        <w:pStyle w:val="FootnoteText"/>
        <w:rPr>
          <w:lang w:val="en-US"/>
        </w:rPr>
      </w:pPr>
      <w:r>
        <w:rPr>
          <w:rStyle w:val="FootnoteReference"/>
        </w:rPr>
        <w:footnoteRef/>
      </w:r>
      <w:r>
        <w:t xml:space="preserve"> </w:t>
      </w:r>
      <w:r w:rsidRPr="007A723E">
        <w:rPr>
          <w:sz w:val="18"/>
          <w:szCs w:val="18"/>
        </w:rPr>
        <w:t xml:space="preserve">CLEAR (2021) ‘Uncovering preference for routing debit transactions in Australia’ research commissioned by Visa in May 2021. Based on </w:t>
      </w:r>
      <w:r>
        <w:rPr>
          <w:sz w:val="18"/>
          <w:szCs w:val="18"/>
        </w:rPr>
        <w:t xml:space="preserve">a </w:t>
      </w:r>
      <w:r w:rsidRPr="007A723E">
        <w:rPr>
          <w:sz w:val="18"/>
          <w:szCs w:val="18"/>
        </w:rPr>
        <w:t xml:space="preserve">survey of 2,045 Australian debit cardholders </w:t>
      </w:r>
      <w:r>
        <w:rPr>
          <w:sz w:val="18"/>
          <w:szCs w:val="18"/>
        </w:rPr>
        <w:t xml:space="preserve">aged </w:t>
      </w:r>
      <w:r w:rsidRPr="007A723E">
        <w:rPr>
          <w:sz w:val="18"/>
          <w:szCs w:val="18"/>
        </w:rPr>
        <w:t>between 18-75 years</w:t>
      </w:r>
      <w:r>
        <w:rPr>
          <w:sz w:val="18"/>
          <w:szCs w:val="18"/>
        </w:rPr>
        <w:t xml:space="preserve"> undertaken in an independent capacity</w:t>
      </w:r>
      <w:r w:rsidRPr="007A723E">
        <w:rPr>
          <w:sz w:val="18"/>
          <w:szCs w:val="18"/>
        </w:rPr>
        <w:t>.</w:t>
      </w:r>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3120"/>
      <w:gridCol w:w="3120"/>
      <w:gridCol w:w="3120"/>
    </w:tblGrid>
    <w:tr w:rsidR="00C66E27" w14:paraId="71FD384A" w14:textId="77777777" w:rsidTr="00354325">
      <w:tc>
        <w:tcPr>
          <w:tcW w:w="3120" w:type="dxa"/>
        </w:tcPr>
        <w:p w14:paraId="3C2976B7" w14:textId="258C9E57" w:rsidR="00C66E27" w:rsidRDefault="00C66E27" w:rsidP="00354325">
          <w:pPr>
            <w:pStyle w:val="Header"/>
            <w:ind w:left="-115"/>
          </w:pPr>
        </w:p>
      </w:tc>
      <w:tc>
        <w:tcPr>
          <w:tcW w:w="3120" w:type="dxa"/>
        </w:tcPr>
        <w:p w14:paraId="18084D15" w14:textId="57632F58" w:rsidR="00C66E27" w:rsidRDefault="00C66E27" w:rsidP="00354325">
          <w:pPr>
            <w:pStyle w:val="Header"/>
            <w:jc w:val="center"/>
          </w:pPr>
        </w:p>
      </w:tc>
      <w:tc>
        <w:tcPr>
          <w:tcW w:w="3120" w:type="dxa"/>
        </w:tcPr>
        <w:p w14:paraId="526FD791" w14:textId="3799D84A" w:rsidR="00C66E27" w:rsidRDefault="00C66E27" w:rsidP="00354325">
          <w:pPr>
            <w:pStyle w:val="Header"/>
            <w:ind w:right="-115"/>
            <w:jc w:val="right"/>
          </w:pPr>
        </w:p>
      </w:tc>
    </w:tr>
  </w:tbl>
  <w:p w14:paraId="68DC1B68" w14:textId="4A2C1C27" w:rsidR="00C66E27" w:rsidRDefault="00C66E27" w:rsidP="0035432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3120"/>
      <w:gridCol w:w="3120"/>
      <w:gridCol w:w="3120"/>
    </w:tblGrid>
    <w:tr w:rsidR="00C66E27" w14:paraId="5FADF345" w14:textId="77777777" w:rsidTr="00354325">
      <w:tc>
        <w:tcPr>
          <w:tcW w:w="3120" w:type="dxa"/>
        </w:tcPr>
        <w:p w14:paraId="3B6C9E3B" w14:textId="48130139" w:rsidR="00C66E27" w:rsidRDefault="00C66E27" w:rsidP="00354325">
          <w:pPr>
            <w:pStyle w:val="Header"/>
            <w:ind w:left="-115"/>
          </w:pPr>
        </w:p>
      </w:tc>
      <w:tc>
        <w:tcPr>
          <w:tcW w:w="3120" w:type="dxa"/>
        </w:tcPr>
        <w:p w14:paraId="777902FD" w14:textId="4AD1BF63" w:rsidR="00C66E27" w:rsidRDefault="00C66E27" w:rsidP="00354325">
          <w:pPr>
            <w:pStyle w:val="Header"/>
            <w:jc w:val="center"/>
          </w:pPr>
        </w:p>
      </w:tc>
      <w:tc>
        <w:tcPr>
          <w:tcW w:w="3120" w:type="dxa"/>
        </w:tcPr>
        <w:p w14:paraId="4F2EBF58" w14:textId="1804778F" w:rsidR="00C66E27" w:rsidRDefault="00C66E27" w:rsidP="00354325">
          <w:pPr>
            <w:pStyle w:val="Header"/>
            <w:ind w:right="-115"/>
            <w:jc w:val="right"/>
          </w:pPr>
        </w:p>
      </w:tc>
    </w:tr>
  </w:tbl>
  <w:p w14:paraId="6D549D9A" w14:textId="1BFB00C8" w:rsidR="00C66E27" w:rsidRDefault="00C66E27" w:rsidP="0035432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A2BFAC2" w14:textId="77777777" w:rsidR="00C66E27" w:rsidRDefault="00C66E27" w:rsidP="00F6560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3120"/>
      <w:gridCol w:w="3120"/>
      <w:gridCol w:w="3120"/>
    </w:tblGrid>
    <w:tr w:rsidR="00C66E27" w14:paraId="7BE7923F" w14:textId="77777777" w:rsidTr="00354325">
      <w:tc>
        <w:tcPr>
          <w:tcW w:w="3120" w:type="dxa"/>
        </w:tcPr>
        <w:p w14:paraId="7899134E" w14:textId="77777777" w:rsidR="00C66E27" w:rsidRDefault="00C66E27" w:rsidP="00354325">
          <w:pPr>
            <w:pStyle w:val="Header"/>
            <w:ind w:left="-115"/>
          </w:pPr>
        </w:p>
      </w:tc>
      <w:tc>
        <w:tcPr>
          <w:tcW w:w="3120" w:type="dxa"/>
        </w:tcPr>
        <w:p w14:paraId="238694B1" w14:textId="77777777" w:rsidR="00C66E27" w:rsidRDefault="00C66E27" w:rsidP="00354325">
          <w:pPr>
            <w:pStyle w:val="Header"/>
            <w:jc w:val="center"/>
          </w:pPr>
        </w:p>
      </w:tc>
      <w:tc>
        <w:tcPr>
          <w:tcW w:w="3120" w:type="dxa"/>
        </w:tcPr>
        <w:p w14:paraId="7D031FCA" w14:textId="77777777" w:rsidR="00C66E27" w:rsidRDefault="00C66E27" w:rsidP="00354325">
          <w:pPr>
            <w:pStyle w:val="Header"/>
            <w:ind w:right="-115"/>
            <w:jc w:val="right"/>
          </w:pPr>
        </w:p>
      </w:tc>
    </w:tr>
  </w:tbl>
  <w:p w14:paraId="7DE2837A" w14:textId="77777777" w:rsidR="00C66E27" w:rsidRDefault="00C66E27" w:rsidP="00354325">
    <w:pPr>
      <w:pStyle w:val="Header"/>
    </w:pPr>
  </w:p>
</w:hdr>
</file>

<file path=word/intelligence.xml><?xml version="1.0" encoding="utf-8"?>
<int:Intelligence xmlns:int="http://schemas.microsoft.com/office/intelligence/2019/intelligence">
  <int:IntelligenceSettings/>
  <int:Manifest>
    <int:WordHash hashCode="QYsovXL24/EcfB" id="18bepacD"/>
  </int:Manifest>
  <int:Observations>
    <int:Content id="18bepacD">
      <int:Rejection type="LegacyProofing"/>
    </int:Content>
  </int:Observations>
</int: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39E193A"/>
    <w:multiLevelType w:val="hybridMultilevel"/>
    <w:tmpl w:val="070EFDC2"/>
    <w:lvl w:ilvl="0" w:tplc="04090003">
      <w:start w:val="1"/>
      <w:numFmt w:val="bullet"/>
      <w:lvlText w:val="o"/>
      <w:lvlJc w:val="left"/>
      <w:rPr>
        <w:rFonts w:ascii="Courier New" w:hAnsi="Courier New" w:cs="Courier New"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D440C54"/>
    <w:multiLevelType w:val="hybridMultilevel"/>
    <w:tmpl w:val="584A8A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20F06C6"/>
    <w:multiLevelType w:val="multilevel"/>
    <w:tmpl w:val="99861334"/>
    <w:styleLink w:val="OutlineList"/>
    <w:lvl w:ilvl="0">
      <w:start w:val="1"/>
      <w:numFmt w:val="decimal"/>
      <w:pStyle w:val="OutlineNumbered1"/>
      <w:lvlText w:val="%1."/>
      <w:lvlJc w:val="left"/>
      <w:pPr>
        <w:tabs>
          <w:tab w:val="num" w:pos="851"/>
        </w:tabs>
        <w:ind w:left="851" w:hanging="851"/>
      </w:pPr>
      <w:rPr>
        <w:rFonts w:hint="default"/>
      </w:rPr>
    </w:lvl>
    <w:lvl w:ilvl="1">
      <w:start w:val="1"/>
      <w:numFmt w:val="decimal"/>
      <w:pStyle w:val="OutlineNumbered2"/>
      <w:lvlText w:val="%1.%2"/>
      <w:lvlJc w:val="left"/>
      <w:pPr>
        <w:tabs>
          <w:tab w:val="num" w:pos="1134"/>
        </w:tabs>
        <w:ind w:left="1134" w:hanging="1134"/>
      </w:pPr>
      <w:rPr>
        <w:rFonts w:hint="default"/>
      </w:rPr>
    </w:lvl>
    <w:lvl w:ilvl="2">
      <w:start w:val="1"/>
      <w:numFmt w:val="decimal"/>
      <w:pStyle w:val="OutlineNumbered3"/>
      <w:lvlText w:val="%1.%2.%3"/>
      <w:lvlJc w:val="left"/>
      <w:pPr>
        <w:tabs>
          <w:tab w:val="num" w:pos="1418"/>
        </w:tabs>
        <w:ind w:left="1418" w:hanging="1418"/>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 w15:restartNumberingAfterBreak="0">
    <w:nsid w:val="147E5228"/>
    <w:multiLevelType w:val="hybridMultilevel"/>
    <w:tmpl w:val="FE70CB4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C1A3EB0"/>
    <w:multiLevelType w:val="hybridMultilevel"/>
    <w:tmpl w:val="61CA04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B7972E8"/>
    <w:multiLevelType w:val="hybridMultilevel"/>
    <w:tmpl w:val="FFFFFFFF"/>
    <w:lvl w:ilvl="0" w:tplc="EDA8FB32">
      <w:start w:val="1"/>
      <w:numFmt w:val="bullet"/>
      <w:lvlText w:val=""/>
      <w:lvlJc w:val="left"/>
      <w:pPr>
        <w:ind w:left="720" w:hanging="360"/>
      </w:pPr>
      <w:rPr>
        <w:rFonts w:ascii="Symbol" w:hAnsi="Symbol" w:hint="default"/>
      </w:rPr>
    </w:lvl>
    <w:lvl w:ilvl="1" w:tplc="36AE1916">
      <w:start w:val="1"/>
      <w:numFmt w:val="bullet"/>
      <w:lvlText w:val="o"/>
      <w:lvlJc w:val="left"/>
      <w:pPr>
        <w:ind w:left="1440" w:hanging="360"/>
      </w:pPr>
      <w:rPr>
        <w:rFonts w:ascii="Courier New" w:hAnsi="Courier New" w:hint="default"/>
      </w:rPr>
    </w:lvl>
    <w:lvl w:ilvl="2" w:tplc="E6FCD452">
      <w:start w:val="1"/>
      <w:numFmt w:val="bullet"/>
      <w:lvlText w:val=""/>
      <w:lvlJc w:val="left"/>
      <w:pPr>
        <w:ind w:left="2160" w:hanging="360"/>
      </w:pPr>
      <w:rPr>
        <w:rFonts w:ascii="Wingdings" w:hAnsi="Wingdings" w:hint="default"/>
      </w:rPr>
    </w:lvl>
    <w:lvl w:ilvl="3" w:tplc="CF72DE0E">
      <w:start w:val="1"/>
      <w:numFmt w:val="bullet"/>
      <w:lvlText w:val=""/>
      <w:lvlJc w:val="left"/>
      <w:pPr>
        <w:ind w:left="2880" w:hanging="360"/>
      </w:pPr>
      <w:rPr>
        <w:rFonts w:ascii="Symbol" w:hAnsi="Symbol" w:hint="default"/>
      </w:rPr>
    </w:lvl>
    <w:lvl w:ilvl="4" w:tplc="4A90EF30">
      <w:start w:val="1"/>
      <w:numFmt w:val="bullet"/>
      <w:lvlText w:val="o"/>
      <w:lvlJc w:val="left"/>
      <w:pPr>
        <w:ind w:left="3600" w:hanging="360"/>
      </w:pPr>
      <w:rPr>
        <w:rFonts w:ascii="Courier New" w:hAnsi="Courier New" w:hint="default"/>
      </w:rPr>
    </w:lvl>
    <w:lvl w:ilvl="5" w:tplc="CEEA78A2">
      <w:start w:val="1"/>
      <w:numFmt w:val="bullet"/>
      <w:lvlText w:val=""/>
      <w:lvlJc w:val="left"/>
      <w:pPr>
        <w:ind w:left="4320" w:hanging="360"/>
      </w:pPr>
      <w:rPr>
        <w:rFonts w:ascii="Wingdings" w:hAnsi="Wingdings" w:hint="default"/>
      </w:rPr>
    </w:lvl>
    <w:lvl w:ilvl="6" w:tplc="6788601A">
      <w:start w:val="1"/>
      <w:numFmt w:val="bullet"/>
      <w:lvlText w:val=""/>
      <w:lvlJc w:val="left"/>
      <w:pPr>
        <w:ind w:left="5040" w:hanging="360"/>
      </w:pPr>
      <w:rPr>
        <w:rFonts w:ascii="Symbol" w:hAnsi="Symbol" w:hint="default"/>
      </w:rPr>
    </w:lvl>
    <w:lvl w:ilvl="7" w:tplc="3DAA21DC">
      <w:start w:val="1"/>
      <w:numFmt w:val="bullet"/>
      <w:lvlText w:val="o"/>
      <w:lvlJc w:val="left"/>
      <w:pPr>
        <w:ind w:left="5760" w:hanging="360"/>
      </w:pPr>
      <w:rPr>
        <w:rFonts w:ascii="Courier New" w:hAnsi="Courier New" w:hint="default"/>
      </w:rPr>
    </w:lvl>
    <w:lvl w:ilvl="8" w:tplc="645A3696">
      <w:start w:val="1"/>
      <w:numFmt w:val="bullet"/>
      <w:lvlText w:val=""/>
      <w:lvlJc w:val="left"/>
      <w:pPr>
        <w:ind w:left="6480" w:hanging="360"/>
      </w:pPr>
      <w:rPr>
        <w:rFonts w:ascii="Wingdings" w:hAnsi="Wingdings" w:hint="default"/>
      </w:rPr>
    </w:lvl>
  </w:abstractNum>
  <w:abstractNum w:abstractNumId="6" w15:restartNumberingAfterBreak="0">
    <w:nsid w:val="2DF5580C"/>
    <w:multiLevelType w:val="hybridMultilevel"/>
    <w:tmpl w:val="3620DC52"/>
    <w:lvl w:ilvl="0" w:tplc="14090001">
      <w:start w:val="1"/>
      <w:numFmt w:val="bullet"/>
      <w:lvlText w:val=""/>
      <w:lvlJc w:val="left"/>
      <w:pPr>
        <w:ind w:left="765" w:hanging="360"/>
      </w:pPr>
      <w:rPr>
        <w:rFonts w:ascii="Symbol" w:hAnsi="Symbol" w:hint="default"/>
      </w:rPr>
    </w:lvl>
    <w:lvl w:ilvl="1" w:tplc="14090003">
      <w:start w:val="1"/>
      <w:numFmt w:val="bullet"/>
      <w:lvlText w:val="o"/>
      <w:lvlJc w:val="left"/>
      <w:pPr>
        <w:ind w:left="1485" w:hanging="360"/>
      </w:pPr>
      <w:rPr>
        <w:rFonts w:ascii="Courier New" w:hAnsi="Courier New" w:cs="Courier New" w:hint="default"/>
      </w:rPr>
    </w:lvl>
    <w:lvl w:ilvl="2" w:tplc="14090005">
      <w:start w:val="1"/>
      <w:numFmt w:val="bullet"/>
      <w:lvlText w:val=""/>
      <w:lvlJc w:val="left"/>
      <w:pPr>
        <w:ind w:left="2205" w:hanging="360"/>
      </w:pPr>
      <w:rPr>
        <w:rFonts w:ascii="Wingdings" w:hAnsi="Wingdings" w:hint="default"/>
      </w:rPr>
    </w:lvl>
    <w:lvl w:ilvl="3" w:tplc="14090001">
      <w:start w:val="1"/>
      <w:numFmt w:val="bullet"/>
      <w:lvlText w:val=""/>
      <w:lvlJc w:val="left"/>
      <w:pPr>
        <w:ind w:left="2925" w:hanging="360"/>
      </w:pPr>
      <w:rPr>
        <w:rFonts w:ascii="Symbol" w:hAnsi="Symbol" w:hint="default"/>
      </w:rPr>
    </w:lvl>
    <w:lvl w:ilvl="4" w:tplc="14090003">
      <w:start w:val="1"/>
      <w:numFmt w:val="bullet"/>
      <w:lvlText w:val="o"/>
      <w:lvlJc w:val="left"/>
      <w:pPr>
        <w:ind w:left="3645" w:hanging="360"/>
      </w:pPr>
      <w:rPr>
        <w:rFonts w:ascii="Courier New" w:hAnsi="Courier New" w:cs="Courier New" w:hint="default"/>
      </w:rPr>
    </w:lvl>
    <w:lvl w:ilvl="5" w:tplc="14090005">
      <w:start w:val="1"/>
      <w:numFmt w:val="bullet"/>
      <w:lvlText w:val=""/>
      <w:lvlJc w:val="left"/>
      <w:pPr>
        <w:ind w:left="4365" w:hanging="360"/>
      </w:pPr>
      <w:rPr>
        <w:rFonts w:ascii="Wingdings" w:hAnsi="Wingdings" w:hint="default"/>
      </w:rPr>
    </w:lvl>
    <w:lvl w:ilvl="6" w:tplc="14090001">
      <w:start w:val="1"/>
      <w:numFmt w:val="bullet"/>
      <w:lvlText w:val=""/>
      <w:lvlJc w:val="left"/>
      <w:pPr>
        <w:ind w:left="5085" w:hanging="360"/>
      </w:pPr>
      <w:rPr>
        <w:rFonts w:ascii="Symbol" w:hAnsi="Symbol" w:hint="default"/>
      </w:rPr>
    </w:lvl>
    <w:lvl w:ilvl="7" w:tplc="14090003">
      <w:start w:val="1"/>
      <w:numFmt w:val="bullet"/>
      <w:lvlText w:val="o"/>
      <w:lvlJc w:val="left"/>
      <w:pPr>
        <w:ind w:left="5805" w:hanging="360"/>
      </w:pPr>
      <w:rPr>
        <w:rFonts w:ascii="Courier New" w:hAnsi="Courier New" w:cs="Courier New" w:hint="default"/>
      </w:rPr>
    </w:lvl>
    <w:lvl w:ilvl="8" w:tplc="14090005">
      <w:start w:val="1"/>
      <w:numFmt w:val="bullet"/>
      <w:lvlText w:val=""/>
      <w:lvlJc w:val="left"/>
      <w:pPr>
        <w:ind w:left="6525" w:hanging="360"/>
      </w:pPr>
      <w:rPr>
        <w:rFonts w:ascii="Wingdings" w:hAnsi="Wingdings" w:hint="default"/>
      </w:rPr>
    </w:lvl>
  </w:abstractNum>
  <w:abstractNum w:abstractNumId="7" w15:restartNumberingAfterBreak="0">
    <w:nsid w:val="510D2021"/>
    <w:multiLevelType w:val="multilevel"/>
    <w:tmpl w:val="99861334"/>
    <w:numStyleLink w:val="OutlineList"/>
  </w:abstractNum>
  <w:abstractNum w:abstractNumId="8" w15:restartNumberingAfterBreak="0">
    <w:nsid w:val="519766DE"/>
    <w:multiLevelType w:val="hybridMultilevel"/>
    <w:tmpl w:val="2FF2A7BA"/>
    <w:lvl w:ilvl="0" w:tplc="04090001">
      <w:start w:val="1"/>
      <w:numFmt w:val="bullet"/>
      <w:lvlText w:val=""/>
      <w:lvlJc w:val="left"/>
      <w:pPr>
        <w:ind w:left="54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54F21155"/>
    <w:multiLevelType w:val="hybridMultilevel"/>
    <w:tmpl w:val="FFFFFFFF"/>
    <w:lvl w:ilvl="0" w:tplc="3130710A">
      <w:start w:val="1"/>
      <w:numFmt w:val="bullet"/>
      <w:lvlText w:val=""/>
      <w:lvlJc w:val="left"/>
      <w:pPr>
        <w:ind w:left="720" w:hanging="360"/>
      </w:pPr>
      <w:rPr>
        <w:rFonts w:ascii="Symbol" w:hAnsi="Symbol" w:hint="default"/>
      </w:rPr>
    </w:lvl>
    <w:lvl w:ilvl="1" w:tplc="29A4DA08">
      <w:start w:val="1"/>
      <w:numFmt w:val="bullet"/>
      <w:lvlText w:val="o"/>
      <w:lvlJc w:val="left"/>
      <w:pPr>
        <w:ind w:left="1440" w:hanging="360"/>
      </w:pPr>
      <w:rPr>
        <w:rFonts w:ascii="Courier New" w:hAnsi="Courier New" w:hint="default"/>
      </w:rPr>
    </w:lvl>
    <w:lvl w:ilvl="2" w:tplc="00D4401C">
      <w:start w:val="1"/>
      <w:numFmt w:val="bullet"/>
      <w:lvlText w:val=""/>
      <w:lvlJc w:val="left"/>
      <w:pPr>
        <w:ind w:left="2160" w:hanging="360"/>
      </w:pPr>
      <w:rPr>
        <w:rFonts w:ascii="Wingdings" w:hAnsi="Wingdings" w:hint="default"/>
      </w:rPr>
    </w:lvl>
    <w:lvl w:ilvl="3" w:tplc="C80AC7DE">
      <w:start w:val="1"/>
      <w:numFmt w:val="bullet"/>
      <w:lvlText w:val=""/>
      <w:lvlJc w:val="left"/>
      <w:pPr>
        <w:ind w:left="2880" w:hanging="360"/>
      </w:pPr>
      <w:rPr>
        <w:rFonts w:ascii="Symbol" w:hAnsi="Symbol" w:hint="default"/>
      </w:rPr>
    </w:lvl>
    <w:lvl w:ilvl="4" w:tplc="4BDEF434">
      <w:start w:val="1"/>
      <w:numFmt w:val="bullet"/>
      <w:lvlText w:val="o"/>
      <w:lvlJc w:val="left"/>
      <w:pPr>
        <w:ind w:left="3600" w:hanging="360"/>
      </w:pPr>
      <w:rPr>
        <w:rFonts w:ascii="Courier New" w:hAnsi="Courier New" w:hint="default"/>
      </w:rPr>
    </w:lvl>
    <w:lvl w:ilvl="5" w:tplc="2C1C84FA">
      <w:start w:val="1"/>
      <w:numFmt w:val="bullet"/>
      <w:lvlText w:val=""/>
      <w:lvlJc w:val="left"/>
      <w:pPr>
        <w:ind w:left="4320" w:hanging="360"/>
      </w:pPr>
      <w:rPr>
        <w:rFonts w:ascii="Wingdings" w:hAnsi="Wingdings" w:hint="default"/>
      </w:rPr>
    </w:lvl>
    <w:lvl w:ilvl="6" w:tplc="FA260D78">
      <w:start w:val="1"/>
      <w:numFmt w:val="bullet"/>
      <w:lvlText w:val=""/>
      <w:lvlJc w:val="left"/>
      <w:pPr>
        <w:ind w:left="5040" w:hanging="360"/>
      </w:pPr>
      <w:rPr>
        <w:rFonts w:ascii="Symbol" w:hAnsi="Symbol" w:hint="default"/>
      </w:rPr>
    </w:lvl>
    <w:lvl w:ilvl="7" w:tplc="FF1097D4">
      <w:start w:val="1"/>
      <w:numFmt w:val="bullet"/>
      <w:lvlText w:val="o"/>
      <w:lvlJc w:val="left"/>
      <w:pPr>
        <w:ind w:left="5760" w:hanging="360"/>
      </w:pPr>
      <w:rPr>
        <w:rFonts w:ascii="Courier New" w:hAnsi="Courier New" w:hint="default"/>
      </w:rPr>
    </w:lvl>
    <w:lvl w:ilvl="8" w:tplc="0B46C4E4">
      <w:start w:val="1"/>
      <w:numFmt w:val="bullet"/>
      <w:lvlText w:val=""/>
      <w:lvlJc w:val="left"/>
      <w:pPr>
        <w:ind w:left="6480" w:hanging="360"/>
      </w:pPr>
      <w:rPr>
        <w:rFonts w:ascii="Wingdings" w:hAnsi="Wingdings" w:hint="default"/>
      </w:rPr>
    </w:lvl>
  </w:abstractNum>
  <w:abstractNum w:abstractNumId="10" w15:restartNumberingAfterBreak="0">
    <w:nsid w:val="588D646B"/>
    <w:multiLevelType w:val="hybridMultilevel"/>
    <w:tmpl w:val="E4343332"/>
    <w:lvl w:ilvl="0" w:tplc="D068C540">
      <w:start w:val="1"/>
      <w:numFmt w:val="low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5D610D25"/>
    <w:multiLevelType w:val="multilevel"/>
    <w:tmpl w:val="8CEEF58C"/>
    <w:name w:val="StandardNumberedList"/>
    <w:lvl w:ilvl="0">
      <w:start w:val="1"/>
      <w:numFmt w:val="decimal"/>
      <w:lvlText w:val="%1."/>
      <w:lvlJc w:val="left"/>
      <w:pPr>
        <w:tabs>
          <w:tab w:val="num" w:pos="520"/>
        </w:tabs>
        <w:ind w:left="520" w:hanging="520"/>
      </w:pPr>
      <w:rPr>
        <w:b w:val="0"/>
      </w:rPr>
    </w:lvl>
    <w:lvl w:ilvl="1">
      <w:start w:val="1"/>
      <w:numFmt w:val="decimal"/>
      <w:lvlText w:val="%1.%2."/>
      <w:lvlJc w:val="left"/>
      <w:pPr>
        <w:tabs>
          <w:tab w:val="num" w:pos="1040"/>
        </w:tabs>
        <w:ind w:left="1040" w:hanging="520"/>
      </w:pPr>
    </w:lvl>
    <w:lvl w:ilvl="2">
      <w:start w:val="1"/>
      <w:numFmt w:val="decimal"/>
      <w:lvlText w:val="%1.%2.%3."/>
      <w:lvlJc w:val="left"/>
      <w:pPr>
        <w:tabs>
          <w:tab w:val="num" w:pos="1560"/>
        </w:tabs>
        <w:ind w:left="1560" w:hanging="52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66EE0280"/>
    <w:multiLevelType w:val="hybridMultilevel"/>
    <w:tmpl w:val="FFFFFFFF"/>
    <w:lvl w:ilvl="0" w:tplc="1A244B76">
      <w:start w:val="1"/>
      <w:numFmt w:val="bullet"/>
      <w:lvlText w:val=""/>
      <w:lvlJc w:val="left"/>
      <w:pPr>
        <w:ind w:left="720" w:hanging="360"/>
      </w:pPr>
      <w:rPr>
        <w:rFonts w:ascii="Symbol" w:hAnsi="Symbol" w:hint="default"/>
      </w:rPr>
    </w:lvl>
    <w:lvl w:ilvl="1" w:tplc="5A865A0C">
      <w:start w:val="1"/>
      <w:numFmt w:val="bullet"/>
      <w:lvlText w:val="o"/>
      <w:lvlJc w:val="left"/>
      <w:pPr>
        <w:ind w:left="1440" w:hanging="360"/>
      </w:pPr>
      <w:rPr>
        <w:rFonts w:ascii="Courier New" w:hAnsi="Courier New" w:hint="default"/>
      </w:rPr>
    </w:lvl>
    <w:lvl w:ilvl="2" w:tplc="E6B68F88">
      <w:start w:val="1"/>
      <w:numFmt w:val="bullet"/>
      <w:lvlText w:val=""/>
      <w:lvlJc w:val="left"/>
      <w:pPr>
        <w:ind w:left="2160" w:hanging="360"/>
      </w:pPr>
      <w:rPr>
        <w:rFonts w:ascii="Wingdings" w:hAnsi="Wingdings" w:hint="default"/>
      </w:rPr>
    </w:lvl>
    <w:lvl w:ilvl="3" w:tplc="DCEE5796">
      <w:start w:val="1"/>
      <w:numFmt w:val="bullet"/>
      <w:lvlText w:val=""/>
      <w:lvlJc w:val="left"/>
      <w:pPr>
        <w:ind w:left="2880" w:hanging="360"/>
      </w:pPr>
      <w:rPr>
        <w:rFonts w:ascii="Symbol" w:hAnsi="Symbol" w:hint="default"/>
      </w:rPr>
    </w:lvl>
    <w:lvl w:ilvl="4" w:tplc="9724D25C">
      <w:start w:val="1"/>
      <w:numFmt w:val="bullet"/>
      <w:lvlText w:val="o"/>
      <w:lvlJc w:val="left"/>
      <w:pPr>
        <w:ind w:left="3600" w:hanging="360"/>
      </w:pPr>
      <w:rPr>
        <w:rFonts w:ascii="Courier New" w:hAnsi="Courier New" w:hint="default"/>
      </w:rPr>
    </w:lvl>
    <w:lvl w:ilvl="5" w:tplc="C93693AC">
      <w:start w:val="1"/>
      <w:numFmt w:val="bullet"/>
      <w:lvlText w:val=""/>
      <w:lvlJc w:val="left"/>
      <w:pPr>
        <w:ind w:left="4320" w:hanging="360"/>
      </w:pPr>
      <w:rPr>
        <w:rFonts w:ascii="Wingdings" w:hAnsi="Wingdings" w:hint="default"/>
      </w:rPr>
    </w:lvl>
    <w:lvl w:ilvl="6" w:tplc="9BE8ACCA">
      <w:start w:val="1"/>
      <w:numFmt w:val="bullet"/>
      <w:lvlText w:val=""/>
      <w:lvlJc w:val="left"/>
      <w:pPr>
        <w:ind w:left="5040" w:hanging="360"/>
      </w:pPr>
      <w:rPr>
        <w:rFonts w:ascii="Symbol" w:hAnsi="Symbol" w:hint="default"/>
      </w:rPr>
    </w:lvl>
    <w:lvl w:ilvl="7" w:tplc="2B605ECE">
      <w:start w:val="1"/>
      <w:numFmt w:val="bullet"/>
      <w:lvlText w:val="o"/>
      <w:lvlJc w:val="left"/>
      <w:pPr>
        <w:ind w:left="5760" w:hanging="360"/>
      </w:pPr>
      <w:rPr>
        <w:rFonts w:ascii="Courier New" w:hAnsi="Courier New" w:hint="default"/>
      </w:rPr>
    </w:lvl>
    <w:lvl w:ilvl="8" w:tplc="5BCE749E">
      <w:start w:val="1"/>
      <w:numFmt w:val="bullet"/>
      <w:lvlText w:val=""/>
      <w:lvlJc w:val="left"/>
      <w:pPr>
        <w:ind w:left="6480" w:hanging="360"/>
      </w:pPr>
      <w:rPr>
        <w:rFonts w:ascii="Wingdings" w:hAnsi="Wingdings" w:hint="default"/>
      </w:rPr>
    </w:lvl>
  </w:abstractNum>
  <w:abstractNum w:abstractNumId="13" w15:restartNumberingAfterBreak="0">
    <w:nsid w:val="6A5872EA"/>
    <w:multiLevelType w:val="hybridMultilevel"/>
    <w:tmpl w:val="8AD454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C2A64B0"/>
    <w:multiLevelType w:val="hybridMultilevel"/>
    <w:tmpl w:val="180033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E434AE7"/>
    <w:multiLevelType w:val="multilevel"/>
    <w:tmpl w:val="FEC464B4"/>
    <w:lvl w:ilvl="0">
      <w:start w:val="1"/>
      <w:numFmt w:val="decimal"/>
      <w:lvlText w:val="%1."/>
      <w:lvlJc w:val="left"/>
      <w:pPr>
        <w:ind w:left="360" w:hanging="360"/>
      </w:pPr>
      <w:rPr>
        <w:rFonts w:asciiTheme="minorHAnsi" w:hAnsiTheme="minorHAnsi" w:cstheme="minorHAnsi" w:hint="default"/>
      </w:rPr>
    </w:lvl>
    <w:lvl w:ilvl="1">
      <w:start w:val="1"/>
      <w:numFmt w:val="decimal"/>
      <w:isLgl/>
      <w:lvlText w:val="%1.%2"/>
      <w:lvlJc w:val="left"/>
      <w:pPr>
        <w:ind w:left="540" w:hanging="360"/>
      </w:pPr>
      <w:rPr>
        <w:rFonts w:hint="default"/>
        <w:b/>
        <w:bCs/>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16" w15:restartNumberingAfterBreak="0">
    <w:nsid w:val="763D45CC"/>
    <w:multiLevelType w:val="hybridMultilevel"/>
    <w:tmpl w:val="D4B48C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CC158DF"/>
    <w:multiLevelType w:val="hybridMultilevel"/>
    <w:tmpl w:val="3AD20D5E"/>
    <w:lvl w:ilvl="0" w:tplc="DBB083A8">
      <w:start w:val="1"/>
      <w:numFmt w:val="low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2"/>
  </w:num>
  <w:num w:numId="2">
    <w:abstractNumId w:val="7"/>
  </w:num>
  <w:num w:numId="3">
    <w:abstractNumId w:val="10"/>
  </w:num>
  <w:num w:numId="4">
    <w:abstractNumId w:val="17"/>
  </w:num>
  <w:num w:numId="5">
    <w:abstractNumId w:val="15"/>
  </w:num>
  <w:num w:numId="6">
    <w:abstractNumId w:val="0"/>
  </w:num>
  <w:num w:numId="7">
    <w:abstractNumId w:val="9"/>
  </w:num>
  <w:num w:numId="8">
    <w:abstractNumId w:val="12"/>
  </w:num>
  <w:num w:numId="9">
    <w:abstractNumId w:val="5"/>
  </w:num>
  <w:num w:numId="10">
    <w:abstractNumId w:val="1"/>
  </w:num>
  <w:num w:numId="11">
    <w:abstractNumId w:val="4"/>
  </w:num>
  <w:num w:numId="12">
    <w:abstractNumId w:val="3"/>
  </w:num>
  <w:num w:numId="13">
    <w:abstractNumId w:val="13"/>
  </w:num>
  <w:num w:numId="14">
    <w:abstractNumId w:val="14"/>
  </w:num>
  <w:num w:numId="15">
    <w:abstractNumId w:val="8"/>
  </w:num>
  <w:num w:numId="16">
    <w:abstractNumId w:val="6"/>
  </w:num>
  <w:num w:numId="17">
    <w:abstractNumId w:val="16"/>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activeWritingStyle w:appName="MSWord" w:lang="en-SG" w:vendorID="64" w:dllVersion="0" w:nlCheck="1" w:checkStyle="0"/>
  <w:activeWritingStyle w:appName="MSWord" w:lang="en-US" w:vendorID="64" w:dllVersion="0" w:nlCheck="1" w:checkStyle="0"/>
  <w:activeWritingStyle w:appName="MSWord" w:lang="en-AU" w:vendorID="64" w:dllVersion="0" w:nlCheck="1" w:checkStyle="0"/>
  <w:proofState w:spelling="clean" w:grammar="clean"/>
  <w:defaultTabStop w:val="720"/>
  <w:hyphenationZone w:val="425"/>
  <w:characterSpacingControl w:val="doNotCompress"/>
  <w:hdrShapeDefaults>
    <o:shapedefaults v:ext="edit" spidmax="4300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769F"/>
    <w:rsid w:val="000000DA"/>
    <w:rsid w:val="00000281"/>
    <w:rsid w:val="0000058A"/>
    <w:rsid w:val="000007C6"/>
    <w:rsid w:val="00001954"/>
    <w:rsid w:val="00001E64"/>
    <w:rsid w:val="000023E1"/>
    <w:rsid w:val="000025E3"/>
    <w:rsid w:val="00002783"/>
    <w:rsid w:val="0000297B"/>
    <w:rsid w:val="00002A3D"/>
    <w:rsid w:val="00003222"/>
    <w:rsid w:val="00003F97"/>
    <w:rsid w:val="000042B6"/>
    <w:rsid w:val="000043FE"/>
    <w:rsid w:val="00004744"/>
    <w:rsid w:val="000048B6"/>
    <w:rsid w:val="00004DCF"/>
    <w:rsid w:val="00005098"/>
    <w:rsid w:val="00005A04"/>
    <w:rsid w:val="00005A3F"/>
    <w:rsid w:val="0000622B"/>
    <w:rsid w:val="00006674"/>
    <w:rsid w:val="00006AE5"/>
    <w:rsid w:val="00006BEB"/>
    <w:rsid w:val="0000719F"/>
    <w:rsid w:val="000076DF"/>
    <w:rsid w:val="00007A0D"/>
    <w:rsid w:val="00007A72"/>
    <w:rsid w:val="00007EE8"/>
    <w:rsid w:val="00010148"/>
    <w:rsid w:val="0001028B"/>
    <w:rsid w:val="00010879"/>
    <w:rsid w:val="00010E18"/>
    <w:rsid w:val="00010EA3"/>
    <w:rsid w:val="00011865"/>
    <w:rsid w:val="00011A3A"/>
    <w:rsid w:val="00012221"/>
    <w:rsid w:val="0001286E"/>
    <w:rsid w:val="000131ED"/>
    <w:rsid w:val="0001403F"/>
    <w:rsid w:val="00014E0C"/>
    <w:rsid w:val="00014F28"/>
    <w:rsid w:val="00015079"/>
    <w:rsid w:val="000150B4"/>
    <w:rsid w:val="00015401"/>
    <w:rsid w:val="00015D21"/>
    <w:rsid w:val="00015DB1"/>
    <w:rsid w:val="00015E8B"/>
    <w:rsid w:val="000161EC"/>
    <w:rsid w:val="000165DA"/>
    <w:rsid w:val="000165EC"/>
    <w:rsid w:val="00016A74"/>
    <w:rsid w:val="00016F9D"/>
    <w:rsid w:val="00017479"/>
    <w:rsid w:val="00017619"/>
    <w:rsid w:val="000178E0"/>
    <w:rsid w:val="00017DC8"/>
    <w:rsid w:val="00020221"/>
    <w:rsid w:val="000203AA"/>
    <w:rsid w:val="0002052E"/>
    <w:rsid w:val="00020AEA"/>
    <w:rsid w:val="00020C5E"/>
    <w:rsid w:val="00021285"/>
    <w:rsid w:val="0002133B"/>
    <w:rsid w:val="00021937"/>
    <w:rsid w:val="00021EF4"/>
    <w:rsid w:val="00022187"/>
    <w:rsid w:val="00022214"/>
    <w:rsid w:val="00022352"/>
    <w:rsid w:val="00022697"/>
    <w:rsid w:val="00022F15"/>
    <w:rsid w:val="00023FDC"/>
    <w:rsid w:val="00024419"/>
    <w:rsid w:val="00024A08"/>
    <w:rsid w:val="000255BE"/>
    <w:rsid w:val="000259CF"/>
    <w:rsid w:val="00025A2A"/>
    <w:rsid w:val="00025A99"/>
    <w:rsid w:val="00026AAC"/>
    <w:rsid w:val="00027180"/>
    <w:rsid w:val="00027406"/>
    <w:rsid w:val="000274F0"/>
    <w:rsid w:val="0002777C"/>
    <w:rsid w:val="00030040"/>
    <w:rsid w:val="000309B3"/>
    <w:rsid w:val="00030F3F"/>
    <w:rsid w:val="0003115A"/>
    <w:rsid w:val="0003160D"/>
    <w:rsid w:val="00031785"/>
    <w:rsid w:val="00031C75"/>
    <w:rsid w:val="00032100"/>
    <w:rsid w:val="00033020"/>
    <w:rsid w:val="00033126"/>
    <w:rsid w:val="00033352"/>
    <w:rsid w:val="000333FC"/>
    <w:rsid w:val="00033DE4"/>
    <w:rsid w:val="00033E57"/>
    <w:rsid w:val="0003462E"/>
    <w:rsid w:val="00034CFB"/>
    <w:rsid w:val="00035926"/>
    <w:rsid w:val="000360DB"/>
    <w:rsid w:val="000360EF"/>
    <w:rsid w:val="000361FE"/>
    <w:rsid w:val="00036296"/>
    <w:rsid w:val="000365B5"/>
    <w:rsid w:val="000365D6"/>
    <w:rsid w:val="00036BF1"/>
    <w:rsid w:val="0003715B"/>
    <w:rsid w:val="000376C3"/>
    <w:rsid w:val="00037E17"/>
    <w:rsid w:val="00037EDC"/>
    <w:rsid w:val="00037FC0"/>
    <w:rsid w:val="00040056"/>
    <w:rsid w:val="000404EC"/>
    <w:rsid w:val="00040A29"/>
    <w:rsid w:val="00040CF3"/>
    <w:rsid w:val="00040FFD"/>
    <w:rsid w:val="00041009"/>
    <w:rsid w:val="00041048"/>
    <w:rsid w:val="000411C8"/>
    <w:rsid w:val="00041B4D"/>
    <w:rsid w:val="00041E04"/>
    <w:rsid w:val="00041F0B"/>
    <w:rsid w:val="000420C2"/>
    <w:rsid w:val="0004249A"/>
    <w:rsid w:val="00042581"/>
    <w:rsid w:val="000428AF"/>
    <w:rsid w:val="00042D19"/>
    <w:rsid w:val="00042D32"/>
    <w:rsid w:val="00042E2E"/>
    <w:rsid w:val="0004431B"/>
    <w:rsid w:val="00044731"/>
    <w:rsid w:val="00044740"/>
    <w:rsid w:val="00045042"/>
    <w:rsid w:val="00045272"/>
    <w:rsid w:val="00045324"/>
    <w:rsid w:val="0004536A"/>
    <w:rsid w:val="0004561E"/>
    <w:rsid w:val="00045839"/>
    <w:rsid w:val="0004593F"/>
    <w:rsid w:val="00045C33"/>
    <w:rsid w:val="0004625E"/>
    <w:rsid w:val="00046358"/>
    <w:rsid w:val="00046645"/>
    <w:rsid w:val="00046B05"/>
    <w:rsid w:val="00046D0C"/>
    <w:rsid w:val="00047722"/>
    <w:rsid w:val="00047843"/>
    <w:rsid w:val="00047B8E"/>
    <w:rsid w:val="00047C56"/>
    <w:rsid w:val="00050086"/>
    <w:rsid w:val="0005041C"/>
    <w:rsid w:val="0005075D"/>
    <w:rsid w:val="00051537"/>
    <w:rsid w:val="000518EC"/>
    <w:rsid w:val="00051E37"/>
    <w:rsid w:val="00052281"/>
    <w:rsid w:val="00052651"/>
    <w:rsid w:val="00052ABB"/>
    <w:rsid w:val="00052B86"/>
    <w:rsid w:val="00052DCD"/>
    <w:rsid w:val="00053092"/>
    <w:rsid w:val="000538B8"/>
    <w:rsid w:val="0005493F"/>
    <w:rsid w:val="00054958"/>
    <w:rsid w:val="00054B38"/>
    <w:rsid w:val="0005509A"/>
    <w:rsid w:val="00055151"/>
    <w:rsid w:val="00055479"/>
    <w:rsid w:val="00055791"/>
    <w:rsid w:val="000566F6"/>
    <w:rsid w:val="000568E1"/>
    <w:rsid w:val="00056A67"/>
    <w:rsid w:val="00057270"/>
    <w:rsid w:val="000577E8"/>
    <w:rsid w:val="00057DA8"/>
    <w:rsid w:val="00057E8E"/>
    <w:rsid w:val="000601B9"/>
    <w:rsid w:val="0006038C"/>
    <w:rsid w:val="000603F0"/>
    <w:rsid w:val="000607EA"/>
    <w:rsid w:val="000608E0"/>
    <w:rsid w:val="00060E51"/>
    <w:rsid w:val="00060E9F"/>
    <w:rsid w:val="00061306"/>
    <w:rsid w:val="00062129"/>
    <w:rsid w:val="000622B3"/>
    <w:rsid w:val="000623FB"/>
    <w:rsid w:val="00062915"/>
    <w:rsid w:val="0006312D"/>
    <w:rsid w:val="000633A8"/>
    <w:rsid w:val="000638DA"/>
    <w:rsid w:val="000638EC"/>
    <w:rsid w:val="00063A00"/>
    <w:rsid w:val="00064713"/>
    <w:rsid w:val="000648A8"/>
    <w:rsid w:val="00064981"/>
    <w:rsid w:val="00065108"/>
    <w:rsid w:val="00065147"/>
    <w:rsid w:val="00065180"/>
    <w:rsid w:val="000656F8"/>
    <w:rsid w:val="00065A73"/>
    <w:rsid w:val="00065B80"/>
    <w:rsid w:val="00065FE7"/>
    <w:rsid w:val="000660E9"/>
    <w:rsid w:val="000664AF"/>
    <w:rsid w:val="00066F13"/>
    <w:rsid w:val="00066F5C"/>
    <w:rsid w:val="00067658"/>
    <w:rsid w:val="000676C9"/>
    <w:rsid w:val="00067762"/>
    <w:rsid w:val="000708A0"/>
    <w:rsid w:val="00070F98"/>
    <w:rsid w:val="00071048"/>
    <w:rsid w:val="00071163"/>
    <w:rsid w:val="0007179C"/>
    <w:rsid w:val="00071C44"/>
    <w:rsid w:val="00072A98"/>
    <w:rsid w:val="00072B30"/>
    <w:rsid w:val="00072F58"/>
    <w:rsid w:val="00072FB3"/>
    <w:rsid w:val="00073323"/>
    <w:rsid w:val="00073421"/>
    <w:rsid w:val="0007346E"/>
    <w:rsid w:val="000735A2"/>
    <w:rsid w:val="000737B8"/>
    <w:rsid w:val="00073ABA"/>
    <w:rsid w:val="00073D99"/>
    <w:rsid w:val="000740A7"/>
    <w:rsid w:val="000745EA"/>
    <w:rsid w:val="0007518B"/>
    <w:rsid w:val="0007540D"/>
    <w:rsid w:val="0007562F"/>
    <w:rsid w:val="00075691"/>
    <w:rsid w:val="00075A90"/>
    <w:rsid w:val="00075BB2"/>
    <w:rsid w:val="00075C5F"/>
    <w:rsid w:val="0007605F"/>
    <w:rsid w:val="00076504"/>
    <w:rsid w:val="00076C6E"/>
    <w:rsid w:val="00076EEC"/>
    <w:rsid w:val="00077387"/>
    <w:rsid w:val="000773EB"/>
    <w:rsid w:val="00077464"/>
    <w:rsid w:val="00077604"/>
    <w:rsid w:val="00077656"/>
    <w:rsid w:val="00077794"/>
    <w:rsid w:val="00077860"/>
    <w:rsid w:val="00077E66"/>
    <w:rsid w:val="00077FAB"/>
    <w:rsid w:val="00080163"/>
    <w:rsid w:val="00080481"/>
    <w:rsid w:val="000805A6"/>
    <w:rsid w:val="00080671"/>
    <w:rsid w:val="000809CC"/>
    <w:rsid w:val="00081660"/>
    <w:rsid w:val="000816E5"/>
    <w:rsid w:val="00081B4C"/>
    <w:rsid w:val="00081F20"/>
    <w:rsid w:val="000821D3"/>
    <w:rsid w:val="00082224"/>
    <w:rsid w:val="00082A85"/>
    <w:rsid w:val="00082D4B"/>
    <w:rsid w:val="00082DF6"/>
    <w:rsid w:val="00083B95"/>
    <w:rsid w:val="00083D06"/>
    <w:rsid w:val="00084342"/>
    <w:rsid w:val="000845B5"/>
    <w:rsid w:val="000846CD"/>
    <w:rsid w:val="0008473A"/>
    <w:rsid w:val="000848AC"/>
    <w:rsid w:val="00085807"/>
    <w:rsid w:val="00085A06"/>
    <w:rsid w:val="00085FBC"/>
    <w:rsid w:val="00086C02"/>
    <w:rsid w:val="00087660"/>
    <w:rsid w:val="00087C42"/>
    <w:rsid w:val="00090098"/>
    <w:rsid w:val="00090345"/>
    <w:rsid w:val="000909B5"/>
    <w:rsid w:val="00091BB6"/>
    <w:rsid w:val="00091E36"/>
    <w:rsid w:val="0009215B"/>
    <w:rsid w:val="00092180"/>
    <w:rsid w:val="0009236E"/>
    <w:rsid w:val="00092370"/>
    <w:rsid w:val="0009264B"/>
    <w:rsid w:val="00092A45"/>
    <w:rsid w:val="00093305"/>
    <w:rsid w:val="00093930"/>
    <w:rsid w:val="00093B1A"/>
    <w:rsid w:val="00093B4A"/>
    <w:rsid w:val="00093EC9"/>
    <w:rsid w:val="00094313"/>
    <w:rsid w:val="0009442A"/>
    <w:rsid w:val="00094641"/>
    <w:rsid w:val="00094663"/>
    <w:rsid w:val="000949BF"/>
    <w:rsid w:val="00094EDD"/>
    <w:rsid w:val="00094F96"/>
    <w:rsid w:val="00095007"/>
    <w:rsid w:val="00095421"/>
    <w:rsid w:val="00095466"/>
    <w:rsid w:val="0009575D"/>
    <w:rsid w:val="0009631D"/>
    <w:rsid w:val="000965FD"/>
    <w:rsid w:val="00096E64"/>
    <w:rsid w:val="00097141"/>
    <w:rsid w:val="000971AB"/>
    <w:rsid w:val="00097393"/>
    <w:rsid w:val="00097457"/>
    <w:rsid w:val="0009746E"/>
    <w:rsid w:val="000978F9"/>
    <w:rsid w:val="00097D98"/>
    <w:rsid w:val="000A0127"/>
    <w:rsid w:val="000A01B7"/>
    <w:rsid w:val="000A01F4"/>
    <w:rsid w:val="000A1885"/>
    <w:rsid w:val="000A191D"/>
    <w:rsid w:val="000A196E"/>
    <w:rsid w:val="000A1F86"/>
    <w:rsid w:val="000A21F3"/>
    <w:rsid w:val="000A2763"/>
    <w:rsid w:val="000A2BC6"/>
    <w:rsid w:val="000A2C18"/>
    <w:rsid w:val="000A2D35"/>
    <w:rsid w:val="000A3090"/>
    <w:rsid w:val="000A3C91"/>
    <w:rsid w:val="000A3D4C"/>
    <w:rsid w:val="000A3E7F"/>
    <w:rsid w:val="000A5362"/>
    <w:rsid w:val="000A55A1"/>
    <w:rsid w:val="000A6A6E"/>
    <w:rsid w:val="000A6AC6"/>
    <w:rsid w:val="000A6D57"/>
    <w:rsid w:val="000A745A"/>
    <w:rsid w:val="000A75C5"/>
    <w:rsid w:val="000A7702"/>
    <w:rsid w:val="000A77EB"/>
    <w:rsid w:val="000A78E9"/>
    <w:rsid w:val="000A796A"/>
    <w:rsid w:val="000A7994"/>
    <w:rsid w:val="000A7D45"/>
    <w:rsid w:val="000B0C41"/>
    <w:rsid w:val="000B0E37"/>
    <w:rsid w:val="000B0F41"/>
    <w:rsid w:val="000B18CA"/>
    <w:rsid w:val="000B1B49"/>
    <w:rsid w:val="000B1B98"/>
    <w:rsid w:val="000B1CAF"/>
    <w:rsid w:val="000B20A4"/>
    <w:rsid w:val="000B20DA"/>
    <w:rsid w:val="000B21FB"/>
    <w:rsid w:val="000B2283"/>
    <w:rsid w:val="000B2340"/>
    <w:rsid w:val="000B23FB"/>
    <w:rsid w:val="000B2DDC"/>
    <w:rsid w:val="000B2E39"/>
    <w:rsid w:val="000B324A"/>
    <w:rsid w:val="000B3300"/>
    <w:rsid w:val="000B34D3"/>
    <w:rsid w:val="000B3E3F"/>
    <w:rsid w:val="000B4028"/>
    <w:rsid w:val="000B43D8"/>
    <w:rsid w:val="000B45EC"/>
    <w:rsid w:val="000B4736"/>
    <w:rsid w:val="000B4BC2"/>
    <w:rsid w:val="000B4DC3"/>
    <w:rsid w:val="000B522E"/>
    <w:rsid w:val="000B52D2"/>
    <w:rsid w:val="000B6258"/>
    <w:rsid w:val="000B62D9"/>
    <w:rsid w:val="000B7058"/>
    <w:rsid w:val="000B717F"/>
    <w:rsid w:val="000B7479"/>
    <w:rsid w:val="000B75B5"/>
    <w:rsid w:val="000B76C4"/>
    <w:rsid w:val="000B7BDE"/>
    <w:rsid w:val="000C0105"/>
    <w:rsid w:val="000C0449"/>
    <w:rsid w:val="000C0579"/>
    <w:rsid w:val="000C08BD"/>
    <w:rsid w:val="000C12BE"/>
    <w:rsid w:val="000C1368"/>
    <w:rsid w:val="000C20E0"/>
    <w:rsid w:val="000C23CA"/>
    <w:rsid w:val="000C2CBF"/>
    <w:rsid w:val="000C2D6E"/>
    <w:rsid w:val="000C3051"/>
    <w:rsid w:val="000C30F5"/>
    <w:rsid w:val="000C3A3D"/>
    <w:rsid w:val="000C3B94"/>
    <w:rsid w:val="000C4BC5"/>
    <w:rsid w:val="000C4D61"/>
    <w:rsid w:val="000C50C8"/>
    <w:rsid w:val="000C527F"/>
    <w:rsid w:val="000C550C"/>
    <w:rsid w:val="000C56F6"/>
    <w:rsid w:val="000C59E7"/>
    <w:rsid w:val="000C5A25"/>
    <w:rsid w:val="000C5C86"/>
    <w:rsid w:val="000C5E84"/>
    <w:rsid w:val="000C674B"/>
    <w:rsid w:val="000C6BFF"/>
    <w:rsid w:val="000C6F04"/>
    <w:rsid w:val="000C7110"/>
    <w:rsid w:val="000C711C"/>
    <w:rsid w:val="000C72A5"/>
    <w:rsid w:val="000C734A"/>
    <w:rsid w:val="000C77D8"/>
    <w:rsid w:val="000C7B62"/>
    <w:rsid w:val="000CF93F"/>
    <w:rsid w:val="000D03CC"/>
    <w:rsid w:val="000D04E4"/>
    <w:rsid w:val="000D0AC9"/>
    <w:rsid w:val="000D0D78"/>
    <w:rsid w:val="000D15E8"/>
    <w:rsid w:val="000D218A"/>
    <w:rsid w:val="000D28F3"/>
    <w:rsid w:val="000D2C9F"/>
    <w:rsid w:val="000D2CE4"/>
    <w:rsid w:val="000D37AD"/>
    <w:rsid w:val="000D383E"/>
    <w:rsid w:val="000D41BB"/>
    <w:rsid w:val="000D44BF"/>
    <w:rsid w:val="000D51E4"/>
    <w:rsid w:val="000D5431"/>
    <w:rsid w:val="000D579D"/>
    <w:rsid w:val="000D587E"/>
    <w:rsid w:val="000D5967"/>
    <w:rsid w:val="000D5CB6"/>
    <w:rsid w:val="000D68CC"/>
    <w:rsid w:val="000D6C7E"/>
    <w:rsid w:val="000D75DC"/>
    <w:rsid w:val="000D77E9"/>
    <w:rsid w:val="000D79AF"/>
    <w:rsid w:val="000D7C4B"/>
    <w:rsid w:val="000E00CF"/>
    <w:rsid w:val="000E0199"/>
    <w:rsid w:val="000E090D"/>
    <w:rsid w:val="000E0929"/>
    <w:rsid w:val="000E0B20"/>
    <w:rsid w:val="000E0F1D"/>
    <w:rsid w:val="000E16E4"/>
    <w:rsid w:val="000E17F5"/>
    <w:rsid w:val="000E1A1A"/>
    <w:rsid w:val="000E1EDE"/>
    <w:rsid w:val="000E2859"/>
    <w:rsid w:val="000E2A45"/>
    <w:rsid w:val="000E2C69"/>
    <w:rsid w:val="000E2E9C"/>
    <w:rsid w:val="000E30AA"/>
    <w:rsid w:val="000E36B8"/>
    <w:rsid w:val="000E3985"/>
    <w:rsid w:val="000E3B7E"/>
    <w:rsid w:val="000E3F24"/>
    <w:rsid w:val="000E469D"/>
    <w:rsid w:val="000E489F"/>
    <w:rsid w:val="000E4ADD"/>
    <w:rsid w:val="000E4C14"/>
    <w:rsid w:val="000E4D40"/>
    <w:rsid w:val="000E5057"/>
    <w:rsid w:val="000E5089"/>
    <w:rsid w:val="000E53F8"/>
    <w:rsid w:val="000E568E"/>
    <w:rsid w:val="000E57C2"/>
    <w:rsid w:val="000E59C6"/>
    <w:rsid w:val="000E5D77"/>
    <w:rsid w:val="000E62A9"/>
    <w:rsid w:val="000E6591"/>
    <w:rsid w:val="000E67C7"/>
    <w:rsid w:val="000E6923"/>
    <w:rsid w:val="000F0370"/>
    <w:rsid w:val="000F060D"/>
    <w:rsid w:val="000F0B7D"/>
    <w:rsid w:val="000F125C"/>
    <w:rsid w:val="000F139C"/>
    <w:rsid w:val="000F157F"/>
    <w:rsid w:val="000F1887"/>
    <w:rsid w:val="000F1C76"/>
    <w:rsid w:val="000F22A0"/>
    <w:rsid w:val="000F29EA"/>
    <w:rsid w:val="000F2FDC"/>
    <w:rsid w:val="000F3907"/>
    <w:rsid w:val="000F3AF5"/>
    <w:rsid w:val="000F401A"/>
    <w:rsid w:val="000F41CB"/>
    <w:rsid w:val="000F41D8"/>
    <w:rsid w:val="000F45EA"/>
    <w:rsid w:val="000F4649"/>
    <w:rsid w:val="000F4E25"/>
    <w:rsid w:val="000F512D"/>
    <w:rsid w:val="000F5147"/>
    <w:rsid w:val="000F66BB"/>
    <w:rsid w:val="000F6A99"/>
    <w:rsid w:val="000F6BEB"/>
    <w:rsid w:val="000F7185"/>
    <w:rsid w:val="000F7BED"/>
    <w:rsid w:val="001005FC"/>
    <w:rsid w:val="0010112F"/>
    <w:rsid w:val="0010131D"/>
    <w:rsid w:val="001015FF"/>
    <w:rsid w:val="00101856"/>
    <w:rsid w:val="00101E70"/>
    <w:rsid w:val="001026A8"/>
    <w:rsid w:val="0010283F"/>
    <w:rsid w:val="001028FC"/>
    <w:rsid w:val="00102C36"/>
    <w:rsid w:val="00102D21"/>
    <w:rsid w:val="00102D6F"/>
    <w:rsid w:val="00102F0E"/>
    <w:rsid w:val="001030CD"/>
    <w:rsid w:val="00103180"/>
    <w:rsid w:val="0010349B"/>
    <w:rsid w:val="0010393F"/>
    <w:rsid w:val="00103985"/>
    <w:rsid w:val="0010505E"/>
    <w:rsid w:val="00105980"/>
    <w:rsid w:val="00105C4B"/>
    <w:rsid w:val="00106389"/>
    <w:rsid w:val="00106454"/>
    <w:rsid w:val="001065FE"/>
    <w:rsid w:val="00106620"/>
    <w:rsid w:val="00106694"/>
    <w:rsid w:val="00106844"/>
    <w:rsid w:val="00106BCB"/>
    <w:rsid w:val="00106DBC"/>
    <w:rsid w:val="001072C9"/>
    <w:rsid w:val="00107345"/>
    <w:rsid w:val="0010799D"/>
    <w:rsid w:val="001079E0"/>
    <w:rsid w:val="00110AAA"/>
    <w:rsid w:val="00110C44"/>
    <w:rsid w:val="00110C6A"/>
    <w:rsid w:val="00111F27"/>
    <w:rsid w:val="0011243A"/>
    <w:rsid w:val="00112F5C"/>
    <w:rsid w:val="00112F99"/>
    <w:rsid w:val="001130B1"/>
    <w:rsid w:val="0011316F"/>
    <w:rsid w:val="0011335A"/>
    <w:rsid w:val="001136D6"/>
    <w:rsid w:val="00113767"/>
    <w:rsid w:val="00113E53"/>
    <w:rsid w:val="001144E2"/>
    <w:rsid w:val="001149BB"/>
    <w:rsid w:val="00114F7B"/>
    <w:rsid w:val="001155A5"/>
    <w:rsid w:val="001156CE"/>
    <w:rsid w:val="0011615B"/>
    <w:rsid w:val="0011673C"/>
    <w:rsid w:val="001167D1"/>
    <w:rsid w:val="00116CF3"/>
    <w:rsid w:val="00117545"/>
    <w:rsid w:val="0012174B"/>
    <w:rsid w:val="00121BB8"/>
    <w:rsid w:val="00121CD1"/>
    <w:rsid w:val="001225AB"/>
    <w:rsid w:val="00122818"/>
    <w:rsid w:val="00122C28"/>
    <w:rsid w:val="00122ED8"/>
    <w:rsid w:val="00123896"/>
    <w:rsid w:val="00123993"/>
    <w:rsid w:val="001239DF"/>
    <w:rsid w:val="00123BC1"/>
    <w:rsid w:val="0012440F"/>
    <w:rsid w:val="0012462F"/>
    <w:rsid w:val="0012474A"/>
    <w:rsid w:val="00124839"/>
    <w:rsid w:val="00125046"/>
    <w:rsid w:val="00125CE4"/>
    <w:rsid w:val="001260E7"/>
    <w:rsid w:val="00126DC3"/>
    <w:rsid w:val="00126FA2"/>
    <w:rsid w:val="0012783B"/>
    <w:rsid w:val="00127B1B"/>
    <w:rsid w:val="00127D18"/>
    <w:rsid w:val="0012830E"/>
    <w:rsid w:val="00129956"/>
    <w:rsid w:val="001300E5"/>
    <w:rsid w:val="0013045F"/>
    <w:rsid w:val="00131126"/>
    <w:rsid w:val="00131287"/>
    <w:rsid w:val="0013146B"/>
    <w:rsid w:val="001321DA"/>
    <w:rsid w:val="001328BE"/>
    <w:rsid w:val="001328C0"/>
    <w:rsid w:val="00132D20"/>
    <w:rsid w:val="00132EE6"/>
    <w:rsid w:val="00133048"/>
    <w:rsid w:val="0013359D"/>
    <w:rsid w:val="001336D7"/>
    <w:rsid w:val="00133B90"/>
    <w:rsid w:val="00133BFF"/>
    <w:rsid w:val="00133D5D"/>
    <w:rsid w:val="00133F20"/>
    <w:rsid w:val="001340D8"/>
    <w:rsid w:val="00134419"/>
    <w:rsid w:val="001348FA"/>
    <w:rsid w:val="00134D8D"/>
    <w:rsid w:val="00135062"/>
    <w:rsid w:val="001353CA"/>
    <w:rsid w:val="00136491"/>
    <w:rsid w:val="001364CC"/>
    <w:rsid w:val="00136F31"/>
    <w:rsid w:val="00137134"/>
    <w:rsid w:val="0013747C"/>
    <w:rsid w:val="00137596"/>
    <w:rsid w:val="001376DC"/>
    <w:rsid w:val="00137CC4"/>
    <w:rsid w:val="0014022C"/>
    <w:rsid w:val="001403F8"/>
    <w:rsid w:val="00140ED7"/>
    <w:rsid w:val="00141811"/>
    <w:rsid w:val="00141F8B"/>
    <w:rsid w:val="00141F92"/>
    <w:rsid w:val="001420CC"/>
    <w:rsid w:val="001426AF"/>
    <w:rsid w:val="0014285C"/>
    <w:rsid w:val="00143628"/>
    <w:rsid w:val="00143D7B"/>
    <w:rsid w:val="001442F4"/>
    <w:rsid w:val="0014535B"/>
    <w:rsid w:val="0014545F"/>
    <w:rsid w:val="00145B07"/>
    <w:rsid w:val="00146813"/>
    <w:rsid w:val="001468C6"/>
    <w:rsid w:val="001472B4"/>
    <w:rsid w:val="00147347"/>
    <w:rsid w:val="00147369"/>
    <w:rsid w:val="001478EC"/>
    <w:rsid w:val="00147BAA"/>
    <w:rsid w:val="00150A4F"/>
    <w:rsid w:val="00150F6D"/>
    <w:rsid w:val="00151474"/>
    <w:rsid w:val="00151579"/>
    <w:rsid w:val="00151AD3"/>
    <w:rsid w:val="00151E5C"/>
    <w:rsid w:val="00151EB3"/>
    <w:rsid w:val="00151FCC"/>
    <w:rsid w:val="00152AE3"/>
    <w:rsid w:val="001531C0"/>
    <w:rsid w:val="00153587"/>
    <w:rsid w:val="00154000"/>
    <w:rsid w:val="0015483C"/>
    <w:rsid w:val="00155775"/>
    <w:rsid w:val="00155BC8"/>
    <w:rsid w:val="00155EFA"/>
    <w:rsid w:val="00155F25"/>
    <w:rsid w:val="00155FBD"/>
    <w:rsid w:val="0015654E"/>
    <w:rsid w:val="00156C42"/>
    <w:rsid w:val="00157038"/>
    <w:rsid w:val="00157601"/>
    <w:rsid w:val="00157854"/>
    <w:rsid w:val="001578A2"/>
    <w:rsid w:val="00157BC5"/>
    <w:rsid w:val="0016016E"/>
    <w:rsid w:val="0016065E"/>
    <w:rsid w:val="00160B7C"/>
    <w:rsid w:val="00161165"/>
    <w:rsid w:val="0016185A"/>
    <w:rsid w:val="00161A02"/>
    <w:rsid w:val="001620A8"/>
    <w:rsid w:val="00162552"/>
    <w:rsid w:val="001628D6"/>
    <w:rsid w:val="001636F9"/>
    <w:rsid w:val="00163723"/>
    <w:rsid w:val="00164326"/>
    <w:rsid w:val="00164594"/>
    <w:rsid w:val="00164675"/>
    <w:rsid w:val="00164A0A"/>
    <w:rsid w:val="00164B9D"/>
    <w:rsid w:val="00164D24"/>
    <w:rsid w:val="00164D6D"/>
    <w:rsid w:val="00165DDF"/>
    <w:rsid w:val="00165F22"/>
    <w:rsid w:val="0016610E"/>
    <w:rsid w:val="00166360"/>
    <w:rsid w:val="0016648E"/>
    <w:rsid w:val="001665C4"/>
    <w:rsid w:val="00166EE1"/>
    <w:rsid w:val="001670B7"/>
    <w:rsid w:val="00167B8D"/>
    <w:rsid w:val="00170472"/>
    <w:rsid w:val="00170EDE"/>
    <w:rsid w:val="00171054"/>
    <w:rsid w:val="00171BA3"/>
    <w:rsid w:val="00171E38"/>
    <w:rsid w:val="001720A0"/>
    <w:rsid w:val="00173718"/>
    <w:rsid w:val="00173756"/>
    <w:rsid w:val="00173888"/>
    <w:rsid w:val="00173FA4"/>
    <w:rsid w:val="00174064"/>
    <w:rsid w:val="00174316"/>
    <w:rsid w:val="00174458"/>
    <w:rsid w:val="00174A90"/>
    <w:rsid w:val="00174D24"/>
    <w:rsid w:val="0017504E"/>
    <w:rsid w:val="001751EF"/>
    <w:rsid w:val="001759E5"/>
    <w:rsid w:val="00175CBB"/>
    <w:rsid w:val="00175E92"/>
    <w:rsid w:val="00175ED8"/>
    <w:rsid w:val="00176082"/>
    <w:rsid w:val="001761B8"/>
    <w:rsid w:val="0017628C"/>
    <w:rsid w:val="001762DD"/>
    <w:rsid w:val="00176C2D"/>
    <w:rsid w:val="00176DC6"/>
    <w:rsid w:val="001771D5"/>
    <w:rsid w:val="00177301"/>
    <w:rsid w:val="001777E9"/>
    <w:rsid w:val="001779CF"/>
    <w:rsid w:val="00177A32"/>
    <w:rsid w:val="00180874"/>
    <w:rsid w:val="0018137E"/>
    <w:rsid w:val="00181677"/>
    <w:rsid w:val="00181995"/>
    <w:rsid w:val="00181D96"/>
    <w:rsid w:val="0018208D"/>
    <w:rsid w:val="00182525"/>
    <w:rsid w:val="001829C8"/>
    <w:rsid w:val="001832E7"/>
    <w:rsid w:val="00183563"/>
    <w:rsid w:val="001839DB"/>
    <w:rsid w:val="00183A2E"/>
    <w:rsid w:val="00183C3E"/>
    <w:rsid w:val="0018443F"/>
    <w:rsid w:val="00184541"/>
    <w:rsid w:val="00184597"/>
    <w:rsid w:val="00184648"/>
    <w:rsid w:val="001847A7"/>
    <w:rsid w:val="001851E4"/>
    <w:rsid w:val="00185354"/>
    <w:rsid w:val="001856AD"/>
    <w:rsid w:val="00185F46"/>
    <w:rsid w:val="00186035"/>
    <w:rsid w:val="001866DE"/>
    <w:rsid w:val="00186B78"/>
    <w:rsid w:val="00186EB1"/>
    <w:rsid w:val="00187847"/>
    <w:rsid w:val="001906EB"/>
    <w:rsid w:val="0019081D"/>
    <w:rsid w:val="001908A8"/>
    <w:rsid w:val="00190DD2"/>
    <w:rsid w:val="001910AB"/>
    <w:rsid w:val="0019161C"/>
    <w:rsid w:val="00192005"/>
    <w:rsid w:val="00192A76"/>
    <w:rsid w:val="00192CCD"/>
    <w:rsid w:val="00193293"/>
    <w:rsid w:val="0019405F"/>
    <w:rsid w:val="00194120"/>
    <w:rsid w:val="00194423"/>
    <w:rsid w:val="0019451A"/>
    <w:rsid w:val="001945E1"/>
    <w:rsid w:val="001947FF"/>
    <w:rsid w:val="00194C00"/>
    <w:rsid w:val="00194FEA"/>
    <w:rsid w:val="00195781"/>
    <w:rsid w:val="00195B54"/>
    <w:rsid w:val="00195F26"/>
    <w:rsid w:val="00195FB2"/>
    <w:rsid w:val="00196648"/>
    <w:rsid w:val="00196A02"/>
    <w:rsid w:val="00196A60"/>
    <w:rsid w:val="00197339"/>
    <w:rsid w:val="00197586"/>
    <w:rsid w:val="00197DA7"/>
    <w:rsid w:val="00197F30"/>
    <w:rsid w:val="00197FBE"/>
    <w:rsid w:val="001A01DC"/>
    <w:rsid w:val="001A0291"/>
    <w:rsid w:val="001A0434"/>
    <w:rsid w:val="001A09EA"/>
    <w:rsid w:val="001A0AB0"/>
    <w:rsid w:val="001A0CD8"/>
    <w:rsid w:val="001A10A9"/>
    <w:rsid w:val="001A11FC"/>
    <w:rsid w:val="001A133C"/>
    <w:rsid w:val="001A20DD"/>
    <w:rsid w:val="001A230F"/>
    <w:rsid w:val="001A2F3F"/>
    <w:rsid w:val="001A383B"/>
    <w:rsid w:val="001A3D27"/>
    <w:rsid w:val="001A3E60"/>
    <w:rsid w:val="001A3FDC"/>
    <w:rsid w:val="001A4003"/>
    <w:rsid w:val="001A4164"/>
    <w:rsid w:val="001A4314"/>
    <w:rsid w:val="001A4935"/>
    <w:rsid w:val="001A4997"/>
    <w:rsid w:val="001A4A27"/>
    <w:rsid w:val="001A4CAA"/>
    <w:rsid w:val="001A522D"/>
    <w:rsid w:val="001A5249"/>
    <w:rsid w:val="001A56F0"/>
    <w:rsid w:val="001A5E9A"/>
    <w:rsid w:val="001A62DE"/>
    <w:rsid w:val="001A6924"/>
    <w:rsid w:val="001A7705"/>
    <w:rsid w:val="001A7933"/>
    <w:rsid w:val="001A7934"/>
    <w:rsid w:val="001A7ABF"/>
    <w:rsid w:val="001A7C11"/>
    <w:rsid w:val="001B007F"/>
    <w:rsid w:val="001B0159"/>
    <w:rsid w:val="001B0166"/>
    <w:rsid w:val="001B05AD"/>
    <w:rsid w:val="001B0E8C"/>
    <w:rsid w:val="001B138B"/>
    <w:rsid w:val="001B16C8"/>
    <w:rsid w:val="001B1C77"/>
    <w:rsid w:val="001B1E37"/>
    <w:rsid w:val="001B24E8"/>
    <w:rsid w:val="001B25DF"/>
    <w:rsid w:val="001B2CE6"/>
    <w:rsid w:val="001B2D03"/>
    <w:rsid w:val="001B3009"/>
    <w:rsid w:val="001B3040"/>
    <w:rsid w:val="001B3249"/>
    <w:rsid w:val="001B3773"/>
    <w:rsid w:val="001B3850"/>
    <w:rsid w:val="001B3BDD"/>
    <w:rsid w:val="001B4CFC"/>
    <w:rsid w:val="001B4D6F"/>
    <w:rsid w:val="001B544C"/>
    <w:rsid w:val="001B558C"/>
    <w:rsid w:val="001B5A2B"/>
    <w:rsid w:val="001B5BE5"/>
    <w:rsid w:val="001B6087"/>
    <w:rsid w:val="001B6167"/>
    <w:rsid w:val="001B61BA"/>
    <w:rsid w:val="001B6276"/>
    <w:rsid w:val="001B66AA"/>
    <w:rsid w:val="001B6FF1"/>
    <w:rsid w:val="001B70B4"/>
    <w:rsid w:val="001B761A"/>
    <w:rsid w:val="001B78C2"/>
    <w:rsid w:val="001B7986"/>
    <w:rsid w:val="001B7B8C"/>
    <w:rsid w:val="001B7D36"/>
    <w:rsid w:val="001B7EF3"/>
    <w:rsid w:val="001C0624"/>
    <w:rsid w:val="001C0C84"/>
    <w:rsid w:val="001C10AB"/>
    <w:rsid w:val="001C11F3"/>
    <w:rsid w:val="001C1317"/>
    <w:rsid w:val="001C1438"/>
    <w:rsid w:val="001C1C48"/>
    <w:rsid w:val="001C2306"/>
    <w:rsid w:val="001C2364"/>
    <w:rsid w:val="001C2C56"/>
    <w:rsid w:val="001C3196"/>
    <w:rsid w:val="001C3391"/>
    <w:rsid w:val="001C362F"/>
    <w:rsid w:val="001C368F"/>
    <w:rsid w:val="001C38E5"/>
    <w:rsid w:val="001C3DFD"/>
    <w:rsid w:val="001C3F18"/>
    <w:rsid w:val="001C3F9A"/>
    <w:rsid w:val="001C4500"/>
    <w:rsid w:val="001C4A71"/>
    <w:rsid w:val="001C4E6F"/>
    <w:rsid w:val="001C55A2"/>
    <w:rsid w:val="001C56CB"/>
    <w:rsid w:val="001C5790"/>
    <w:rsid w:val="001C5FC7"/>
    <w:rsid w:val="001C67F9"/>
    <w:rsid w:val="001C6872"/>
    <w:rsid w:val="001C69C5"/>
    <w:rsid w:val="001C6C5A"/>
    <w:rsid w:val="001C7004"/>
    <w:rsid w:val="001C73DD"/>
    <w:rsid w:val="001C7D88"/>
    <w:rsid w:val="001D0003"/>
    <w:rsid w:val="001D0430"/>
    <w:rsid w:val="001D044D"/>
    <w:rsid w:val="001D0AD8"/>
    <w:rsid w:val="001D1125"/>
    <w:rsid w:val="001D1408"/>
    <w:rsid w:val="001D1813"/>
    <w:rsid w:val="001D19DF"/>
    <w:rsid w:val="001D1A69"/>
    <w:rsid w:val="001D1C9D"/>
    <w:rsid w:val="001D2052"/>
    <w:rsid w:val="001D2601"/>
    <w:rsid w:val="001D28F9"/>
    <w:rsid w:val="001D29B8"/>
    <w:rsid w:val="001D362F"/>
    <w:rsid w:val="001D395E"/>
    <w:rsid w:val="001D4AE3"/>
    <w:rsid w:val="001D5150"/>
    <w:rsid w:val="001D52CA"/>
    <w:rsid w:val="001D57AA"/>
    <w:rsid w:val="001D5F80"/>
    <w:rsid w:val="001D6040"/>
    <w:rsid w:val="001D60A4"/>
    <w:rsid w:val="001D610C"/>
    <w:rsid w:val="001D6C02"/>
    <w:rsid w:val="001D774A"/>
    <w:rsid w:val="001D7A31"/>
    <w:rsid w:val="001D7A32"/>
    <w:rsid w:val="001D7F56"/>
    <w:rsid w:val="001E0501"/>
    <w:rsid w:val="001E1110"/>
    <w:rsid w:val="001E1C54"/>
    <w:rsid w:val="001E26AC"/>
    <w:rsid w:val="001E3024"/>
    <w:rsid w:val="001E31A4"/>
    <w:rsid w:val="001E38E5"/>
    <w:rsid w:val="001E3DC7"/>
    <w:rsid w:val="001E3F1E"/>
    <w:rsid w:val="001E3FDD"/>
    <w:rsid w:val="001E4533"/>
    <w:rsid w:val="001E473D"/>
    <w:rsid w:val="001E47CB"/>
    <w:rsid w:val="001E4C26"/>
    <w:rsid w:val="001E5358"/>
    <w:rsid w:val="001E5EC7"/>
    <w:rsid w:val="001E63E2"/>
    <w:rsid w:val="001E6773"/>
    <w:rsid w:val="001E68EB"/>
    <w:rsid w:val="001E6CDC"/>
    <w:rsid w:val="001E6FF3"/>
    <w:rsid w:val="001E70BE"/>
    <w:rsid w:val="001E768B"/>
    <w:rsid w:val="001F0704"/>
    <w:rsid w:val="001F0D3B"/>
    <w:rsid w:val="001F0E0F"/>
    <w:rsid w:val="001F1483"/>
    <w:rsid w:val="001F25D0"/>
    <w:rsid w:val="001F28D4"/>
    <w:rsid w:val="001F2FFA"/>
    <w:rsid w:val="001F3693"/>
    <w:rsid w:val="001F3954"/>
    <w:rsid w:val="001F4420"/>
    <w:rsid w:val="001F44B8"/>
    <w:rsid w:val="001F4FBA"/>
    <w:rsid w:val="001F5223"/>
    <w:rsid w:val="001F5458"/>
    <w:rsid w:val="001F5892"/>
    <w:rsid w:val="001F5BE0"/>
    <w:rsid w:val="001F6664"/>
    <w:rsid w:val="001F705A"/>
    <w:rsid w:val="001F7C93"/>
    <w:rsid w:val="001F7E3A"/>
    <w:rsid w:val="00200113"/>
    <w:rsid w:val="0020057A"/>
    <w:rsid w:val="00200669"/>
    <w:rsid w:val="002006A7"/>
    <w:rsid w:val="00200CD0"/>
    <w:rsid w:val="00200E27"/>
    <w:rsid w:val="002010C2"/>
    <w:rsid w:val="0020181B"/>
    <w:rsid w:val="002019AD"/>
    <w:rsid w:val="00201D35"/>
    <w:rsid w:val="002025A2"/>
    <w:rsid w:val="00202902"/>
    <w:rsid w:val="00203316"/>
    <w:rsid w:val="00203612"/>
    <w:rsid w:val="00203A30"/>
    <w:rsid w:val="00203DE2"/>
    <w:rsid w:val="002041E9"/>
    <w:rsid w:val="00204698"/>
    <w:rsid w:val="002050C4"/>
    <w:rsid w:val="00205635"/>
    <w:rsid w:val="002057FC"/>
    <w:rsid w:val="00205A4F"/>
    <w:rsid w:val="0020682F"/>
    <w:rsid w:val="00206A5A"/>
    <w:rsid w:val="00206A62"/>
    <w:rsid w:val="002070EB"/>
    <w:rsid w:val="00207777"/>
    <w:rsid w:val="002103B0"/>
    <w:rsid w:val="002105F4"/>
    <w:rsid w:val="00210680"/>
    <w:rsid w:val="00210B6B"/>
    <w:rsid w:val="00211084"/>
    <w:rsid w:val="00211168"/>
    <w:rsid w:val="00211345"/>
    <w:rsid w:val="00211454"/>
    <w:rsid w:val="002114C8"/>
    <w:rsid w:val="00211B84"/>
    <w:rsid w:val="00211CA0"/>
    <w:rsid w:val="00211F26"/>
    <w:rsid w:val="002126C0"/>
    <w:rsid w:val="00212D6E"/>
    <w:rsid w:val="00213235"/>
    <w:rsid w:val="00213BDD"/>
    <w:rsid w:val="002142C4"/>
    <w:rsid w:val="00214821"/>
    <w:rsid w:val="0021517C"/>
    <w:rsid w:val="00215AE4"/>
    <w:rsid w:val="002165C1"/>
    <w:rsid w:val="002167F3"/>
    <w:rsid w:val="002168C5"/>
    <w:rsid w:val="00216D5C"/>
    <w:rsid w:val="00216F4D"/>
    <w:rsid w:val="00216FBA"/>
    <w:rsid w:val="002171A7"/>
    <w:rsid w:val="00217BA5"/>
    <w:rsid w:val="00217D7F"/>
    <w:rsid w:val="00217E2A"/>
    <w:rsid w:val="00217E7B"/>
    <w:rsid w:val="002202CD"/>
    <w:rsid w:val="002203C7"/>
    <w:rsid w:val="002209EF"/>
    <w:rsid w:val="00220A0E"/>
    <w:rsid w:val="0022117D"/>
    <w:rsid w:val="00221358"/>
    <w:rsid w:val="002218E3"/>
    <w:rsid w:val="00221D86"/>
    <w:rsid w:val="002226DC"/>
    <w:rsid w:val="00222803"/>
    <w:rsid w:val="00222D28"/>
    <w:rsid w:val="0022335B"/>
    <w:rsid w:val="0022351C"/>
    <w:rsid w:val="00223941"/>
    <w:rsid w:val="00224472"/>
    <w:rsid w:val="00225154"/>
    <w:rsid w:val="00225FDA"/>
    <w:rsid w:val="0022655C"/>
    <w:rsid w:val="002266EA"/>
    <w:rsid w:val="00226A5F"/>
    <w:rsid w:val="00226EFC"/>
    <w:rsid w:val="002270B1"/>
    <w:rsid w:val="00227442"/>
    <w:rsid w:val="0022798B"/>
    <w:rsid w:val="0023167B"/>
    <w:rsid w:val="00231EB7"/>
    <w:rsid w:val="00231FCC"/>
    <w:rsid w:val="00232BEC"/>
    <w:rsid w:val="00232C4F"/>
    <w:rsid w:val="00232CCD"/>
    <w:rsid w:val="00232DD7"/>
    <w:rsid w:val="00232E46"/>
    <w:rsid w:val="00232E77"/>
    <w:rsid w:val="00232EDA"/>
    <w:rsid w:val="0023322B"/>
    <w:rsid w:val="002337DB"/>
    <w:rsid w:val="00233941"/>
    <w:rsid w:val="00233B4D"/>
    <w:rsid w:val="00233F80"/>
    <w:rsid w:val="00234EB7"/>
    <w:rsid w:val="00234F1C"/>
    <w:rsid w:val="002354DA"/>
    <w:rsid w:val="00235BB2"/>
    <w:rsid w:val="002360F1"/>
    <w:rsid w:val="0023617F"/>
    <w:rsid w:val="0023694F"/>
    <w:rsid w:val="00236B5E"/>
    <w:rsid w:val="00236D6E"/>
    <w:rsid w:val="00237250"/>
    <w:rsid w:val="002372D8"/>
    <w:rsid w:val="002377D6"/>
    <w:rsid w:val="00237D18"/>
    <w:rsid w:val="00240533"/>
    <w:rsid w:val="0024062C"/>
    <w:rsid w:val="00240913"/>
    <w:rsid w:val="00240EB2"/>
    <w:rsid w:val="00241254"/>
    <w:rsid w:val="00241ABE"/>
    <w:rsid w:val="00241FE0"/>
    <w:rsid w:val="002421D7"/>
    <w:rsid w:val="00242462"/>
    <w:rsid w:val="00242A00"/>
    <w:rsid w:val="00242EEE"/>
    <w:rsid w:val="002430B1"/>
    <w:rsid w:val="0024321F"/>
    <w:rsid w:val="00244AE3"/>
    <w:rsid w:val="00244B54"/>
    <w:rsid w:val="0024512E"/>
    <w:rsid w:val="00245A5A"/>
    <w:rsid w:val="002463FF"/>
    <w:rsid w:val="00246BBB"/>
    <w:rsid w:val="00247743"/>
    <w:rsid w:val="00247B7B"/>
    <w:rsid w:val="00247CF0"/>
    <w:rsid w:val="00247D75"/>
    <w:rsid w:val="0025064B"/>
    <w:rsid w:val="00250EE5"/>
    <w:rsid w:val="00250F32"/>
    <w:rsid w:val="002511DA"/>
    <w:rsid w:val="00251293"/>
    <w:rsid w:val="00251772"/>
    <w:rsid w:val="00251945"/>
    <w:rsid w:val="00251A16"/>
    <w:rsid w:val="00251C72"/>
    <w:rsid w:val="00252069"/>
    <w:rsid w:val="00252377"/>
    <w:rsid w:val="00252700"/>
    <w:rsid w:val="00252C38"/>
    <w:rsid w:val="00252D00"/>
    <w:rsid w:val="00253233"/>
    <w:rsid w:val="002535DC"/>
    <w:rsid w:val="00253780"/>
    <w:rsid w:val="00253B13"/>
    <w:rsid w:val="00253F21"/>
    <w:rsid w:val="00253F61"/>
    <w:rsid w:val="00254122"/>
    <w:rsid w:val="002543A2"/>
    <w:rsid w:val="002543DA"/>
    <w:rsid w:val="002544F1"/>
    <w:rsid w:val="002549F4"/>
    <w:rsid w:val="00254D80"/>
    <w:rsid w:val="00254EBA"/>
    <w:rsid w:val="00255787"/>
    <w:rsid w:val="00255FC2"/>
    <w:rsid w:val="00256331"/>
    <w:rsid w:val="00256FDB"/>
    <w:rsid w:val="00256FF8"/>
    <w:rsid w:val="00257039"/>
    <w:rsid w:val="00257718"/>
    <w:rsid w:val="002579EE"/>
    <w:rsid w:val="0026017B"/>
    <w:rsid w:val="002605E6"/>
    <w:rsid w:val="00261196"/>
    <w:rsid w:val="002617DE"/>
    <w:rsid w:val="00261FD1"/>
    <w:rsid w:val="00262192"/>
    <w:rsid w:val="002621EA"/>
    <w:rsid w:val="00262EFF"/>
    <w:rsid w:val="00263254"/>
    <w:rsid w:val="002633BE"/>
    <w:rsid w:val="002633D9"/>
    <w:rsid w:val="0026371D"/>
    <w:rsid w:val="00263777"/>
    <w:rsid w:val="0026383D"/>
    <w:rsid w:val="00264229"/>
    <w:rsid w:val="00264956"/>
    <w:rsid w:val="00264C0D"/>
    <w:rsid w:val="002653E6"/>
    <w:rsid w:val="0026561E"/>
    <w:rsid w:val="0026598E"/>
    <w:rsid w:val="00265F78"/>
    <w:rsid w:val="002662B7"/>
    <w:rsid w:val="002664F8"/>
    <w:rsid w:val="002675AE"/>
    <w:rsid w:val="0027006B"/>
    <w:rsid w:val="002704C9"/>
    <w:rsid w:val="00270610"/>
    <w:rsid w:val="00270696"/>
    <w:rsid w:val="00270936"/>
    <w:rsid w:val="0027123A"/>
    <w:rsid w:val="00271686"/>
    <w:rsid w:val="00271694"/>
    <w:rsid w:val="00271A8C"/>
    <w:rsid w:val="00272342"/>
    <w:rsid w:val="0027278A"/>
    <w:rsid w:val="002727C1"/>
    <w:rsid w:val="00272C8C"/>
    <w:rsid w:val="00273356"/>
    <w:rsid w:val="002733C1"/>
    <w:rsid w:val="002740BC"/>
    <w:rsid w:val="002741BA"/>
    <w:rsid w:val="0027422B"/>
    <w:rsid w:val="00274755"/>
    <w:rsid w:val="00274B86"/>
    <w:rsid w:val="00274D91"/>
    <w:rsid w:val="00275183"/>
    <w:rsid w:val="002756C1"/>
    <w:rsid w:val="002757B4"/>
    <w:rsid w:val="00275CD8"/>
    <w:rsid w:val="00276039"/>
    <w:rsid w:val="002761A7"/>
    <w:rsid w:val="00276421"/>
    <w:rsid w:val="002764E3"/>
    <w:rsid w:val="0027676D"/>
    <w:rsid w:val="002767D0"/>
    <w:rsid w:val="00276D0C"/>
    <w:rsid w:val="00276E9C"/>
    <w:rsid w:val="00276EE6"/>
    <w:rsid w:val="00277BBF"/>
    <w:rsid w:val="002802B9"/>
    <w:rsid w:val="00280473"/>
    <w:rsid w:val="002807BB"/>
    <w:rsid w:val="002809B6"/>
    <w:rsid w:val="00280AE7"/>
    <w:rsid w:val="00280DDE"/>
    <w:rsid w:val="00281469"/>
    <w:rsid w:val="00281807"/>
    <w:rsid w:val="00281863"/>
    <w:rsid w:val="00281F9A"/>
    <w:rsid w:val="00282224"/>
    <w:rsid w:val="002822A0"/>
    <w:rsid w:val="00282490"/>
    <w:rsid w:val="00282879"/>
    <w:rsid w:val="00282B80"/>
    <w:rsid w:val="00282EE4"/>
    <w:rsid w:val="0028304D"/>
    <w:rsid w:val="0028320B"/>
    <w:rsid w:val="00283210"/>
    <w:rsid w:val="002833E5"/>
    <w:rsid w:val="00283884"/>
    <w:rsid w:val="002838AB"/>
    <w:rsid w:val="00283A15"/>
    <w:rsid w:val="00283AAF"/>
    <w:rsid w:val="00284398"/>
    <w:rsid w:val="00284B84"/>
    <w:rsid w:val="00285043"/>
    <w:rsid w:val="0028541B"/>
    <w:rsid w:val="002861CF"/>
    <w:rsid w:val="002861FB"/>
    <w:rsid w:val="0028625D"/>
    <w:rsid w:val="002863EF"/>
    <w:rsid w:val="00286DAA"/>
    <w:rsid w:val="00286F5A"/>
    <w:rsid w:val="00286FA4"/>
    <w:rsid w:val="002874B6"/>
    <w:rsid w:val="00287A53"/>
    <w:rsid w:val="00287D1B"/>
    <w:rsid w:val="00287DF7"/>
    <w:rsid w:val="00290204"/>
    <w:rsid w:val="0029086D"/>
    <w:rsid w:val="00290F11"/>
    <w:rsid w:val="00291228"/>
    <w:rsid w:val="0029141C"/>
    <w:rsid w:val="00291597"/>
    <w:rsid w:val="002916E3"/>
    <w:rsid w:val="00291CA4"/>
    <w:rsid w:val="00292068"/>
    <w:rsid w:val="00292DDE"/>
    <w:rsid w:val="00293464"/>
    <w:rsid w:val="0029367D"/>
    <w:rsid w:val="00293E19"/>
    <w:rsid w:val="002941C0"/>
    <w:rsid w:val="002946A0"/>
    <w:rsid w:val="00294D30"/>
    <w:rsid w:val="00295303"/>
    <w:rsid w:val="00295873"/>
    <w:rsid w:val="00295BDC"/>
    <w:rsid w:val="002979BF"/>
    <w:rsid w:val="002A07C8"/>
    <w:rsid w:val="002A0C33"/>
    <w:rsid w:val="002A10D8"/>
    <w:rsid w:val="002A1927"/>
    <w:rsid w:val="002A1E0D"/>
    <w:rsid w:val="002A1F0B"/>
    <w:rsid w:val="002A2AFC"/>
    <w:rsid w:val="002A2F6B"/>
    <w:rsid w:val="002A303D"/>
    <w:rsid w:val="002A34D9"/>
    <w:rsid w:val="002A39D0"/>
    <w:rsid w:val="002A3D84"/>
    <w:rsid w:val="002A4D48"/>
    <w:rsid w:val="002A5729"/>
    <w:rsid w:val="002A59F5"/>
    <w:rsid w:val="002A5F50"/>
    <w:rsid w:val="002A6460"/>
    <w:rsid w:val="002A6BB8"/>
    <w:rsid w:val="002A6C04"/>
    <w:rsid w:val="002A6E40"/>
    <w:rsid w:val="002A7604"/>
    <w:rsid w:val="002A7804"/>
    <w:rsid w:val="002A7A5A"/>
    <w:rsid w:val="002B096B"/>
    <w:rsid w:val="002B1268"/>
    <w:rsid w:val="002B201C"/>
    <w:rsid w:val="002B2464"/>
    <w:rsid w:val="002B3BCA"/>
    <w:rsid w:val="002B3DAF"/>
    <w:rsid w:val="002B40A1"/>
    <w:rsid w:val="002B40D9"/>
    <w:rsid w:val="002B428B"/>
    <w:rsid w:val="002B487C"/>
    <w:rsid w:val="002B50DE"/>
    <w:rsid w:val="002B5509"/>
    <w:rsid w:val="002B558F"/>
    <w:rsid w:val="002B5E07"/>
    <w:rsid w:val="002B62FF"/>
    <w:rsid w:val="002B63E8"/>
    <w:rsid w:val="002B657E"/>
    <w:rsid w:val="002B6760"/>
    <w:rsid w:val="002B71E1"/>
    <w:rsid w:val="002B762C"/>
    <w:rsid w:val="002B7893"/>
    <w:rsid w:val="002B7F1B"/>
    <w:rsid w:val="002B7F29"/>
    <w:rsid w:val="002C07CA"/>
    <w:rsid w:val="002C0BB1"/>
    <w:rsid w:val="002C0C5B"/>
    <w:rsid w:val="002C0E18"/>
    <w:rsid w:val="002C11A6"/>
    <w:rsid w:val="002C13EE"/>
    <w:rsid w:val="002C20A1"/>
    <w:rsid w:val="002C2BB8"/>
    <w:rsid w:val="002C2E39"/>
    <w:rsid w:val="002C3113"/>
    <w:rsid w:val="002C3408"/>
    <w:rsid w:val="002C38AC"/>
    <w:rsid w:val="002C42A8"/>
    <w:rsid w:val="002C4888"/>
    <w:rsid w:val="002C4C34"/>
    <w:rsid w:val="002C4DCE"/>
    <w:rsid w:val="002C50EE"/>
    <w:rsid w:val="002C5DA9"/>
    <w:rsid w:val="002C5DBE"/>
    <w:rsid w:val="002C5FCF"/>
    <w:rsid w:val="002C6044"/>
    <w:rsid w:val="002C66F4"/>
    <w:rsid w:val="002C6F1C"/>
    <w:rsid w:val="002C77AC"/>
    <w:rsid w:val="002C7FE1"/>
    <w:rsid w:val="002D005A"/>
    <w:rsid w:val="002D0B4B"/>
    <w:rsid w:val="002D1229"/>
    <w:rsid w:val="002D14C6"/>
    <w:rsid w:val="002D1970"/>
    <w:rsid w:val="002D1ECE"/>
    <w:rsid w:val="002D2799"/>
    <w:rsid w:val="002D2C7C"/>
    <w:rsid w:val="002D306A"/>
    <w:rsid w:val="002D30D9"/>
    <w:rsid w:val="002D3126"/>
    <w:rsid w:val="002D34FF"/>
    <w:rsid w:val="002D3C2C"/>
    <w:rsid w:val="002D3EAF"/>
    <w:rsid w:val="002D3EBC"/>
    <w:rsid w:val="002D44D5"/>
    <w:rsid w:val="002D45D3"/>
    <w:rsid w:val="002D4844"/>
    <w:rsid w:val="002D52A7"/>
    <w:rsid w:val="002D52D3"/>
    <w:rsid w:val="002D60FF"/>
    <w:rsid w:val="002D61E1"/>
    <w:rsid w:val="002D6496"/>
    <w:rsid w:val="002D66F2"/>
    <w:rsid w:val="002D685C"/>
    <w:rsid w:val="002D6DAC"/>
    <w:rsid w:val="002D75CD"/>
    <w:rsid w:val="002D7F1A"/>
    <w:rsid w:val="002E0256"/>
    <w:rsid w:val="002E06F8"/>
    <w:rsid w:val="002E0AA3"/>
    <w:rsid w:val="002E1A00"/>
    <w:rsid w:val="002E1ABE"/>
    <w:rsid w:val="002E1CC7"/>
    <w:rsid w:val="002E204F"/>
    <w:rsid w:val="002E26C6"/>
    <w:rsid w:val="002E2F13"/>
    <w:rsid w:val="002E30AD"/>
    <w:rsid w:val="002E3521"/>
    <w:rsid w:val="002E3A39"/>
    <w:rsid w:val="002E426A"/>
    <w:rsid w:val="002E50E4"/>
    <w:rsid w:val="002E5657"/>
    <w:rsid w:val="002E5BD1"/>
    <w:rsid w:val="002E62FB"/>
    <w:rsid w:val="002E6970"/>
    <w:rsid w:val="002E6B67"/>
    <w:rsid w:val="002E7078"/>
    <w:rsid w:val="002E721A"/>
    <w:rsid w:val="002F0053"/>
    <w:rsid w:val="002F00AB"/>
    <w:rsid w:val="002F00D7"/>
    <w:rsid w:val="002F0936"/>
    <w:rsid w:val="002F0B52"/>
    <w:rsid w:val="002F153A"/>
    <w:rsid w:val="002F1B29"/>
    <w:rsid w:val="002F264E"/>
    <w:rsid w:val="002F27E1"/>
    <w:rsid w:val="002F2922"/>
    <w:rsid w:val="002F2A1F"/>
    <w:rsid w:val="002F2CB1"/>
    <w:rsid w:val="002F3049"/>
    <w:rsid w:val="002F31DE"/>
    <w:rsid w:val="002F3469"/>
    <w:rsid w:val="002F3511"/>
    <w:rsid w:val="002F39D2"/>
    <w:rsid w:val="002F45E8"/>
    <w:rsid w:val="002F476C"/>
    <w:rsid w:val="002F4A24"/>
    <w:rsid w:val="002F4D9A"/>
    <w:rsid w:val="002F5BBF"/>
    <w:rsid w:val="002F5CC5"/>
    <w:rsid w:val="002F61A6"/>
    <w:rsid w:val="002F6640"/>
    <w:rsid w:val="002F6B11"/>
    <w:rsid w:val="002F6D29"/>
    <w:rsid w:val="002F6D83"/>
    <w:rsid w:val="002F6DD6"/>
    <w:rsid w:val="002F7311"/>
    <w:rsid w:val="002F76DF"/>
    <w:rsid w:val="00300174"/>
    <w:rsid w:val="0030118A"/>
    <w:rsid w:val="0030154C"/>
    <w:rsid w:val="00301A49"/>
    <w:rsid w:val="00301BFE"/>
    <w:rsid w:val="00301D70"/>
    <w:rsid w:val="00301DF5"/>
    <w:rsid w:val="00302253"/>
    <w:rsid w:val="003022B4"/>
    <w:rsid w:val="00302320"/>
    <w:rsid w:val="00302B55"/>
    <w:rsid w:val="00302EEC"/>
    <w:rsid w:val="003031A8"/>
    <w:rsid w:val="00303343"/>
    <w:rsid w:val="00303794"/>
    <w:rsid w:val="0030385E"/>
    <w:rsid w:val="0030388C"/>
    <w:rsid w:val="003039C4"/>
    <w:rsid w:val="00303A6A"/>
    <w:rsid w:val="00303EAA"/>
    <w:rsid w:val="00303F08"/>
    <w:rsid w:val="0030449B"/>
    <w:rsid w:val="00304BA2"/>
    <w:rsid w:val="00304D2D"/>
    <w:rsid w:val="00305216"/>
    <w:rsid w:val="0030548F"/>
    <w:rsid w:val="00305AFD"/>
    <w:rsid w:val="00306BE7"/>
    <w:rsid w:val="00306C66"/>
    <w:rsid w:val="00306F31"/>
    <w:rsid w:val="00307094"/>
    <w:rsid w:val="003076C6"/>
    <w:rsid w:val="00307919"/>
    <w:rsid w:val="00310114"/>
    <w:rsid w:val="00310538"/>
    <w:rsid w:val="00310E05"/>
    <w:rsid w:val="00310E4C"/>
    <w:rsid w:val="00311610"/>
    <w:rsid w:val="0031184C"/>
    <w:rsid w:val="0031241B"/>
    <w:rsid w:val="0031246C"/>
    <w:rsid w:val="003124DD"/>
    <w:rsid w:val="00312CCC"/>
    <w:rsid w:val="00313C52"/>
    <w:rsid w:val="00314908"/>
    <w:rsid w:val="00314C31"/>
    <w:rsid w:val="00315104"/>
    <w:rsid w:val="00315481"/>
    <w:rsid w:val="003162B0"/>
    <w:rsid w:val="0031648E"/>
    <w:rsid w:val="00316D2A"/>
    <w:rsid w:val="00316F04"/>
    <w:rsid w:val="00317017"/>
    <w:rsid w:val="00317146"/>
    <w:rsid w:val="00317210"/>
    <w:rsid w:val="00317958"/>
    <w:rsid w:val="00317A7E"/>
    <w:rsid w:val="00317FA1"/>
    <w:rsid w:val="0032014E"/>
    <w:rsid w:val="0032039E"/>
    <w:rsid w:val="00320522"/>
    <w:rsid w:val="003205C6"/>
    <w:rsid w:val="00320E5D"/>
    <w:rsid w:val="00320EA3"/>
    <w:rsid w:val="003215A1"/>
    <w:rsid w:val="0032173E"/>
    <w:rsid w:val="00321E97"/>
    <w:rsid w:val="00321F33"/>
    <w:rsid w:val="003221E2"/>
    <w:rsid w:val="00322352"/>
    <w:rsid w:val="00322494"/>
    <w:rsid w:val="0032293A"/>
    <w:rsid w:val="00322942"/>
    <w:rsid w:val="00322BDB"/>
    <w:rsid w:val="00323155"/>
    <w:rsid w:val="003235DC"/>
    <w:rsid w:val="00323CD8"/>
    <w:rsid w:val="00323CFA"/>
    <w:rsid w:val="00323E75"/>
    <w:rsid w:val="00323EC3"/>
    <w:rsid w:val="00324280"/>
    <w:rsid w:val="00324621"/>
    <w:rsid w:val="003249B0"/>
    <w:rsid w:val="003251C7"/>
    <w:rsid w:val="0032526A"/>
    <w:rsid w:val="003255C1"/>
    <w:rsid w:val="00325618"/>
    <w:rsid w:val="003256DE"/>
    <w:rsid w:val="00325C9C"/>
    <w:rsid w:val="00326004"/>
    <w:rsid w:val="00326C32"/>
    <w:rsid w:val="00326F34"/>
    <w:rsid w:val="00326FCD"/>
    <w:rsid w:val="003272B7"/>
    <w:rsid w:val="003273A8"/>
    <w:rsid w:val="00327B7D"/>
    <w:rsid w:val="00327BC2"/>
    <w:rsid w:val="00327C33"/>
    <w:rsid w:val="00327F1D"/>
    <w:rsid w:val="0033017D"/>
    <w:rsid w:val="003304DD"/>
    <w:rsid w:val="003307AD"/>
    <w:rsid w:val="00330E5A"/>
    <w:rsid w:val="00330FC6"/>
    <w:rsid w:val="0033117B"/>
    <w:rsid w:val="00331288"/>
    <w:rsid w:val="003315BC"/>
    <w:rsid w:val="00331CEC"/>
    <w:rsid w:val="00331D60"/>
    <w:rsid w:val="003325C7"/>
    <w:rsid w:val="00332717"/>
    <w:rsid w:val="00332A5B"/>
    <w:rsid w:val="00332E15"/>
    <w:rsid w:val="0033320A"/>
    <w:rsid w:val="00333318"/>
    <w:rsid w:val="00333F78"/>
    <w:rsid w:val="00333FFD"/>
    <w:rsid w:val="003343D7"/>
    <w:rsid w:val="00334451"/>
    <w:rsid w:val="003344F9"/>
    <w:rsid w:val="00334960"/>
    <w:rsid w:val="003351F0"/>
    <w:rsid w:val="003351F4"/>
    <w:rsid w:val="0033570E"/>
    <w:rsid w:val="00335930"/>
    <w:rsid w:val="00335A2D"/>
    <w:rsid w:val="00336675"/>
    <w:rsid w:val="00336943"/>
    <w:rsid w:val="00336A42"/>
    <w:rsid w:val="00336D13"/>
    <w:rsid w:val="00336EA4"/>
    <w:rsid w:val="003376C5"/>
    <w:rsid w:val="00337839"/>
    <w:rsid w:val="00337F86"/>
    <w:rsid w:val="00340150"/>
    <w:rsid w:val="003406D7"/>
    <w:rsid w:val="00340738"/>
    <w:rsid w:val="00340E07"/>
    <w:rsid w:val="003414EC"/>
    <w:rsid w:val="00341649"/>
    <w:rsid w:val="00341AFE"/>
    <w:rsid w:val="00341CE1"/>
    <w:rsid w:val="00342229"/>
    <w:rsid w:val="00342354"/>
    <w:rsid w:val="003423A4"/>
    <w:rsid w:val="00342463"/>
    <w:rsid w:val="0034268F"/>
    <w:rsid w:val="003426C7"/>
    <w:rsid w:val="0034280D"/>
    <w:rsid w:val="00342948"/>
    <w:rsid w:val="00342F02"/>
    <w:rsid w:val="003433A3"/>
    <w:rsid w:val="00343671"/>
    <w:rsid w:val="00343A2F"/>
    <w:rsid w:val="00343A9F"/>
    <w:rsid w:val="00343BDC"/>
    <w:rsid w:val="003442CB"/>
    <w:rsid w:val="003449A1"/>
    <w:rsid w:val="00344C63"/>
    <w:rsid w:val="00344FA8"/>
    <w:rsid w:val="0034514A"/>
    <w:rsid w:val="00345399"/>
    <w:rsid w:val="00345581"/>
    <w:rsid w:val="003456EA"/>
    <w:rsid w:val="00345AB8"/>
    <w:rsid w:val="00345D1B"/>
    <w:rsid w:val="00345DAB"/>
    <w:rsid w:val="003462D1"/>
    <w:rsid w:val="00346EA1"/>
    <w:rsid w:val="0034750C"/>
    <w:rsid w:val="00347749"/>
    <w:rsid w:val="003502A5"/>
    <w:rsid w:val="00350301"/>
    <w:rsid w:val="0035096E"/>
    <w:rsid w:val="00350B8D"/>
    <w:rsid w:val="00350BDB"/>
    <w:rsid w:val="00350BFC"/>
    <w:rsid w:val="00350CF2"/>
    <w:rsid w:val="00351115"/>
    <w:rsid w:val="00351264"/>
    <w:rsid w:val="00351285"/>
    <w:rsid w:val="0035129C"/>
    <w:rsid w:val="003515ED"/>
    <w:rsid w:val="003516DF"/>
    <w:rsid w:val="00352758"/>
    <w:rsid w:val="00352A11"/>
    <w:rsid w:val="00352FFE"/>
    <w:rsid w:val="003533ED"/>
    <w:rsid w:val="003533F4"/>
    <w:rsid w:val="00353410"/>
    <w:rsid w:val="00353535"/>
    <w:rsid w:val="00353C36"/>
    <w:rsid w:val="00353E08"/>
    <w:rsid w:val="00354138"/>
    <w:rsid w:val="00354325"/>
    <w:rsid w:val="003549D7"/>
    <w:rsid w:val="00354A9F"/>
    <w:rsid w:val="00354DA0"/>
    <w:rsid w:val="0035525B"/>
    <w:rsid w:val="003556D4"/>
    <w:rsid w:val="00355914"/>
    <w:rsid w:val="003559DE"/>
    <w:rsid w:val="0035617F"/>
    <w:rsid w:val="003562FC"/>
    <w:rsid w:val="00356E3E"/>
    <w:rsid w:val="00357444"/>
    <w:rsid w:val="003574C2"/>
    <w:rsid w:val="003578D1"/>
    <w:rsid w:val="00357AFD"/>
    <w:rsid w:val="0036087A"/>
    <w:rsid w:val="0036093B"/>
    <w:rsid w:val="0036094C"/>
    <w:rsid w:val="00360DF1"/>
    <w:rsid w:val="00361145"/>
    <w:rsid w:val="003614E3"/>
    <w:rsid w:val="003616F7"/>
    <w:rsid w:val="0036177A"/>
    <w:rsid w:val="00362169"/>
    <w:rsid w:val="00362817"/>
    <w:rsid w:val="00362FE0"/>
    <w:rsid w:val="003630D2"/>
    <w:rsid w:val="00363150"/>
    <w:rsid w:val="00363299"/>
    <w:rsid w:val="0036383F"/>
    <w:rsid w:val="00363C70"/>
    <w:rsid w:val="0036445A"/>
    <w:rsid w:val="0036493E"/>
    <w:rsid w:val="00364EC1"/>
    <w:rsid w:val="003652B9"/>
    <w:rsid w:val="003654D4"/>
    <w:rsid w:val="0036555D"/>
    <w:rsid w:val="003659D1"/>
    <w:rsid w:val="00365D75"/>
    <w:rsid w:val="00365D9E"/>
    <w:rsid w:val="0036693A"/>
    <w:rsid w:val="00366D38"/>
    <w:rsid w:val="0036721B"/>
    <w:rsid w:val="0036729A"/>
    <w:rsid w:val="00367540"/>
    <w:rsid w:val="00367936"/>
    <w:rsid w:val="00367BE3"/>
    <w:rsid w:val="00367FB2"/>
    <w:rsid w:val="0036F9ED"/>
    <w:rsid w:val="003704B3"/>
    <w:rsid w:val="00370610"/>
    <w:rsid w:val="00371612"/>
    <w:rsid w:val="00371618"/>
    <w:rsid w:val="0037170E"/>
    <w:rsid w:val="00371B63"/>
    <w:rsid w:val="00371CC5"/>
    <w:rsid w:val="00371FCC"/>
    <w:rsid w:val="003720DA"/>
    <w:rsid w:val="0037265F"/>
    <w:rsid w:val="00372804"/>
    <w:rsid w:val="00372DE0"/>
    <w:rsid w:val="003739F7"/>
    <w:rsid w:val="00373A93"/>
    <w:rsid w:val="0037452B"/>
    <w:rsid w:val="003746FF"/>
    <w:rsid w:val="00374701"/>
    <w:rsid w:val="003748DF"/>
    <w:rsid w:val="00374A7B"/>
    <w:rsid w:val="00374B5F"/>
    <w:rsid w:val="00375187"/>
    <w:rsid w:val="003751C3"/>
    <w:rsid w:val="0037535E"/>
    <w:rsid w:val="00375CD9"/>
    <w:rsid w:val="00375EA2"/>
    <w:rsid w:val="0037689A"/>
    <w:rsid w:val="00376B25"/>
    <w:rsid w:val="003771DF"/>
    <w:rsid w:val="00377C0D"/>
    <w:rsid w:val="00380483"/>
    <w:rsid w:val="00380C90"/>
    <w:rsid w:val="00380D28"/>
    <w:rsid w:val="00381DC5"/>
    <w:rsid w:val="00381EB9"/>
    <w:rsid w:val="00382209"/>
    <w:rsid w:val="003822BF"/>
    <w:rsid w:val="003823E8"/>
    <w:rsid w:val="00382791"/>
    <w:rsid w:val="00382B85"/>
    <w:rsid w:val="00382D07"/>
    <w:rsid w:val="00382E7C"/>
    <w:rsid w:val="00383B1D"/>
    <w:rsid w:val="00383B39"/>
    <w:rsid w:val="0038402E"/>
    <w:rsid w:val="00384167"/>
    <w:rsid w:val="00384211"/>
    <w:rsid w:val="003843CF"/>
    <w:rsid w:val="00384521"/>
    <w:rsid w:val="0038483D"/>
    <w:rsid w:val="00384B32"/>
    <w:rsid w:val="00384F25"/>
    <w:rsid w:val="00385101"/>
    <w:rsid w:val="003858E5"/>
    <w:rsid w:val="003868E2"/>
    <w:rsid w:val="00386A1F"/>
    <w:rsid w:val="00386CA6"/>
    <w:rsid w:val="00386F13"/>
    <w:rsid w:val="003872A1"/>
    <w:rsid w:val="003872BD"/>
    <w:rsid w:val="00387482"/>
    <w:rsid w:val="00387AE5"/>
    <w:rsid w:val="00387CEC"/>
    <w:rsid w:val="00387F0C"/>
    <w:rsid w:val="00390340"/>
    <w:rsid w:val="003904CE"/>
    <w:rsid w:val="00390EF3"/>
    <w:rsid w:val="0039100D"/>
    <w:rsid w:val="00391EEB"/>
    <w:rsid w:val="00393830"/>
    <w:rsid w:val="003938B1"/>
    <w:rsid w:val="00393902"/>
    <w:rsid w:val="00393B1A"/>
    <w:rsid w:val="00394264"/>
    <w:rsid w:val="00394315"/>
    <w:rsid w:val="003945F7"/>
    <w:rsid w:val="00394709"/>
    <w:rsid w:val="003947EC"/>
    <w:rsid w:val="00394889"/>
    <w:rsid w:val="003953CE"/>
    <w:rsid w:val="003958E9"/>
    <w:rsid w:val="00395AD5"/>
    <w:rsid w:val="00395BAF"/>
    <w:rsid w:val="003965A8"/>
    <w:rsid w:val="00396EE1"/>
    <w:rsid w:val="003971E9"/>
    <w:rsid w:val="0039725C"/>
    <w:rsid w:val="00397294"/>
    <w:rsid w:val="00397EDC"/>
    <w:rsid w:val="003A0125"/>
    <w:rsid w:val="003A03E1"/>
    <w:rsid w:val="003A09A0"/>
    <w:rsid w:val="003A0CEB"/>
    <w:rsid w:val="003A0E00"/>
    <w:rsid w:val="003A0E39"/>
    <w:rsid w:val="003A0F1B"/>
    <w:rsid w:val="003A10A0"/>
    <w:rsid w:val="003A1113"/>
    <w:rsid w:val="003A1555"/>
    <w:rsid w:val="003A190D"/>
    <w:rsid w:val="003A19B4"/>
    <w:rsid w:val="003A1B03"/>
    <w:rsid w:val="003A1BED"/>
    <w:rsid w:val="003A3066"/>
    <w:rsid w:val="003A3A75"/>
    <w:rsid w:val="003A4458"/>
    <w:rsid w:val="003A63C8"/>
    <w:rsid w:val="003A698C"/>
    <w:rsid w:val="003A6D03"/>
    <w:rsid w:val="003B0569"/>
    <w:rsid w:val="003B06A1"/>
    <w:rsid w:val="003B079F"/>
    <w:rsid w:val="003B0C64"/>
    <w:rsid w:val="003B132A"/>
    <w:rsid w:val="003B175E"/>
    <w:rsid w:val="003B2FB0"/>
    <w:rsid w:val="003B396A"/>
    <w:rsid w:val="003B4424"/>
    <w:rsid w:val="003B4AE5"/>
    <w:rsid w:val="003B4C20"/>
    <w:rsid w:val="003B4D8A"/>
    <w:rsid w:val="003B54BA"/>
    <w:rsid w:val="003B5596"/>
    <w:rsid w:val="003B5737"/>
    <w:rsid w:val="003B58AC"/>
    <w:rsid w:val="003B5924"/>
    <w:rsid w:val="003B592E"/>
    <w:rsid w:val="003B7385"/>
    <w:rsid w:val="003B746F"/>
    <w:rsid w:val="003B75BE"/>
    <w:rsid w:val="003C0267"/>
    <w:rsid w:val="003C02EC"/>
    <w:rsid w:val="003C0EFC"/>
    <w:rsid w:val="003C103B"/>
    <w:rsid w:val="003C11A1"/>
    <w:rsid w:val="003C12B0"/>
    <w:rsid w:val="003C142F"/>
    <w:rsid w:val="003C163B"/>
    <w:rsid w:val="003C1824"/>
    <w:rsid w:val="003C2182"/>
    <w:rsid w:val="003C2420"/>
    <w:rsid w:val="003C2C71"/>
    <w:rsid w:val="003C34E7"/>
    <w:rsid w:val="003C4189"/>
    <w:rsid w:val="003C43D6"/>
    <w:rsid w:val="003C4615"/>
    <w:rsid w:val="003C4647"/>
    <w:rsid w:val="003C5F1A"/>
    <w:rsid w:val="003C75B4"/>
    <w:rsid w:val="003D0443"/>
    <w:rsid w:val="003D0AF6"/>
    <w:rsid w:val="003D0E49"/>
    <w:rsid w:val="003D1190"/>
    <w:rsid w:val="003D191C"/>
    <w:rsid w:val="003D1F4E"/>
    <w:rsid w:val="003D25B3"/>
    <w:rsid w:val="003D3176"/>
    <w:rsid w:val="003D3262"/>
    <w:rsid w:val="003D36D9"/>
    <w:rsid w:val="003D3CEC"/>
    <w:rsid w:val="003D4CB0"/>
    <w:rsid w:val="003D5157"/>
    <w:rsid w:val="003D5466"/>
    <w:rsid w:val="003D5962"/>
    <w:rsid w:val="003D5AE3"/>
    <w:rsid w:val="003D60E5"/>
    <w:rsid w:val="003D62D9"/>
    <w:rsid w:val="003D64D5"/>
    <w:rsid w:val="003D656F"/>
    <w:rsid w:val="003D65F3"/>
    <w:rsid w:val="003D66DC"/>
    <w:rsid w:val="003D67CA"/>
    <w:rsid w:val="003D68D7"/>
    <w:rsid w:val="003D6B68"/>
    <w:rsid w:val="003D6EE3"/>
    <w:rsid w:val="003D723E"/>
    <w:rsid w:val="003D7674"/>
    <w:rsid w:val="003D7692"/>
    <w:rsid w:val="003D7A3B"/>
    <w:rsid w:val="003D7AFA"/>
    <w:rsid w:val="003E010A"/>
    <w:rsid w:val="003E0149"/>
    <w:rsid w:val="003E03F2"/>
    <w:rsid w:val="003E04E7"/>
    <w:rsid w:val="003E055B"/>
    <w:rsid w:val="003E0670"/>
    <w:rsid w:val="003E0963"/>
    <w:rsid w:val="003E0C10"/>
    <w:rsid w:val="003E1261"/>
    <w:rsid w:val="003E13BB"/>
    <w:rsid w:val="003E1562"/>
    <w:rsid w:val="003E178B"/>
    <w:rsid w:val="003E19FD"/>
    <w:rsid w:val="003E1E3E"/>
    <w:rsid w:val="003E1EB8"/>
    <w:rsid w:val="003E20E5"/>
    <w:rsid w:val="003E2127"/>
    <w:rsid w:val="003E21B9"/>
    <w:rsid w:val="003E24BE"/>
    <w:rsid w:val="003E3113"/>
    <w:rsid w:val="003E315F"/>
    <w:rsid w:val="003E3BD6"/>
    <w:rsid w:val="003E4048"/>
    <w:rsid w:val="003E493C"/>
    <w:rsid w:val="003E5514"/>
    <w:rsid w:val="003E5AB6"/>
    <w:rsid w:val="003E5B18"/>
    <w:rsid w:val="003E5F07"/>
    <w:rsid w:val="003E6258"/>
    <w:rsid w:val="003E6733"/>
    <w:rsid w:val="003E754E"/>
    <w:rsid w:val="003E7D51"/>
    <w:rsid w:val="003E7DE0"/>
    <w:rsid w:val="003E7DF2"/>
    <w:rsid w:val="003F02F8"/>
    <w:rsid w:val="003F03C8"/>
    <w:rsid w:val="003F0819"/>
    <w:rsid w:val="003F0832"/>
    <w:rsid w:val="003F0DDB"/>
    <w:rsid w:val="003F10B4"/>
    <w:rsid w:val="003F1456"/>
    <w:rsid w:val="003F1674"/>
    <w:rsid w:val="003F183F"/>
    <w:rsid w:val="003F19BC"/>
    <w:rsid w:val="003F25E1"/>
    <w:rsid w:val="003F2715"/>
    <w:rsid w:val="003F3A1D"/>
    <w:rsid w:val="003F3FCF"/>
    <w:rsid w:val="003F4605"/>
    <w:rsid w:val="003F4825"/>
    <w:rsid w:val="003F4853"/>
    <w:rsid w:val="003F48B4"/>
    <w:rsid w:val="003F4A2D"/>
    <w:rsid w:val="003F4F77"/>
    <w:rsid w:val="003F5325"/>
    <w:rsid w:val="003F571C"/>
    <w:rsid w:val="003F59CF"/>
    <w:rsid w:val="003F5A32"/>
    <w:rsid w:val="003F5D63"/>
    <w:rsid w:val="003F6238"/>
    <w:rsid w:val="003F650E"/>
    <w:rsid w:val="003F690C"/>
    <w:rsid w:val="003F69C3"/>
    <w:rsid w:val="003F6BD8"/>
    <w:rsid w:val="003F6E10"/>
    <w:rsid w:val="003F6EEB"/>
    <w:rsid w:val="003F74E9"/>
    <w:rsid w:val="003F7B14"/>
    <w:rsid w:val="00400262"/>
    <w:rsid w:val="00400405"/>
    <w:rsid w:val="0040076A"/>
    <w:rsid w:val="004008B9"/>
    <w:rsid w:val="00400B81"/>
    <w:rsid w:val="00400BA8"/>
    <w:rsid w:val="00400D85"/>
    <w:rsid w:val="00401690"/>
    <w:rsid w:val="00401A46"/>
    <w:rsid w:val="00401C8C"/>
    <w:rsid w:val="004022CE"/>
    <w:rsid w:val="0040294F"/>
    <w:rsid w:val="00402D99"/>
    <w:rsid w:val="00402EBF"/>
    <w:rsid w:val="004030DD"/>
    <w:rsid w:val="00403199"/>
    <w:rsid w:val="00403A2E"/>
    <w:rsid w:val="00403A4F"/>
    <w:rsid w:val="00403D06"/>
    <w:rsid w:val="00403E2E"/>
    <w:rsid w:val="00403E59"/>
    <w:rsid w:val="00403FD5"/>
    <w:rsid w:val="004041FF"/>
    <w:rsid w:val="004044D1"/>
    <w:rsid w:val="00404639"/>
    <w:rsid w:val="00405086"/>
    <w:rsid w:val="00405415"/>
    <w:rsid w:val="00405CB3"/>
    <w:rsid w:val="004073AE"/>
    <w:rsid w:val="00407763"/>
    <w:rsid w:val="00410D19"/>
    <w:rsid w:val="00410F9D"/>
    <w:rsid w:val="004112BB"/>
    <w:rsid w:val="00411328"/>
    <w:rsid w:val="0041142D"/>
    <w:rsid w:val="00411F8F"/>
    <w:rsid w:val="00412511"/>
    <w:rsid w:val="00412677"/>
    <w:rsid w:val="00412750"/>
    <w:rsid w:val="00412CE4"/>
    <w:rsid w:val="0041314A"/>
    <w:rsid w:val="00413514"/>
    <w:rsid w:val="004136CD"/>
    <w:rsid w:val="00413C21"/>
    <w:rsid w:val="00413C9D"/>
    <w:rsid w:val="00413FA7"/>
    <w:rsid w:val="00414985"/>
    <w:rsid w:val="00414F05"/>
    <w:rsid w:val="004156C4"/>
    <w:rsid w:val="00415764"/>
    <w:rsid w:val="00415B1B"/>
    <w:rsid w:val="0041629B"/>
    <w:rsid w:val="00416373"/>
    <w:rsid w:val="00416641"/>
    <w:rsid w:val="00416664"/>
    <w:rsid w:val="004168AD"/>
    <w:rsid w:val="00416906"/>
    <w:rsid w:val="00416FA9"/>
    <w:rsid w:val="0041792D"/>
    <w:rsid w:val="00420405"/>
    <w:rsid w:val="00420721"/>
    <w:rsid w:val="00420A12"/>
    <w:rsid w:val="00420B95"/>
    <w:rsid w:val="00422321"/>
    <w:rsid w:val="0042252A"/>
    <w:rsid w:val="00422590"/>
    <w:rsid w:val="00422E27"/>
    <w:rsid w:val="00423054"/>
    <w:rsid w:val="00423766"/>
    <w:rsid w:val="0042386F"/>
    <w:rsid w:val="00423A25"/>
    <w:rsid w:val="00423AEC"/>
    <w:rsid w:val="00423F8B"/>
    <w:rsid w:val="0042406C"/>
    <w:rsid w:val="00424281"/>
    <w:rsid w:val="00424741"/>
    <w:rsid w:val="00424A54"/>
    <w:rsid w:val="004251C8"/>
    <w:rsid w:val="004253A0"/>
    <w:rsid w:val="00425429"/>
    <w:rsid w:val="00425449"/>
    <w:rsid w:val="0042550D"/>
    <w:rsid w:val="00425FBA"/>
    <w:rsid w:val="00426078"/>
    <w:rsid w:val="00426AB4"/>
    <w:rsid w:val="00426DF4"/>
    <w:rsid w:val="00426FAB"/>
    <w:rsid w:val="00427624"/>
    <w:rsid w:val="004276A4"/>
    <w:rsid w:val="00427893"/>
    <w:rsid w:val="0043048C"/>
    <w:rsid w:val="00430AB2"/>
    <w:rsid w:val="00430BAC"/>
    <w:rsid w:val="00430BFB"/>
    <w:rsid w:val="00430F28"/>
    <w:rsid w:val="00431740"/>
    <w:rsid w:val="00431755"/>
    <w:rsid w:val="00431792"/>
    <w:rsid w:val="004317A0"/>
    <w:rsid w:val="0043196D"/>
    <w:rsid w:val="00431A2A"/>
    <w:rsid w:val="0043272F"/>
    <w:rsid w:val="00432A52"/>
    <w:rsid w:val="00432B00"/>
    <w:rsid w:val="0043310F"/>
    <w:rsid w:val="004334BF"/>
    <w:rsid w:val="004338EB"/>
    <w:rsid w:val="00433B43"/>
    <w:rsid w:val="00433F22"/>
    <w:rsid w:val="00434093"/>
    <w:rsid w:val="004340CB"/>
    <w:rsid w:val="004344F2"/>
    <w:rsid w:val="0043470E"/>
    <w:rsid w:val="004352BE"/>
    <w:rsid w:val="00435ED2"/>
    <w:rsid w:val="00436830"/>
    <w:rsid w:val="00436DA7"/>
    <w:rsid w:val="00436E34"/>
    <w:rsid w:val="0043706A"/>
    <w:rsid w:val="0043715A"/>
    <w:rsid w:val="0043745A"/>
    <w:rsid w:val="00437994"/>
    <w:rsid w:val="00437FE7"/>
    <w:rsid w:val="004406D0"/>
    <w:rsid w:val="00440725"/>
    <w:rsid w:val="0044120A"/>
    <w:rsid w:val="00441AC0"/>
    <w:rsid w:val="00441BAD"/>
    <w:rsid w:val="00441C77"/>
    <w:rsid w:val="0044205D"/>
    <w:rsid w:val="00442A56"/>
    <w:rsid w:val="00442F9E"/>
    <w:rsid w:val="0044392F"/>
    <w:rsid w:val="004440C7"/>
    <w:rsid w:val="0044415B"/>
    <w:rsid w:val="0044430B"/>
    <w:rsid w:val="00444BA1"/>
    <w:rsid w:val="00445459"/>
    <w:rsid w:val="00445510"/>
    <w:rsid w:val="004456B3"/>
    <w:rsid w:val="004458F7"/>
    <w:rsid w:val="00445A4C"/>
    <w:rsid w:val="00445E44"/>
    <w:rsid w:val="00445EB5"/>
    <w:rsid w:val="0044627A"/>
    <w:rsid w:val="0044C955"/>
    <w:rsid w:val="00451285"/>
    <w:rsid w:val="00451631"/>
    <w:rsid w:val="00452753"/>
    <w:rsid w:val="0045280D"/>
    <w:rsid w:val="00452902"/>
    <w:rsid w:val="0045290A"/>
    <w:rsid w:val="00452B83"/>
    <w:rsid w:val="00452B9C"/>
    <w:rsid w:val="00452C91"/>
    <w:rsid w:val="00452CD1"/>
    <w:rsid w:val="00452DCB"/>
    <w:rsid w:val="0045300A"/>
    <w:rsid w:val="004530D9"/>
    <w:rsid w:val="00453186"/>
    <w:rsid w:val="00453D5F"/>
    <w:rsid w:val="004543A3"/>
    <w:rsid w:val="00454823"/>
    <w:rsid w:val="00455014"/>
    <w:rsid w:val="00455326"/>
    <w:rsid w:val="00455AB7"/>
    <w:rsid w:val="0045634D"/>
    <w:rsid w:val="004569D3"/>
    <w:rsid w:val="00456B0D"/>
    <w:rsid w:val="004570D9"/>
    <w:rsid w:val="00457898"/>
    <w:rsid w:val="00457C28"/>
    <w:rsid w:val="00460BBD"/>
    <w:rsid w:val="00460D97"/>
    <w:rsid w:val="00460F56"/>
    <w:rsid w:val="004612B4"/>
    <w:rsid w:val="00461A8D"/>
    <w:rsid w:val="00461E1F"/>
    <w:rsid w:val="00462941"/>
    <w:rsid w:val="00462AB0"/>
    <w:rsid w:val="00463476"/>
    <w:rsid w:val="004634DE"/>
    <w:rsid w:val="00463553"/>
    <w:rsid w:val="00463A2F"/>
    <w:rsid w:val="00463B28"/>
    <w:rsid w:val="00463F4F"/>
    <w:rsid w:val="004645BC"/>
    <w:rsid w:val="004646B3"/>
    <w:rsid w:val="0046518B"/>
    <w:rsid w:val="004651D1"/>
    <w:rsid w:val="004658A5"/>
    <w:rsid w:val="0046595C"/>
    <w:rsid w:val="004662A8"/>
    <w:rsid w:val="00466314"/>
    <w:rsid w:val="004665A1"/>
    <w:rsid w:val="004669F9"/>
    <w:rsid w:val="00466ADB"/>
    <w:rsid w:val="00467244"/>
    <w:rsid w:val="00467270"/>
    <w:rsid w:val="00467901"/>
    <w:rsid w:val="00467D0C"/>
    <w:rsid w:val="00470693"/>
    <w:rsid w:val="004710DE"/>
    <w:rsid w:val="0047123E"/>
    <w:rsid w:val="00471284"/>
    <w:rsid w:val="00471417"/>
    <w:rsid w:val="004715F1"/>
    <w:rsid w:val="00471C9B"/>
    <w:rsid w:val="00471D4F"/>
    <w:rsid w:val="0047285E"/>
    <w:rsid w:val="00472AC3"/>
    <w:rsid w:val="00472B4C"/>
    <w:rsid w:val="00473BF6"/>
    <w:rsid w:val="004742DE"/>
    <w:rsid w:val="004743D7"/>
    <w:rsid w:val="00474DA8"/>
    <w:rsid w:val="00474E60"/>
    <w:rsid w:val="004750E0"/>
    <w:rsid w:val="004751C7"/>
    <w:rsid w:val="00475467"/>
    <w:rsid w:val="00476289"/>
    <w:rsid w:val="00476563"/>
    <w:rsid w:val="00476781"/>
    <w:rsid w:val="00476D57"/>
    <w:rsid w:val="00476DC2"/>
    <w:rsid w:val="004777EC"/>
    <w:rsid w:val="00480AD5"/>
    <w:rsid w:val="00480B84"/>
    <w:rsid w:val="00480CD8"/>
    <w:rsid w:val="00481059"/>
    <w:rsid w:val="00481205"/>
    <w:rsid w:val="00481487"/>
    <w:rsid w:val="00481896"/>
    <w:rsid w:val="00481B81"/>
    <w:rsid w:val="00481F30"/>
    <w:rsid w:val="0048244E"/>
    <w:rsid w:val="00482EC9"/>
    <w:rsid w:val="00482F30"/>
    <w:rsid w:val="00483064"/>
    <w:rsid w:val="004831CB"/>
    <w:rsid w:val="00483806"/>
    <w:rsid w:val="0048383B"/>
    <w:rsid w:val="00483FEE"/>
    <w:rsid w:val="00484237"/>
    <w:rsid w:val="00484C1F"/>
    <w:rsid w:val="00484EBE"/>
    <w:rsid w:val="004850C2"/>
    <w:rsid w:val="004851E6"/>
    <w:rsid w:val="00485662"/>
    <w:rsid w:val="00485E0A"/>
    <w:rsid w:val="00486AA4"/>
    <w:rsid w:val="00486DC2"/>
    <w:rsid w:val="00486F8B"/>
    <w:rsid w:val="00487262"/>
    <w:rsid w:val="0048742E"/>
    <w:rsid w:val="0048764B"/>
    <w:rsid w:val="00487DE7"/>
    <w:rsid w:val="0048C5F0"/>
    <w:rsid w:val="00490365"/>
    <w:rsid w:val="004904AF"/>
    <w:rsid w:val="004916DA"/>
    <w:rsid w:val="00491992"/>
    <w:rsid w:val="00491CA0"/>
    <w:rsid w:val="00491D4D"/>
    <w:rsid w:val="00493058"/>
    <w:rsid w:val="00493153"/>
    <w:rsid w:val="004934B2"/>
    <w:rsid w:val="004935DA"/>
    <w:rsid w:val="00493735"/>
    <w:rsid w:val="00493AAD"/>
    <w:rsid w:val="00493BFE"/>
    <w:rsid w:val="00493C24"/>
    <w:rsid w:val="00493D8C"/>
    <w:rsid w:val="0049407A"/>
    <w:rsid w:val="00494870"/>
    <w:rsid w:val="00494A99"/>
    <w:rsid w:val="0049527C"/>
    <w:rsid w:val="0049579E"/>
    <w:rsid w:val="00495818"/>
    <w:rsid w:val="00495DC9"/>
    <w:rsid w:val="00495F7B"/>
    <w:rsid w:val="00495F8B"/>
    <w:rsid w:val="00495FD2"/>
    <w:rsid w:val="00497028"/>
    <w:rsid w:val="004971D5"/>
    <w:rsid w:val="0049729D"/>
    <w:rsid w:val="0049739D"/>
    <w:rsid w:val="00497A46"/>
    <w:rsid w:val="00497C39"/>
    <w:rsid w:val="00497EE9"/>
    <w:rsid w:val="004A015F"/>
    <w:rsid w:val="004A018B"/>
    <w:rsid w:val="004A0720"/>
    <w:rsid w:val="004A15B9"/>
    <w:rsid w:val="004A174A"/>
    <w:rsid w:val="004A2104"/>
    <w:rsid w:val="004A2323"/>
    <w:rsid w:val="004A23DE"/>
    <w:rsid w:val="004A24C3"/>
    <w:rsid w:val="004A2AC1"/>
    <w:rsid w:val="004A32C5"/>
    <w:rsid w:val="004A3349"/>
    <w:rsid w:val="004A38AF"/>
    <w:rsid w:val="004A424E"/>
    <w:rsid w:val="004A43F4"/>
    <w:rsid w:val="004A4B31"/>
    <w:rsid w:val="004A4E75"/>
    <w:rsid w:val="004A5250"/>
    <w:rsid w:val="004A58DC"/>
    <w:rsid w:val="004A5A4E"/>
    <w:rsid w:val="004A5A89"/>
    <w:rsid w:val="004A5DD2"/>
    <w:rsid w:val="004A5E1B"/>
    <w:rsid w:val="004A61DA"/>
    <w:rsid w:val="004A624F"/>
    <w:rsid w:val="004A6ADB"/>
    <w:rsid w:val="004A6E8A"/>
    <w:rsid w:val="004A7161"/>
    <w:rsid w:val="004A7677"/>
    <w:rsid w:val="004A7B95"/>
    <w:rsid w:val="004A7C11"/>
    <w:rsid w:val="004B000D"/>
    <w:rsid w:val="004B0289"/>
    <w:rsid w:val="004B0676"/>
    <w:rsid w:val="004B0AB4"/>
    <w:rsid w:val="004B1192"/>
    <w:rsid w:val="004B145C"/>
    <w:rsid w:val="004B178A"/>
    <w:rsid w:val="004B1A03"/>
    <w:rsid w:val="004B1D4F"/>
    <w:rsid w:val="004B2C38"/>
    <w:rsid w:val="004B387D"/>
    <w:rsid w:val="004B4111"/>
    <w:rsid w:val="004B4FC1"/>
    <w:rsid w:val="004B5A0C"/>
    <w:rsid w:val="004B64AB"/>
    <w:rsid w:val="004B677D"/>
    <w:rsid w:val="004B69A8"/>
    <w:rsid w:val="004B703B"/>
    <w:rsid w:val="004B7361"/>
    <w:rsid w:val="004B7704"/>
    <w:rsid w:val="004B7720"/>
    <w:rsid w:val="004B7CBB"/>
    <w:rsid w:val="004C0835"/>
    <w:rsid w:val="004C11D4"/>
    <w:rsid w:val="004C1486"/>
    <w:rsid w:val="004C17CA"/>
    <w:rsid w:val="004C1C0C"/>
    <w:rsid w:val="004C20BF"/>
    <w:rsid w:val="004C20E7"/>
    <w:rsid w:val="004C3288"/>
    <w:rsid w:val="004C33CB"/>
    <w:rsid w:val="004C3823"/>
    <w:rsid w:val="004C3954"/>
    <w:rsid w:val="004C464B"/>
    <w:rsid w:val="004C4CFC"/>
    <w:rsid w:val="004C4FD2"/>
    <w:rsid w:val="004C50AC"/>
    <w:rsid w:val="004C51DB"/>
    <w:rsid w:val="004C5439"/>
    <w:rsid w:val="004C5835"/>
    <w:rsid w:val="004C60A1"/>
    <w:rsid w:val="004C6841"/>
    <w:rsid w:val="004C6B22"/>
    <w:rsid w:val="004C7341"/>
    <w:rsid w:val="004C73CE"/>
    <w:rsid w:val="004C75E9"/>
    <w:rsid w:val="004C76C2"/>
    <w:rsid w:val="004D02D2"/>
    <w:rsid w:val="004D0489"/>
    <w:rsid w:val="004D0B8D"/>
    <w:rsid w:val="004D1275"/>
    <w:rsid w:val="004D13FA"/>
    <w:rsid w:val="004D148E"/>
    <w:rsid w:val="004D1696"/>
    <w:rsid w:val="004D1941"/>
    <w:rsid w:val="004D2282"/>
    <w:rsid w:val="004D24C2"/>
    <w:rsid w:val="004D260C"/>
    <w:rsid w:val="004D2629"/>
    <w:rsid w:val="004D28DD"/>
    <w:rsid w:val="004D2BE6"/>
    <w:rsid w:val="004D3B31"/>
    <w:rsid w:val="004D3CD9"/>
    <w:rsid w:val="004D3F39"/>
    <w:rsid w:val="004D4117"/>
    <w:rsid w:val="004D49A9"/>
    <w:rsid w:val="004D4A94"/>
    <w:rsid w:val="004D50D5"/>
    <w:rsid w:val="004D524A"/>
    <w:rsid w:val="004D5274"/>
    <w:rsid w:val="004D5464"/>
    <w:rsid w:val="004D5771"/>
    <w:rsid w:val="004D613A"/>
    <w:rsid w:val="004D6F29"/>
    <w:rsid w:val="004D71A5"/>
    <w:rsid w:val="004D7AB4"/>
    <w:rsid w:val="004E04BD"/>
    <w:rsid w:val="004E07F7"/>
    <w:rsid w:val="004E0993"/>
    <w:rsid w:val="004E0C41"/>
    <w:rsid w:val="004E0DEF"/>
    <w:rsid w:val="004E0E37"/>
    <w:rsid w:val="004E11DC"/>
    <w:rsid w:val="004E1E06"/>
    <w:rsid w:val="004E25BA"/>
    <w:rsid w:val="004E2AF4"/>
    <w:rsid w:val="004E2E06"/>
    <w:rsid w:val="004E2E92"/>
    <w:rsid w:val="004E3098"/>
    <w:rsid w:val="004E3536"/>
    <w:rsid w:val="004E3824"/>
    <w:rsid w:val="004E52CF"/>
    <w:rsid w:val="004E59A7"/>
    <w:rsid w:val="004E5A62"/>
    <w:rsid w:val="004E5D0A"/>
    <w:rsid w:val="004E5FBF"/>
    <w:rsid w:val="004E637C"/>
    <w:rsid w:val="004E660A"/>
    <w:rsid w:val="004E662B"/>
    <w:rsid w:val="004E698E"/>
    <w:rsid w:val="004E7396"/>
    <w:rsid w:val="004E74DC"/>
    <w:rsid w:val="004E7861"/>
    <w:rsid w:val="004E7BBF"/>
    <w:rsid w:val="004E7DD9"/>
    <w:rsid w:val="004F04E7"/>
    <w:rsid w:val="004F0A27"/>
    <w:rsid w:val="004F0B95"/>
    <w:rsid w:val="004F0E12"/>
    <w:rsid w:val="004F14F5"/>
    <w:rsid w:val="004F15AD"/>
    <w:rsid w:val="004F1E0A"/>
    <w:rsid w:val="004F2155"/>
    <w:rsid w:val="004F257A"/>
    <w:rsid w:val="004F2634"/>
    <w:rsid w:val="004F295E"/>
    <w:rsid w:val="004F2FF7"/>
    <w:rsid w:val="004F304C"/>
    <w:rsid w:val="004F370E"/>
    <w:rsid w:val="004F373C"/>
    <w:rsid w:val="004F3AC9"/>
    <w:rsid w:val="004F3CC6"/>
    <w:rsid w:val="004F3DED"/>
    <w:rsid w:val="004F44B9"/>
    <w:rsid w:val="004F4724"/>
    <w:rsid w:val="004F4C21"/>
    <w:rsid w:val="004F4C77"/>
    <w:rsid w:val="004F4DD8"/>
    <w:rsid w:val="004F4EA8"/>
    <w:rsid w:val="004F5520"/>
    <w:rsid w:val="004F5A9B"/>
    <w:rsid w:val="004F5B86"/>
    <w:rsid w:val="004F5DA2"/>
    <w:rsid w:val="004F60F8"/>
    <w:rsid w:val="004F62B1"/>
    <w:rsid w:val="004F631E"/>
    <w:rsid w:val="004F65EA"/>
    <w:rsid w:val="004F6777"/>
    <w:rsid w:val="004F6B70"/>
    <w:rsid w:val="004F78AF"/>
    <w:rsid w:val="004F7B8D"/>
    <w:rsid w:val="00500746"/>
    <w:rsid w:val="00500A71"/>
    <w:rsid w:val="00500F87"/>
    <w:rsid w:val="0050179B"/>
    <w:rsid w:val="005017B3"/>
    <w:rsid w:val="00501D42"/>
    <w:rsid w:val="00501E9F"/>
    <w:rsid w:val="0050213E"/>
    <w:rsid w:val="005022FE"/>
    <w:rsid w:val="005029BD"/>
    <w:rsid w:val="00502A3B"/>
    <w:rsid w:val="00502B99"/>
    <w:rsid w:val="00502FF2"/>
    <w:rsid w:val="00503509"/>
    <w:rsid w:val="0050367C"/>
    <w:rsid w:val="005038D6"/>
    <w:rsid w:val="005039CB"/>
    <w:rsid w:val="00503A89"/>
    <w:rsid w:val="005050C1"/>
    <w:rsid w:val="00505419"/>
    <w:rsid w:val="005056A3"/>
    <w:rsid w:val="00505AAC"/>
    <w:rsid w:val="00505F7E"/>
    <w:rsid w:val="00506000"/>
    <w:rsid w:val="0050601B"/>
    <w:rsid w:val="00506086"/>
    <w:rsid w:val="0050645D"/>
    <w:rsid w:val="00506715"/>
    <w:rsid w:val="00506864"/>
    <w:rsid w:val="00506B34"/>
    <w:rsid w:val="005078ED"/>
    <w:rsid w:val="00507F1B"/>
    <w:rsid w:val="00510112"/>
    <w:rsid w:val="00510747"/>
    <w:rsid w:val="00510A5D"/>
    <w:rsid w:val="00510A9A"/>
    <w:rsid w:val="005115C1"/>
    <w:rsid w:val="00512245"/>
    <w:rsid w:val="0051229A"/>
    <w:rsid w:val="00512A56"/>
    <w:rsid w:val="00512CCE"/>
    <w:rsid w:val="0051325A"/>
    <w:rsid w:val="00513268"/>
    <w:rsid w:val="00513658"/>
    <w:rsid w:val="00513E34"/>
    <w:rsid w:val="0051435A"/>
    <w:rsid w:val="00514B23"/>
    <w:rsid w:val="00514D03"/>
    <w:rsid w:val="00514FE1"/>
    <w:rsid w:val="00515116"/>
    <w:rsid w:val="0051540B"/>
    <w:rsid w:val="00515DC1"/>
    <w:rsid w:val="00516A34"/>
    <w:rsid w:val="00516DFC"/>
    <w:rsid w:val="00517176"/>
    <w:rsid w:val="0051726B"/>
    <w:rsid w:val="005173F5"/>
    <w:rsid w:val="0052045C"/>
    <w:rsid w:val="00520927"/>
    <w:rsid w:val="00520BEC"/>
    <w:rsid w:val="00520F45"/>
    <w:rsid w:val="00521B19"/>
    <w:rsid w:val="00521D08"/>
    <w:rsid w:val="00522788"/>
    <w:rsid w:val="00522DB2"/>
    <w:rsid w:val="00522E19"/>
    <w:rsid w:val="0052315C"/>
    <w:rsid w:val="005233F1"/>
    <w:rsid w:val="005239E1"/>
    <w:rsid w:val="00523DB9"/>
    <w:rsid w:val="005242D1"/>
    <w:rsid w:val="005250BC"/>
    <w:rsid w:val="005258EC"/>
    <w:rsid w:val="005259E8"/>
    <w:rsid w:val="00525BCB"/>
    <w:rsid w:val="00525E42"/>
    <w:rsid w:val="0052646E"/>
    <w:rsid w:val="0052648A"/>
    <w:rsid w:val="00526CC0"/>
    <w:rsid w:val="0052726F"/>
    <w:rsid w:val="005273B3"/>
    <w:rsid w:val="00527512"/>
    <w:rsid w:val="005276CB"/>
    <w:rsid w:val="00527958"/>
    <w:rsid w:val="00527B7B"/>
    <w:rsid w:val="005300AA"/>
    <w:rsid w:val="005304CF"/>
    <w:rsid w:val="00530597"/>
    <w:rsid w:val="00530D2C"/>
    <w:rsid w:val="00530E35"/>
    <w:rsid w:val="00531202"/>
    <w:rsid w:val="005314EF"/>
    <w:rsid w:val="00531D38"/>
    <w:rsid w:val="00531FD8"/>
    <w:rsid w:val="0053249A"/>
    <w:rsid w:val="00532C11"/>
    <w:rsid w:val="00533765"/>
    <w:rsid w:val="005342C5"/>
    <w:rsid w:val="00534F25"/>
    <w:rsid w:val="00535014"/>
    <w:rsid w:val="005350F0"/>
    <w:rsid w:val="005352F3"/>
    <w:rsid w:val="0053565E"/>
    <w:rsid w:val="00535674"/>
    <w:rsid w:val="005357C7"/>
    <w:rsid w:val="00535B08"/>
    <w:rsid w:val="00535D65"/>
    <w:rsid w:val="00535EDA"/>
    <w:rsid w:val="00536028"/>
    <w:rsid w:val="0053752F"/>
    <w:rsid w:val="00537DE3"/>
    <w:rsid w:val="00540143"/>
    <w:rsid w:val="0054026C"/>
    <w:rsid w:val="005404DD"/>
    <w:rsid w:val="0054077B"/>
    <w:rsid w:val="00540887"/>
    <w:rsid w:val="00540BF0"/>
    <w:rsid w:val="00541215"/>
    <w:rsid w:val="00541451"/>
    <w:rsid w:val="00541683"/>
    <w:rsid w:val="00541B44"/>
    <w:rsid w:val="00541D0D"/>
    <w:rsid w:val="00542CCD"/>
    <w:rsid w:val="0054313A"/>
    <w:rsid w:val="005435AC"/>
    <w:rsid w:val="00543969"/>
    <w:rsid w:val="00543D76"/>
    <w:rsid w:val="0054459F"/>
    <w:rsid w:val="00544890"/>
    <w:rsid w:val="0054491C"/>
    <w:rsid w:val="00544BF2"/>
    <w:rsid w:val="00544D79"/>
    <w:rsid w:val="00545255"/>
    <w:rsid w:val="00545413"/>
    <w:rsid w:val="00545691"/>
    <w:rsid w:val="00545A60"/>
    <w:rsid w:val="00545BDD"/>
    <w:rsid w:val="00545C9D"/>
    <w:rsid w:val="00545F9E"/>
    <w:rsid w:val="00546912"/>
    <w:rsid w:val="00546962"/>
    <w:rsid w:val="00546D0F"/>
    <w:rsid w:val="005507DF"/>
    <w:rsid w:val="00550C33"/>
    <w:rsid w:val="00551664"/>
    <w:rsid w:val="005522D8"/>
    <w:rsid w:val="00552806"/>
    <w:rsid w:val="00552DCA"/>
    <w:rsid w:val="00552E57"/>
    <w:rsid w:val="00552F54"/>
    <w:rsid w:val="0055307E"/>
    <w:rsid w:val="005538B4"/>
    <w:rsid w:val="00553A3D"/>
    <w:rsid w:val="00553C48"/>
    <w:rsid w:val="00553CCF"/>
    <w:rsid w:val="00553D69"/>
    <w:rsid w:val="00553D6A"/>
    <w:rsid w:val="00554338"/>
    <w:rsid w:val="00554661"/>
    <w:rsid w:val="005548CE"/>
    <w:rsid w:val="00554D79"/>
    <w:rsid w:val="00554DA2"/>
    <w:rsid w:val="00555609"/>
    <w:rsid w:val="0055568E"/>
    <w:rsid w:val="005558A0"/>
    <w:rsid w:val="00555A13"/>
    <w:rsid w:val="00555DC2"/>
    <w:rsid w:val="005576DA"/>
    <w:rsid w:val="00557EEF"/>
    <w:rsid w:val="00560350"/>
    <w:rsid w:val="00560367"/>
    <w:rsid w:val="00560449"/>
    <w:rsid w:val="005606CD"/>
    <w:rsid w:val="00560724"/>
    <w:rsid w:val="00560774"/>
    <w:rsid w:val="0056077C"/>
    <w:rsid w:val="00560884"/>
    <w:rsid w:val="00560D26"/>
    <w:rsid w:val="00561A46"/>
    <w:rsid w:val="00561EBA"/>
    <w:rsid w:val="00561FB4"/>
    <w:rsid w:val="00562427"/>
    <w:rsid w:val="00562B1F"/>
    <w:rsid w:val="0056376C"/>
    <w:rsid w:val="005637FC"/>
    <w:rsid w:val="005639ED"/>
    <w:rsid w:val="00564222"/>
    <w:rsid w:val="00564677"/>
    <w:rsid w:val="00564C08"/>
    <w:rsid w:val="00564C59"/>
    <w:rsid w:val="00564CE3"/>
    <w:rsid w:val="00564E8B"/>
    <w:rsid w:val="00566A81"/>
    <w:rsid w:val="00566FA9"/>
    <w:rsid w:val="00567500"/>
    <w:rsid w:val="00567801"/>
    <w:rsid w:val="0057007F"/>
    <w:rsid w:val="00570C3F"/>
    <w:rsid w:val="00570C8E"/>
    <w:rsid w:val="00571179"/>
    <w:rsid w:val="005712E3"/>
    <w:rsid w:val="0057160A"/>
    <w:rsid w:val="005724E2"/>
    <w:rsid w:val="00572AED"/>
    <w:rsid w:val="00572F4D"/>
    <w:rsid w:val="00573630"/>
    <w:rsid w:val="005736AF"/>
    <w:rsid w:val="0057417E"/>
    <w:rsid w:val="00574793"/>
    <w:rsid w:val="0057486D"/>
    <w:rsid w:val="00575415"/>
    <w:rsid w:val="005756F2"/>
    <w:rsid w:val="005764B8"/>
    <w:rsid w:val="0057675B"/>
    <w:rsid w:val="00576BF0"/>
    <w:rsid w:val="00576CDD"/>
    <w:rsid w:val="0057705D"/>
    <w:rsid w:val="005777F9"/>
    <w:rsid w:val="00580732"/>
    <w:rsid w:val="0058097D"/>
    <w:rsid w:val="00580B53"/>
    <w:rsid w:val="00580DE5"/>
    <w:rsid w:val="00580F5E"/>
    <w:rsid w:val="0058106E"/>
    <w:rsid w:val="005812F3"/>
    <w:rsid w:val="00581502"/>
    <w:rsid w:val="00581681"/>
    <w:rsid w:val="00581768"/>
    <w:rsid w:val="00582069"/>
    <w:rsid w:val="0058243B"/>
    <w:rsid w:val="00582BEF"/>
    <w:rsid w:val="00582C64"/>
    <w:rsid w:val="00583E27"/>
    <w:rsid w:val="00583FED"/>
    <w:rsid w:val="00584732"/>
    <w:rsid w:val="00585080"/>
    <w:rsid w:val="005851DC"/>
    <w:rsid w:val="00585583"/>
    <w:rsid w:val="005856BB"/>
    <w:rsid w:val="00585C2C"/>
    <w:rsid w:val="0058614A"/>
    <w:rsid w:val="00586341"/>
    <w:rsid w:val="00586782"/>
    <w:rsid w:val="005867A1"/>
    <w:rsid w:val="00586A62"/>
    <w:rsid w:val="00586DFB"/>
    <w:rsid w:val="00587782"/>
    <w:rsid w:val="00587A79"/>
    <w:rsid w:val="00587B5E"/>
    <w:rsid w:val="00587D77"/>
    <w:rsid w:val="0059023F"/>
    <w:rsid w:val="00590437"/>
    <w:rsid w:val="00590CC6"/>
    <w:rsid w:val="00591348"/>
    <w:rsid w:val="00592DA8"/>
    <w:rsid w:val="00592DAC"/>
    <w:rsid w:val="0059342E"/>
    <w:rsid w:val="005936F7"/>
    <w:rsid w:val="00593AE5"/>
    <w:rsid w:val="00593E1C"/>
    <w:rsid w:val="00593EEB"/>
    <w:rsid w:val="00593FA1"/>
    <w:rsid w:val="00594063"/>
    <w:rsid w:val="0059431E"/>
    <w:rsid w:val="00594898"/>
    <w:rsid w:val="00595026"/>
    <w:rsid w:val="00595C58"/>
    <w:rsid w:val="00595D01"/>
    <w:rsid w:val="00595DB8"/>
    <w:rsid w:val="00595E62"/>
    <w:rsid w:val="005963AD"/>
    <w:rsid w:val="005963CA"/>
    <w:rsid w:val="00596442"/>
    <w:rsid w:val="0059651B"/>
    <w:rsid w:val="00596B3B"/>
    <w:rsid w:val="00596CEC"/>
    <w:rsid w:val="00597087"/>
    <w:rsid w:val="00597495"/>
    <w:rsid w:val="00597575"/>
    <w:rsid w:val="005975CC"/>
    <w:rsid w:val="00597AE1"/>
    <w:rsid w:val="005A074F"/>
    <w:rsid w:val="005A1068"/>
    <w:rsid w:val="005A13AB"/>
    <w:rsid w:val="005A252E"/>
    <w:rsid w:val="005A2772"/>
    <w:rsid w:val="005A28A5"/>
    <w:rsid w:val="005A2A62"/>
    <w:rsid w:val="005A3142"/>
    <w:rsid w:val="005A3290"/>
    <w:rsid w:val="005A3B67"/>
    <w:rsid w:val="005A3B70"/>
    <w:rsid w:val="005A409F"/>
    <w:rsid w:val="005A40F1"/>
    <w:rsid w:val="005A4382"/>
    <w:rsid w:val="005A4435"/>
    <w:rsid w:val="005A49BB"/>
    <w:rsid w:val="005A535D"/>
    <w:rsid w:val="005A55B4"/>
    <w:rsid w:val="005A61F7"/>
    <w:rsid w:val="005A6283"/>
    <w:rsid w:val="005A63AC"/>
    <w:rsid w:val="005A6789"/>
    <w:rsid w:val="005A68C5"/>
    <w:rsid w:val="005A6BD6"/>
    <w:rsid w:val="005A73CA"/>
    <w:rsid w:val="005A787E"/>
    <w:rsid w:val="005A7B50"/>
    <w:rsid w:val="005A7CD4"/>
    <w:rsid w:val="005A7F6A"/>
    <w:rsid w:val="005B0CC8"/>
    <w:rsid w:val="005B1139"/>
    <w:rsid w:val="005B13C6"/>
    <w:rsid w:val="005B153F"/>
    <w:rsid w:val="005B1701"/>
    <w:rsid w:val="005B1E85"/>
    <w:rsid w:val="005B2544"/>
    <w:rsid w:val="005B28E4"/>
    <w:rsid w:val="005B2B39"/>
    <w:rsid w:val="005B2EFD"/>
    <w:rsid w:val="005B352B"/>
    <w:rsid w:val="005B360B"/>
    <w:rsid w:val="005B375F"/>
    <w:rsid w:val="005B39FE"/>
    <w:rsid w:val="005B421D"/>
    <w:rsid w:val="005B4260"/>
    <w:rsid w:val="005B490D"/>
    <w:rsid w:val="005B4B18"/>
    <w:rsid w:val="005B4B85"/>
    <w:rsid w:val="005B4FEC"/>
    <w:rsid w:val="005B51DD"/>
    <w:rsid w:val="005B5400"/>
    <w:rsid w:val="005B55D1"/>
    <w:rsid w:val="005B55D5"/>
    <w:rsid w:val="005B58AF"/>
    <w:rsid w:val="005B5D04"/>
    <w:rsid w:val="005B698D"/>
    <w:rsid w:val="005B6AB0"/>
    <w:rsid w:val="005B6DF9"/>
    <w:rsid w:val="005B70C7"/>
    <w:rsid w:val="005B70F7"/>
    <w:rsid w:val="005B7D02"/>
    <w:rsid w:val="005B7D13"/>
    <w:rsid w:val="005C020C"/>
    <w:rsid w:val="005C0320"/>
    <w:rsid w:val="005C08DE"/>
    <w:rsid w:val="005C0B2E"/>
    <w:rsid w:val="005C16CF"/>
    <w:rsid w:val="005C18DC"/>
    <w:rsid w:val="005C1A82"/>
    <w:rsid w:val="005C1C12"/>
    <w:rsid w:val="005C1F85"/>
    <w:rsid w:val="005C28B2"/>
    <w:rsid w:val="005C2B42"/>
    <w:rsid w:val="005C2B99"/>
    <w:rsid w:val="005C2C4C"/>
    <w:rsid w:val="005C3085"/>
    <w:rsid w:val="005C3EE2"/>
    <w:rsid w:val="005C3F1B"/>
    <w:rsid w:val="005C415C"/>
    <w:rsid w:val="005C4347"/>
    <w:rsid w:val="005C4C71"/>
    <w:rsid w:val="005C5674"/>
    <w:rsid w:val="005C58E8"/>
    <w:rsid w:val="005C5E0F"/>
    <w:rsid w:val="005C5F4E"/>
    <w:rsid w:val="005C608F"/>
    <w:rsid w:val="005C666F"/>
    <w:rsid w:val="005C66BE"/>
    <w:rsid w:val="005C6761"/>
    <w:rsid w:val="005C7377"/>
    <w:rsid w:val="005D017E"/>
    <w:rsid w:val="005D0DE0"/>
    <w:rsid w:val="005D1082"/>
    <w:rsid w:val="005D15EF"/>
    <w:rsid w:val="005D1DAF"/>
    <w:rsid w:val="005D1F7B"/>
    <w:rsid w:val="005D1FD9"/>
    <w:rsid w:val="005D1FE1"/>
    <w:rsid w:val="005D2B8F"/>
    <w:rsid w:val="005D351D"/>
    <w:rsid w:val="005D369D"/>
    <w:rsid w:val="005D394E"/>
    <w:rsid w:val="005D3962"/>
    <w:rsid w:val="005D3CDD"/>
    <w:rsid w:val="005D3D7B"/>
    <w:rsid w:val="005D3FF7"/>
    <w:rsid w:val="005D455B"/>
    <w:rsid w:val="005D4B84"/>
    <w:rsid w:val="005D528A"/>
    <w:rsid w:val="005D5A30"/>
    <w:rsid w:val="005D609C"/>
    <w:rsid w:val="005D61E1"/>
    <w:rsid w:val="005D6794"/>
    <w:rsid w:val="005D6D53"/>
    <w:rsid w:val="005D741C"/>
    <w:rsid w:val="005D7C7A"/>
    <w:rsid w:val="005E00BC"/>
    <w:rsid w:val="005E011C"/>
    <w:rsid w:val="005E0410"/>
    <w:rsid w:val="005E05AC"/>
    <w:rsid w:val="005E0AB0"/>
    <w:rsid w:val="005E106B"/>
    <w:rsid w:val="005E2B0C"/>
    <w:rsid w:val="005E2E69"/>
    <w:rsid w:val="005E3506"/>
    <w:rsid w:val="005E3929"/>
    <w:rsid w:val="005E3B15"/>
    <w:rsid w:val="005E3B57"/>
    <w:rsid w:val="005E40D3"/>
    <w:rsid w:val="005E422F"/>
    <w:rsid w:val="005E427C"/>
    <w:rsid w:val="005E4461"/>
    <w:rsid w:val="005E4CD6"/>
    <w:rsid w:val="005E4E88"/>
    <w:rsid w:val="005E4EC6"/>
    <w:rsid w:val="005E4F5F"/>
    <w:rsid w:val="005E53EF"/>
    <w:rsid w:val="005E560C"/>
    <w:rsid w:val="005E5F09"/>
    <w:rsid w:val="005E5F20"/>
    <w:rsid w:val="005E60F0"/>
    <w:rsid w:val="005E616E"/>
    <w:rsid w:val="005E7E12"/>
    <w:rsid w:val="005E7EC3"/>
    <w:rsid w:val="005E7F96"/>
    <w:rsid w:val="005F01AF"/>
    <w:rsid w:val="005F046B"/>
    <w:rsid w:val="005F0B50"/>
    <w:rsid w:val="005F0C3D"/>
    <w:rsid w:val="005F0D0D"/>
    <w:rsid w:val="005F16C3"/>
    <w:rsid w:val="005F171B"/>
    <w:rsid w:val="005F178C"/>
    <w:rsid w:val="005F19AB"/>
    <w:rsid w:val="005F1E82"/>
    <w:rsid w:val="005F2338"/>
    <w:rsid w:val="005F2E12"/>
    <w:rsid w:val="005F3411"/>
    <w:rsid w:val="005F3523"/>
    <w:rsid w:val="005F3B15"/>
    <w:rsid w:val="005F3FE4"/>
    <w:rsid w:val="005F45F7"/>
    <w:rsid w:val="005F4667"/>
    <w:rsid w:val="005F49A6"/>
    <w:rsid w:val="005F4F15"/>
    <w:rsid w:val="005F4F5D"/>
    <w:rsid w:val="005F4F74"/>
    <w:rsid w:val="005F5283"/>
    <w:rsid w:val="005F5975"/>
    <w:rsid w:val="005F60B4"/>
    <w:rsid w:val="005F60D7"/>
    <w:rsid w:val="005F625B"/>
    <w:rsid w:val="005F647E"/>
    <w:rsid w:val="005F6E96"/>
    <w:rsid w:val="005F6F4B"/>
    <w:rsid w:val="005F737F"/>
    <w:rsid w:val="005F768D"/>
    <w:rsid w:val="005F7DF3"/>
    <w:rsid w:val="00600144"/>
    <w:rsid w:val="006002AC"/>
    <w:rsid w:val="0060049A"/>
    <w:rsid w:val="006007B8"/>
    <w:rsid w:val="0060092B"/>
    <w:rsid w:val="00600D5D"/>
    <w:rsid w:val="006010D4"/>
    <w:rsid w:val="00601743"/>
    <w:rsid w:val="006018BA"/>
    <w:rsid w:val="00601A25"/>
    <w:rsid w:val="00601A3A"/>
    <w:rsid w:val="00602040"/>
    <w:rsid w:val="006023CC"/>
    <w:rsid w:val="00602915"/>
    <w:rsid w:val="00602AAE"/>
    <w:rsid w:val="00602D6E"/>
    <w:rsid w:val="00602EAB"/>
    <w:rsid w:val="00603793"/>
    <w:rsid w:val="0060383D"/>
    <w:rsid w:val="00603EC1"/>
    <w:rsid w:val="0060467E"/>
    <w:rsid w:val="00604775"/>
    <w:rsid w:val="006047B7"/>
    <w:rsid w:val="00604F1F"/>
    <w:rsid w:val="00605396"/>
    <w:rsid w:val="006057F9"/>
    <w:rsid w:val="00605935"/>
    <w:rsid w:val="00605ED8"/>
    <w:rsid w:val="00606868"/>
    <w:rsid w:val="006072B1"/>
    <w:rsid w:val="006076BE"/>
    <w:rsid w:val="00607C7C"/>
    <w:rsid w:val="00607E29"/>
    <w:rsid w:val="006101D5"/>
    <w:rsid w:val="00610951"/>
    <w:rsid w:val="00610ADD"/>
    <w:rsid w:val="00610CA2"/>
    <w:rsid w:val="006118BE"/>
    <w:rsid w:val="00611BDD"/>
    <w:rsid w:val="00612A5C"/>
    <w:rsid w:val="00612E2A"/>
    <w:rsid w:val="00612E45"/>
    <w:rsid w:val="00613698"/>
    <w:rsid w:val="00613F6D"/>
    <w:rsid w:val="0061413D"/>
    <w:rsid w:val="00614257"/>
    <w:rsid w:val="00614AE0"/>
    <w:rsid w:val="00614C32"/>
    <w:rsid w:val="00614E4F"/>
    <w:rsid w:val="006154EC"/>
    <w:rsid w:val="00615614"/>
    <w:rsid w:val="006158CD"/>
    <w:rsid w:val="0061659F"/>
    <w:rsid w:val="00616649"/>
    <w:rsid w:val="00616AC4"/>
    <w:rsid w:val="006170AA"/>
    <w:rsid w:val="00617127"/>
    <w:rsid w:val="00617636"/>
    <w:rsid w:val="006201B0"/>
    <w:rsid w:val="006209A9"/>
    <w:rsid w:val="00621824"/>
    <w:rsid w:val="00621A09"/>
    <w:rsid w:val="00621B3A"/>
    <w:rsid w:val="00621D1C"/>
    <w:rsid w:val="00621D51"/>
    <w:rsid w:val="00621F21"/>
    <w:rsid w:val="00622419"/>
    <w:rsid w:val="006227EA"/>
    <w:rsid w:val="006228D9"/>
    <w:rsid w:val="00622C83"/>
    <w:rsid w:val="00622E2D"/>
    <w:rsid w:val="00622EC1"/>
    <w:rsid w:val="0062367C"/>
    <w:rsid w:val="006239D1"/>
    <w:rsid w:val="00623A97"/>
    <w:rsid w:val="00623EC0"/>
    <w:rsid w:val="0062405C"/>
    <w:rsid w:val="00624B06"/>
    <w:rsid w:val="00625132"/>
    <w:rsid w:val="006267A3"/>
    <w:rsid w:val="00627369"/>
    <w:rsid w:val="00627467"/>
    <w:rsid w:val="00627CC1"/>
    <w:rsid w:val="00627D83"/>
    <w:rsid w:val="00627D8B"/>
    <w:rsid w:val="00627EFD"/>
    <w:rsid w:val="006305BF"/>
    <w:rsid w:val="006308BA"/>
    <w:rsid w:val="0063111B"/>
    <w:rsid w:val="0063145B"/>
    <w:rsid w:val="006315BA"/>
    <w:rsid w:val="0063193C"/>
    <w:rsid w:val="00631D26"/>
    <w:rsid w:val="00632901"/>
    <w:rsid w:val="00632D4D"/>
    <w:rsid w:val="00633075"/>
    <w:rsid w:val="0063309E"/>
    <w:rsid w:val="006330AA"/>
    <w:rsid w:val="0063317A"/>
    <w:rsid w:val="006334F1"/>
    <w:rsid w:val="00633874"/>
    <w:rsid w:val="00633E42"/>
    <w:rsid w:val="00633F91"/>
    <w:rsid w:val="00633FE5"/>
    <w:rsid w:val="0063420A"/>
    <w:rsid w:val="00635041"/>
    <w:rsid w:val="006350D2"/>
    <w:rsid w:val="0063571B"/>
    <w:rsid w:val="00635D6D"/>
    <w:rsid w:val="00636020"/>
    <w:rsid w:val="00636CD8"/>
    <w:rsid w:val="00636E6F"/>
    <w:rsid w:val="00637474"/>
    <w:rsid w:val="006376A7"/>
    <w:rsid w:val="00637D98"/>
    <w:rsid w:val="00637EDD"/>
    <w:rsid w:val="0064065E"/>
    <w:rsid w:val="00640B7F"/>
    <w:rsid w:val="006410C0"/>
    <w:rsid w:val="006413F4"/>
    <w:rsid w:val="00641976"/>
    <w:rsid w:val="006419F8"/>
    <w:rsid w:val="00641CF8"/>
    <w:rsid w:val="00641DFB"/>
    <w:rsid w:val="006426EA"/>
    <w:rsid w:val="00642779"/>
    <w:rsid w:val="006429CA"/>
    <w:rsid w:val="00642B70"/>
    <w:rsid w:val="00642DAC"/>
    <w:rsid w:val="0064329D"/>
    <w:rsid w:val="0064336B"/>
    <w:rsid w:val="00643630"/>
    <w:rsid w:val="0064369D"/>
    <w:rsid w:val="006436F1"/>
    <w:rsid w:val="00643FF1"/>
    <w:rsid w:val="006442B9"/>
    <w:rsid w:val="006451F1"/>
    <w:rsid w:val="00645397"/>
    <w:rsid w:val="006456E3"/>
    <w:rsid w:val="00646A6B"/>
    <w:rsid w:val="00646D28"/>
    <w:rsid w:val="00646E81"/>
    <w:rsid w:val="00646FA9"/>
    <w:rsid w:val="00647260"/>
    <w:rsid w:val="006472A1"/>
    <w:rsid w:val="006472C4"/>
    <w:rsid w:val="00647CD1"/>
    <w:rsid w:val="00647D89"/>
    <w:rsid w:val="006504C3"/>
    <w:rsid w:val="00650F2C"/>
    <w:rsid w:val="00651182"/>
    <w:rsid w:val="00651577"/>
    <w:rsid w:val="00651B36"/>
    <w:rsid w:val="00651B3A"/>
    <w:rsid w:val="00651BD5"/>
    <w:rsid w:val="00652495"/>
    <w:rsid w:val="0065271C"/>
    <w:rsid w:val="00652CD9"/>
    <w:rsid w:val="006531E7"/>
    <w:rsid w:val="00654491"/>
    <w:rsid w:val="00654A32"/>
    <w:rsid w:val="00654B57"/>
    <w:rsid w:val="00654E65"/>
    <w:rsid w:val="00654E6C"/>
    <w:rsid w:val="00655428"/>
    <w:rsid w:val="00655470"/>
    <w:rsid w:val="006559B4"/>
    <w:rsid w:val="00656667"/>
    <w:rsid w:val="006577C7"/>
    <w:rsid w:val="00657874"/>
    <w:rsid w:val="00657D33"/>
    <w:rsid w:val="00660262"/>
    <w:rsid w:val="00661664"/>
    <w:rsid w:val="00661BB6"/>
    <w:rsid w:val="0066266E"/>
    <w:rsid w:val="0066285D"/>
    <w:rsid w:val="00662A02"/>
    <w:rsid w:val="00662AB9"/>
    <w:rsid w:val="00662DB9"/>
    <w:rsid w:val="006630E2"/>
    <w:rsid w:val="0066356C"/>
    <w:rsid w:val="00663621"/>
    <w:rsid w:val="0066390C"/>
    <w:rsid w:val="00663A5B"/>
    <w:rsid w:val="00663E58"/>
    <w:rsid w:val="00664085"/>
    <w:rsid w:val="00664791"/>
    <w:rsid w:val="0066487E"/>
    <w:rsid w:val="006648B9"/>
    <w:rsid w:val="00664A47"/>
    <w:rsid w:val="00664B91"/>
    <w:rsid w:val="00665050"/>
    <w:rsid w:val="006653C6"/>
    <w:rsid w:val="006657E7"/>
    <w:rsid w:val="00666145"/>
    <w:rsid w:val="00666D2A"/>
    <w:rsid w:val="00666F65"/>
    <w:rsid w:val="00666FC9"/>
    <w:rsid w:val="00667171"/>
    <w:rsid w:val="00667481"/>
    <w:rsid w:val="00667663"/>
    <w:rsid w:val="00667C74"/>
    <w:rsid w:val="00667E44"/>
    <w:rsid w:val="00667FA3"/>
    <w:rsid w:val="006703D0"/>
    <w:rsid w:val="0067087D"/>
    <w:rsid w:val="006709A9"/>
    <w:rsid w:val="00670A10"/>
    <w:rsid w:val="00670CAE"/>
    <w:rsid w:val="00672171"/>
    <w:rsid w:val="0067217B"/>
    <w:rsid w:val="006722B2"/>
    <w:rsid w:val="00672377"/>
    <w:rsid w:val="0067258C"/>
    <w:rsid w:val="006726F8"/>
    <w:rsid w:val="00673348"/>
    <w:rsid w:val="00673481"/>
    <w:rsid w:val="00673EF2"/>
    <w:rsid w:val="00674318"/>
    <w:rsid w:val="00674729"/>
    <w:rsid w:val="006747FD"/>
    <w:rsid w:val="00674D2C"/>
    <w:rsid w:val="00674F11"/>
    <w:rsid w:val="006750C4"/>
    <w:rsid w:val="00675295"/>
    <w:rsid w:val="006759F3"/>
    <w:rsid w:val="00675F78"/>
    <w:rsid w:val="006761AB"/>
    <w:rsid w:val="006767B9"/>
    <w:rsid w:val="006769D2"/>
    <w:rsid w:val="006770CC"/>
    <w:rsid w:val="00677661"/>
    <w:rsid w:val="00677CA1"/>
    <w:rsid w:val="00677F10"/>
    <w:rsid w:val="00680036"/>
    <w:rsid w:val="0068031A"/>
    <w:rsid w:val="0068039F"/>
    <w:rsid w:val="00680818"/>
    <w:rsid w:val="00680914"/>
    <w:rsid w:val="00681FBC"/>
    <w:rsid w:val="0068275A"/>
    <w:rsid w:val="00682A38"/>
    <w:rsid w:val="00682DF6"/>
    <w:rsid w:val="00682FBE"/>
    <w:rsid w:val="00684E58"/>
    <w:rsid w:val="00685283"/>
    <w:rsid w:val="006854C2"/>
    <w:rsid w:val="006854E8"/>
    <w:rsid w:val="00686398"/>
    <w:rsid w:val="006863F3"/>
    <w:rsid w:val="00686F56"/>
    <w:rsid w:val="00686F8A"/>
    <w:rsid w:val="00687699"/>
    <w:rsid w:val="00687ADC"/>
    <w:rsid w:val="00690670"/>
    <w:rsid w:val="006907D6"/>
    <w:rsid w:val="006909F0"/>
    <w:rsid w:val="00690CA1"/>
    <w:rsid w:val="0069114D"/>
    <w:rsid w:val="00691AB8"/>
    <w:rsid w:val="00692543"/>
    <w:rsid w:val="006926A7"/>
    <w:rsid w:val="00692EA8"/>
    <w:rsid w:val="00692F09"/>
    <w:rsid w:val="006932B6"/>
    <w:rsid w:val="00693802"/>
    <w:rsid w:val="006939B9"/>
    <w:rsid w:val="00694B6D"/>
    <w:rsid w:val="00695E3D"/>
    <w:rsid w:val="00696121"/>
    <w:rsid w:val="00696B22"/>
    <w:rsid w:val="00696D47"/>
    <w:rsid w:val="00697260"/>
    <w:rsid w:val="006979CF"/>
    <w:rsid w:val="00697A40"/>
    <w:rsid w:val="00697C31"/>
    <w:rsid w:val="00697C4D"/>
    <w:rsid w:val="00697F5C"/>
    <w:rsid w:val="006A0390"/>
    <w:rsid w:val="006A047C"/>
    <w:rsid w:val="006A05AB"/>
    <w:rsid w:val="006A0A51"/>
    <w:rsid w:val="006A119E"/>
    <w:rsid w:val="006A1C39"/>
    <w:rsid w:val="006A1DD8"/>
    <w:rsid w:val="006A1FB0"/>
    <w:rsid w:val="006A21FC"/>
    <w:rsid w:val="006A26A2"/>
    <w:rsid w:val="006A2F22"/>
    <w:rsid w:val="006A3472"/>
    <w:rsid w:val="006A3700"/>
    <w:rsid w:val="006A3BFF"/>
    <w:rsid w:val="006A424C"/>
    <w:rsid w:val="006A4B67"/>
    <w:rsid w:val="006A4B87"/>
    <w:rsid w:val="006A4D5D"/>
    <w:rsid w:val="006A4E45"/>
    <w:rsid w:val="006A4EBF"/>
    <w:rsid w:val="006A4F8D"/>
    <w:rsid w:val="006A4FD0"/>
    <w:rsid w:val="006A50B1"/>
    <w:rsid w:val="006A5625"/>
    <w:rsid w:val="006A5A90"/>
    <w:rsid w:val="006A5B07"/>
    <w:rsid w:val="006A5FCF"/>
    <w:rsid w:val="006A5FF2"/>
    <w:rsid w:val="006A676F"/>
    <w:rsid w:val="006A6810"/>
    <w:rsid w:val="006A6B2F"/>
    <w:rsid w:val="006A6DC9"/>
    <w:rsid w:val="006A7221"/>
    <w:rsid w:val="006A7712"/>
    <w:rsid w:val="006A7C0D"/>
    <w:rsid w:val="006A7C5A"/>
    <w:rsid w:val="006A7C75"/>
    <w:rsid w:val="006A7C95"/>
    <w:rsid w:val="006A7E83"/>
    <w:rsid w:val="006A7F48"/>
    <w:rsid w:val="006B05F1"/>
    <w:rsid w:val="006B07D3"/>
    <w:rsid w:val="006B09B1"/>
    <w:rsid w:val="006B0BC7"/>
    <w:rsid w:val="006B0D32"/>
    <w:rsid w:val="006B119D"/>
    <w:rsid w:val="006B13B5"/>
    <w:rsid w:val="006B1710"/>
    <w:rsid w:val="006B1CEB"/>
    <w:rsid w:val="006B1F54"/>
    <w:rsid w:val="006B20D8"/>
    <w:rsid w:val="006B23AF"/>
    <w:rsid w:val="006B24E9"/>
    <w:rsid w:val="006B2B8D"/>
    <w:rsid w:val="006B32D6"/>
    <w:rsid w:val="006B3B6E"/>
    <w:rsid w:val="006B3C20"/>
    <w:rsid w:val="006B4799"/>
    <w:rsid w:val="006B488B"/>
    <w:rsid w:val="006B546B"/>
    <w:rsid w:val="006B56B1"/>
    <w:rsid w:val="006B6249"/>
    <w:rsid w:val="006B6261"/>
    <w:rsid w:val="006B671B"/>
    <w:rsid w:val="006B680F"/>
    <w:rsid w:val="006B6852"/>
    <w:rsid w:val="006B71F2"/>
    <w:rsid w:val="006B7794"/>
    <w:rsid w:val="006B7959"/>
    <w:rsid w:val="006B7BE3"/>
    <w:rsid w:val="006B7F58"/>
    <w:rsid w:val="006C0384"/>
    <w:rsid w:val="006C0653"/>
    <w:rsid w:val="006C0AC2"/>
    <w:rsid w:val="006C14B0"/>
    <w:rsid w:val="006C1841"/>
    <w:rsid w:val="006C1F2E"/>
    <w:rsid w:val="006C1F8B"/>
    <w:rsid w:val="006C227A"/>
    <w:rsid w:val="006C2686"/>
    <w:rsid w:val="006C2749"/>
    <w:rsid w:val="006C2A4D"/>
    <w:rsid w:val="006C2BD7"/>
    <w:rsid w:val="006C2D3B"/>
    <w:rsid w:val="006C3215"/>
    <w:rsid w:val="006C3789"/>
    <w:rsid w:val="006C3A12"/>
    <w:rsid w:val="006C3E4C"/>
    <w:rsid w:val="006C43CB"/>
    <w:rsid w:val="006C47AB"/>
    <w:rsid w:val="006C5319"/>
    <w:rsid w:val="006C5D6F"/>
    <w:rsid w:val="006C5F5F"/>
    <w:rsid w:val="006C6001"/>
    <w:rsid w:val="006C60C0"/>
    <w:rsid w:val="006C6476"/>
    <w:rsid w:val="006C6D23"/>
    <w:rsid w:val="006C700A"/>
    <w:rsid w:val="006C7C9E"/>
    <w:rsid w:val="006C7F90"/>
    <w:rsid w:val="006D0060"/>
    <w:rsid w:val="006D054D"/>
    <w:rsid w:val="006D06E8"/>
    <w:rsid w:val="006D090B"/>
    <w:rsid w:val="006D0B2C"/>
    <w:rsid w:val="006D0C97"/>
    <w:rsid w:val="006D119D"/>
    <w:rsid w:val="006D14BB"/>
    <w:rsid w:val="006D1549"/>
    <w:rsid w:val="006D1658"/>
    <w:rsid w:val="006D1E94"/>
    <w:rsid w:val="006D3153"/>
    <w:rsid w:val="006D36B6"/>
    <w:rsid w:val="006D37F7"/>
    <w:rsid w:val="006D3883"/>
    <w:rsid w:val="006D3D31"/>
    <w:rsid w:val="006D58F4"/>
    <w:rsid w:val="006D5D23"/>
    <w:rsid w:val="006D6734"/>
    <w:rsid w:val="006D69E6"/>
    <w:rsid w:val="006D701D"/>
    <w:rsid w:val="006D706A"/>
    <w:rsid w:val="006D74F8"/>
    <w:rsid w:val="006D78AD"/>
    <w:rsid w:val="006D7B5C"/>
    <w:rsid w:val="006D7CDF"/>
    <w:rsid w:val="006D7F51"/>
    <w:rsid w:val="006E00E1"/>
    <w:rsid w:val="006E0489"/>
    <w:rsid w:val="006E0C70"/>
    <w:rsid w:val="006E0CE0"/>
    <w:rsid w:val="006E14F6"/>
    <w:rsid w:val="006E16F9"/>
    <w:rsid w:val="006E1975"/>
    <w:rsid w:val="006E1A61"/>
    <w:rsid w:val="006E1C19"/>
    <w:rsid w:val="006E1E3A"/>
    <w:rsid w:val="006E2A35"/>
    <w:rsid w:val="006E2AE2"/>
    <w:rsid w:val="006E2B44"/>
    <w:rsid w:val="006E2E58"/>
    <w:rsid w:val="006E35C4"/>
    <w:rsid w:val="006E3707"/>
    <w:rsid w:val="006E3A42"/>
    <w:rsid w:val="006E3D1F"/>
    <w:rsid w:val="006E4C9C"/>
    <w:rsid w:val="006E60FC"/>
    <w:rsid w:val="006E64CE"/>
    <w:rsid w:val="006E6BD4"/>
    <w:rsid w:val="006E74A8"/>
    <w:rsid w:val="006E7ADA"/>
    <w:rsid w:val="006E7CE1"/>
    <w:rsid w:val="006F01BC"/>
    <w:rsid w:val="006F06D4"/>
    <w:rsid w:val="006F0766"/>
    <w:rsid w:val="006F07E7"/>
    <w:rsid w:val="006F0B72"/>
    <w:rsid w:val="006F0D70"/>
    <w:rsid w:val="006F103D"/>
    <w:rsid w:val="006F109F"/>
    <w:rsid w:val="006F149B"/>
    <w:rsid w:val="006F166C"/>
    <w:rsid w:val="006F1AAD"/>
    <w:rsid w:val="006F1BC8"/>
    <w:rsid w:val="006F2E24"/>
    <w:rsid w:val="006F2E86"/>
    <w:rsid w:val="006F36AC"/>
    <w:rsid w:val="006F3A98"/>
    <w:rsid w:val="006F3F69"/>
    <w:rsid w:val="006F427F"/>
    <w:rsid w:val="006F42B1"/>
    <w:rsid w:val="006F4406"/>
    <w:rsid w:val="006F47CA"/>
    <w:rsid w:val="006F4964"/>
    <w:rsid w:val="006F5028"/>
    <w:rsid w:val="006F5473"/>
    <w:rsid w:val="006F5601"/>
    <w:rsid w:val="006F560F"/>
    <w:rsid w:val="006F5939"/>
    <w:rsid w:val="006F5A56"/>
    <w:rsid w:val="006F6169"/>
    <w:rsid w:val="006F6425"/>
    <w:rsid w:val="006F70D4"/>
    <w:rsid w:val="006F720E"/>
    <w:rsid w:val="006F73CF"/>
    <w:rsid w:val="006F788E"/>
    <w:rsid w:val="006F7BF2"/>
    <w:rsid w:val="006F7E6D"/>
    <w:rsid w:val="00700495"/>
    <w:rsid w:val="00700549"/>
    <w:rsid w:val="007007A5"/>
    <w:rsid w:val="00700889"/>
    <w:rsid w:val="0070097D"/>
    <w:rsid w:val="0070131A"/>
    <w:rsid w:val="0070161B"/>
    <w:rsid w:val="007016CA"/>
    <w:rsid w:val="00701930"/>
    <w:rsid w:val="007019F1"/>
    <w:rsid w:val="00701A74"/>
    <w:rsid w:val="00701E5F"/>
    <w:rsid w:val="007021E7"/>
    <w:rsid w:val="007022AB"/>
    <w:rsid w:val="0070240F"/>
    <w:rsid w:val="007026D4"/>
    <w:rsid w:val="00703B35"/>
    <w:rsid w:val="007040AA"/>
    <w:rsid w:val="00704532"/>
    <w:rsid w:val="00704B23"/>
    <w:rsid w:val="00704DAB"/>
    <w:rsid w:val="00704F59"/>
    <w:rsid w:val="00705963"/>
    <w:rsid w:val="00705BDD"/>
    <w:rsid w:val="00705F19"/>
    <w:rsid w:val="00706086"/>
    <w:rsid w:val="00706240"/>
    <w:rsid w:val="0070627A"/>
    <w:rsid w:val="00706373"/>
    <w:rsid w:val="0070644A"/>
    <w:rsid w:val="00706DBC"/>
    <w:rsid w:val="007071EC"/>
    <w:rsid w:val="00707A09"/>
    <w:rsid w:val="00707A91"/>
    <w:rsid w:val="007102A5"/>
    <w:rsid w:val="00710570"/>
    <w:rsid w:val="00710742"/>
    <w:rsid w:val="0071187D"/>
    <w:rsid w:val="00712223"/>
    <w:rsid w:val="007125B8"/>
    <w:rsid w:val="00712E8E"/>
    <w:rsid w:val="0071305A"/>
    <w:rsid w:val="00713150"/>
    <w:rsid w:val="00713327"/>
    <w:rsid w:val="00713E0F"/>
    <w:rsid w:val="007142F4"/>
    <w:rsid w:val="00714308"/>
    <w:rsid w:val="0071499D"/>
    <w:rsid w:val="00714D3D"/>
    <w:rsid w:val="00714E5F"/>
    <w:rsid w:val="00714FB7"/>
    <w:rsid w:val="007158E7"/>
    <w:rsid w:val="00715AE8"/>
    <w:rsid w:val="00716114"/>
    <w:rsid w:val="0071621F"/>
    <w:rsid w:val="007163E6"/>
    <w:rsid w:val="00716F2A"/>
    <w:rsid w:val="007171C1"/>
    <w:rsid w:val="00717ABE"/>
    <w:rsid w:val="0071BB20"/>
    <w:rsid w:val="007200E2"/>
    <w:rsid w:val="00720A42"/>
    <w:rsid w:val="00720DAA"/>
    <w:rsid w:val="00720F95"/>
    <w:rsid w:val="0072108C"/>
    <w:rsid w:val="007214FF"/>
    <w:rsid w:val="00721841"/>
    <w:rsid w:val="00721C1C"/>
    <w:rsid w:val="00721C30"/>
    <w:rsid w:val="00722463"/>
    <w:rsid w:val="00722466"/>
    <w:rsid w:val="007226A1"/>
    <w:rsid w:val="007227B6"/>
    <w:rsid w:val="00723292"/>
    <w:rsid w:val="00723E4C"/>
    <w:rsid w:val="0072428E"/>
    <w:rsid w:val="007242E0"/>
    <w:rsid w:val="00724B76"/>
    <w:rsid w:val="00724D3E"/>
    <w:rsid w:val="007251D3"/>
    <w:rsid w:val="007253B5"/>
    <w:rsid w:val="007257AB"/>
    <w:rsid w:val="00725A82"/>
    <w:rsid w:val="00725E08"/>
    <w:rsid w:val="00725EA7"/>
    <w:rsid w:val="00726060"/>
    <w:rsid w:val="00726200"/>
    <w:rsid w:val="007263A2"/>
    <w:rsid w:val="00726574"/>
    <w:rsid w:val="00726CB8"/>
    <w:rsid w:val="00727782"/>
    <w:rsid w:val="0073050B"/>
    <w:rsid w:val="00730D2D"/>
    <w:rsid w:val="00730E97"/>
    <w:rsid w:val="007311E2"/>
    <w:rsid w:val="00731655"/>
    <w:rsid w:val="00732FB8"/>
    <w:rsid w:val="00733266"/>
    <w:rsid w:val="00733B4F"/>
    <w:rsid w:val="00733B90"/>
    <w:rsid w:val="00734470"/>
    <w:rsid w:val="00734F86"/>
    <w:rsid w:val="00735043"/>
    <w:rsid w:val="007359A6"/>
    <w:rsid w:val="00735EC1"/>
    <w:rsid w:val="0073632F"/>
    <w:rsid w:val="00736395"/>
    <w:rsid w:val="00736AC1"/>
    <w:rsid w:val="00737111"/>
    <w:rsid w:val="00737601"/>
    <w:rsid w:val="007377B1"/>
    <w:rsid w:val="007402FA"/>
    <w:rsid w:val="00740598"/>
    <w:rsid w:val="0074093E"/>
    <w:rsid w:val="007412C7"/>
    <w:rsid w:val="00741884"/>
    <w:rsid w:val="00741AB6"/>
    <w:rsid w:val="00741F2D"/>
    <w:rsid w:val="00742179"/>
    <w:rsid w:val="00742EB8"/>
    <w:rsid w:val="00743526"/>
    <w:rsid w:val="00743885"/>
    <w:rsid w:val="00743CA8"/>
    <w:rsid w:val="0074424B"/>
    <w:rsid w:val="00744334"/>
    <w:rsid w:val="007447CA"/>
    <w:rsid w:val="007448E6"/>
    <w:rsid w:val="00744BA6"/>
    <w:rsid w:val="00744F6A"/>
    <w:rsid w:val="00745055"/>
    <w:rsid w:val="007457D3"/>
    <w:rsid w:val="00745811"/>
    <w:rsid w:val="007459D5"/>
    <w:rsid w:val="00745F64"/>
    <w:rsid w:val="0074637A"/>
    <w:rsid w:val="007464F2"/>
    <w:rsid w:val="00747973"/>
    <w:rsid w:val="00747BC0"/>
    <w:rsid w:val="00747C4B"/>
    <w:rsid w:val="00750311"/>
    <w:rsid w:val="00750752"/>
    <w:rsid w:val="007507E7"/>
    <w:rsid w:val="0075090B"/>
    <w:rsid w:val="00750A66"/>
    <w:rsid w:val="00750D37"/>
    <w:rsid w:val="007517EB"/>
    <w:rsid w:val="00751CF6"/>
    <w:rsid w:val="00751EC9"/>
    <w:rsid w:val="0075201C"/>
    <w:rsid w:val="0075238A"/>
    <w:rsid w:val="007524DE"/>
    <w:rsid w:val="007525D8"/>
    <w:rsid w:val="0075269A"/>
    <w:rsid w:val="00752FFE"/>
    <w:rsid w:val="00753154"/>
    <w:rsid w:val="007531A5"/>
    <w:rsid w:val="007535FC"/>
    <w:rsid w:val="0075386E"/>
    <w:rsid w:val="0075430D"/>
    <w:rsid w:val="007555CD"/>
    <w:rsid w:val="007562EB"/>
    <w:rsid w:val="00756362"/>
    <w:rsid w:val="007568C0"/>
    <w:rsid w:val="00757451"/>
    <w:rsid w:val="00757598"/>
    <w:rsid w:val="007576E4"/>
    <w:rsid w:val="007577B9"/>
    <w:rsid w:val="00757CB6"/>
    <w:rsid w:val="007600B1"/>
    <w:rsid w:val="00760357"/>
    <w:rsid w:val="0076102B"/>
    <w:rsid w:val="00761677"/>
    <w:rsid w:val="0076176B"/>
    <w:rsid w:val="00761A1D"/>
    <w:rsid w:val="00761A95"/>
    <w:rsid w:val="007623CC"/>
    <w:rsid w:val="00762881"/>
    <w:rsid w:val="00762C70"/>
    <w:rsid w:val="00763082"/>
    <w:rsid w:val="0076337F"/>
    <w:rsid w:val="00763461"/>
    <w:rsid w:val="0076493C"/>
    <w:rsid w:val="00764A3E"/>
    <w:rsid w:val="007653F0"/>
    <w:rsid w:val="00765705"/>
    <w:rsid w:val="007657C0"/>
    <w:rsid w:val="007657E8"/>
    <w:rsid w:val="00765A24"/>
    <w:rsid w:val="00765F1D"/>
    <w:rsid w:val="0076603E"/>
    <w:rsid w:val="00766329"/>
    <w:rsid w:val="00766D50"/>
    <w:rsid w:val="007671A0"/>
    <w:rsid w:val="00767646"/>
    <w:rsid w:val="00767733"/>
    <w:rsid w:val="00767999"/>
    <w:rsid w:val="00767D73"/>
    <w:rsid w:val="00770293"/>
    <w:rsid w:val="007702E2"/>
    <w:rsid w:val="00770F61"/>
    <w:rsid w:val="00771992"/>
    <w:rsid w:val="00771DB9"/>
    <w:rsid w:val="00772268"/>
    <w:rsid w:val="007724EE"/>
    <w:rsid w:val="00772B99"/>
    <w:rsid w:val="00773621"/>
    <w:rsid w:val="00774164"/>
    <w:rsid w:val="00774464"/>
    <w:rsid w:val="0077450A"/>
    <w:rsid w:val="007747CB"/>
    <w:rsid w:val="00774930"/>
    <w:rsid w:val="00774C31"/>
    <w:rsid w:val="0077546C"/>
    <w:rsid w:val="00775A2A"/>
    <w:rsid w:val="00775A94"/>
    <w:rsid w:val="00775B29"/>
    <w:rsid w:val="00775DEA"/>
    <w:rsid w:val="00775FC5"/>
    <w:rsid w:val="007760AD"/>
    <w:rsid w:val="007760E8"/>
    <w:rsid w:val="00776181"/>
    <w:rsid w:val="0077648B"/>
    <w:rsid w:val="00776E30"/>
    <w:rsid w:val="00776EFD"/>
    <w:rsid w:val="00781054"/>
    <w:rsid w:val="007810A9"/>
    <w:rsid w:val="007810B6"/>
    <w:rsid w:val="00781571"/>
    <w:rsid w:val="00781FA8"/>
    <w:rsid w:val="0078270D"/>
    <w:rsid w:val="007829DB"/>
    <w:rsid w:val="00782AC2"/>
    <w:rsid w:val="00782CA9"/>
    <w:rsid w:val="007833B0"/>
    <w:rsid w:val="00784135"/>
    <w:rsid w:val="00784787"/>
    <w:rsid w:val="007847EC"/>
    <w:rsid w:val="00784AF9"/>
    <w:rsid w:val="00785559"/>
    <w:rsid w:val="0078557C"/>
    <w:rsid w:val="00785620"/>
    <w:rsid w:val="00785A17"/>
    <w:rsid w:val="00785E8D"/>
    <w:rsid w:val="00786264"/>
    <w:rsid w:val="00786432"/>
    <w:rsid w:val="00786AED"/>
    <w:rsid w:val="00786CC3"/>
    <w:rsid w:val="00786FC4"/>
    <w:rsid w:val="00787B38"/>
    <w:rsid w:val="00787EF2"/>
    <w:rsid w:val="00787EFE"/>
    <w:rsid w:val="00790B7A"/>
    <w:rsid w:val="00791072"/>
    <w:rsid w:val="007920D1"/>
    <w:rsid w:val="00792133"/>
    <w:rsid w:val="00792269"/>
    <w:rsid w:val="00792B6E"/>
    <w:rsid w:val="007933AC"/>
    <w:rsid w:val="00793B6F"/>
    <w:rsid w:val="00793FB7"/>
    <w:rsid w:val="00794209"/>
    <w:rsid w:val="007948D6"/>
    <w:rsid w:val="00794936"/>
    <w:rsid w:val="00794BAC"/>
    <w:rsid w:val="00794FF4"/>
    <w:rsid w:val="00795C2F"/>
    <w:rsid w:val="00795CC5"/>
    <w:rsid w:val="00795D2A"/>
    <w:rsid w:val="00796331"/>
    <w:rsid w:val="00796414"/>
    <w:rsid w:val="007968EF"/>
    <w:rsid w:val="00796CE5"/>
    <w:rsid w:val="00796D9F"/>
    <w:rsid w:val="00797F64"/>
    <w:rsid w:val="007A04F0"/>
    <w:rsid w:val="007A0700"/>
    <w:rsid w:val="007A0885"/>
    <w:rsid w:val="007A0992"/>
    <w:rsid w:val="007A107A"/>
    <w:rsid w:val="007A1188"/>
    <w:rsid w:val="007A120E"/>
    <w:rsid w:val="007A19C9"/>
    <w:rsid w:val="007A1FCC"/>
    <w:rsid w:val="007A239F"/>
    <w:rsid w:val="007A343D"/>
    <w:rsid w:val="007A3949"/>
    <w:rsid w:val="007A3C64"/>
    <w:rsid w:val="007A3EB0"/>
    <w:rsid w:val="007A4078"/>
    <w:rsid w:val="007A4646"/>
    <w:rsid w:val="007A4892"/>
    <w:rsid w:val="007A4C15"/>
    <w:rsid w:val="007A4E7F"/>
    <w:rsid w:val="007A5BD5"/>
    <w:rsid w:val="007A61FE"/>
    <w:rsid w:val="007A6BE8"/>
    <w:rsid w:val="007A6C7E"/>
    <w:rsid w:val="007A6E1A"/>
    <w:rsid w:val="007A6E7E"/>
    <w:rsid w:val="007A723E"/>
    <w:rsid w:val="007A7713"/>
    <w:rsid w:val="007A7A3B"/>
    <w:rsid w:val="007A7A95"/>
    <w:rsid w:val="007AE9CC"/>
    <w:rsid w:val="007B0D41"/>
    <w:rsid w:val="007B0E96"/>
    <w:rsid w:val="007B1333"/>
    <w:rsid w:val="007B1499"/>
    <w:rsid w:val="007B14A5"/>
    <w:rsid w:val="007B1A08"/>
    <w:rsid w:val="007B1D16"/>
    <w:rsid w:val="007B1D6D"/>
    <w:rsid w:val="007B27CC"/>
    <w:rsid w:val="007B2AF6"/>
    <w:rsid w:val="007B2D2D"/>
    <w:rsid w:val="007B2E0C"/>
    <w:rsid w:val="007B3178"/>
    <w:rsid w:val="007B37F6"/>
    <w:rsid w:val="007B3A4A"/>
    <w:rsid w:val="007B3DFA"/>
    <w:rsid w:val="007B403E"/>
    <w:rsid w:val="007B41C7"/>
    <w:rsid w:val="007B44A2"/>
    <w:rsid w:val="007B4A94"/>
    <w:rsid w:val="007B4F64"/>
    <w:rsid w:val="007B5138"/>
    <w:rsid w:val="007B52F5"/>
    <w:rsid w:val="007B54E7"/>
    <w:rsid w:val="007B5B36"/>
    <w:rsid w:val="007B5D65"/>
    <w:rsid w:val="007B6210"/>
    <w:rsid w:val="007B6877"/>
    <w:rsid w:val="007B6939"/>
    <w:rsid w:val="007B6B52"/>
    <w:rsid w:val="007B7642"/>
    <w:rsid w:val="007B769F"/>
    <w:rsid w:val="007B787F"/>
    <w:rsid w:val="007B7C77"/>
    <w:rsid w:val="007B7CB0"/>
    <w:rsid w:val="007B7DDF"/>
    <w:rsid w:val="007B7EE8"/>
    <w:rsid w:val="007BFCBC"/>
    <w:rsid w:val="007C09F3"/>
    <w:rsid w:val="007C0D43"/>
    <w:rsid w:val="007C0F2C"/>
    <w:rsid w:val="007C1395"/>
    <w:rsid w:val="007C1998"/>
    <w:rsid w:val="007C21AD"/>
    <w:rsid w:val="007C253F"/>
    <w:rsid w:val="007C2AD0"/>
    <w:rsid w:val="007C2FEB"/>
    <w:rsid w:val="007C3A2D"/>
    <w:rsid w:val="007C3CD9"/>
    <w:rsid w:val="007C444B"/>
    <w:rsid w:val="007C4942"/>
    <w:rsid w:val="007C49DB"/>
    <w:rsid w:val="007C4AAF"/>
    <w:rsid w:val="007C5186"/>
    <w:rsid w:val="007C5CD2"/>
    <w:rsid w:val="007C5D0A"/>
    <w:rsid w:val="007C5E85"/>
    <w:rsid w:val="007C64B7"/>
    <w:rsid w:val="007C6CA8"/>
    <w:rsid w:val="007C7230"/>
    <w:rsid w:val="007C732F"/>
    <w:rsid w:val="007C737D"/>
    <w:rsid w:val="007C76D7"/>
    <w:rsid w:val="007C7CE5"/>
    <w:rsid w:val="007C7DA7"/>
    <w:rsid w:val="007D088C"/>
    <w:rsid w:val="007D0EAB"/>
    <w:rsid w:val="007D1124"/>
    <w:rsid w:val="007D126A"/>
    <w:rsid w:val="007D155A"/>
    <w:rsid w:val="007D15E3"/>
    <w:rsid w:val="007D1A62"/>
    <w:rsid w:val="007D1D96"/>
    <w:rsid w:val="007D24C4"/>
    <w:rsid w:val="007D2844"/>
    <w:rsid w:val="007D2863"/>
    <w:rsid w:val="007D2A91"/>
    <w:rsid w:val="007D2CBC"/>
    <w:rsid w:val="007D2DC2"/>
    <w:rsid w:val="007D32FB"/>
    <w:rsid w:val="007D3300"/>
    <w:rsid w:val="007D3443"/>
    <w:rsid w:val="007D39A8"/>
    <w:rsid w:val="007D3DC7"/>
    <w:rsid w:val="007D3E7F"/>
    <w:rsid w:val="007D4B04"/>
    <w:rsid w:val="007D531B"/>
    <w:rsid w:val="007D538C"/>
    <w:rsid w:val="007D5D73"/>
    <w:rsid w:val="007D6082"/>
    <w:rsid w:val="007D63AB"/>
    <w:rsid w:val="007D64E9"/>
    <w:rsid w:val="007D67A2"/>
    <w:rsid w:val="007D69D0"/>
    <w:rsid w:val="007D6BC1"/>
    <w:rsid w:val="007D6CB7"/>
    <w:rsid w:val="007D7127"/>
    <w:rsid w:val="007D7342"/>
    <w:rsid w:val="007D7850"/>
    <w:rsid w:val="007D7B9C"/>
    <w:rsid w:val="007E0901"/>
    <w:rsid w:val="007E09A3"/>
    <w:rsid w:val="007E10AE"/>
    <w:rsid w:val="007E1627"/>
    <w:rsid w:val="007E21B6"/>
    <w:rsid w:val="007E2294"/>
    <w:rsid w:val="007E247B"/>
    <w:rsid w:val="007E2EC5"/>
    <w:rsid w:val="007E30C2"/>
    <w:rsid w:val="007E36C5"/>
    <w:rsid w:val="007E3D1E"/>
    <w:rsid w:val="007E49A9"/>
    <w:rsid w:val="007E4A1A"/>
    <w:rsid w:val="007E4F3C"/>
    <w:rsid w:val="007E547B"/>
    <w:rsid w:val="007E5576"/>
    <w:rsid w:val="007E58E7"/>
    <w:rsid w:val="007E5AC7"/>
    <w:rsid w:val="007E5D16"/>
    <w:rsid w:val="007E6331"/>
    <w:rsid w:val="007E6A3C"/>
    <w:rsid w:val="007E6C40"/>
    <w:rsid w:val="007E7446"/>
    <w:rsid w:val="007E756C"/>
    <w:rsid w:val="007E75CE"/>
    <w:rsid w:val="007E7A76"/>
    <w:rsid w:val="007F007C"/>
    <w:rsid w:val="007F0FFF"/>
    <w:rsid w:val="007F103E"/>
    <w:rsid w:val="007F1C1B"/>
    <w:rsid w:val="007F1EF5"/>
    <w:rsid w:val="007F1FDF"/>
    <w:rsid w:val="007F2117"/>
    <w:rsid w:val="007F23D1"/>
    <w:rsid w:val="007F2E21"/>
    <w:rsid w:val="007F2EB2"/>
    <w:rsid w:val="007F3021"/>
    <w:rsid w:val="007F3143"/>
    <w:rsid w:val="007F3228"/>
    <w:rsid w:val="007F34CC"/>
    <w:rsid w:val="007F3721"/>
    <w:rsid w:val="007F3B9B"/>
    <w:rsid w:val="007F4179"/>
    <w:rsid w:val="007F424A"/>
    <w:rsid w:val="007F4314"/>
    <w:rsid w:val="007F43E6"/>
    <w:rsid w:val="007F4CC6"/>
    <w:rsid w:val="007F60DD"/>
    <w:rsid w:val="007F6F9B"/>
    <w:rsid w:val="007F7219"/>
    <w:rsid w:val="007F7DC1"/>
    <w:rsid w:val="007F7E1B"/>
    <w:rsid w:val="0080008F"/>
    <w:rsid w:val="008001C8"/>
    <w:rsid w:val="00800201"/>
    <w:rsid w:val="00801071"/>
    <w:rsid w:val="008012D9"/>
    <w:rsid w:val="00801B36"/>
    <w:rsid w:val="008024CB"/>
    <w:rsid w:val="00802632"/>
    <w:rsid w:val="00802C2F"/>
    <w:rsid w:val="008031B7"/>
    <w:rsid w:val="0080349E"/>
    <w:rsid w:val="008035D0"/>
    <w:rsid w:val="008037E5"/>
    <w:rsid w:val="00803A54"/>
    <w:rsid w:val="008040E6"/>
    <w:rsid w:val="0080415A"/>
    <w:rsid w:val="00804E1E"/>
    <w:rsid w:val="00805275"/>
    <w:rsid w:val="00805418"/>
    <w:rsid w:val="00805D90"/>
    <w:rsid w:val="00805E36"/>
    <w:rsid w:val="008067C6"/>
    <w:rsid w:val="00807423"/>
    <w:rsid w:val="008078C6"/>
    <w:rsid w:val="0080FA60"/>
    <w:rsid w:val="008104E5"/>
    <w:rsid w:val="008106BE"/>
    <w:rsid w:val="0081172A"/>
    <w:rsid w:val="00811A90"/>
    <w:rsid w:val="0081203F"/>
    <w:rsid w:val="0081208F"/>
    <w:rsid w:val="008123F8"/>
    <w:rsid w:val="00812644"/>
    <w:rsid w:val="00812750"/>
    <w:rsid w:val="008129B3"/>
    <w:rsid w:val="00812C9A"/>
    <w:rsid w:val="00813108"/>
    <w:rsid w:val="00813B0D"/>
    <w:rsid w:val="0081452C"/>
    <w:rsid w:val="008154B4"/>
    <w:rsid w:val="008154F8"/>
    <w:rsid w:val="0081559A"/>
    <w:rsid w:val="008156F8"/>
    <w:rsid w:val="008158FA"/>
    <w:rsid w:val="00815B69"/>
    <w:rsid w:val="008172FC"/>
    <w:rsid w:val="00817507"/>
    <w:rsid w:val="00817670"/>
    <w:rsid w:val="0081775A"/>
    <w:rsid w:val="00817773"/>
    <w:rsid w:val="0081781C"/>
    <w:rsid w:val="00817AD6"/>
    <w:rsid w:val="00817D85"/>
    <w:rsid w:val="00817FB2"/>
    <w:rsid w:val="0081F7D7"/>
    <w:rsid w:val="008201E6"/>
    <w:rsid w:val="008205D1"/>
    <w:rsid w:val="008206B0"/>
    <w:rsid w:val="008210AC"/>
    <w:rsid w:val="008210D1"/>
    <w:rsid w:val="00821785"/>
    <w:rsid w:val="00821AE3"/>
    <w:rsid w:val="00821E12"/>
    <w:rsid w:val="00821FD4"/>
    <w:rsid w:val="00822065"/>
    <w:rsid w:val="00822159"/>
    <w:rsid w:val="008228E9"/>
    <w:rsid w:val="00822E39"/>
    <w:rsid w:val="008232BB"/>
    <w:rsid w:val="00823480"/>
    <w:rsid w:val="00823AE2"/>
    <w:rsid w:val="008240FF"/>
    <w:rsid w:val="0082423C"/>
    <w:rsid w:val="00824383"/>
    <w:rsid w:val="00824577"/>
    <w:rsid w:val="008245CA"/>
    <w:rsid w:val="00824891"/>
    <w:rsid w:val="00825C15"/>
    <w:rsid w:val="00825C88"/>
    <w:rsid w:val="008264D4"/>
    <w:rsid w:val="00826AC0"/>
    <w:rsid w:val="00826DA3"/>
    <w:rsid w:val="00826EA0"/>
    <w:rsid w:val="0083003A"/>
    <w:rsid w:val="00830203"/>
    <w:rsid w:val="0083065F"/>
    <w:rsid w:val="008307B4"/>
    <w:rsid w:val="00831401"/>
    <w:rsid w:val="00831776"/>
    <w:rsid w:val="00831CF5"/>
    <w:rsid w:val="00832013"/>
    <w:rsid w:val="00832215"/>
    <w:rsid w:val="008323D8"/>
    <w:rsid w:val="00832569"/>
    <w:rsid w:val="008327FE"/>
    <w:rsid w:val="00832830"/>
    <w:rsid w:val="008329B5"/>
    <w:rsid w:val="00832A27"/>
    <w:rsid w:val="00832F76"/>
    <w:rsid w:val="00833866"/>
    <w:rsid w:val="00834099"/>
    <w:rsid w:val="008341F9"/>
    <w:rsid w:val="00834930"/>
    <w:rsid w:val="00834B9F"/>
    <w:rsid w:val="0083546B"/>
    <w:rsid w:val="00836179"/>
    <w:rsid w:val="00836577"/>
    <w:rsid w:val="008368B4"/>
    <w:rsid w:val="00836A00"/>
    <w:rsid w:val="00836E50"/>
    <w:rsid w:val="008373EE"/>
    <w:rsid w:val="00837440"/>
    <w:rsid w:val="008375C1"/>
    <w:rsid w:val="00837644"/>
    <w:rsid w:val="0083793D"/>
    <w:rsid w:val="00837D28"/>
    <w:rsid w:val="0084002B"/>
    <w:rsid w:val="0084007A"/>
    <w:rsid w:val="008402F2"/>
    <w:rsid w:val="00840EB5"/>
    <w:rsid w:val="008412AF"/>
    <w:rsid w:val="008413D8"/>
    <w:rsid w:val="00841DF9"/>
    <w:rsid w:val="00842195"/>
    <w:rsid w:val="00842D26"/>
    <w:rsid w:val="00843825"/>
    <w:rsid w:val="008440F9"/>
    <w:rsid w:val="00844323"/>
    <w:rsid w:val="008445FD"/>
    <w:rsid w:val="00844D3E"/>
    <w:rsid w:val="0084521D"/>
    <w:rsid w:val="00845404"/>
    <w:rsid w:val="008454FE"/>
    <w:rsid w:val="00846139"/>
    <w:rsid w:val="0084648B"/>
    <w:rsid w:val="008466C6"/>
    <w:rsid w:val="00846721"/>
    <w:rsid w:val="00846A5D"/>
    <w:rsid w:val="00846DBC"/>
    <w:rsid w:val="00846DF8"/>
    <w:rsid w:val="00846EEC"/>
    <w:rsid w:val="008470CF"/>
    <w:rsid w:val="00847277"/>
    <w:rsid w:val="008476C9"/>
    <w:rsid w:val="00847A8C"/>
    <w:rsid w:val="00850777"/>
    <w:rsid w:val="00850A3B"/>
    <w:rsid w:val="00852304"/>
    <w:rsid w:val="008526AA"/>
    <w:rsid w:val="00852B61"/>
    <w:rsid w:val="00852EE6"/>
    <w:rsid w:val="008538B7"/>
    <w:rsid w:val="00853BC9"/>
    <w:rsid w:val="008547DC"/>
    <w:rsid w:val="00854DD8"/>
    <w:rsid w:val="00855078"/>
    <w:rsid w:val="00855960"/>
    <w:rsid w:val="00855E23"/>
    <w:rsid w:val="0085666D"/>
    <w:rsid w:val="00856FA5"/>
    <w:rsid w:val="008572FE"/>
    <w:rsid w:val="00857608"/>
    <w:rsid w:val="00857969"/>
    <w:rsid w:val="00857E66"/>
    <w:rsid w:val="0086034B"/>
    <w:rsid w:val="00860F8E"/>
    <w:rsid w:val="00861087"/>
    <w:rsid w:val="00861898"/>
    <w:rsid w:val="008618BA"/>
    <w:rsid w:val="0086194D"/>
    <w:rsid w:val="00861CB8"/>
    <w:rsid w:val="008621D8"/>
    <w:rsid w:val="00862369"/>
    <w:rsid w:val="0086256B"/>
    <w:rsid w:val="00862AE9"/>
    <w:rsid w:val="0086335B"/>
    <w:rsid w:val="008635C6"/>
    <w:rsid w:val="0086436D"/>
    <w:rsid w:val="0086489F"/>
    <w:rsid w:val="00864C9E"/>
    <w:rsid w:val="00864E61"/>
    <w:rsid w:val="008653E5"/>
    <w:rsid w:val="00865623"/>
    <w:rsid w:val="008657B4"/>
    <w:rsid w:val="0086593A"/>
    <w:rsid w:val="00865C92"/>
    <w:rsid w:val="008661F2"/>
    <w:rsid w:val="00866285"/>
    <w:rsid w:val="00866363"/>
    <w:rsid w:val="00866BBE"/>
    <w:rsid w:val="00866C1C"/>
    <w:rsid w:val="00867034"/>
    <w:rsid w:val="00867646"/>
    <w:rsid w:val="00867E33"/>
    <w:rsid w:val="0086E502"/>
    <w:rsid w:val="008705A9"/>
    <w:rsid w:val="00871678"/>
    <w:rsid w:val="00871710"/>
    <w:rsid w:val="00871F65"/>
    <w:rsid w:val="00872529"/>
    <w:rsid w:val="00873167"/>
    <w:rsid w:val="00873F20"/>
    <w:rsid w:val="00874262"/>
    <w:rsid w:val="00874369"/>
    <w:rsid w:val="00874FDB"/>
    <w:rsid w:val="008751A0"/>
    <w:rsid w:val="00875433"/>
    <w:rsid w:val="00875576"/>
    <w:rsid w:val="008757D9"/>
    <w:rsid w:val="008758CF"/>
    <w:rsid w:val="0087658E"/>
    <w:rsid w:val="00876991"/>
    <w:rsid w:val="00876C63"/>
    <w:rsid w:val="00877066"/>
    <w:rsid w:val="0087715A"/>
    <w:rsid w:val="00877599"/>
    <w:rsid w:val="0087799C"/>
    <w:rsid w:val="00877B8B"/>
    <w:rsid w:val="00877BEC"/>
    <w:rsid w:val="00880063"/>
    <w:rsid w:val="00880342"/>
    <w:rsid w:val="0088049B"/>
    <w:rsid w:val="008804CD"/>
    <w:rsid w:val="008806FA"/>
    <w:rsid w:val="00880915"/>
    <w:rsid w:val="00880B91"/>
    <w:rsid w:val="00880C1B"/>
    <w:rsid w:val="00880D59"/>
    <w:rsid w:val="00880EA1"/>
    <w:rsid w:val="008810DD"/>
    <w:rsid w:val="0088129E"/>
    <w:rsid w:val="00881585"/>
    <w:rsid w:val="00881B56"/>
    <w:rsid w:val="00881BAF"/>
    <w:rsid w:val="00881F05"/>
    <w:rsid w:val="00881F16"/>
    <w:rsid w:val="0088205D"/>
    <w:rsid w:val="008820AC"/>
    <w:rsid w:val="00882773"/>
    <w:rsid w:val="00882AEC"/>
    <w:rsid w:val="008831DC"/>
    <w:rsid w:val="00883F58"/>
    <w:rsid w:val="00884716"/>
    <w:rsid w:val="008855CA"/>
    <w:rsid w:val="00885778"/>
    <w:rsid w:val="008859C4"/>
    <w:rsid w:val="008859C5"/>
    <w:rsid w:val="00885F5E"/>
    <w:rsid w:val="008863BB"/>
    <w:rsid w:val="00886A35"/>
    <w:rsid w:val="00886A39"/>
    <w:rsid w:val="00886F9D"/>
    <w:rsid w:val="00887631"/>
    <w:rsid w:val="00887D14"/>
    <w:rsid w:val="00887D45"/>
    <w:rsid w:val="00887E7C"/>
    <w:rsid w:val="0089014F"/>
    <w:rsid w:val="00890188"/>
    <w:rsid w:val="00890FAA"/>
    <w:rsid w:val="008914B7"/>
    <w:rsid w:val="00891C9F"/>
    <w:rsid w:val="0089258C"/>
    <w:rsid w:val="00893664"/>
    <w:rsid w:val="00894F13"/>
    <w:rsid w:val="008966E3"/>
    <w:rsid w:val="00896E3E"/>
    <w:rsid w:val="008979A3"/>
    <w:rsid w:val="008A0F46"/>
    <w:rsid w:val="008A0F9F"/>
    <w:rsid w:val="008A16A2"/>
    <w:rsid w:val="008A1B38"/>
    <w:rsid w:val="008A2E5E"/>
    <w:rsid w:val="008A3187"/>
    <w:rsid w:val="008A32CD"/>
    <w:rsid w:val="008A33C8"/>
    <w:rsid w:val="008A35A1"/>
    <w:rsid w:val="008A3AB3"/>
    <w:rsid w:val="008A4031"/>
    <w:rsid w:val="008A5129"/>
    <w:rsid w:val="008A5DAC"/>
    <w:rsid w:val="008A669E"/>
    <w:rsid w:val="008A6D1C"/>
    <w:rsid w:val="008A730F"/>
    <w:rsid w:val="008A7D70"/>
    <w:rsid w:val="008B11C9"/>
    <w:rsid w:val="008B16BA"/>
    <w:rsid w:val="008B1ED9"/>
    <w:rsid w:val="008B1FF2"/>
    <w:rsid w:val="008B23E7"/>
    <w:rsid w:val="008B2631"/>
    <w:rsid w:val="008B26F1"/>
    <w:rsid w:val="008B2884"/>
    <w:rsid w:val="008B2E46"/>
    <w:rsid w:val="008B2FDD"/>
    <w:rsid w:val="008B30E0"/>
    <w:rsid w:val="008B32DD"/>
    <w:rsid w:val="008B34F2"/>
    <w:rsid w:val="008B36A1"/>
    <w:rsid w:val="008B3F44"/>
    <w:rsid w:val="008B4185"/>
    <w:rsid w:val="008B448C"/>
    <w:rsid w:val="008B474F"/>
    <w:rsid w:val="008B4BFE"/>
    <w:rsid w:val="008B4FFF"/>
    <w:rsid w:val="008B5049"/>
    <w:rsid w:val="008B52CC"/>
    <w:rsid w:val="008B56A4"/>
    <w:rsid w:val="008B5750"/>
    <w:rsid w:val="008B57DD"/>
    <w:rsid w:val="008B5F5C"/>
    <w:rsid w:val="008B606F"/>
    <w:rsid w:val="008B63E6"/>
    <w:rsid w:val="008B6474"/>
    <w:rsid w:val="008B6C44"/>
    <w:rsid w:val="008B7AEF"/>
    <w:rsid w:val="008B7BC0"/>
    <w:rsid w:val="008C0181"/>
    <w:rsid w:val="008C029E"/>
    <w:rsid w:val="008C0D91"/>
    <w:rsid w:val="008C0EB1"/>
    <w:rsid w:val="008C15EC"/>
    <w:rsid w:val="008C1C0E"/>
    <w:rsid w:val="008C1F7F"/>
    <w:rsid w:val="008C1F90"/>
    <w:rsid w:val="008C2101"/>
    <w:rsid w:val="008C23E4"/>
    <w:rsid w:val="008C277B"/>
    <w:rsid w:val="008C2971"/>
    <w:rsid w:val="008C3189"/>
    <w:rsid w:val="008C329B"/>
    <w:rsid w:val="008C34B9"/>
    <w:rsid w:val="008C3748"/>
    <w:rsid w:val="008C3BEE"/>
    <w:rsid w:val="008C425F"/>
    <w:rsid w:val="008C4279"/>
    <w:rsid w:val="008C4854"/>
    <w:rsid w:val="008C49D5"/>
    <w:rsid w:val="008C4CEC"/>
    <w:rsid w:val="008C51BD"/>
    <w:rsid w:val="008C5788"/>
    <w:rsid w:val="008C5D9D"/>
    <w:rsid w:val="008C61DD"/>
    <w:rsid w:val="008C6420"/>
    <w:rsid w:val="008C6830"/>
    <w:rsid w:val="008C68B2"/>
    <w:rsid w:val="008C720E"/>
    <w:rsid w:val="008C785A"/>
    <w:rsid w:val="008C7C25"/>
    <w:rsid w:val="008C7DBB"/>
    <w:rsid w:val="008D02AD"/>
    <w:rsid w:val="008D0587"/>
    <w:rsid w:val="008D06DA"/>
    <w:rsid w:val="008D071C"/>
    <w:rsid w:val="008D077D"/>
    <w:rsid w:val="008D091E"/>
    <w:rsid w:val="008D0A87"/>
    <w:rsid w:val="008D1882"/>
    <w:rsid w:val="008D1CC5"/>
    <w:rsid w:val="008D206D"/>
    <w:rsid w:val="008D2091"/>
    <w:rsid w:val="008D2E17"/>
    <w:rsid w:val="008D3178"/>
    <w:rsid w:val="008D3260"/>
    <w:rsid w:val="008D32D8"/>
    <w:rsid w:val="008D3354"/>
    <w:rsid w:val="008D3CA3"/>
    <w:rsid w:val="008D3EEB"/>
    <w:rsid w:val="008D421E"/>
    <w:rsid w:val="008D452E"/>
    <w:rsid w:val="008D4A03"/>
    <w:rsid w:val="008D4B3E"/>
    <w:rsid w:val="008D4D5D"/>
    <w:rsid w:val="008D4FD1"/>
    <w:rsid w:val="008D514E"/>
    <w:rsid w:val="008D560C"/>
    <w:rsid w:val="008D5A96"/>
    <w:rsid w:val="008D5BDF"/>
    <w:rsid w:val="008D5D68"/>
    <w:rsid w:val="008D5DE3"/>
    <w:rsid w:val="008D5E58"/>
    <w:rsid w:val="008D600C"/>
    <w:rsid w:val="008D62D5"/>
    <w:rsid w:val="008D64BB"/>
    <w:rsid w:val="008D6A3F"/>
    <w:rsid w:val="008D6A94"/>
    <w:rsid w:val="008D6BD7"/>
    <w:rsid w:val="008D6E50"/>
    <w:rsid w:val="008D6F7C"/>
    <w:rsid w:val="008D74A8"/>
    <w:rsid w:val="008D795A"/>
    <w:rsid w:val="008E003A"/>
    <w:rsid w:val="008E04BE"/>
    <w:rsid w:val="008E07D5"/>
    <w:rsid w:val="008E0EA5"/>
    <w:rsid w:val="008E0F21"/>
    <w:rsid w:val="008E0FDE"/>
    <w:rsid w:val="008E1371"/>
    <w:rsid w:val="008E1E39"/>
    <w:rsid w:val="008E1F7C"/>
    <w:rsid w:val="008E2A3A"/>
    <w:rsid w:val="008E2F46"/>
    <w:rsid w:val="008E3471"/>
    <w:rsid w:val="008E3DAA"/>
    <w:rsid w:val="008E4CE0"/>
    <w:rsid w:val="008E60E6"/>
    <w:rsid w:val="008E6278"/>
    <w:rsid w:val="008E62CC"/>
    <w:rsid w:val="008E65CA"/>
    <w:rsid w:val="008E68E7"/>
    <w:rsid w:val="008E6A2B"/>
    <w:rsid w:val="008E6C26"/>
    <w:rsid w:val="008E7306"/>
    <w:rsid w:val="008E73E6"/>
    <w:rsid w:val="008E751A"/>
    <w:rsid w:val="008E75F3"/>
    <w:rsid w:val="008E7654"/>
    <w:rsid w:val="008E7BAC"/>
    <w:rsid w:val="008E7E2A"/>
    <w:rsid w:val="008F02EF"/>
    <w:rsid w:val="008F0834"/>
    <w:rsid w:val="008F0B09"/>
    <w:rsid w:val="008F0B71"/>
    <w:rsid w:val="008F0EC3"/>
    <w:rsid w:val="008F1C26"/>
    <w:rsid w:val="008F1CBE"/>
    <w:rsid w:val="008F1E46"/>
    <w:rsid w:val="008F208D"/>
    <w:rsid w:val="008F21B0"/>
    <w:rsid w:val="008F22F4"/>
    <w:rsid w:val="008F23A9"/>
    <w:rsid w:val="008F24B3"/>
    <w:rsid w:val="008F25FA"/>
    <w:rsid w:val="008F28F4"/>
    <w:rsid w:val="008F3177"/>
    <w:rsid w:val="008F336D"/>
    <w:rsid w:val="008F33C9"/>
    <w:rsid w:val="008F3E20"/>
    <w:rsid w:val="008F4446"/>
    <w:rsid w:val="008F4735"/>
    <w:rsid w:val="008F4B61"/>
    <w:rsid w:val="008F5179"/>
    <w:rsid w:val="008F51C5"/>
    <w:rsid w:val="008F530F"/>
    <w:rsid w:val="008F57B0"/>
    <w:rsid w:val="008F5F00"/>
    <w:rsid w:val="008F624F"/>
    <w:rsid w:val="008F64EF"/>
    <w:rsid w:val="008F6590"/>
    <w:rsid w:val="008F6BDB"/>
    <w:rsid w:val="008F79E4"/>
    <w:rsid w:val="008F7A93"/>
    <w:rsid w:val="00900051"/>
    <w:rsid w:val="0090027A"/>
    <w:rsid w:val="009006F8"/>
    <w:rsid w:val="0090072F"/>
    <w:rsid w:val="00900B12"/>
    <w:rsid w:val="00900CDB"/>
    <w:rsid w:val="00900E27"/>
    <w:rsid w:val="00901153"/>
    <w:rsid w:val="009013D4"/>
    <w:rsid w:val="00901CCE"/>
    <w:rsid w:val="009020B3"/>
    <w:rsid w:val="00902323"/>
    <w:rsid w:val="009029FC"/>
    <w:rsid w:val="009035EA"/>
    <w:rsid w:val="00903738"/>
    <w:rsid w:val="00904441"/>
    <w:rsid w:val="00904A57"/>
    <w:rsid w:val="00905F17"/>
    <w:rsid w:val="00907012"/>
    <w:rsid w:val="009070E3"/>
    <w:rsid w:val="009072BA"/>
    <w:rsid w:val="009073DE"/>
    <w:rsid w:val="00907ABA"/>
    <w:rsid w:val="00907D75"/>
    <w:rsid w:val="00907E4D"/>
    <w:rsid w:val="0090AF9E"/>
    <w:rsid w:val="009107E3"/>
    <w:rsid w:val="009108AF"/>
    <w:rsid w:val="00910D41"/>
    <w:rsid w:val="00910E74"/>
    <w:rsid w:val="00910ECA"/>
    <w:rsid w:val="00911D54"/>
    <w:rsid w:val="00912341"/>
    <w:rsid w:val="00912722"/>
    <w:rsid w:val="00912A8C"/>
    <w:rsid w:val="00912D19"/>
    <w:rsid w:val="00913264"/>
    <w:rsid w:val="009133CF"/>
    <w:rsid w:val="00913934"/>
    <w:rsid w:val="00913DFD"/>
    <w:rsid w:val="00914002"/>
    <w:rsid w:val="009141AB"/>
    <w:rsid w:val="009143EF"/>
    <w:rsid w:val="0091528C"/>
    <w:rsid w:val="00915543"/>
    <w:rsid w:val="0091623E"/>
    <w:rsid w:val="009164B5"/>
    <w:rsid w:val="00916A79"/>
    <w:rsid w:val="0091728B"/>
    <w:rsid w:val="009173B3"/>
    <w:rsid w:val="00917412"/>
    <w:rsid w:val="00917A8D"/>
    <w:rsid w:val="00917E65"/>
    <w:rsid w:val="00920463"/>
    <w:rsid w:val="009204A4"/>
    <w:rsid w:val="009204E1"/>
    <w:rsid w:val="009205C5"/>
    <w:rsid w:val="009206CB"/>
    <w:rsid w:val="00920733"/>
    <w:rsid w:val="0092078B"/>
    <w:rsid w:val="00920E20"/>
    <w:rsid w:val="00922084"/>
    <w:rsid w:val="009221ED"/>
    <w:rsid w:val="00922B35"/>
    <w:rsid w:val="00923305"/>
    <w:rsid w:val="00923696"/>
    <w:rsid w:val="009243F9"/>
    <w:rsid w:val="009245B2"/>
    <w:rsid w:val="0092464C"/>
    <w:rsid w:val="009246F1"/>
    <w:rsid w:val="00924B3C"/>
    <w:rsid w:val="00924D84"/>
    <w:rsid w:val="0092503F"/>
    <w:rsid w:val="00925A80"/>
    <w:rsid w:val="00925DCD"/>
    <w:rsid w:val="00925FF9"/>
    <w:rsid w:val="0092617B"/>
    <w:rsid w:val="009269F1"/>
    <w:rsid w:val="0092786C"/>
    <w:rsid w:val="0092787A"/>
    <w:rsid w:val="00927A08"/>
    <w:rsid w:val="0092FBEF"/>
    <w:rsid w:val="009300E3"/>
    <w:rsid w:val="00930707"/>
    <w:rsid w:val="009309BB"/>
    <w:rsid w:val="00930B9E"/>
    <w:rsid w:val="00930D24"/>
    <w:rsid w:val="00931746"/>
    <w:rsid w:val="0093179C"/>
    <w:rsid w:val="00931B2B"/>
    <w:rsid w:val="0093206A"/>
    <w:rsid w:val="0093244C"/>
    <w:rsid w:val="00932563"/>
    <w:rsid w:val="00932B6B"/>
    <w:rsid w:val="00932CD0"/>
    <w:rsid w:val="00932F3C"/>
    <w:rsid w:val="009334BA"/>
    <w:rsid w:val="0093359B"/>
    <w:rsid w:val="009336ED"/>
    <w:rsid w:val="00933A72"/>
    <w:rsid w:val="00933EE0"/>
    <w:rsid w:val="00934763"/>
    <w:rsid w:val="00934C11"/>
    <w:rsid w:val="00934EF4"/>
    <w:rsid w:val="00935937"/>
    <w:rsid w:val="00935CB6"/>
    <w:rsid w:val="00935DDE"/>
    <w:rsid w:val="00935F0E"/>
    <w:rsid w:val="00936435"/>
    <w:rsid w:val="009364C5"/>
    <w:rsid w:val="009366C9"/>
    <w:rsid w:val="00936F4D"/>
    <w:rsid w:val="0093749F"/>
    <w:rsid w:val="00937644"/>
    <w:rsid w:val="0093797E"/>
    <w:rsid w:val="00940071"/>
    <w:rsid w:val="009401AB"/>
    <w:rsid w:val="0094041F"/>
    <w:rsid w:val="00940CA1"/>
    <w:rsid w:val="0094178D"/>
    <w:rsid w:val="009421E9"/>
    <w:rsid w:val="00942941"/>
    <w:rsid w:val="00942DFA"/>
    <w:rsid w:val="0094344C"/>
    <w:rsid w:val="009436F2"/>
    <w:rsid w:val="009437BE"/>
    <w:rsid w:val="00943A6E"/>
    <w:rsid w:val="009448C2"/>
    <w:rsid w:val="009449CB"/>
    <w:rsid w:val="00944D68"/>
    <w:rsid w:val="00944E7E"/>
    <w:rsid w:val="00945F06"/>
    <w:rsid w:val="00946235"/>
    <w:rsid w:val="009462DB"/>
    <w:rsid w:val="00946E45"/>
    <w:rsid w:val="0094736B"/>
    <w:rsid w:val="00947CF3"/>
    <w:rsid w:val="00950307"/>
    <w:rsid w:val="00950E3E"/>
    <w:rsid w:val="0095105E"/>
    <w:rsid w:val="009516C9"/>
    <w:rsid w:val="0095171E"/>
    <w:rsid w:val="009518BE"/>
    <w:rsid w:val="0095192D"/>
    <w:rsid w:val="00951A63"/>
    <w:rsid w:val="00952112"/>
    <w:rsid w:val="00952A62"/>
    <w:rsid w:val="00952EA2"/>
    <w:rsid w:val="00953004"/>
    <w:rsid w:val="009530DD"/>
    <w:rsid w:val="009531D7"/>
    <w:rsid w:val="00953611"/>
    <w:rsid w:val="0095382A"/>
    <w:rsid w:val="00953B15"/>
    <w:rsid w:val="009542DB"/>
    <w:rsid w:val="00954731"/>
    <w:rsid w:val="00954833"/>
    <w:rsid w:val="0095498A"/>
    <w:rsid w:val="00954AF9"/>
    <w:rsid w:val="00954DE4"/>
    <w:rsid w:val="00954DEA"/>
    <w:rsid w:val="009550F0"/>
    <w:rsid w:val="0095544D"/>
    <w:rsid w:val="009554E4"/>
    <w:rsid w:val="009556A1"/>
    <w:rsid w:val="00956037"/>
    <w:rsid w:val="0095622F"/>
    <w:rsid w:val="009567F5"/>
    <w:rsid w:val="00956CF6"/>
    <w:rsid w:val="00957071"/>
    <w:rsid w:val="00957511"/>
    <w:rsid w:val="00957944"/>
    <w:rsid w:val="00960268"/>
    <w:rsid w:val="00960613"/>
    <w:rsid w:val="009609F9"/>
    <w:rsid w:val="00960AEF"/>
    <w:rsid w:val="00960B31"/>
    <w:rsid w:val="0096111B"/>
    <w:rsid w:val="00961708"/>
    <w:rsid w:val="0096197D"/>
    <w:rsid w:val="00961BDB"/>
    <w:rsid w:val="009624F0"/>
    <w:rsid w:val="00962AA7"/>
    <w:rsid w:val="00962D14"/>
    <w:rsid w:val="00962DC5"/>
    <w:rsid w:val="009631B5"/>
    <w:rsid w:val="009635C0"/>
    <w:rsid w:val="00963D4C"/>
    <w:rsid w:val="0096416A"/>
    <w:rsid w:val="0096435C"/>
    <w:rsid w:val="00964A66"/>
    <w:rsid w:val="00964B38"/>
    <w:rsid w:val="009650C2"/>
    <w:rsid w:val="00965174"/>
    <w:rsid w:val="009652F8"/>
    <w:rsid w:val="00965C8B"/>
    <w:rsid w:val="00965F66"/>
    <w:rsid w:val="009663E2"/>
    <w:rsid w:val="00966A09"/>
    <w:rsid w:val="00966C0F"/>
    <w:rsid w:val="0096762D"/>
    <w:rsid w:val="00967E5B"/>
    <w:rsid w:val="00967F00"/>
    <w:rsid w:val="009700F4"/>
    <w:rsid w:val="009709AE"/>
    <w:rsid w:val="00970DB3"/>
    <w:rsid w:val="00971427"/>
    <w:rsid w:val="00971DDA"/>
    <w:rsid w:val="00971EDA"/>
    <w:rsid w:val="009724FD"/>
    <w:rsid w:val="00972587"/>
    <w:rsid w:val="00972913"/>
    <w:rsid w:val="0097295C"/>
    <w:rsid w:val="00972AA6"/>
    <w:rsid w:val="00972F3C"/>
    <w:rsid w:val="009736B1"/>
    <w:rsid w:val="00973E13"/>
    <w:rsid w:val="009741DD"/>
    <w:rsid w:val="00974374"/>
    <w:rsid w:val="009745A6"/>
    <w:rsid w:val="00974996"/>
    <w:rsid w:val="00974EE7"/>
    <w:rsid w:val="00974EF1"/>
    <w:rsid w:val="00976663"/>
    <w:rsid w:val="00980E22"/>
    <w:rsid w:val="0098176D"/>
    <w:rsid w:val="0098182A"/>
    <w:rsid w:val="009818D9"/>
    <w:rsid w:val="00981BA4"/>
    <w:rsid w:val="00981F1F"/>
    <w:rsid w:val="0098279E"/>
    <w:rsid w:val="00982936"/>
    <w:rsid w:val="00982B91"/>
    <w:rsid w:val="00982C20"/>
    <w:rsid w:val="00982DFD"/>
    <w:rsid w:val="00983D73"/>
    <w:rsid w:val="00983E2D"/>
    <w:rsid w:val="0098496C"/>
    <w:rsid w:val="00984A2C"/>
    <w:rsid w:val="00984EE1"/>
    <w:rsid w:val="009852D0"/>
    <w:rsid w:val="009855E0"/>
    <w:rsid w:val="009858E7"/>
    <w:rsid w:val="00986C1D"/>
    <w:rsid w:val="00986CB3"/>
    <w:rsid w:val="00986E8D"/>
    <w:rsid w:val="00987632"/>
    <w:rsid w:val="00987691"/>
    <w:rsid w:val="00987C1F"/>
    <w:rsid w:val="00987DDF"/>
    <w:rsid w:val="00990376"/>
    <w:rsid w:val="0099078C"/>
    <w:rsid w:val="00990C74"/>
    <w:rsid w:val="00991498"/>
    <w:rsid w:val="00991B27"/>
    <w:rsid w:val="00991B5B"/>
    <w:rsid w:val="00991B8E"/>
    <w:rsid w:val="00992D98"/>
    <w:rsid w:val="00992DFF"/>
    <w:rsid w:val="009930C3"/>
    <w:rsid w:val="00993157"/>
    <w:rsid w:val="009933B4"/>
    <w:rsid w:val="0099351E"/>
    <w:rsid w:val="00994586"/>
    <w:rsid w:val="00994A4F"/>
    <w:rsid w:val="00994AF6"/>
    <w:rsid w:val="0099512D"/>
    <w:rsid w:val="00995323"/>
    <w:rsid w:val="00995326"/>
    <w:rsid w:val="0099537E"/>
    <w:rsid w:val="009954C5"/>
    <w:rsid w:val="00995706"/>
    <w:rsid w:val="009957E4"/>
    <w:rsid w:val="0099609B"/>
    <w:rsid w:val="00996159"/>
    <w:rsid w:val="00996C9C"/>
    <w:rsid w:val="00996E56"/>
    <w:rsid w:val="00997082"/>
    <w:rsid w:val="009979F1"/>
    <w:rsid w:val="0099BBD4"/>
    <w:rsid w:val="009A0175"/>
    <w:rsid w:val="009A01DE"/>
    <w:rsid w:val="009A192B"/>
    <w:rsid w:val="009A2283"/>
    <w:rsid w:val="009A2429"/>
    <w:rsid w:val="009A25A5"/>
    <w:rsid w:val="009A25A7"/>
    <w:rsid w:val="009A25AE"/>
    <w:rsid w:val="009A2864"/>
    <w:rsid w:val="009A28DD"/>
    <w:rsid w:val="009A297E"/>
    <w:rsid w:val="009A2BB4"/>
    <w:rsid w:val="009A2BE1"/>
    <w:rsid w:val="009A31B2"/>
    <w:rsid w:val="009A3D37"/>
    <w:rsid w:val="009A3FFD"/>
    <w:rsid w:val="009A46EF"/>
    <w:rsid w:val="009A4A58"/>
    <w:rsid w:val="009A4BDC"/>
    <w:rsid w:val="009A5235"/>
    <w:rsid w:val="009A5471"/>
    <w:rsid w:val="009A55A4"/>
    <w:rsid w:val="009A5E5F"/>
    <w:rsid w:val="009A6821"/>
    <w:rsid w:val="009A7F22"/>
    <w:rsid w:val="009A7FC2"/>
    <w:rsid w:val="009B0AFF"/>
    <w:rsid w:val="009B0EB1"/>
    <w:rsid w:val="009B1729"/>
    <w:rsid w:val="009B1B0C"/>
    <w:rsid w:val="009B1D00"/>
    <w:rsid w:val="009B2132"/>
    <w:rsid w:val="009B27A4"/>
    <w:rsid w:val="009B28E7"/>
    <w:rsid w:val="009B2B73"/>
    <w:rsid w:val="009B2C2E"/>
    <w:rsid w:val="009B2C47"/>
    <w:rsid w:val="009B3140"/>
    <w:rsid w:val="009B3517"/>
    <w:rsid w:val="009B384F"/>
    <w:rsid w:val="009B3D5E"/>
    <w:rsid w:val="009B3EE4"/>
    <w:rsid w:val="009B4085"/>
    <w:rsid w:val="009B4B41"/>
    <w:rsid w:val="009B4DB3"/>
    <w:rsid w:val="009B603F"/>
    <w:rsid w:val="009B63EA"/>
    <w:rsid w:val="009B6ABD"/>
    <w:rsid w:val="009B71D1"/>
    <w:rsid w:val="009B7527"/>
    <w:rsid w:val="009B79A7"/>
    <w:rsid w:val="009B7BF4"/>
    <w:rsid w:val="009B7FFD"/>
    <w:rsid w:val="009C0BA3"/>
    <w:rsid w:val="009C0CEA"/>
    <w:rsid w:val="009C132A"/>
    <w:rsid w:val="009C1B0E"/>
    <w:rsid w:val="009C1B92"/>
    <w:rsid w:val="009C2BA8"/>
    <w:rsid w:val="009C2F11"/>
    <w:rsid w:val="009C2F5B"/>
    <w:rsid w:val="009C362B"/>
    <w:rsid w:val="009C3763"/>
    <w:rsid w:val="009C38F0"/>
    <w:rsid w:val="009C397E"/>
    <w:rsid w:val="009C405A"/>
    <w:rsid w:val="009C40B4"/>
    <w:rsid w:val="009C4323"/>
    <w:rsid w:val="009C45C6"/>
    <w:rsid w:val="009C527C"/>
    <w:rsid w:val="009C54F7"/>
    <w:rsid w:val="009C559A"/>
    <w:rsid w:val="009C6066"/>
    <w:rsid w:val="009C6809"/>
    <w:rsid w:val="009C6BEF"/>
    <w:rsid w:val="009C7715"/>
    <w:rsid w:val="009C7B3B"/>
    <w:rsid w:val="009D009A"/>
    <w:rsid w:val="009D024D"/>
    <w:rsid w:val="009D0F75"/>
    <w:rsid w:val="009D1165"/>
    <w:rsid w:val="009D1350"/>
    <w:rsid w:val="009D13C0"/>
    <w:rsid w:val="009D1695"/>
    <w:rsid w:val="009D196C"/>
    <w:rsid w:val="009D202C"/>
    <w:rsid w:val="009D2CED"/>
    <w:rsid w:val="009D2FA9"/>
    <w:rsid w:val="009D351D"/>
    <w:rsid w:val="009D392A"/>
    <w:rsid w:val="009D4A0F"/>
    <w:rsid w:val="009D4B1E"/>
    <w:rsid w:val="009D4F3B"/>
    <w:rsid w:val="009D50B5"/>
    <w:rsid w:val="009D56F0"/>
    <w:rsid w:val="009D5FB3"/>
    <w:rsid w:val="009D5FFD"/>
    <w:rsid w:val="009D6428"/>
    <w:rsid w:val="009D64BF"/>
    <w:rsid w:val="009D674C"/>
    <w:rsid w:val="009D68C2"/>
    <w:rsid w:val="009D722E"/>
    <w:rsid w:val="009D7324"/>
    <w:rsid w:val="009D73AA"/>
    <w:rsid w:val="009D7778"/>
    <w:rsid w:val="009D7F11"/>
    <w:rsid w:val="009E0650"/>
    <w:rsid w:val="009E0F43"/>
    <w:rsid w:val="009E13C4"/>
    <w:rsid w:val="009E1B81"/>
    <w:rsid w:val="009E3224"/>
    <w:rsid w:val="009E39CF"/>
    <w:rsid w:val="009E3FD6"/>
    <w:rsid w:val="009E3FDE"/>
    <w:rsid w:val="009E4148"/>
    <w:rsid w:val="009E4A1E"/>
    <w:rsid w:val="009E4E1F"/>
    <w:rsid w:val="009E562A"/>
    <w:rsid w:val="009E56B4"/>
    <w:rsid w:val="009E6283"/>
    <w:rsid w:val="009E62C2"/>
    <w:rsid w:val="009E6B4F"/>
    <w:rsid w:val="009E74CA"/>
    <w:rsid w:val="009E79CD"/>
    <w:rsid w:val="009F0A57"/>
    <w:rsid w:val="009F0E47"/>
    <w:rsid w:val="009F120F"/>
    <w:rsid w:val="009F1279"/>
    <w:rsid w:val="009F1764"/>
    <w:rsid w:val="009F1956"/>
    <w:rsid w:val="009F302B"/>
    <w:rsid w:val="009F3240"/>
    <w:rsid w:val="009F3263"/>
    <w:rsid w:val="009F345B"/>
    <w:rsid w:val="009F3481"/>
    <w:rsid w:val="009F374E"/>
    <w:rsid w:val="009F3973"/>
    <w:rsid w:val="009F39F4"/>
    <w:rsid w:val="009F3BB1"/>
    <w:rsid w:val="009F3D12"/>
    <w:rsid w:val="009F58E5"/>
    <w:rsid w:val="009F64D7"/>
    <w:rsid w:val="009F65C2"/>
    <w:rsid w:val="009F6A19"/>
    <w:rsid w:val="009F751B"/>
    <w:rsid w:val="009F7767"/>
    <w:rsid w:val="009F7BFE"/>
    <w:rsid w:val="00A00755"/>
    <w:rsid w:val="00A00D74"/>
    <w:rsid w:val="00A00F06"/>
    <w:rsid w:val="00A012FE"/>
    <w:rsid w:val="00A0148F"/>
    <w:rsid w:val="00A01511"/>
    <w:rsid w:val="00A01AFF"/>
    <w:rsid w:val="00A01F09"/>
    <w:rsid w:val="00A0258D"/>
    <w:rsid w:val="00A0272E"/>
    <w:rsid w:val="00A027BF"/>
    <w:rsid w:val="00A02941"/>
    <w:rsid w:val="00A02E07"/>
    <w:rsid w:val="00A038AC"/>
    <w:rsid w:val="00A03DC3"/>
    <w:rsid w:val="00A040F9"/>
    <w:rsid w:val="00A04248"/>
    <w:rsid w:val="00A042A3"/>
    <w:rsid w:val="00A045F5"/>
    <w:rsid w:val="00A04DA6"/>
    <w:rsid w:val="00A05195"/>
    <w:rsid w:val="00A0520B"/>
    <w:rsid w:val="00A059D5"/>
    <w:rsid w:val="00A06280"/>
    <w:rsid w:val="00A07231"/>
    <w:rsid w:val="00A07909"/>
    <w:rsid w:val="00A07ACB"/>
    <w:rsid w:val="00A07C8A"/>
    <w:rsid w:val="00A101A0"/>
    <w:rsid w:val="00A101FD"/>
    <w:rsid w:val="00A10330"/>
    <w:rsid w:val="00A106A3"/>
    <w:rsid w:val="00A10CDB"/>
    <w:rsid w:val="00A10D85"/>
    <w:rsid w:val="00A11A45"/>
    <w:rsid w:val="00A11B26"/>
    <w:rsid w:val="00A11D50"/>
    <w:rsid w:val="00A11D84"/>
    <w:rsid w:val="00A11F12"/>
    <w:rsid w:val="00A1275B"/>
    <w:rsid w:val="00A128C6"/>
    <w:rsid w:val="00A12CE8"/>
    <w:rsid w:val="00A12D71"/>
    <w:rsid w:val="00A12FC1"/>
    <w:rsid w:val="00A13205"/>
    <w:rsid w:val="00A13820"/>
    <w:rsid w:val="00A13ADD"/>
    <w:rsid w:val="00A1414A"/>
    <w:rsid w:val="00A14CAA"/>
    <w:rsid w:val="00A14CB5"/>
    <w:rsid w:val="00A14EC8"/>
    <w:rsid w:val="00A14F67"/>
    <w:rsid w:val="00A15570"/>
    <w:rsid w:val="00A1581A"/>
    <w:rsid w:val="00A1589B"/>
    <w:rsid w:val="00A15A43"/>
    <w:rsid w:val="00A15C96"/>
    <w:rsid w:val="00A16002"/>
    <w:rsid w:val="00A16EDF"/>
    <w:rsid w:val="00A17302"/>
    <w:rsid w:val="00A17439"/>
    <w:rsid w:val="00A174FD"/>
    <w:rsid w:val="00A1756F"/>
    <w:rsid w:val="00A17DDA"/>
    <w:rsid w:val="00A17EAF"/>
    <w:rsid w:val="00A17F65"/>
    <w:rsid w:val="00A17F80"/>
    <w:rsid w:val="00A20005"/>
    <w:rsid w:val="00A200B1"/>
    <w:rsid w:val="00A20483"/>
    <w:rsid w:val="00A207E8"/>
    <w:rsid w:val="00A20877"/>
    <w:rsid w:val="00A211AC"/>
    <w:rsid w:val="00A21565"/>
    <w:rsid w:val="00A220CC"/>
    <w:rsid w:val="00A225B4"/>
    <w:rsid w:val="00A23368"/>
    <w:rsid w:val="00A2357A"/>
    <w:rsid w:val="00A2358F"/>
    <w:rsid w:val="00A245FC"/>
    <w:rsid w:val="00A24E02"/>
    <w:rsid w:val="00A24F4B"/>
    <w:rsid w:val="00A24F7D"/>
    <w:rsid w:val="00A25411"/>
    <w:rsid w:val="00A254BD"/>
    <w:rsid w:val="00A25866"/>
    <w:rsid w:val="00A25967"/>
    <w:rsid w:val="00A25F68"/>
    <w:rsid w:val="00A2601E"/>
    <w:rsid w:val="00A26743"/>
    <w:rsid w:val="00A26794"/>
    <w:rsid w:val="00A27022"/>
    <w:rsid w:val="00A270E1"/>
    <w:rsid w:val="00A27261"/>
    <w:rsid w:val="00A273F5"/>
    <w:rsid w:val="00A2744E"/>
    <w:rsid w:val="00A2769E"/>
    <w:rsid w:val="00A27775"/>
    <w:rsid w:val="00A27919"/>
    <w:rsid w:val="00A27ADC"/>
    <w:rsid w:val="00A27F96"/>
    <w:rsid w:val="00A30047"/>
    <w:rsid w:val="00A301B1"/>
    <w:rsid w:val="00A30D0D"/>
    <w:rsid w:val="00A30DFD"/>
    <w:rsid w:val="00A313EE"/>
    <w:rsid w:val="00A3146B"/>
    <w:rsid w:val="00A31485"/>
    <w:rsid w:val="00A31AED"/>
    <w:rsid w:val="00A32818"/>
    <w:rsid w:val="00A32C4F"/>
    <w:rsid w:val="00A330C5"/>
    <w:rsid w:val="00A332C8"/>
    <w:rsid w:val="00A33874"/>
    <w:rsid w:val="00A34329"/>
    <w:rsid w:val="00A3460F"/>
    <w:rsid w:val="00A34949"/>
    <w:rsid w:val="00A34A1E"/>
    <w:rsid w:val="00A34C4E"/>
    <w:rsid w:val="00A35428"/>
    <w:rsid w:val="00A362AF"/>
    <w:rsid w:val="00A363D3"/>
    <w:rsid w:val="00A364C6"/>
    <w:rsid w:val="00A3655D"/>
    <w:rsid w:val="00A3685F"/>
    <w:rsid w:val="00A36C58"/>
    <w:rsid w:val="00A372BE"/>
    <w:rsid w:val="00A37406"/>
    <w:rsid w:val="00A37BDC"/>
    <w:rsid w:val="00A37FC7"/>
    <w:rsid w:val="00A4017C"/>
    <w:rsid w:val="00A40738"/>
    <w:rsid w:val="00A40762"/>
    <w:rsid w:val="00A407B3"/>
    <w:rsid w:val="00A40DDA"/>
    <w:rsid w:val="00A40F9E"/>
    <w:rsid w:val="00A41297"/>
    <w:rsid w:val="00A41CF7"/>
    <w:rsid w:val="00A43769"/>
    <w:rsid w:val="00A4377B"/>
    <w:rsid w:val="00A43BFB"/>
    <w:rsid w:val="00A43D7F"/>
    <w:rsid w:val="00A43ECA"/>
    <w:rsid w:val="00A44579"/>
    <w:rsid w:val="00A44E47"/>
    <w:rsid w:val="00A45760"/>
    <w:rsid w:val="00A45BCB"/>
    <w:rsid w:val="00A46EFC"/>
    <w:rsid w:val="00A47466"/>
    <w:rsid w:val="00A5012D"/>
    <w:rsid w:val="00A5072E"/>
    <w:rsid w:val="00A50765"/>
    <w:rsid w:val="00A5079C"/>
    <w:rsid w:val="00A50D07"/>
    <w:rsid w:val="00A50EB7"/>
    <w:rsid w:val="00A5112B"/>
    <w:rsid w:val="00A513FC"/>
    <w:rsid w:val="00A51BFC"/>
    <w:rsid w:val="00A51E35"/>
    <w:rsid w:val="00A51E7F"/>
    <w:rsid w:val="00A524E5"/>
    <w:rsid w:val="00A5262C"/>
    <w:rsid w:val="00A526AA"/>
    <w:rsid w:val="00A52E17"/>
    <w:rsid w:val="00A52E22"/>
    <w:rsid w:val="00A5304E"/>
    <w:rsid w:val="00A53601"/>
    <w:rsid w:val="00A53E54"/>
    <w:rsid w:val="00A5443D"/>
    <w:rsid w:val="00A5460C"/>
    <w:rsid w:val="00A55BBB"/>
    <w:rsid w:val="00A55C7E"/>
    <w:rsid w:val="00A563C8"/>
    <w:rsid w:val="00A5668C"/>
    <w:rsid w:val="00A56B45"/>
    <w:rsid w:val="00A56FC6"/>
    <w:rsid w:val="00A5714A"/>
    <w:rsid w:val="00A5729A"/>
    <w:rsid w:val="00A574F9"/>
    <w:rsid w:val="00A57534"/>
    <w:rsid w:val="00A57D82"/>
    <w:rsid w:val="00A60075"/>
    <w:rsid w:val="00A606A1"/>
    <w:rsid w:val="00A60704"/>
    <w:rsid w:val="00A607C4"/>
    <w:rsid w:val="00A60AAE"/>
    <w:rsid w:val="00A60B9C"/>
    <w:rsid w:val="00A60C4D"/>
    <w:rsid w:val="00A60FA7"/>
    <w:rsid w:val="00A613D5"/>
    <w:rsid w:val="00A61527"/>
    <w:rsid w:val="00A61D8B"/>
    <w:rsid w:val="00A620E3"/>
    <w:rsid w:val="00A621BC"/>
    <w:rsid w:val="00A62936"/>
    <w:rsid w:val="00A62DB2"/>
    <w:rsid w:val="00A62E69"/>
    <w:rsid w:val="00A63065"/>
    <w:rsid w:val="00A632AD"/>
    <w:rsid w:val="00A63670"/>
    <w:rsid w:val="00A636A6"/>
    <w:rsid w:val="00A63CFD"/>
    <w:rsid w:val="00A63F04"/>
    <w:rsid w:val="00A641E7"/>
    <w:rsid w:val="00A64CCD"/>
    <w:rsid w:val="00A64DDE"/>
    <w:rsid w:val="00A65528"/>
    <w:rsid w:val="00A659C5"/>
    <w:rsid w:val="00A65AC1"/>
    <w:rsid w:val="00A664D3"/>
    <w:rsid w:val="00A6658C"/>
    <w:rsid w:val="00A66724"/>
    <w:rsid w:val="00A66932"/>
    <w:rsid w:val="00A672DA"/>
    <w:rsid w:val="00A67360"/>
    <w:rsid w:val="00A67621"/>
    <w:rsid w:val="00A6771D"/>
    <w:rsid w:val="00A67A9C"/>
    <w:rsid w:val="00A67EF8"/>
    <w:rsid w:val="00A715AE"/>
    <w:rsid w:val="00A71B11"/>
    <w:rsid w:val="00A71B54"/>
    <w:rsid w:val="00A71F40"/>
    <w:rsid w:val="00A721A3"/>
    <w:rsid w:val="00A73197"/>
    <w:rsid w:val="00A734AD"/>
    <w:rsid w:val="00A7398F"/>
    <w:rsid w:val="00A73A5F"/>
    <w:rsid w:val="00A73BBB"/>
    <w:rsid w:val="00A73D8F"/>
    <w:rsid w:val="00A740F9"/>
    <w:rsid w:val="00A7411B"/>
    <w:rsid w:val="00A741AD"/>
    <w:rsid w:val="00A74941"/>
    <w:rsid w:val="00A75780"/>
    <w:rsid w:val="00A75841"/>
    <w:rsid w:val="00A76238"/>
    <w:rsid w:val="00A762FB"/>
    <w:rsid w:val="00A7647F"/>
    <w:rsid w:val="00A766C5"/>
    <w:rsid w:val="00A768C4"/>
    <w:rsid w:val="00A76AC1"/>
    <w:rsid w:val="00A76BE6"/>
    <w:rsid w:val="00A772D4"/>
    <w:rsid w:val="00A8025C"/>
    <w:rsid w:val="00A80502"/>
    <w:rsid w:val="00A8057D"/>
    <w:rsid w:val="00A808E0"/>
    <w:rsid w:val="00A815AD"/>
    <w:rsid w:val="00A82069"/>
    <w:rsid w:val="00A8229B"/>
    <w:rsid w:val="00A82803"/>
    <w:rsid w:val="00A82B2C"/>
    <w:rsid w:val="00A82B84"/>
    <w:rsid w:val="00A82E6E"/>
    <w:rsid w:val="00A8368B"/>
    <w:rsid w:val="00A836C6"/>
    <w:rsid w:val="00A839B2"/>
    <w:rsid w:val="00A83C0E"/>
    <w:rsid w:val="00A83FF9"/>
    <w:rsid w:val="00A84785"/>
    <w:rsid w:val="00A848E6"/>
    <w:rsid w:val="00A84C98"/>
    <w:rsid w:val="00A8523C"/>
    <w:rsid w:val="00A857B7"/>
    <w:rsid w:val="00A86473"/>
    <w:rsid w:val="00A8682A"/>
    <w:rsid w:val="00A87C42"/>
    <w:rsid w:val="00A87EAD"/>
    <w:rsid w:val="00A87EF8"/>
    <w:rsid w:val="00A87EF9"/>
    <w:rsid w:val="00A906AE"/>
    <w:rsid w:val="00A90966"/>
    <w:rsid w:val="00A90AD3"/>
    <w:rsid w:val="00A90CD0"/>
    <w:rsid w:val="00A90E5C"/>
    <w:rsid w:val="00A90E66"/>
    <w:rsid w:val="00A916FC"/>
    <w:rsid w:val="00A91D5C"/>
    <w:rsid w:val="00A929DC"/>
    <w:rsid w:val="00A9304F"/>
    <w:rsid w:val="00A930D2"/>
    <w:rsid w:val="00A939BC"/>
    <w:rsid w:val="00A93CF3"/>
    <w:rsid w:val="00A94B96"/>
    <w:rsid w:val="00A94BDF"/>
    <w:rsid w:val="00A94E32"/>
    <w:rsid w:val="00A94F96"/>
    <w:rsid w:val="00A95364"/>
    <w:rsid w:val="00A95610"/>
    <w:rsid w:val="00A958A6"/>
    <w:rsid w:val="00A95CE6"/>
    <w:rsid w:val="00A95FA8"/>
    <w:rsid w:val="00A96F7B"/>
    <w:rsid w:val="00A97155"/>
    <w:rsid w:val="00A973C1"/>
    <w:rsid w:val="00A97E88"/>
    <w:rsid w:val="00A97FA3"/>
    <w:rsid w:val="00AA12AB"/>
    <w:rsid w:val="00AA18B6"/>
    <w:rsid w:val="00AA18CC"/>
    <w:rsid w:val="00AA1C33"/>
    <w:rsid w:val="00AA1C44"/>
    <w:rsid w:val="00AA1F10"/>
    <w:rsid w:val="00AA2391"/>
    <w:rsid w:val="00AA2945"/>
    <w:rsid w:val="00AA2B87"/>
    <w:rsid w:val="00AA3BDC"/>
    <w:rsid w:val="00AA4212"/>
    <w:rsid w:val="00AA4632"/>
    <w:rsid w:val="00AA52D9"/>
    <w:rsid w:val="00AA557C"/>
    <w:rsid w:val="00AA57A7"/>
    <w:rsid w:val="00AA596E"/>
    <w:rsid w:val="00AA5E87"/>
    <w:rsid w:val="00AA5F7A"/>
    <w:rsid w:val="00AA647A"/>
    <w:rsid w:val="00AA659C"/>
    <w:rsid w:val="00AA6894"/>
    <w:rsid w:val="00AA6952"/>
    <w:rsid w:val="00AA7974"/>
    <w:rsid w:val="00AA7B10"/>
    <w:rsid w:val="00AA7E74"/>
    <w:rsid w:val="00AAD22C"/>
    <w:rsid w:val="00AB0484"/>
    <w:rsid w:val="00AB0773"/>
    <w:rsid w:val="00AB1B92"/>
    <w:rsid w:val="00AB1CC6"/>
    <w:rsid w:val="00AB1CF6"/>
    <w:rsid w:val="00AB1F82"/>
    <w:rsid w:val="00AB22DF"/>
    <w:rsid w:val="00AB2BDB"/>
    <w:rsid w:val="00AB3544"/>
    <w:rsid w:val="00AB415F"/>
    <w:rsid w:val="00AB48EC"/>
    <w:rsid w:val="00AB49F5"/>
    <w:rsid w:val="00AB5283"/>
    <w:rsid w:val="00AB54AC"/>
    <w:rsid w:val="00AB55E3"/>
    <w:rsid w:val="00AB5BA3"/>
    <w:rsid w:val="00AB5C7B"/>
    <w:rsid w:val="00AB6187"/>
    <w:rsid w:val="00AB6251"/>
    <w:rsid w:val="00AB63E1"/>
    <w:rsid w:val="00AB6872"/>
    <w:rsid w:val="00AB6968"/>
    <w:rsid w:val="00AB6DAF"/>
    <w:rsid w:val="00AB716C"/>
    <w:rsid w:val="00AB723F"/>
    <w:rsid w:val="00AB72F5"/>
    <w:rsid w:val="00AB741E"/>
    <w:rsid w:val="00AB7543"/>
    <w:rsid w:val="00AB7AA7"/>
    <w:rsid w:val="00AC00C9"/>
    <w:rsid w:val="00AC00FB"/>
    <w:rsid w:val="00AC044B"/>
    <w:rsid w:val="00AC0525"/>
    <w:rsid w:val="00AC079D"/>
    <w:rsid w:val="00AC09E4"/>
    <w:rsid w:val="00AC0B18"/>
    <w:rsid w:val="00AC0E26"/>
    <w:rsid w:val="00AC0FF3"/>
    <w:rsid w:val="00AC11F1"/>
    <w:rsid w:val="00AC14D2"/>
    <w:rsid w:val="00AC1876"/>
    <w:rsid w:val="00AC1CEF"/>
    <w:rsid w:val="00AC1FEA"/>
    <w:rsid w:val="00AC23CE"/>
    <w:rsid w:val="00AC2CA6"/>
    <w:rsid w:val="00AC32F7"/>
    <w:rsid w:val="00AC3440"/>
    <w:rsid w:val="00AC36E7"/>
    <w:rsid w:val="00AC3DAA"/>
    <w:rsid w:val="00AC40B3"/>
    <w:rsid w:val="00AC4142"/>
    <w:rsid w:val="00AC43DA"/>
    <w:rsid w:val="00AC4413"/>
    <w:rsid w:val="00AC49C4"/>
    <w:rsid w:val="00AC4AB6"/>
    <w:rsid w:val="00AC4BFD"/>
    <w:rsid w:val="00AC5077"/>
    <w:rsid w:val="00AC51E4"/>
    <w:rsid w:val="00AC5419"/>
    <w:rsid w:val="00AC5562"/>
    <w:rsid w:val="00AC5BF1"/>
    <w:rsid w:val="00AC5CE3"/>
    <w:rsid w:val="00AC601B"/>
    <w:rsid w:val="00AC64CB"/>
    <w:rsid w:val="00AC6579"/>
    <w:rsid w:val="00AC6C94"/>
    <w:rsid w:val="00AC7081"/>
    <w:rsid w:val="00AC78DB"/>
    <w:rsid w:val="00AC7F55"/>
    <w:rsid w:val="00AD0346"/>
    <w:rsid w:val="00AD04E4"/>
    <w:rsid w:val="00AD06A7"/>
    <w:rsid w:val="00AD0C65"/>
    <w:rsid w:val="00AD1622"/>
    <w:rsid w:val="00AD1E10"/>
    <w:rsid w:val="00AD2263"/>
    <w:rsid w:val="00AD28EF"/>
    <w:rsid w:val="00AD29A1"/>
    <w:rsid w:val="00AD2E75"/>
    <w:rsid w:val="00AD338F"/>
    <w:rsid w:val="00AD33BC"/>
    <w:rsid w:val="00AD3A08"/>
    <w:rsid w:val="00AD3E8C"/>
    <w:rsid w:val="00AD3F36"/>
    <w:rsid w:val="00AD4DAC"/>
    <w:rsid w:val="00AD5807"/>
    <w:rsid w:val="00AD5966"/>
    <w:rsid w:val="00AD5B52"/>
    <w:rsid w:val="00AD5D5B"/>
    <w:rsid w:val="00AD66DC"/>
    <w:rsid w:val="00AD6749"/>
    <w:rsid w:val="00AD6A5C"/>
    <w:rsid w:val="00AD7B21"/>
    <w:rsid w:val="00AE00AA"/>
    <w:rsid w:val="00AE0495"/>
    <w:rsid w:val="00AE0B12"/>
    <w:rsid w:val="00AE12C4"/>
    <w:rsid w:val="00AE1306"/>
    <w:rsid w:val="00AE19EF"/>
    <w:rsid w:val="00AE1C42"/>
    <w:rsid w:val="00AE2643"/>
    <w:rsid w:val="00AE2C92"/>
    <w:rsid w:val="00AE30AD"/>
    <w:rsid w:val="00AE3FE6"/>
    <w:rsid w:val="00AE4350"/>
    <w:rsid w:val="00AE46ED"/>
    <w:rsid w:val="00AE48DC"/>
    <w:rsid w:val="00AE4A5B"/>
    <w:rsid w:val="00AE4ACE"/>
    <w:rsid w:val="00AE4C30"/>
    <w:rsid w:val="00AE4D5D"/>
    <w:rsid w:val="00AE5A09"/>
    <w:rsid w:val="00AE5C65"/>
    <w:rsid w:val="00AE6842"/>
    <w:rsid w:val="00AE725A"/>
    <w:rsid w:val="00AE731E"/>
    <w:rsid w:val="00AE76F8"/>
    <w:rsid w:val="00AE7B37"/>
    <w:rsid w:val="00AE7F75"/>
    <w:rsid w:val="00AF0C19"/>
    <w:rsid w:val="00AF0D25"/>
    <w:rsid w:val="00AF1185"/>
    <w:rsid w:val="00AF13D8"/>
    <w:rsid w:val="00AF178C"/>
    <w:rsid w:val="00AF19C1"/>
    <w:rsid w:val="00AF1E19"/>
    <w:rsid w:val="00AF1E48"/>
    <w:rsid w:val="00AF1F0D"/>
    <w:rsid w:val="00AF2426"/>
    <w:rsid w:val="00AF2A01"/>
    <w:rsid w:val="00AF2DA5"/>
    <w:rsid w:val="00AF317B"/>
    <w:rsid w:val="00AF3315"/>
    <w:rsid w:val="00AF3463"/>
    <w:rsid w:val="00AF34CB"/>
    <w:rsid w:val="00AF38E0"/>
    <w:rsid w:val="00AF47BE"/>
    <w:rsid w:val="00AF4A8D"/>
    <w:rsid w:val="00AF4F89"/>
    <w:rsid w:val="00AF619C"/>
    <w:rsid w:val="00AF61E4"/>
    <w:rsid w:val="00AF642A"/>
    <w:rsid w:val="00AF6479"/>
    <w:rsid w:val="00AF651A"/>
    <w:rsid w:val="00AF682A"/>
    <w:rsid w:val="00AF6931"/>
    <w:rsid w:val="00AF744A"/>
    <w:rsid w:val="00AF7941"/>
    <w:rsid w:val="00B004CA"/>
    <w:rsid w:val="00B004D0"/>
    <w:rsid w:val="00B0068B"/>
    <w:rsid w:val="00B00D24"/>
    <w:rsid w:val="00B01125"/>
    <w:rsid w:val="00B021B1"/>
    <w:rsid w:val="00B022B2"/>
    <w:rsid w:val="00B024D8"/>
    <w:rsid w:val="00B02735"/>
    <w:rsid w:val="00B0277E"/>
    <w:rsid w:val="00B0296E"/>
    <w:rsid w:val="00B02FEB"/>
    <w:rsid w:val="00B03224"/>
    <w:rsid w:val="00B034D5"/>
    <w:rsid w:val="00B0384F"/>
    <w:rsid w:val="00B038F0"/>
    <w:rsid w:val="00B03CA3"/>
    <w:rsid w:val="00B03E0F"/>
    <w:rsid w:val="00B04190"/>
    <w:rsid w:val="00B04629"/>
    <w:rsid w:val="00B04B34"/>
    <w:rsid w:val="00B04D50"/>
    <w:rsid w:val="00B05312"/>
    <w:rsid w:val="00B05369"/>
    <w:rsid w:val="00B05676"/>
    <w:rsid w:val="00B058D6"/>
    <w:rsid w:val="00B0621C"/>
    <w:rsid w:val="00B06318"/>
    <w:rsid w:val="00B06BB2"/>
    <w:rsid w:val="00B07465"/>
    <w:rsid w:val="00B0756E"/>
    <w:rsid w:val="00B075F0"/>
    <w:rsid w:val="00B07776"/>
    <w:rsid w:val="00B077DF"/>
    <w:rsid w:val="00B07B6A"/>
    <w:rsid w:val="00B07CA3"/>
    <w:rsid w:val="00B100C3"/>
    <w:rsid w:val="00B105CD"/>
    <w:rsid w:val="00B1091D"/>
    <w:rsid w:val="00B109D3"/>
    <w:rsid w:val="00B11003"/>
    <w:rsid w:val="00B1121D"/>
    <w:rsid w:val="00B117C0"/>
    <w:rsid w:val="00B11A27"/>
    <w:rsid w:val="00B12163"/>
    <w:rsid w:val="00B121E8"/>
    <w:rsid w:val="00B1231F"/>
    <w:rsid w:val="00B12EF5"/>
    <w:rsid w:val="00B13413"/>
    <w:rsid w:val="00B13F83"/>
    <w:rsid w:val="00B140B8"/>
    <w:rsid w:val="00B1424B"/>
    <w:rsid w:val="00B143F0"/>
    <w:rsid w:val="00B145FF"/>
    <w:rsid w:val="00B1466C"/>
    <w:rsid w:val="00B14A7F"/>
    <w:rsid w:val="00B14E45"/>
    <w:rsid w:val="00B155E9"/>
    <w:rsid w:val="00B1564E"/>
    <w:rsid w:val="00B15C0D"/>
    <w:rsid w:val="00B161F9"/>
    <w:rsid w:val="00B16695"/>
    <w:rsid w:val="00B1671B"/>
    <w:rsid w:val="00B16988"/>
    <w:rsid w:val="00B16C92"/>
    <w:rsid w:val="00B16F22"/>
    <w:rsid w:val="00B170C4"/>
    <w:rsid w:val="00B17305"/>
    <w:rsid w:val="00B176D1"/>
    <w:rsid w:val="00B1794F"/>
    <w:rsid w:val="00B17D79"/>
    <w:rsid w:val="00B17DB8"/>
    <w:rsid w:val="00B20321"/>
    <w:rsid w:val="00B20447"/>
    <w:rsid w:val="00B2057D"/>
    <w:rsid w:val="00B20942"/>
    <w:rsid w:val="00B20AF9"/>
    <w:rsid w:val="00B20B36"/>
    <w:rsid w:val="00B2162C"/>
    <w:rsid w:val="00B219DF"/>
    <w:rsid w:val="00B21D19"/>
    <w:rsid w:val="00B21E1A"/>
    <w:rsid w:val="00B21F37"/>
    <w:rsid w:val="00B223F6"/>
    <w:rsid w:val="00B22698"/>
    <w:rsid w:val="00B22C08"/>
    <w:rsid w:val="00B22D28"/>
    <w:rsid w:val="00B23535"/>
    <w:rsid w:val="00B238DB"/>
    <w:rsid w:val="00B23B4F"/>
    <w:rsid w:val="00B23D5B"/>
    <w:rsid w:val="00B23E0D"/>
    <w:rsid w:val="00B2402F"/>
    <w:rsid w:val="00B24261"/>
    <w:rsid w:val="00B24360"/>
    <w:rsid w:val="00B24920"/>
    <w:rsid w:val="00B24C13"/>
    <w:rsid w:val="00B254D4"/>
    <w:rsid w:val="00B258AC"/>
    <w:rsid w:val="00B25E11"/>
    <w:rsid w:val="00B26803"/>
    <w:rsid w:val="00B2694B"/>
    <w:rsid w:val="00B269FA"/>
    <w:rsid w:val="00B273F0"/>
    <w:rsid w:val="00B27559"/>
    <w:rsid w:val="00B27A71"/>
    <w:rsid w:val="00B30069"/>
    <w:rsid w:val="00B30262"/>
    <w:rsid w:val="00B30272"/>
    <w:rsid w:val="00B3063F"/>
    <w:rsid w:val="00B306A4"/>
    <w:rsid w:val="00B30DB1"/>
    <w:rsid w:val="00B30F5E"/>
    <w:rsid w:val="00B31600"/>
    <w:rsid w:val="00B31F19"/>
    <w:rsid w:val="00B324FC"/>
    <w:rsid w:val="00B324FF"/>
    <w:rsid w:val="00B32571"/>
    <w:rsid w:val="00B329F1"/>
    <w:rsid w:val="00B32B33"/>
    <w:rsid w:val="00B33018"/>
    <w:rsid w:val="00B3380B"/>
    <w:rsid w:val="00B33B9D"/>
    <w:rsid w:val="00B33D08"/>
    <w:rsid w:val="00B33F89"/>
    <w:rsid w:val="00B3418B"/>
    <w:rsid w:val="00B34340"/>
    <w:rsid w:val="00B343F7"/>
    <w:rsid w:val="00B34B35"/>
    <w:rsid w:val="00B34C91"/>
    <w:rsid w:val="00B34F62"/>
    <w:rsid w:val="00B35215"/>
    <w:rsid w:val="00B35CE6"/>
    <w:rsid w:val="00B3666E"/>
    <w:rsid w:val="00B37062"/>
    <w:rsid w:val="00B370EA"/>
    <w:rsid w:val="00B3726E"/>
    <w:rsid w:val="00B374E7"/>
    <w:rsid w:val="00B37802"/>
    <w:rsid w:val="00B37F77"/>
    <w:rsid w:val="00B4044A"/>
    <w:rsid w:val="00B405D2"/>
    <w:rsid w:val="00B407B3"/>
    <w:rsid w:val="00B40B56"/>
    <w:rsid w:val="00B410B9"/>
    <w:rsid w:val="00B4167D"/>
    <w:rsid w:val="00B41935"/>
    <w:rsid w:val="00B41BBA"/>
    <w:rsid w:val="00B42032"/>
    <w:rsid w:val="00B4220B"/>
    <w:rsid w:val="00B42519"/>
    <w:rsid w:val="00B428BC"/>
    <w:rsid w:val="00B42E82"/>
    <w:rsid w:val="00B4345B"/>
    <w:rsid w:val="00B43AF2"/>
    <w:rsid w:val="00B43E12"/>
    <w:rsid w:val="00B43EA3"/>
    <w:rsid w:val="00B43EA8"/>
    <w:rsid w:val="00B444B6"/>
    <w:rsid w:val="00B44A37"/>
    <w:rsid w:val="00B44BC2"/>
    <w:rsid w:val="00B44FC9"/>
    <w:rsid w:val="00B4507C"/>
    <w:rsid w:val="00B45684"/>
    <w:rsid w:val="00B459C4"/>
    <w:rsid w:val="00B462EE"/>
    <w:rsid w:val="00B46884"/>
    <w:rsid w:val="00B46FA2"/>
    <w:rsid w:val="00B471CC"/>
    <w:rsid w:val="00B477DD"/>
    <w:rsid w:val="00B4E073"/>
    <w:rsid w:val="00B508EB"/>
    <w:rsid w:val="00B50D0C"/>
    <w:rsid w:val="00B50FB4"/>
    <w:rsid w:val="00B51118"/>
    <w:rsid w:val="00B51516"/>
    <w:rsid w:val="00B51929"/>
    <w:rsid w:val="00B5194D"/>
    <w:rsid w:val="00B51BFA"/>
    <w:rsid w:val="00B51DE6"/>
    <w:rsid w:val="00B528EC"/>
    <w:rsid w:val="00B52AA5"/>
    <w:rsid w:val="00B52E3D"/>
    <w:rsid w:val="00B52EE4"/>
    <w:rsid w:val="00B5314A"/>
    <w:rsid w:val="00B531F8"/>
    <w:rsid w:val="00B53329"/>
    <w:rsid w:val="00B5361D"/>
    <w:rsid w:val="00B53C6F"/>
    <w:rsid w:val="00B54F50"/>
    <w:rsid w:val="00B55071"/>
    <w:rsid w:val="00B5520A"/>
    <w:rsid w:val="00B5521D"/>
    <w:rsid w:val="00B56089"/>
    <w:rsid w:val="00B563D7"/>
    <w:rsid w:val="00B574D8"/>
    <w:rsid w:val="00B576E3"/>
    <w:rsid w:val="00B578DD"/>
    <w:rsid w:val="00B57D5D"/>
    <w:rsid w:val="00B57DDE"/>
    <w:rsid w:val="00B57E8C"/>
    <w:rsid w:val="00B5885B"/>
    <w:rsid w:val="00B602AC"/>
    <w:rsid w:val="00B60518"/>
    <w:rsid w:val="00B60672"/>
    <w:rsid w:val="00B60940"/>
    <w:rsid w:val="00B61437"/>
    <w:rsid w:val="00B61599"/>
    <w:rsid w:val="00B6198F"/>
    <w:rsid w:val="00B62275"/>
    <w:rsid w:val="00B629C0"/>
    <w:rsid w:val="00B62AB6"/>
    <w:rsid w:val="00B62B00"/>
    <w:rsid w:val="00B62BEE"/>
    <w:rsid w:val="00B62DD0"/>
    <w:rsid w:val="00B63345"/>
    <w:rsid w:val="00B63346"/>
    <w:rsid w:val="00B6358F"/>
    <w:rsid w:val="00B63D89"/>
    <w:rsid w:val="00B64C0C"/>
    <w:rsid w:val="00B64ED7"/>
    <w:rsid w:val="00B65349"/>
    <w:rsid w:val="00B65C19"/>
    <w:rsid w:val="00B65C44"/>
    <w:rsid w:val="00B65F58"/>
    <w:rsid w:val="00B661B6"/>
    <w:rsid w:val="00B665B9"/>
    <w:rsid w:val="00B70358"/>
    <w:rsid w:val="00B7042B"/>
    <w:rsid w:val="00B70AF2"/>
    <w:rsid w:val="00B70D2D"/>
    <w:rsid w:val="00B70D3A"/>
    <w:rsid w:val="00B71094"/>
    <w:rsid w:val="00B710E1"/>
    <w:rsid w:val="00B7166A"/>
    <w:rsid w:val="00B71BDA"/>
    <w:rsid w:val="00B71C0E"/>
    <w:rsid w:val="00B71E67"/>
    <w:rsid w:val="00B72305"/>
    <w:rsid w:val="00B72862"/>
    <w:rsid w:val="00B72B42"/>
    <w:rsid w:val="00B72C84"/>
    <w:rsid w:val="00B73047"/>
    <w:rsid w:val="00B731C3"/>
    <w:rsid w:val="00B733D7"/>
    <w:rsid w:val="00B73CF4"/>
    <w:rsid w:val="00B73FBC"/>
    <w:rsid w:val="00B745E4"/>
    <w:rsid w:val="00B74DEC"/>
    <w:rsid w:val="00B75161"/>
    <w:rsid w:val="00B751F9"/>
    <w:rsid w:val="00B753AB"/>
    <w:rsid w:val="00B759DD"/>
    <w:rsid w:val="00B75BFA"/>
    <w:rsid w:val="00B761DE"/>
    <w:rsid w:val="00B76A97"/>
    <w:rsid w:val="00B76AC2"/>
    <w:rsid w:val="00B76C24"/>
    <w:rsid w:val="00B77843"/>
    <w:rsid w:val="00B77993"/>
    <w:rsid w:val="00B77D32"/>
    <w:rsid w:val="00B77EFE"/>
    <w:rsid w:val="00B8007B"/>
    <w:rsid w:val="00B800BD"/>
    <w:rsid w:val="00B80259"/>
    <w:rsid w:val="00B8050A"/>
    <w:rsid w:val="00B8081B"/>
    <w:rsid w:val="00B80A7F"/>
    <w:rsid w:val="00B80A9D"/>
    <w:rsid w:val="00B80F4F"/>
    <w:rsid w:val="00B81139"/>
    <w:rsid w:val="00B816EE"/>
    <w:rsid w:val="00B81C8B"/>
    <w:rsid w:val="00B81C95"/>
    <w:rsid w:val="00B82030"/>
    <w:rsid w:val="00B82472"/>
    <w:rsid w:val="00B827E4"/>
    <w:rsid w:val="00B82A45"/>
    <w:rsid w:val="00B82DDE"/>
    <w:rsid w:val="00B82DE1"/>
    <w:rsid w:val="00B82F7F"/>
    <w:rsid w:val="00B831D7"/>
    <w:rsid w:val="00B834A7"/>
    <w:rsid w:val="00B83DF3"/>
    <w:rsid w:val="00B83E50"/>
    <w:rsid w:val="00B83FC0"/>
    <w:rsid w:val="00B840BA"/>
    <w:rsid w:val="00B84E91"/>
    <w:rsid w:val="00B8501D"/>
    <w:rsid w:val="00B85EE3"/>
    <w:rsid w:val="00B85F03"/>
    <w:rsid w:val="00B860A6"/>
    <w:rsid w:val="00B86230"/>
    <w:rsid w:val="00B8657E"/>
    <w:rsid w:val="00B8707C"/>
    <w:rsid w:val="00B87538"/>
    <w:rsid w:val="00B87668"/>
    <w:rsid w:val="00B87669"/>
    <w:rsid w:val="00B877E6"/>
    <w:rsid w:val="00B87863"/>
    <w:rsid w:val="00B90311"/>
    <w:rsid w:val="00B903DC"/>
    <w:rsid w:val="00B90A36"/>
    <w:rsid w:val="00B90C62"/>
    <w:rsid w:val="00B90D00"/>
    <w:rsid w:val="00B90E35"/>
    <w:rsid w:val="00B9126D"/>
    <w:rsid w:val="00B913D8"/>
    <w:rsid w:val="00B916FB"/>
    <w:rsid w:val="00B91EF3"/>
    <w:rsid w:val="00B9216E"/>
    <w:rsid w:val="00B93A06"/>
    <w:rsid w:val="00B93E2D"/>
    <w:rsid w:val="00B94A9C"/>
    <w:rsid w:val="00B9511F"/>
    <w:rsid w:val="00B95A2D"/>
    <w:rsid w:val="00B9633D"/>
    <w:rsid w:val="00B96D05"/>
    <w:rsid w:val="00B975AD"/>
    <w:rsid w:val="00B976D1"/>
    <w:rsid w:val="00B978AD"/>
    <w:rsid w:val="00B97A6E"/>
    <w:rsid w:val="00B97EAA"/>
    <w:rsid w:val="00BA05F0"/>
    <w:rsid w:val="00BA06A6"/>
    <w:rsid w:val="00BA0A2C"/>
    <w:rsid w:val="00BA0BAD"/>
    <w:rsid w:val="00BA0CAA"/>
    <w:rsid w:val="00BA0CCF"/>
    <w:rsid w:val="00BA0FA0"/>
    <w:rsid w:val="00BA1BD7"/>
    <w:rsid w:val="00BA1FED"/>
    <w:rsid w:val="00BA20A1"/>
    <w:rsid w:val="00BA226D"/>
    <w:rsid w:val="00BA2452"/>
    <w:rsid w:val="00BA29E7"/>
    <w:rsid w:val="00BA2ADA"/>
    <w:rsid w:val="00BA2B95"/>
    <w:rsid w:val="00BA2BA9"/>
    <w:rsid w:val="00BA319C"/>
    <w:rsid w:val="00BA34DB"/>
    <w:rsid w:val="00BA3BF7"/>
    <w:rsid w:val="00BA3DEA"/>
    <w:rsid w:val="00BA3FE2"/>
    <w:rsid w:val="00BA435E"/>
    <w:rsid w:val="00BA44A8"/>
    <w:rsid w:val="00BA4D3C"/>
    <w:rsid w:val="00BA5D80"/>
    <w:rsid w:val="00BA5E38"/>
    <w:rsid w:val="00BA62E6"/>
    <w:rsid w:val="00BA6585"/>
    <w:rsid w:val="00BA6BE9"/>
    <w:rsid w:val="00BA7A16"/>
    <w:rsid w:val="00BA7A56"/>
    <w:rsid w:val="00BA7F31"/>
    <w:rsid w:val="00BA8644"/>
    <w:rsid w:val="00BB04F2"/>
    <w:rsid w:val="00BB0839"/>
    <w:rsid w:val="00BB0C18"/>
    <w:rsid w:val="00BB0FC1"/>
    <w:rsid w:val="00BB0FCE"/>
    <w:rsid w:val="00BB1DED"/>
    <w:rsid w:val="00BB273E"/>
    <w:rsid w:val="00BB2EA1"/>
    <w:rsid w:val="00BB2F67"/>
    <w:rsid w:val="00BB2FF0"/>
    <w:rsid w:val="00BB327D"/>
    <w:rsid w:val="00BB34C0"/>
    <w:rsid w:val="00BB3966"/>
    <w:rsid w:val="00BB4CBB"/>
    <w:rsid w:val="00BB4E47"/>
    <w:rsid w:val="00BB4FE7"/>
    <w:rsid w:val="00BB533C"/>
    <w:rsid w:val="00BB546D"/>
    <w:rsid w:val="00BB569F"/>
    <w:rsid w:val="00BB67E0"/>
    <w:rsid w:val="00BB6B57"/>
    <w:rsid w:val="00BB6F34"/>
    <w:rsid w:val="00BB76FA"/>
    <w:rsid w:val="00BB78AF"/>
    <w:rsid w:val="00BB7E89"/>
    <w:rsid w:val="00BB7F37"/>
    <w:rsid w:val="00BC042D"/>
    <w:rsid w:val="00BC06E8"/>
    <w:rsid w:val="00BC0FFC"/>
    <w:rsid w:val="00BC147C"/>
    <w:rsid w:val="00BC168C"/>
    <w:rsid w:val="00BC1DEA"/>
    <w:rsid w:val="00BC2628"/>
    <w:rsid w:val="00BC29D3"/>
    <w:rsid w:val="00BC2EEE"/>
    <w:rsid w:val="00BC3400"/>
    <w:rsid w:val="00BC3AD9"/>
    <w:rsid w:val="00BC3CC3"/>
    <w:rsid w:val="00BC3D90"/>
    <w:rsid w:val="00BC3E63"/>
    <w:rsid w:val="00BC4055"/>
    <w:rsid w:val="00BC4066"/>
    <w:rsid w:val="00BC443C"/>
    <w:rsid w:val="00BC4D99"/>
    <w:rsid w:val="00BC4F4B"/>
    <w:rsid w:val="00BC4F50"/>
    <w:rsid w:val="00BC539B"/>
    <w:rsid w:val="00BC5717"/>
    <w:rsid w:val="00BC5E61"/>
    <w:rsid w:val="00BC6431"/>
    <w:rsid w:val="00BC6511"/>
    <w:rsid w:val="00BC6934"/>
    <w:rsid w:val="00BC6A42"/>
    <w:rsid w:val="00BC6D86"/>
    <w:rsid w:val="00BC701F"/>
    <w:rsid w:val="00BC7923"/>
    <w:rsid w:val="00BC7A4D"/>
    <w:rsid w:val="00BC7D90"/>
    <w:rsid w:val="00BC7FFD"/>
    <w:rsid w:val="00BD020D"/>
    <w:rsid w:val="00BD073C"/>
    <w:rsid w:val="00BD0A48"/>
    <w:rsid w:val="00BD0D4F"/>
    <w:rsid w:val="00BD0FB9"/>
    <w:rsid w:val="00BD10AF"/>
    <w:rsid w:val="00BD1381"/>
    <w:rsid w:val="00BD1851"/>
    <w:rsid w:val="00BD1CDF"/>
    <w:rsid w:val="00BD20DE"/>
    <w:rsid w:val="00BD2162"/>
    <w:rsid w:val="00BD24A4"/>
    <w:rsid w:val="00BD27C9"/>
    <w:rsid w:val="00BD30D0"/>
    <w:rsid w:val="00BD377A"/>
    <w:rsid w:val="00BD433B"/>
    <w:rsid w:val="00BD43F8"/>
    <w:rsid w:val="00BD443A"/>
    <w:rsid w:val="00BD44BC"/>
    <w:rsid w:val="00BD4CC2"/>
    <w:rsid w:val="00BD4CFE"/>
    <w:rsid w:val="00BD5189"/>
    <w:rsid w:val="00BD51F4"/>
    <w:rsid w:val="00BD5827"/>
    <w:rsid w:val="00BD58BB"/>
    <w:rsid w:val="00BD599C"/>
    <w:rsid w:val="00BD5F0D"/>
    <w:rsid w:val="00BD691C"/>
    <w:rsid w:val="00BD7485"/>
    <w:rsid w:val="00BD780E"/>
    <w:rsid w:val="00BD7C7B"/>
    <w:rsid w:val="00BD7F0B"/>
    <w:rsid w:val="00BD7F39"/>
    <w:rsid w:val="00BE0075"/>
    <w:rsid w:val="00BE0225"/>
    <w:rsid w:val="00BE0832"/>
    <w:rsid w:val="00BE0B92"/>
    <w:rsid w:val="00BE0DFC"/>
    <w:rsid w:val="00BE1646"/>
    <w:rsid w:val="00BE168C"/>
    <w:rsid w:val="00BE188A"/>
    <w:rsid w:val="00BE19CB"/>
    <w:rsid w:val="00BE219C"/>
    <w:rsid w:val="00BE2B19"/>
    <w:rsid w:val="00BE2CBE"/>
    <w:rsid w:val="00BE2CF6"/>
    <w:rsid w:val="00BE3011"/>
    <w:rsid w:val="00BE330B"/>
    <w:rsid w:val="00BE415E"/>
    <w:rsid w:val="00BE42D0"/>
    <w:rsid w:val="00BE4DD0"/>
    <w:rsid w:val="00BE50C4"/>
    <w:rsid w:val="00BE51C8"/>
    <w:rsid w:val="00BE58E8"/>
    <w:rsid w:val="00BE5A5B"/>
    <w:rsid w:val="00BE5BE4"/>
    <w:rsid w:val="00BE64AC"/>
    <w:rsid w:val="00BE69FF"/>
    <w:rsid w:val="00BE6E32"/>
    <w:rsid w:val="00BE70A8"/>
    <w:rsid w:val="00BE7128"/>
    <w:rsid w:val="00BE7F3B"/>
    <w:rsid w:val="00BF0E45"/>
    <w:rsid w:val="00BF0FF3"/>
    <w:rsid w:val="00BF1178"/>
    <w:rsid w:val="00BF15B2"/>
    <w:rsid w:val="00BF18C8"/>
    <w:rsid w:val="00BF1ACD"/>
    <w:rsid w:val="00BF208A"/>
    <w:rsid w:val="00BF2F9A"/>
    <w:rsid w:val="00BF351E"/>
    <w:rsid w:val="00BF3748"/>
    <w:rsid w:val="00BF38C2"/>
    <w:rsid w:val="00BF3B49"/>
    <w:rsid w:val="00BF49B5"/>
    <w:rsid w:val="00BF4CE4"/>
    <w:rsid w:val="00BF53D5"/>
    <w:rsid w:val="00BF598A"/>
    <w:rsid w:val="00BF5BC9"/>
    <w:rsid w:val="00BF644E"/>
    <w:rsid w:val="00BF6897"/>
    <w:rsid w:val="00BF6983"/>
    <w:rsid w:val="00BF6CBD"/>
    <w:rsid w:val="00BF6F43"/>
    <w:rsid w:val="00BF6F4F"/>
    <w:rsid w:val="00BF6F8A"/>
    <w:rsid w:val="00BF6FC7"/>
    <w:rsid w:val="00BF7927"/>
    <w:rsid w:val="00BF7B5C"/>
    <w:rsid w:val="00BF7BDC"/>
    <w:rsid w:val="00BF7D28"/>
    <w:rsid w:val="00BF7F2C"/>
    <w:rsid w:val="00C00078"/>
    <w:rsid w:val="00C0051B"/>
    <w:rsid w:val="00C00608"/>
    <w:rsid w:val="00C00715"/>
    <w:rsid w:val="00C00CF4"/>
    <w:rsid w:val="00C0124A"/>
    <w:rsid w:val="00C01294"/>
    <w:rsid w:val="00C016E7"/>
    <w:rsid w:val="00C017DF"/>
    <w:rsid w:val="00C01916"/>
    <w:rsid w:val="00C01E31"/>
    <w:rsid w:val="00C024D8"/>
    <w:rsid w:val="00C0286C"/>
    <w:rsid w:val="00C028E6"/>
    <w:rsid w:val="00C03405"/>
    <w:rsid w:val="00C03F3D"/>
    <w:rsid w:val="00C043D1"/>
    <w:rsid w:val="00C04529"/>
    <w:rsid w:val="00C04701"/>
    <w:rsid w:val="00C04820"/>
    <w:rsid w:val="00C04C05"/>
    <w:rsid w:val="00C04C34"/>
    <w:rsid w:val="00C04E7A"/>
    <w:rsid w:val="00C04F15"/>
    <w:rsid w:val="00C055A2"/>
    <w:rsid w:val="00C0593C"/>
    <w:rsid w:val="00C05EF0"/>
    <w:rsid w:val="00C0653E"/>
    <w:rsid w:val="00C068DE"/>
    <w:rsid w:val="00C0690D"/>
    <w:rsid w:val="00C07D9E"/>
    <w:rsid w:val="00C10BBC"/>
    <w:rsid w:val="00C1103D"/>
    <w:rsid w:val="00C1128E"/>
    <w:rsid w:val="00C120EE"/>
    <w:rsid w:val="00C1252D"/>
    <w:rsid w:val="00C12EC3"/>
    <w:rsid w:val="00C13341"/>
    <w:rsid w:val="00C13451"/>
    <w:rsid w:val="00C136C2"/>
    <w:rsid w:val="00C13996"/>
    <w:rsid w:val="00C13A00"/>
    <w:rsid w:val="00C13E08"/>
    <w:rsid w:val="00C14407"/>
    <w:rsid w:val="00C147F6"/>
    <w:rsid w:val="00C14AC4"/>
    <w:rsid w:val="00C14B53"/>
    <w:rsid w:val="00C1511E"/>
    <w:rsid w:val="00C15158"/>
    <w:rsid w:val="00C15343"/>
    <w:rsid w:val="00C15406"/>
    <w:rsid w:val="00C15533"/>
    <w:rsid w:val="00C15673"/>
    <w:rsid w:val="00C159F4"/>
    <w:rsid w:val="00C15A0C"/>
    <w:rsid w:val="00C15EB2"/>
    <w:rsid w:val="00C162BA"/>
    <w:rsid w:val="00C16353"/>
    <w:rsid w:val="00C17052"/>
    <w:rsid w:val="00C17816"/>
    <w:rsid w:val="00C20099"/>
    <w:rsid w:val="00C20166"/>
    <w:rsid w:val="00C20360"/>
    <w:rsid w:val="00C20DF7"/>
    <w:rsid w:val="00C20E5D"/>
    <w:rsid w:val="00C21176"/>
    <w:rsid w:val="00C21848"/>
    <w:rsid w:val="00C21E20"/>
    <w:rsid w:val="00C22322"/>
    <w:rsid w:val="00C22939"/>
    <w:rsid w:val="00C2371E"/>
    <w:rsid w:val="00C24504"/>
    <w:rsid w:val="00C24947"/>
    <w:rsid w:val="00C24E83"/>
    <w:rsid w:val="00C25317"/>
    <w:rsid w:val="00C25C0A"/>
    <w:rsid w:val="00C26438"/>
    <w:rsid w:val="00C2680A"/>
    <w:rsid w:val="00C268F4"/>
    <w:rsid w:val="00C26B52"/>
    <w:rsid w:val="00C26DFD"/>
    <w:rsid w:val="00C26F0C"/>
    <w:rsid w:val="00C27ECD"/>
    <w:rsid w:val="00C30036"/>
    <w:rsid w:val="00C300C3"/>
    <w:rsid w:val="00C30321"/>
    <w:rsid w:val="00C30A10"/>
    <w:rsid w:val="00C30FBE"/>
    <w:rsid w:val="00C3168F"/>
    <w:rsid w:val="00C316BF"/>
    <w:rsid w:val="00C31F58"/>
    <w:rsid w:val="00C320B9"/>
    <w:rsid w:val="00C32292"/>
    <w:rsid w:val="00C326F5"/>
    <w:rsid w:val="00C32B63"/>
    <w:rsid w:val="00C3375A"/>
    <w:rsid w:val="00C33A23"/>
    <w:rsid w:val="00C33B89"/>
    <w:rsid w:val="00C33DF6"/>
    <w:rsid w:val="00C33FCE"/>
    <w:rsid w:val="00C341AA"/>
    <w:rsid w:val="00C347F9"/>
    <w:rsid w:val="00C34A08"/>
    <w:rsid w:val="00C34CD8"/>
    <w:rsid w:val="00C352DD"/>
    <w:rsid w:val="00C3622A"/>
    <w:rsid w:val="00C362B4"/>
    <w:rsid w:val="00C36584"/>
    <w:rsid w:val="00C365BF"/>
    <w:rsid w:val="00C3693D"/>
    <w:rsid w:val="00C37422"/>
    <w:rsid w:val="00C37A1B"/>
    <w:rsid w:val="00C400EE"/>
    <w:rsid w:val="00C4056D"/>
    <w:rsid w:val="00C4083A"/>
    <w:rsid w:val="00C40999"/>
    <w:rsid w:val="00C40A8D"/>
    <w:rsid w:val="00C41993"/>
    <w:rsid w:val="00C41ABC"/>
    <w:rsid w:val="00C41C92"/>
    <w:rsid w:val="00C41CA9"/>
    <w:rsid w:val="00C423A5"/>
    <w:rsid w:val="00C425B0"/>
    <w:rsid w:val="00C42B8B"/>
    <w:rsid w:val="00C43297"/>
    <w:rsid w:val="00C4387A"/>
    <w:rsid w:val="00C43992"/>
    <w:rsid w:val="00C4430D"/>
    <w:rsid w:val="00C44BDA"/>
    <w:rsid w:val="00C44F65"/>
    <w:rsid w:val="00C45211"/>
    <w:rsid w:val="00C453AB"/>
    <w:rsid w:val="00C45407"/>
    <w:rsid w:val="00C4579C"/>
    <w:rsid w:val="00C45CC4"/>
    <w:rsid w:val="00C464A4"/>
    <w:rsid w:val="00C466E1"/>
    <w:rsid w:val="00C468A6"/>
    <w:rsid w:val="00C46A0C"/>
    <w:rsid w:val="00C46BF3"/>
    <w:rsid w:val="00C47336"/>
    <w:rsid w:val="00C479DA"/>
    <w:rsid w:val="00C47D24"/>
    <w:rsid w:val="00C47D72"/>
    <w:rsid w:val="00C50544"/>
    <w:rsid w:val="00C50C7D"/>
    <w:rsid w:val="00C5194C"/>
    <w:rsid w:val="00C51E05"/>
    <w:rsid w:val="00C52EFE"/>
    <w:rsid w:val="00C533F3"/>
    <w:rsid w:val="00C537AB"/>
    <w:rsid w:val="00C53EB5"/>
    <w:rsid w:val="00C54039"/>
    <w:rsid w:val="00C540DD"/>
    <w:rsid w:val="00C54716"/>
    <w:rsid w:val="00C54A58"/>
    <w:rsid w:val="00C54F2E"/>
    <w:rsid w:val="00C552EE"/>
    <w:rsid w:val="00C559CD"/>
    <w:rsid w:val="00C56411"/>
    <w:rsid w:val="00C61744"/>
    <w:rsid w:val="00C61E15"/>
    <w:rsid w:val="00C6281C"/>
    <w:rsid w:val="00C628AC"/>
    <w:rsid w:val="00C629CB"/>
    <w:rsid w:val="00C63464"/>
    <w:rsid w:val="00C63810"/>
    <w:rsid w:val="00C639B5"/>
    <w:rsid w:val="00C639DA"/>
    <w:rsid w:val="00C63D49"/>
    <w:rsid w:val="00C63DAF"/>
    <w:rsid w:val="00C641EC"/>
    <w:rsid w:val="00C643AA"/>
    <w:rsid w:val="00C64663"/>
    <w:rsid w:val="00C64B22"/>
    <w:rsid w:val="00C64DF9"/>
    <w:rsid w:val="00C64E79"/>
    <w:rsid w:val="00C655BD"/>
    <w:rsid w:val="00C6665E"/>
    <w:rsid w:val="00C66E27"/>
    <w:rsid w:val="00C66E5A"/>
    <w:rsid w:val="00C67AC5"/>
    <w:rsid w:val="00C67DC5"/>
    <w:rsid w:val="00C67EC6"/>
    <w:rsid w:val="00C716D1"/>
    <w:rsid w:val="00C71714"/>
    <w:rsid w:val="00C7176C"/>
    <w:rsid w:val="00C71A0A"/>
    <w:rsid w:val="00C71A9F"/>
    <w:rsid w:val="00C73436"/>
    <w:rsid w:val="00C7349A"/>
    <w:rsid w:val="00C7406D"/>
    <w:rsid w:val="00C745B8"/>
    <w:rsid w:val="00C746B2"/>
    <w:rsid w:val="00C7538D"/>
    <w:rsid w:val="00C7583A"/>
    <w:rsid w:val="00C75B0F"/>
    <w:rsid w:val="00C75F67"/>
    <w:rsid w:val="00C7612A"/>
    <w:rsid w:val="00C761E2"/>
    <w:rsid w:val="00C7641E"/>
    <w:rsid w:val="00C76597"/>
    <w:rsid w:val="00C765F2"/>
    <w:rsid w:val="00C76640"/>
    <w:rsid w:val="00C76BA4"/>
    <w:rsid w:val="00C76C6C"/>
    <w:rsid w:val="00C76F26"/>
    <w:rsid w:val="00C77AEF"/>
    <w:rsid w:val="00C77AFC"/>
    <w:rsid w:val="00C77F1B"/>
    <w:rsid w:val="00C81A43"/>
    <w:rsid w:val="00C81AA0"/>
    <w:rsid w:val="00C81E76"/>
    <w:rsid w:val="00C81F45"/>
    <w:rsid w:val="00C822CA"/>
    <w:rsid w:val="00C82315"/>
    <w:rsid w:val="00C82499"/>
    <w:rsid w:val="00C8253C"/>
    <w:rsid w:val="00C82A38"/>
    <w:rsid w:val="00C82AAD"/>
    <w:rsid w:val="00C82D16"/>
    <w:rsid w:val="00C83018"/>
    <w:rsid w:val="00C833EE"/>
    <w:rsid w:val="00C83864"/>
    <w:rsid w:val="00C83E6B"/>
    <w:rsid w:val="00C85702"/>
    <w:rsid w:val="00C85E72"/>
    <w:rsid w:val="00C85EB0"/>
    <w:rsid w:val="00C85FF0"/>
    <w:rsid w:val="00C861C6"/>
    <w:rsid w:val="00C8663D"/>
    <w:rsid w:val="00C874E2"/>
    <w:rsid w:val="00C876CB"/>
    <w:rsid w:val="00C87711"/>
    <w:rsid w:val="00C87A2D"/>
    <w:rsid w:val="00C87C5F"/>
    <w:rsid w:val="00C8978F"/>
    <w:rsid w:val="00C90018"/>
    <w:rsid w:val="00C9002F"/>
    <w:rsid w:val="00C9085C"/>
    <w:rsid w:val="00C90EE4"/>
    <w:rsid w:val="00C911D5"/>
    <w:rsid w:val="00C91818"/>
    <w:rsid w:val="00C91E9B"/>
    <w:rsid w:val="00C92748"/>
    <w:rsid w:val="00C929F7"/>
    <w:rsid w:val="00C929FE"/>
    <w:rsid w:val="00C92FB8"/>
    <w:rsid w:val="00C93C90"/>
    <w:rsid w:val="00C943AB"/>
    <w:rsid w:val="00C94948"/>
    <w:rsid w:val="00C94D88"/>
    <w:rsid w:val="00C94E58"/>
    <w:rsid w:val="00C94EC6"/>
    <w:rsid w:val="00C95193"/>
    <w:rsid w:val="00C9529F"/>
    <w:rsid w:val="00C95392"/>
    <w:rsid w:val="00C9593D"/>
    <w:rsid w:val="00C96352"/>
    <w:rsid w:val="00C967BA"/>
    <w:rsid w:val="00C97331"/>
    <w:rsid w:val="00C979B9"/>
    <w:rsid w:val="00C97C55"/>
    <w:rsid w:val="00C97CBF"/>
    <w:rsid w:val="00CA0077"/>
    <w:rsid w:val="00CA077D"/>
    <w:rsid w:val="00CA0B46"/>
    <w:rsid w:val="00CA0EAA"/>
    <w:rsid w:val="00CA11A5"/>
    <w:rsid w:val="00CA14B7"/>
    <w:rsid w:val="00CA150B"/>
    <w:rsid w:val="00CA1A70"/>
    <w:rsid w:val="00CA1F65"/>
    <w:rsid w:val="00CA219F"/>
    <w:rsid w:val="00CA2A6E"/>
    <w:rsid w:val="00CA324E"/>
    <w:rsid w:val="00CA3C77"/>
    <w:rsid w:val="00CA3CBB"/>
    <w:rsid w:val="00CA3DFC"/>
    <w:rsid w:val="00CA4523"/>
    <w:rsid w:val="00CA4A0B"/>
    <w:rsid w:val="00CA6411"/>
    <w:rsid w:val="00CA64E8"/>
    <w:rsid w:val="00CA65FD"/>
    <w:rsid w:val="00CB02C1"/>
    <w:rsid w:val="00CB0698"/>
    <w:rsid w:val="00CB0B5F"/>
    <w:rsid w:val="00CB1098"/>
    <w:rsid w:val="00CB11F2"/>
    <w:rsid w:val="00CB1482"/>
    <w:rsid w:val="00CB16B0"/>
    <w:rsid w:val="00CB1933"/>
    <w:rsid w:val="00CB2956"/>
    <w:rsid w:val="00CB2BAE"/>
    <w:rsid w:val="00CB2F75"/>
    <w:rsid w:val="00CB3174"/>
    <w:rsid w:val="00CB378B"/>
    <w:rsid w:val="00CB37D5"/>
    <w:rsid w:val="00CB384B"/>
    <w:rsid w:val="00CB3D38"/>
    <w:rsid w:val="00CB3F90"/>
    <w:rsid w:val="00CB40D2"/>
    <w:rsid w:val="00CB41E8"/>
    <w:rsid w:val="00CB4461"/>
    <w:rsid w:val="00CB470D"/>
    <w:rsid w:val="00CB473B"/>
    <w:rsid w:val="00CB4E0F"/>
    <w:rsid w:val="00CB4E49"/>
    <w:rsid w:val="00CB639C"/>
    <w:rsid w:val="00CB76ED"/>
    <w:rsid w:val="00CB7713"/>
    <w:rsid w:val="00CB782F"/>
    <w:rsid w:val="00CB79DF"/>
    <w:rsid w:val="00CB7CB7"/>
    <w:rsid w:val="00CC04C1"/>
    <w:rsid w:val="00CC07CA"/>
    <w:rsid w:val="00CC0ACA"/>
    <w:rsid w:val="00CC1BCD"/>
    <w:rsid w:val="00CC221B"/>
    <w:rsid w:val="00CC2440"/>
    <w:rsid w:val="00CC250E"/>
    <w:rsid w:val="00CC2714"/>
    <w:rsid w:val="00CC2A4D"/>
    <w:rsid w:val="00CC3061"/>
    <w:rsid w:val="00CC317D"/>
    <w:rsid w:val="00CC37CC"/>
    <w:rsid w:val="00CC3839"/>
    <w:rsid w:val="00CC3AA5"/>
    <w:rsid w:val="00CC3CDB"/>
    <w:rsid w:val="00CC3E98"/>
    <w:rsid w:val="00CC3EB2"/>
    <w:rsid w:val="00CC3F3A"/>
    <w:rsid w:val="00CC3FC8"/>
    <w:rsid w:val="00CC421C"/>
    <w:rsid w:val="00CC42E4"/>
    <w:rsid w:val="00CC46AE"/>
    <w:rsid w:val="00CC4864"/>
    <w:rsid w:val="00CC4AE0"/>
    <w:rsid w:val="00CC4DB4"/>
    <w:rsid w:val="00CC4E92"/>
    <w:rsid w:val="00CC53AE"/>
    <w:rsid w:val="00CC5612"/>
    <w:rsid w:val="00CC635D"/>
    <w:rsid w:val="00CC6576"/>
    <w:rsid w:val="00CC6677"/>
    <w:rsid w:val="00CC6B1C"/>
    <w:rsid w:val="00CC706D"/>
    <w:rsid w:val="00CC708B"/>
    <w:rsid w:val="00CC76D9"/>
    <w:rsid w:val="00CC78F3"/>
    <w:rsid w:val="00CD01FF"/>
    <w:rsid w:val="00CD0724"/>
    <w:rsid w:val="00CD07CD"/>
    <w:rsid w:val="00CD179A"/>
    <w:rsid w:val="00CD1C58"/>
    <w:rsid w:val="00CD1CE9"/>
    <w:rsid w:val="00CD244F"/>
    <w:rsid w:val="00CD2785"/>
    <w:rsid w:val="00CD2B13"/>
    <w:rsid w:val="00CD2C46"/>
    <w:rsid w:val="00CD3A00"/>
    <w:rsid w:val="00CD3AAF"/>
    <w:rsid w:val="00CD3C7E"/>
    <w:rsid w:val="00CD42F7"/>
    <w:rsid w:val="00CD4400"/>
    <w:rsid w:val="00CD48B6"/>
    <w:rsid w:val="00CD4B67"/>
    <w:rsid w:val="00CD52E5"/>
    <w:rsid w:val="00CD576C"/>
    <w:rsid w:val="00CD5832"/>
    <w:rsid w:val="00CD5E5A"/>
    <w:rsid w:val="00CD62B9"/>
    <w:rsid w:val="00CD63FF"/>
    <w:rsid w:val="00CD66FB"/>
    <w:rsid w:val="00CD683C"/>
    <w:rsid w:val="00CD78D3"/>
    <w:rsid w:val="00CD7C34"/>
    <w:rsid w:val="00CE0285"/>
    <w:rsid w:val="00CE032C"/>
    <w:rsid w:val="00CE09D8"/>
    <w:rsid w:val="00CE10A0"/>
    <w:rsid w:val="00CE13ED"/>
    <w:rsid w:val="00CE1647"/>
    <w:rsid w:val="00CE24DC"/>
    <w:rsid w:val="00CE288F"/>
    <w:rsid w:val="00CE29C3"/>
    <w:rsid w:val="00CE34DB"/>
    <w:rsid w:val="00CE356C"/>
    <w:rsid w:val="00CE3AF1"/>
    <w:rsid w:val="00CE4104"/>
    <w:rsid w:val="00CE4593"/>
    <w:rsid w:val="00CE46C5"/>
    <w:rsid w:val="00CE5114"/>
    <w:rsid w:val="00CE58C8"/>
    <w:rsid w:val="00CE5AB5"/>
    <w:rsid w:val="00CE5E4E"/>
    <w:rsid w:val="00CE62FF"/>
    <w:rsid w:val="00CE6336"/>
    <w:rsid w:val="00CE654A"/>
    <w:rsid w:val="00CE65D7"/>
    <w:rsid w:val="00CE666B"/>
    <w:rsid w:val="00CE67EA"/>
    <w:rsid w:val="00CE6A26"/>
    <w:rsid w:val="00CE6CB4"/>
    <w:rsid w:val="00CE7301"/>
    <w:rsid w:val="00CE7506"/>
    <w:rsid w:val="00CE75DD"/>
    <w:rsid w:val="00CE7A37"/>
    <w:rsid w:val="00CF0192"/>
    <w:rsid w:val="00CF024E"/>
    <w:rsid w:val="00CF0BAD"/>
    <w:rsid w:val="00CF105F"/>
    <w:rsid w:val="00CF11DB"/>
    <w:rsid w:val="00CF1D4A"/>
    <w:rsid w:val="00CF2615"/>
    <w:rsid w:val="00CF269C"/>
    <w:rsid w:val="00CF2B20"/>
    <w:rsid w:val="00CF2D41"/>
    <w:rsid w:val="00CF2FFC"/>
    <w:rsid w:val="00CF319A"/>
    <w:rsid w:val="00CF40F4"/>
    <w:rsid w:val="00CF41BE"/>
    <w:rsid w:val="00CF4317"/>
    <w:rsid w:val="00CF4BB9"/>
    <w:rsid w:val="00CF4C50"/>
    <w:rsid w:val="00CF4E4D"/>
    <w:rsid w:val="00CF504F"/>
    <w:rsid w:val="00CF5612"/>
    <w:rsid w:val="00CF5D76"/>
    <w:rsid w:val="00CF6A24"/>
    <w:rsid w:val="00CF71E9"/>
    <w:rsid w:val="00CF72E7"/>
    <w:rsid w:val="00CF7685"/>
    <w:rsid w:val="00CF791B"/>
    <w:rsid w:val="00D0038C"/>
    <w:rsid w:val="00D003B8"/>
    <w:rsid w:val="00D00570"/>
    <w:rsid w:val="00D00AAA"/>
    <w:rsid w:val="00D00ADE"/>
    <w:rsid w:val="00D01189"/>
    <w:rsid w:val="00D017DB"/>
    <w:rsid w:val="00D01EEA"/>
    <w:rsid w:val="00D022E2"/>
    <w:rsid w:val="00D029EA"/>
    <w:rsid w:val="00D02D58"/>
    <w:rsid w:val="00D02E6E"/>
    <w:rsid w:val="00D03978"/>
    <w:rsid w:val="00D03A2F"/>
    <w:rsid w:val="00D03E73"/>
    <w:rsid w:val="00D046EF"/>
    <w:rsid w:val="00D04A2D"/>
    <w:rsid w:val="00D04AD9"/>
    <w:rsid w:val="00D04BA0"/>
    <w:rsid w:val="00D04F08"/>
    <w:rsid w:val="00D0520B"/>
    <w:rsid w:val="00D05642"/>
    <w:rsid w:val="00D056AF"/>
    <w:rsid w:val="00D057BC"/>
    <w:rsid w:val="00D05901"/>
    <w:rsid w:val="00D0591C"/>
    <w:rsid w:val="00D05CE0"/>
    <w:rsid w:val="00D05E30"/>
    <w:rsid w:val="00D05E75"/>
    <w:rsid w:val="00D063C4"/>
    <w:rsid w:val="00D0674F"/>
    <w:rsid w:val="00D06988"/>
    <w:rsid w:val="00D06A79"/>
    <w:rsid w:val="00D0716D"/>
    <w:rsid w:val="00D07962"/>
    <w:rsid w:val="00D07CE9"/>
    <w:rsid w:val="00D07DE3"/>
    <w:rsid w:val="00D100FE"/>
    <w:rsid w:val="00D10A21"/>
    <w:rsid w:val="00D1124B"/>
    <w:rsid w:val="00D114F0"/>
    <w:rsid w:val="00D128B2"/>
    <w:rsid w:val="00D12B04"/>
    <w:rsid w:val="00D130FC"/>
    <w:rsid w:val="00D13150"/>
    <w:rsid w:val="00D132E8"/>
    <w:rsid w:val="00D133CD"/>
    <w:rsid w:val="00D1376A"/>
    <w:rsid w:val="00D13DC4"/>
    <w:rsid w:val="00D1472F"/>
    <w:rsid w:val="00D14E6D"/>
    <w:rsid w:val="00D152BE"/>
    <w:rsid w:val="00D15374"/>
    <w:rsid w:val="00D156C1"/>
    <w:rsid w:val="00D15E53"/>
    <w:rsid w:val="00D1608D"/>
    <w:rsid w:val="00D16192"/>
    <w:rsid w:val="00D16EA5"/>
    <w:rsid w:val="00D173AB"/>
    <w:rsid w:val="00D177C5"/>
    <w:rsid w:val="00D1794F"/>
    <w:rsid w:val="00D17BC6"/>
    <w:rsid w:val="00D17D2C"/>
    <w:rsid w:val="00D17DE2"/>
    <w:rsid w:val="00D2026A"/>
    <w:rsid w:val="00D2053C"/>
    <w:rsid w:val="00D207E9"/>
    <w:rsid w:val="00D208BD"/>
    <w:rsid w:val="00D2109F"/>
    <w:rsid w:val="00D211B1"/>
    <w:rsid w:val="00D2126B"/>
    <w:rsid w:val="00D215D6"/>
    <w:rsid w:val="00D2177D"/>
    <w:rsid w:val="00D21AA4"/>
    <w:rsid w:val="00D21AC9"/>
    <w:rsid w:val="00D21B8F"/>
    <w:rsid w:val="00D2260B"/>
    <w:rsid w:val="00D229DB"/>
    <w:rsid w:val="00D22F4E"/>
    <w:rsid w:val="00D22F9A"/>
    <w:rsid w:val="00D2385D"/>
    <w:rsid w:val="00D23ED9"/>
    <w:rsid w:val="00D24BD4"/>
    <w:rsid w:val="00D24E5F"/>
    <w:rsid w:val="00D24E8C"/>
    <w:rsid w:val="00D25F05"/>
    <w:rsid w:val="00D26067"/>
    <w:rsid w:val="00D2612A"/>
    <w:rsid w:val="00D26476"/>
    <w:rsid w:val="00D26AE6"/>
    <w:rsid w:val="00D26FA7"/>
    <w:rsid w:val="00D27154"/>
    <w:rsid w:val="00D27246"/>
    <w:rsid w:val="00D2752A"/>
    <w:rsid w:val="00D27707"/>
    <w:rsid w:val="00D27AE5"/>
    <w:rsid w:val="00D27F6D"/>
    <w:rsid w:val="00D3017A"/>
    <w:rsid w:val="00D3055B"/>
    <w:rsid w:val="00D30B64"/>
    <w:rsid w:val="00D30C94"/>
    <w:rsid w:val="00D315FF"/>
    <w:rsid w:val="00D32546"/>
    <w:rsid w:val="00D32708"/>
    <w:rsid w:val="00D329F0"/>
    <w:rsid w:val="00D33536"/>
    <w:rsid w:val="00D33D2E"/>
    <w:rsid w:val="00D33E1B"/>
    <w:rsid w:val="00D34024"/>
    <w:rsid w:val="00D340BA"/>
    <w:rsid w:val="00D34B0B"/>
    <w:rsid w:val="00D3520B"/>
    <w:rsid w:val="00D35DE9"/>
    <w:rsid w:val="00D35E31"/>
    <w:rsid w:val="00D3710D"/>
    <w:rsid w:val="00D372BF"/>
    <w:rsid w:val="00D37697"/>
    <w:rsid w:val="00D37924"/>
    <w:rsid w:val="00D37957"/>
    <w:rsid w:val="00D3796E"/>
    <w:rsid w:val="00D404BE"/>
    <w:rsid w:val="00D41090"/>
    <w:rsid w:val="00D41990"/>
    <w:rsid w:val="00D41AC0"/>
    <w:rsid w:val="00D42748"/>
    <w:rsid w:val="00D42C49"/>
    <w:rsid w:val="00D42D4C"/>
    <w:rsid w:val="00D42E46"/>
    <w:rsid w:val="00D4402C"/>
    <w:rsid w:val="00D44A2D"/>
    <w:rsid w:val="00D45044"/>
    <w:rsid w:val="00D4554C"/>
    <w:rsid w:val="00D4569C"/>
    <w:rsid w:val="00D45A41"/>
    <w:rsid w:val="00D45D34"/>
    <w:rsid w:val="00D45D8E"/>
    <w:rsid w:val="00D46C27"/>
    <w:rsid w:val="00D46D40"/>
    <w:rsid w:val="00D475A9"/>
    <w:rsid w:val="00D47699"/>
    <w:rsid w:val="00D47819"/>
    <w:rsid w:val="00D47A6E"/>
    <w:rsid w:val="00D500FF"/>
    <w:rsid w:val="00D503D0"/>
    <w:rsid w:val="00D50F2C"/>
    <w:rsid w:val="00D50FE2"/>
    <w:rsid w:val="00D51029"/>
    <w:rsid w:val="00D510F9"/>
    <w:rsid w:val="00D514E5"/>
    <w:rsid w:val="00D515B6"/>
    <w:rsid w:val="00D5189F"/>
    <w:rsid w:val="00D51922"/>
    <w:rsid w:val="00D51C93"/>
    <w:rsid w:val="00D5226E"/>
    <w:rsid w:val="00D52725"/>
    <w:rsid w:val="00D52892"/>
    <w:rsid w:val="00D53568"/>
    <w:rsid w:val="00D53661"/>
    <w:rsid w:val="00D53A1F"/>
    <w:rsid w:val="00D53D68"/>
    <w:rsid w:val="00D53EAB"/>
    <w:rsid w:val="00D548DC"/>
    <w:rsid w:val="00D555EF"/>
    <w:rsid w:val="00D55697"/>
    <w:rsid w:val="00D55794"/>
    <w:rsid w:val="00D5584A"/>
    <w:rsid w:val="00D55AA9"/>
    <w:rsid w:val="00D55D42"/>
    <w:rsid w:val="00D56085"/>
    <w:rsid w:val="00D56499"/>
    <w:rsid w:val="00D56D4F"/>
    <w:rsid w:val="00D56FBD"/>
    <w:rsid w:val="00D57016"/>
    <w:rsid w:val="00D57A8E"/>
    <w:rsid w:val="00D57C32"/>
    <w:rsid w:val="00D60AF4"/>
    <w:rsid w:val="00D614A4"/>
    <w:rsid w:val="00D62684"/>
    <w:rsid w:val="00D62909"/>
    <w:rsid w:val="00D6388E"/>
    <w:rsid w:val="00D6422D"/>
    <w:rsid w:val="00D64961"/>
    <w:rsid w:val="00D64ADA"/>
    <w:rsid w:val="00D651F7"/>
    <w:rsid w:val="00D65276"/>
    <w:rsid w:val="00D65E11"/>
    <w:rsid w:val="00D6601F"/>
    <w:rsid w:val="00D6623E"/>
    <w:rsid w:val="00D66ADD"/>
    <w:rsid w:val="00D67332"/>
    <w:rsid w:val="00D67398"/>
    <w:rsid w:val="00D675D6"/>
    <w:rsid w:val="00D67AEB"/>
    <w:rsid w:val="00D705D7"/>
    <w:rsid w:val="00D70967"/>
    <w:rsid w:val="00D70AF5"/>
    <w:rsid w:val="00D70D50"/>
    <w:rsid w:val="00D710C2"/>
    <w:rsid w:val="00D717C8"/>
    <w:rsid w:val="00D71BDD"/>
    <w:rsid w:val="00D71E8A"/>
    <w:rsid w:val="00D71F21"/>
    <w:rsid w:val="00D71FA3"/>
    <w:rsid w:val="00D720D1"/>
    <w:rsid w:val="00D7225F"/>
    <w:rsid w:val="00D72C87"/>
    <w:rsid w:val="00D72DD5"/>
    <w:rsid w:val="00D73537"/>
    <w:rsid w:val="00D73816"/>
    <w:rsid w:val="00D73818"/>
    <w:rsid w:val="00D7389B"/>
    <w:rsid w:val="00D73AEB"/>
    <w:rsid w:val="00D74DBF"/>
    <w:rsid w:val="00D754F0"/>
    <w:rsid w:val="00D7580F"/>
    <w:rsid w:val="00D75D4A"/>
    <w:rsid w:val="00D76438"/>
    <w:rsid w:val="00D769FF"/>
    <w:rsid w:val="00D76BA7"/>
    <w:rsid w:val="00D76CA2"/>
    <w:rsid w:val="00D772CA"/>
    <w:rsid w:val="00D776C3"/>
    <w:rsid w:val="00D77B2F"/>
    <w:rsid w:val="00D80218"/>
    <w:rsid w:val="00D80AB5"/>
    <w:rsid w:val="00D8120B"/>
    <w:rsid w:val="00D812E2"/>
    <w:rsid w:val="00D814AD"/>
    <w:rsid w:val="00D81BCE"/>
    <w:rsid w:val="00D821D0"/>
    <w:rsid w:val="00D8253A"/>
    <w:rsid w:val="00D83493"/>
    <w:rsid w:val="00D837C7"/>
    <w:rsid w:val="00D83DB8"/>
    <w:rsid w:val="00D84444"/>
    <w:rsid w:val="00D8541D"/>
    <w:rsid w:val="00D85513"/>
    <w:rsid w:val="00D85797"/>
    <w:rsid w:val="00D857DF"/>
    <w:rsid w:val="00D858FB"/>
    <w:rsid w:val="00D85EE9"/>
    <w:rsid w:val="00D867CF"/>
    <w:rsid w:val="00D86829"/>
    <w:rsid w:val="00D86A59"/>
    <w:rsid w:val="00D90318"/>
    <w:rsid w:val="00D9050F"/>
    <w:rsid w:val="00D905A4"/>
    <w:rsid w:val="00D90621"/>
    <w:rsid w:val="00D907E5"/>
    <w:rsid w:val="00D90AA3"/>
    <w:rsid w:val="00D90FBA"/>
    <w:rsid w:val="00D914BB"/>
    <w:rsid w:val="00D916AB"/>
    <w:rsid w:val="00D919A0"/>
    <w:rsid w:val="00D929FD"/>
    <w:rsid w:val="00D92EB0"/>
    <w:rsid w:val="00D93055"/>
    <w:rsid w:val="00D935C1"/>
    <w:rsid w:val="00D93C62"/>
    <w:rsid w:val="00D9417A"/>
    <w:rsid w:val="00D94B33"/>
    <w:rsid w:val="00D94D2C"/>
    <w:rsid w:val="00D94D77"/>
    <w:rsid w:val="00D950D6"/>
    <w:rsid w:val="00D95143"/>
    <w:rsid w:val="00D963FA"/>
    <w:rsid w:val="00D96660"/>
    <w:rsid w:val="00D969C6"/>
    <w:rsid w:val="00D96ABE"/>
    <w:rsid w:val="00D96E3A"/>
    <w:rsid w:val="00D96F80"/>
    <w:rsid w:val="00D974E2"/>
    <w:rsid w:val="00D97510"/>
    <w:rsid w:val="00D97D89"/>
    <w:rsid w:val="00D97DD0"/>
    <w:rsid w:val="00DA0279"/>
    <w:rsid w:val="00DA0BC0"/>
    <w:rsid w:val="00DA0C58"/>
    <w:rsid w:val="00DA0CF0"/>
    <w:rsid w:val="00DA18CF"/>
    <w:rsid w:val="00DA1BAF"/>
    <w:rsid w:val="00DA2799"/>
    <w:rsid w:val="00DA2A99"/>
    <w:rsid w:val="00DA2AF3"/>
    <w:rsid w:val="00DA2DED"/>
    <w:rsid w:val="00DA33C4"/>
    <w:rsid w:val="00DA38A5"/>
    <w:rsid w:val="00DA38EB"/>
    <w:rsid w:val="00DA3E18"/>
    <w:rsid w:val="00DA4011"/>
    <w:rsid w:val="00DA51AA"/>
    <w:rsid w:val="00DA6058"/>
    <w:rsid w:val="00DA670A"/>
    <w:rsid w:val="00DA69CB"/>
    <w:rsid w:val="00DA6B06"/>
    <w:rsid w:val="00DA6CE5"/>
    <w:rsid w:val="00DA6DDF"/>
    <w:rsid w:val="00DA7A0D"/>
    <w:rsid w:val="00DA7DDA"/>
    <w:rsid w:val="00DB0103"/>
    <w:rsid w:val="00DB08DD"/>
    <w:rsid w:val="00DB0B31"/>
    <w:rsid w:val="00DB1157"/>
    <w:rsid w:val="00DB1232"/>
    <w:rsid w:val="00DB1792"/>
    <w:rsid w:val="00DB1B04"/>
    <w:rsid w:val="00DB1DF1"/>
    <w:rsid w:val="00DB27A2"/>
    <w:rsid w:val="00DB2F00"/>
    <w:rsid w:val="00DB33B1"/>
    <w:rsid w:val="00DB3485"/>
    <w:rsid w:val="00DB367C"/>
    <w:rsid w:val="00DB379A"/>
    <w:rsid w:val="00DB3F3C"/>
    <w:rsid w:val="00DB434E"/>
    <w:rsid w:val="00DB4379"/>
    <w:rsid w:val="00DB45DB"/>
    <w:rsid w:val="00DB471A"/>
    <w:rsid w:val="00DB49D0"/>
    <w:rsid w:val="00DB4E39"/>
    <w:rsid w:val="00DB5E1C"/>
    <w:rsid w:val="00DB62C0"/>
    <w:rsid w:val="00DB6682"/>
    <w:rsid w:val="00DB680D"/>
    <w:rsid w:val="00DB6AA1"/>
    <w:rsid w:val="00DB6B19"/>
    <w:rsid w:val="00DB7770"/>
    <w:rsid w:val="00DB7B61"/>
    <w:rsid w:val="00DB7D46"/>
    <w:rsid w:val="00DC083A"/>
    <w:rsid w:val="00DC1084"/>
    <w:rsid w:val="00DC148C"/>
    <w:rsid w:val="00DC1514"/>
    <w:rsid w:val="00DC1816"/>
    <w:rsid w:val="00DC1E72"/>
    <w:rsid w:val="00DC2353"/>
    <w:rsid w:val="00DC2B81"/>
    <w:rsid w:val="00DC34EF"/>
    <w:rsid w:val="00DC3AFC"/>
    <w:rsid w:val="00DC3C2F"/>
    <w:rsid w:val="00DC3C41"/>
    <w:rsid w:val="00DC3C70"/>
    <w:rsid w:val="00DC3FA3"/>
    <w:rsid w:val="00DC419F"/>
    <w:rsid w:val="00DC4408"/>
    <w:rsid w:val="00DC469F"/>
    <w:rsid w:val="00DC480B"/>
    <w:rsid w:val="00DC4AEB"/>
    <w:rsid w:val="00DC58D8"/>
    <w:rsid w:val="00DC64AB"/>
    <w:rsid w:val="00DC67CE"/>
    <w:rsid w:val="00DC6DA3"/>
    <w:rsid w:val="00DC6EEB"/>
    <w:rsid w:val="00DC7024"/>
    <w:rsid w:val="00DC76A8"/>
    <w:rsid w:val="00DC7DF2"/>
    <w:rsid w:val="00DD0109"/>
    <w:rsid w:val="00DD0467"/>
    <w:rsid w:val="00DD08C2"/>
    <w:rsid w:val="00DD0A04"/>
    <w:rsid w:val="00DD0B8C"/>
    <w:rsid w:val="00DD0C2B"/>
    <w:rsid w:val="00DD1008"/>
    <w:rsid w:val="00DD1013"/>
    <w:rsid w:val="00DD118C"/>
    <w:rsid w:val="00DD1210"/>
    <w:rsid w:val="00DD1889"/>
    <w:rsid w:val="00DD1E38"/>
    <w:rsid w:val="00DD2223"/>
    <w:rsid w:val="00DD2724"/>
    <w:rsid w:val="00DD2A0A"/>
    <w:rsid w:val="00DD2FCF"/>
    <w:rsid w:val="00DD3C8A"/>
    <w:rsid w:val="00DD4320"/>
    <w:rsid w:val="00DD4A8C"/>
    <w:rsid w:val="00DD50C7"/>
    <w:rsid w:val="00DD5F02"/>
    <w:rsid w:val="00DD616B"/>
    <w:rsid w:val="00DD635C"/>
    <w:rsid w:val="00DD642B"/>
    <w:rsid w:val="00DD672D"/>
    <w:rsid w:val="00DD743C"/>
    <w:rsid w:val="00DD75C5"/>
    <w:rsid w:val="00DD75CF"/>
    <w:rsid w:val="00DE0C77"/>
    <w:rsid w:val="00DE120C"/>
    <w:rsid w:val="00DE19B7"/>
    <w:rsid w:val="00DE1A85"/>
    <w:rsid w:val="00DE20BF"/>
    <w:rsid w:val="00DE3641"/>
    <w:rsid w:val="00DE3AD5"/>
    <w:rsid w:val="00DE3FA6"/>
    <w:rsid w:val="00DE3FAF"/>
    <w:rsid w:val="00DE4425"/>
    <w:rsid w:val="00DE4777"/>
    <w:rsid w:val="00DE47C0"/>
    <w:rsid w:val="00DE48B0"/>
    <w:rsid w:val="00DE49B3"/>
    <w:rsid w:val="00DE4BEA"/>
    <w:rsid w:val="00DE5494"/>
    <w:rsid w:val="00DE59D4"/>
    <w:rsid w:val="00DE5DE7"/>
    <w:rsid w:val="00DE6998"/>
    <w:rsid w:val="00DE6D36"/>
    <w:rsid w:val="00DE705B"/>
    <w:rsid w:val="00DE739C"/>
    <w:rsid w:val="00DE750E"/>
    <w:rsid w:val="00DE75CF"/>
    <w:rsid w:val="00DE7A94"/>
    <w:rsid w:val="00DE7C98"/>
    <w:rsid w:val="00DF01AB"/>
    <w:rsid w:val="00DF052F"/>
    <w:rsid w:val="00DF0595"/>
    <w:rsid w:val="00DF0665"/>
    <w:rsid w:val="00DF0D76"/>
    <w:rsid w:val="00DF0D79"/>
    <w:rsid w:val="00DF14D7"/>
    <w:rsid w:val="00DF16A7"/>
    <w:rsid w:val="00DF18B0"/>
    <w:rsid w:val="00DF22FD"/>
    <w:rsid w:val="00DF244E"/>
    <w:rsid w:val="00DF43B7"/>
    <w:rsid w:val="00DF460C"/>
    <w:rsid w:val="00DF485E"/>
    <w:rsid w:val="00DF4A9F"/>
    <w:rsid w:val="00DF4C51"/>
    <w:rsid w:val="00DF4D50"/>
    <w:rsid w:val="00DF50DF"/>
    <w:rsid w:val="00DF5B30"/>
    <w:rsid w:val="00DF60D7"/>
    <w:rsid w:val="00DF6672"/>
    <w:rsid w:val="00DF66EA"/>
    <w:rsid w:val="00DF6E9B"/>
    <w:rsid w:val="00DF78AC"/>
    <w:rsid w:val="00DF79B2"/>
    <w:rsid w:val="00DF7BD9"/>
    <w:rsid w:val="00E0001C"/>
    <w:rsid w:val="00E00E3D"/>
    <w:rsid w:val="00E01530"/>
    <w:rsid w:val="00E01D2D"/>
    <w:rsid w:val="00E01DFA"/>
    <w:rsid w:val="00E01E4C"/>
    <w:rsid w:val="00E022B1"/>
    <w:rsid w:val="00E028A7"/>
    <w:rsid w:val="00E02C3C"/>
    <w:rsid w:val="00E0341E"/>
    <w:rsid w:val="00E0366E"/>
    <w:rsid w:val="00E03751"/>
    <w:rsid w:val="00E0419D"/>
    <w:rsid w:val="00E043C0"/>
    <w:rsid w:val="00E04DBB"/>
    <w:rsid w:val="00E0644A"/>
    <w:rsid w:val="00E065A9"/>
    <w:rsid w:val="00E07FFE"/>
    <w:rsid w:val="00E107CD"/>
    <w:rsid w:val="00E10BEB"/>
    <w:rsid w:val="00E10D1F"/>
    <w:rsid w:val="00E113F9"/>
    <w:rsid w:val="00E11407"/>
    <w:rsid w:val="00E11C10"/>
    <w:rsid w:val="00E11C7E"/>
    <w:rsid w:val="00E12425"/>
    <w:rsid w:val="00E128D7"/>
    <w:rsid w:val="00E1299B"/>
    <w:rsid w:val="00E132E7"/>
    <w:rsid w:val="00E13489"/>
    <w:rsid w:val="00E135AF"/>
    <w:rsid w:val="00E13DBC"/>
    <w:rsid w:val="00E13E90"/>
    <w:rsid w:val="00E142F5"/>
    <w:rsid w:val="00E14A48"/>
    <w:rsid w:val="00E1529D"/>
    <w:rsid w:val="00E1567A"/>
    <w:rsid w:val="00E15A6B"/>
    <w:rsid w:val="00E15E62"/>
    <w:rsid w:val="00E161DE"/>
    <w:rsid w:val="00E16C94"/>
    <w:rsid w:val="00E17356"/>
    <w:rsid w:val="00E1767B"/>
    <w:rsid w:val="00E17CC1"/>
    <w:rsid w:val="00E20634"/>
    <w:rsid w:val="00E2073A"/>
    <w:rsid w:val="00E20763"/>
    <w:rsid w:val="00E207D7"/>
    <w:rsid w:val="00E21223"/>
    <w:rsid w:val="00E21380"/>
    <w:rsid w:val="00E218B9"/>
    <w:rsid w:val="00E21C83"/>
    <w:rsid w:val="00E22050"/>
    <w:rsid w:val="00E22070"/>
    <w:rsid w:val="00E22198"/>
    <w:rsid w:val="00E22DB6"/>
    <w:rsid w:val="00E237E1"/>
    <w:rsid w:val="00E23DF9"/>
    <w:rsid w:val="00E23FE9"/>
    <w:rsid w:val="00E24257"/>
    <w:rsid w:val="00E24785"/>
    <w:rsid w:val="00E24DF6"/>
    <w:rsid w:val="00E24E68"/>
    <w:rsid w:val="00E250D6"/>
    <w:rsid w:val="00E25E75"/>
    <w:rsid w:val="00E261E3"/>
    <w:rsid w:val="00E263A5"/>
    <w:rsid w:val="00E26880"/>
    <w:rsid w:val="00E26BEE"/>
    <w:rsid w:val="00E26F70"/>
    <w:rsid w:val="00E275B7"/>
    <w:rsid w:val="00E275EA"/>
    <w:rsid w:val="00E2781D"/>
    <w:rsid w:val="00E27967"/>
    <w:rsid w:val="00E30382"/>
    <w:rsid w:val="00E303BA"/>
    <w:rsid w:val="00E306FD"/>
    <w:rsid w:val="00E30814"/>
    <w:rsid w:val="00E30CC7"/>
    <w:rsid w:val="00E30D82"/>
    <w:rsid w:val="00E30FD5"/>
    <w:rsid w:val="00E31422"/>
    <w:rsid w:val="00E316E3"/>
    <w:rsid w:val="00E31796"/>
    <w:rsid w:val="00E319A4"/>
    <w:rsid w:val="00E31FBD"/>
    <w:rsid w:val="00E320FA"/>
    <w:rsid w:val="00E3292B"/>
    <w:rsid w:val="00E3326D"/>
    <w:rsid w:val="00E33804"/>
    <w:rsid w:val="00E33A95"/>
    <w:rsid w:val="00E33C78"/>
    <w:rsid w:val="00E33F6C"/>
    <w:rsid w:val="00E33F73"/>
    <w:rsid w:val="00E345C0"/>
    <w:rsid w:val="00E34743"/>
    <w:rsid w:val="00E3483F"/>
    <w:rsid w:val="00E3668E"/>
    <w:rsid w:val="00E3692D"/>
    <w:rsid w:val="00E3692F"/>
    <w:rsid w:val="00E36F87"/>
    <w:rsid w:val="00E37233"/>
    <w:rsid w:val="00E37259"/>
    <w:rsid w:val="00E3750B"/>
    <w:rsid w:val="00E379FD"/>
    <w:rsid w:val="00E4088B"/>
    <w:rsid w:val="00E41301"/>
    <w:rsid w:val="00E4132A"/>
    <w:rsid w:val="00E42CE6"/>
    <w:rsid w:val="00E42EE9"/>
    <w:rsid w:val="00E4367E"/>
    <w:rsid w:val="00E43A18"/>
    <w:rsid w:val="00E43DA5"/>
    <w:rsid w:val="00E449B6"/>
    <w:rsid w:val="00E44BF0"/>
    <w:rsid w:val="00E44C5E"/>
    <w:rsid w:val="00E44CCB"/>
    <w:rsid w:val="00E4582A"/>
    <w:rsid w:val="00E459BB"/>
    <w:rsid w:val="00E45BCB"/>
    <w:rsid w:val="00E45FC1"/>
    <w:rsid w:val="00E468EB"/>
    <w:rsid w:val="00E46BFE"/>
    <w:rsid w:val="00E46C6B"/>
    <w:rsid w:val="00E46D34"/>
    <w:rsid w:val="00E47427"/>
    <w:rsid w:val="00E474A2"/>
    <w:rsid w:val="00E47936"/>
    <w:rsid w:val="00E47FBB"/>
    <w:rsid w:val="00E503AB"/>
    <w:rsid w:val="00E5056A"/>
    <w:rsid w:val="00E50B0D"/>
    <w:rsid w:val="00E51570"/>
    <w:rsid w:val="00E516AF"/>
    <w:rsid w:val="00E518DD"/>
    <w:rsid w:val="00E52082"/>
    <w:rsid w:val="00E525F4"/>
    <w:rsid w:val="00E53117"/>
    <w:rsid w:val="00E534B6"/>
    <w:rsid w:val="00E53B74"/>
    <w:rsid w:val="00E53DAB"/>
    <w:rsid w:val="00E54251"/>
    <w:rsid w:val="00E54452"/>
    <w:rsid w:val="00E5465F"/>
    <w:rsid w:val="00E55175"/>
    <w:rsid w:val="00E551CF"/>
    <w:rsid w:val="00E551EE"/>
    <w:rsid w:val="00E5531E"/>
    <w:rsid w:val="00E5558A"/>
    <w:rsid w:val="00E55605"/>
    <w:rsid w:val="00E557C3"/>
    <w:rsid w:val="00E55917"/>
    <w:rsid w:val="00E55D1C"/>
    <w:rsid w:val="00E56268"/>
    <w:rsid w:val="00E56452"/>
    <w:rsid w:val="00E56845"/>
    <w:rsid w:val="00E56F5C"/>
    <w:rsid w:val="00E5786A"/>
    <w:rsid w:val="00E57AD2"/>
    <w:rsid w:val="00E57CBE"/>
    <w:rsid w:val="00E57FA2"/>
    <w:rsid w:val="00E57FD3"/>
    <w:rsid w:val="00E60778"/>
    <w:rsid w:val="00E60D65"/>
    <w:rsid w:val="00E6134E"/>
    <w:rsid w:val="00E614BB"/>
    <w:rsid w:val="00E61A4E"/>
    <w:rsid w:val="00E6249A"/>
    <w:rsid w:val="00E62B1B"/>
    <w:rsid w:val="00E62CDC"/>
    <w:rsid w:val="00E62E93"/>
    <w:rsid w:val="00E642E0"/>
    <w:rsid w:val="00E64AC9"/>
    <w:rsid w:val="00E64C77"/>
    <w:rsid w:val="00E65036"/>
    <w:rsid w:val="00E65D74"/>
    <w:rsid w:val="00E66A3B"/>
    <w:rsid w:val="00E66B65"/>
    <w:rsid w:val="00E66D90"/>
    <w:rsid w:val="00E67996"/>
    <w:rsid w:val="00E67AAE"/>
    <w:rsid w:val="00E70C49"/>
    <w:rsid w:val="00E71334"/>
    <w:rsid w:val="00E7138F"/>
    <w:rsid w:val="00E713FA"/>
    <w:rsid w:val="00E71825"/>
    <w:rsid w:val="00E7204E"/>
    <w:rsid w:val="00E7226C"/>
    <w:rsid w:val="00E72471"/>
    <w:rsid w:val="00E7294B"/>
    <w:rsid w:val="00E72BFE"/>
    <w:rsid w:val="00E72F58"/>
    <w:rsid w:val="00E73069"/>
    <w:rsid w:val="00E73597"/>
    <w:rsid w:val="00E73940"/>
    <w:rsid w:val="00E73A00"/>
    <w:rsid w:val="00E73B62"/>
    <w:rsid w:val="00E73B8A"/>
    <w:rsid w:val="00E73C97"/>
    <w:rsid w:val="00E74507"/>
    <w:rsid w:val="00E74778"/>
    <w:rsid w:val="00E7536B"/>
    <w:rsid w:val="00E756F8"/>
    <w:rsid w:val="00E7580C"/>
    <w:rsid w:val="00E7595E"/>
    <w:rsid w:val="00E75C92"/>
    <w:rsid w:val="00E75C9A"/>
    <w:rsid w:val="00E76075"/>
    <w:rsid w:val="00E76332"/>
    <w:rsid w:val="00E7679C"/>
    <w:rsid w:val="00E76C2F"/>
    <w:rsid w:val="00E777A6"/>
    <w:rsid w:val="00E80060"/>
    <w:rsid w:val="00E801F1"/>
    <w:rsid w:val="00E8036D"/>
    <w:rsid w:val="00E80708"/>
    <w:rsid w:val="00E80ABB"/>
    <w:rsid w:val="00E81104"/>
    <w:rsid w:val="00E815DA"/>
    <w:rsid w:val="00E81742"/>
    <w:rsid w:val="00E8191A"/>
    <w:rsid w:val="00E8199D"/>
    <w:rsid w:val="00E843FC"/>
    <w:rsid w:val="00E84454"/>
    <w:rsid w:val="00E847E2"/>
    <w:rsid w:val="00E849F5"/>
    <w:rsid w:val="00E84DD1"/>
    <w:rsid w:val="00E85076"/>
    <w:rsid w:val="00E854FA"/>
    <w:rsid w:val="00E856BA"/>
    <w:rsid w:val="00E8596B"/>
    <w:rsid w:val="00E85AA4"/>
    <w:rsid w:val="00E85EE1"/>
    <w:rsid w:val="00E86110"/>
    <w:rsid w:val="00E86610"/>
    <w:rsid w:val="00E87F18"/>
    <w:rsid w:val="00E90707"/>
    <w:rsid w:val="00E90AB5"/>
    <w:rsid w:val="00E910DC"/>
    <w:rsid w:val="00E916F4"/>
    <w:rsid w:val="00E91DA4"/>
    <w:rsid w:val="00E91E4B"/>
    <w:rsid w:val="00E91FF7"/>
    <w:rsid w:val="00E92924"/>
    <w:rsid w:val="00E9295F"/>
    <w:rsid w:val="00E92B14"/>
    <w:rsid w:val="00E92FDF"/>
    <w:rsid w:val="00E931F9"/>
    <w:rsid w:val="00E93207"/>
    <w:rsid w:val="00E934DB"/>
    <w:rsid w:val="00E93C01"/>
    <w:rsid w:val="00E93D25"/>
    <w:rsid w:val="00E94244"/>
    <w:rsid w:val="00E949AB"/>
    <w:rsid w:val="00E94C5D"/>
    <w:rsid w:val="00E94ED4"/>
    <w:rsid w:val="00E94F90"/>
    <w:rsid w:val="00E950C9"/>
    <w:rsid w:val="00E95A5F"/>
    <w:rsid w:val="00E95B56"/>
    <w:rsid w:val="00E9640B"/>
    <w:rsid w:val="00E969CB"/>
    <w:rsid w:val="00E96AE6"/>
    <w:rsid w:val="00E96E71"/>
    <w:rsid w:val="00E971F2"/>
    <w:rsid w:val="00E973AC"/>
    <w:rsid w:val="00EA04CC"/>
    <w:rsid w:val="00EA0D94"/>
    <w:rsid w:val="00EA115A"/>
    <w:rsid w:val="00EA1926"/>
    <w:rsid w:val="00EA1A18"/>
    <w:rsid w:val="00EA1E33"/>
    <w:rsid w:val="00EA1E3C"/>
    <w:rsid w:val="00EA20D5"/>
    <w:rsid w:val="00EA2251"/>
    <w:rsid w:val="00EA235B"/>
    <w:rsid w:val="00EA298D"/>
    <w:rsid w:val="00EA2BA4"/>
    <w:rsid w:val="00EA3185"/>
    <w:rsid w:val="00EA32FC"/>
    <w:rsid w:val="00EA385F"/>
    <w:rsid w:val="00EA3A50"/>
    <w:rsid w:val="00EA3D96"/>
    <w:rsid w:val="00EA448C"/>
    <w:rsid w:val="00EA4606"/>
    <w:rsid w:val="00EA4772"/>
    <w:rsid w:val="00EA47DD"/>
    <w:rsid w:val="00EA5489"/>
    <w:rsid w:val="00EA5EE3"/>
    <w:rsid w:val="00EA5FDD"/>
    <w:rsid w:val="00EA6308"/>
    <w:rsid w:val="00EA64A4"/>
    <w:rsid w:val="00EA66DF"/>
    <w:rsid w:val="00EA6719"/>
    <w:rsid w:val="00EA6C4E"/>
    <w:rsid w:val="00EA6D40"/>
    <w:rsid w:val="00EA6D88"/>
    <w:rsid w:val="00EA7275"/>
    <w:rsid w:val="00EA737A"/>
    <w:rsid w:val="00EA7390"/>
    <w:rsid w:val="00EA76DC"/>
    <w:rsid w:val="00EB02B6"/>
    <w:rsid w:val="00EB0964"/>
    <w:rsid w:val="00EB1596"/>
    <w:rsid w:val="00EB19F6"/>
    <w:rsid w:val="00EB258A"/>
    <w:rsid w:val="00EB2923"/>
    <w:rsid w:val="00EB2CBD"/>
    <w:rsid w:val="00EB318C"/>
    <w:rsid w:val="00EB329A"/>
    <w:rsid w:val="00EB330F"/>
    <w:rsid w:val="00EB3A04"/>
    <w:rsid w:val="00EB3A6F"/>
    <w:rsid w:val="00EB4052"/>
    <w:rsid w:val="00EB4841"/>
    <w:rsid w:val="00EB49C9"/>
    <w:rsid w:val="00EB4B01"/>
    <w:rsid w:val="00EB4CD0"/>
    <w:rsid w:val="00EB4E98"/>
    <w:rsid w:val="00EB5593"/>
    <w:rsid w:val="00EB5AAB"/>
    <w:rsid w:val="00EB5DC3"/>
    <w:rsid w:val="00EB61EA"/>
    <w:rsid w:val="00EB64D9"/>
    <w:rsid w:val="00EB6B9E"/>
    <w:rsid w:val="00EB6ED3"/>
    <w:rsid w:val="00EB75CE"/>
    <w:rsid w:val="00EB7967"/>
    <w:rsid w:val="00EC026D"/>
    <w:rsid w:val="00EC0427"/>
    <w:rsid w:val="00EC137E"/>
    <w:rsid w:val="00EC157D"/>
    <w:rsid w:val="00EC1E83"/>
    <w:rsid w:val="00EC2C05"/>
    <w:rsid w:val="00EC2C08"/>
    <w:rsid w:val="00EC312D"/>
    <w:rsid w:val="00EC354E"/>
    <w:rsid w:val="00EC3683"/>
    <w:rsid w:val="00EC3844"/>
    <w:rsid w:val="00EC3ACE"/>
    <w:rsid w:val="00EC3B8D"/>
    <w:rsid w:val="00EC3BFD"/>
    <w:rsid w:val="00EC3DA2"/>
    <w:rsid w:val="00EC3F69"/>
    <w:rsid w:val="00EC4711"/>
    <w:rsid w:val="00EC56B1"/>
    <w:rsid w:val="00EC570F"/>
    <w:rsid w:val="00EC5815"/>
    <w:rsid w:val="00EC5D4C"/>
    <w:rsid w:val="00EC5DBD"/>
    <w:rsid w:val="00EC5FBF"/>
    <w:rsid w:val="00EC6363"/>
    <w:rsid w:val="00EC6676"/>
    <w:rsid w:val="00EC66AB"/>
    <w:rsid w:val="00EC68BA"/>
    <w:rsid w:val="00EC6AB0"/>
    <w:rsid w:val="00EC6E74"/>
    <w:rsid w:val="00EC7A57"/>
    <w:rsid w:val="00EC7D92"/>
    <w:rsid w:val="00ED0465"/>
    <w:rsid w:val="00ED0667"/>
    <w:rsid w:val="00ED07B9"/>
    <w:rsid w:val="00ED0F64"/>
    <w:rsid w:val="00ED0FB7"/>
    <w:rsid w:val="00ED1109"/>
    <w:rsid w:val="00ED120C"/>
    <w:rsid w:val="00ED190F"/>
    <w:rsid w:val="00ED1CB0"/>
    <w:rsid w:val="00ED2047"/>
    <w:rsid w:val="00ED2259"/>
    <w:rsid w:val="00ED2362"/>
    <w:rsid w:val="00ED23B6"/>
    <w:rsid w:val="00ED350C"/>
    <w:rsid w:val="00ED396A"/>
    <w:rsid w:val="00ED3A2A"/>
    <w:rsid w:val="00ED43DD"/>
    <w:rsid w:val="00ED4A4E"/>
    <w:rsid w:val="00ED4F70"/>
    <w:rsid w:val="00ED5553"/>
    <w:rsid w:val="00ED57F0"/>
    <w:rsid w:val="00ED5DCE"/>
    <w:rsid w:val="00ED65B3"/>
    <w:rsid w:val="00ED65F8"/>
    <w:rsid w:val="00ED6681"/>
    <w:rsid w:val="00ED6847"/>
    <w:rsid w:val="00ED6ECD"/>
    <w:rsid w:val="00ED7314"/>
    <w:rsid w:val="00ED77FC"/>
    <w:rsid w:val="00ED7CBA"/>
    <w:rsid w:val="00EE079D"/>
    <w:rsid w:val="00EE0EBD"/>
    <w:rsid w:val="00EE13AB"/>
    <w:rsid w:val="00EE1659"/>
    <w:rsid w:val="00EE1EC4"/>
    <w:rsid w:val="00EE26A5"/>
    <w:rsid w:val="00EE320F"/>
    <w:rsid w:val="00EE3613"/>
    <w:rsid w:val="00EE3BC8"/>
    <w:rsid w:val="00EE4C0D"/>
    <w:rsid w:val="00EE4CD6"/>
    <w:rsid w:val="00EE4CFC"/>
    <w:rsid w:val="00EE4FE8"/>
    <w:rsid w:val="00EE5315"/>
    <w:rsid w:val="00EE5372"/>
    <w:rsid w:val="00EE5504"/>
    <w:rsid w:val="00EE5B4F"/>
    <w:rsid w:val="00EE699E"/>
    <w:rsid w:val="00EE731F"/>
    <w:rsid w:val="00EE758E"/>
    <w:rsid w:val="00EE78DF"/>
    <w:rsid w:val="00EF0247"/>
    <w:rsid w:val="00EF05A4"/>
    <w:rsid w:val="00EF0BCD"/>
    <w:rsid w:val="00EF0C48"/>
    <w:rsid w:val="00EF10AA"/>
    <w:rsid w:val="00EF1EC7"/>
    <w:rsid w:val="00EF2185"/>
    <w:rsid w:val="00EF21E9"/>
    <w:rsid w:val="00EF2231"/>
    <w:rsid w:val="00EF2333"/>
    <w:rsid w:val="00EF2A19"/>
    <w:rsid w:val="00EF2A2D"/>
    <w:rsid w:val="00EF31DB"/>
    <w:rsid w:val="00EF3DEF"/>
    <w:rsid w:val="00EF59C6"/>
    <w:rsid w:val="00EF5B5F"/>
    <w:rsid w:val="00EF5D05"/>
    <w:rsid w:val="00EF6167"/>
    <w:rsid w:val="00EF6295"/>
    <w:rsid w:val="00EF62A0"/>
    <w:rsid w:val="00EF6D52"/>
    <w:rsid w:val="00EF7215"/>
    <w:rsid w:val="00EF73CC"/>
    <w:rsid w:val="00F0073D"/>
    <w:rsid w:val="00F00EC4"/>
    <w:rsid w:val="00F0116C"/>
    <w:rsid w:val="00F01A77"/>
    <w:rsid w:val="00F01B5C"/>
    <w:rsid w:val="00F02482"/>
    <w:rsid w:val="00F0248B"/>
    <w:rsid w:val="00F02565"/>
    <w:rsid w:val="00F030EB"/>
    <w:rsid w:val="00F03819"/>
    <w:rsid w:val="00F03AA3"/>
    <w:rsid w:val="00F04476"/>
    <w:rsid w:val="00F04675"/>
    <w:rsid w:val="00F046CD"/>
    <w:rsid w:val="00F048A2"/>
    <w:rsid w:val="00F04AC5"/>
    <w:rsid w:val="00F04BEA"/>
    <w:rsid w:val="00F04DB3"/>
    <w:rsid w:val="00F05005"/>
    <w:rsid w:val="00F05F06"/>
    <w:rsid w:val="00F06270"/>
    <w:rsid w:val="00F064EE"/>
    <w:rsid w:val="00F06D7A"/>
    <w:rsid w:val="00F07844"/>
    <w:rsid w:val="00F07CC0"/>
    <w:rsid w:val="00F07F4A"/>
    <w:rsid w:val="00F10522"/>
    <w:rsid w:val="00F10681"/>
    <w:rsid w:val="00F10950"/>
    <w:rsid w:val="00F10AC5"/>
    <w:rsid w:val="00F10EB1"/>
    <w:rsid w:val="00F10F9C"/>
    <w:rsid w:val="00F111C2"/>
    <w:rsid w:val="00F112AE"/>
    <w:rsid w:val="00F114FE"/>
    <w:rsid w:val="00F11E09"/>
    <w:rsid w:val="00F12D24"/>
    <w:rsid w:val="00F13788"/>
    <w:rsid w:val="00F13CDF"/>
    <w:rsid w:val="00F13EA8"/>
    <w:rsid w:val="00F13EDB"/>
    <w:rsid w:val="00F13F34"/>
    <w:rsid w:val="00F144E1"/>
    <w:rsid w:val="00F15209"/>
    <w:rsid w:val="00F15C28"/>
    <w:rsid w:val="00F16309"/>
    <w:rsid w:val="00F16A66"/>
    <w:rsid w:val="00F16AE1"/>
    <w:rsid w:val="00F16F4F"/>
    <w:rsid w:val="00F175CF"/>
    <w:rsid w:val="00F2028A"/>
    <w:rsid w:val="00F207D7"/>
    <w:rsid w:val="00F208DB"/>
    <w:rsid w:val="00F20F57"/>
    <w:rsid w:val="00F22173"/>
    <w:rsid w:val="00F222D1"/>
    <w:rsid w:val="00F22A21"/>
    <w:rsid w:val="00F22D62"/>
    <w:rsid w:val="00F23BF6"/>
    <w:rsid w:val="00F23EE1"/>
    <w:rsid w:val="00F23F32"/>
    <w:rsid w:val="00F2432B"/>
    <w:rsid w:val="00F2437B"/>
    <w:rsid w:val="00F24698"/>
    <w:rsid w:val="00F246BD"/>
    <w:rsid w:val="00F24AAC"/>
    <w:rsid w:val="00F24B10"/>
    <w:rsid w:val="00F25072"/>
    <w:rsid w:val="00F2590D"/>
    <w:rsid w:val="00F259B3"/>
    <w:rsid w:val="00F268B5"/>
    <w:rsid w:val="00F26D24"/>
    <w:rsid w:val="00F27073"/>
    <w:rsid w:val="00F27145"/>
    <w:rsid w:val="00F27966"/>
    <w:rsid w:val="00F27AFC"/>
    <w:rsid w:val="00F30E8D"/>
    <w:rsid w:val="00F30F0C"/>
    <w:rsid w:val="00F30F94"/>
    <w:rsid w:val="00F3107F"/>
    <w:rsid w:val="00F3120C"/>
    <w:rsid w:val="00F312C1"/>
    <w:rsid w:val="00F314EE"/>
    <w:rsid w:val="00F31677"/>
    <w:rsid w:val="00F31954"/>
    <w:rsid w:val="00F320E0"/>
    <w:rsid w:val="00F3334D"/>
    <w:rsid w:val="00F3345E"/>
    <w:rsid w:val="00F3399B"/>
    <w:rsid w:val="00F33B15"/>
    <w:rsid w:val="00F33EFB"/>
    <w:rsid w:val="00F3410C"/>
    <w:rsid w:val="00F3443C"/>
    <w:rsid w:val="00F346E0"/>
    <w:rsid w:val="00F356DF"/>
    <w:rsid w:val="00F35DF9"/>
    <w:rsid w:val="00F35E72"/>
    <w:rsid w:val="00F364C0"/>
    <w:rsid w:val="00F36672"/>
    <w:rsid w:val="00F3678B"/>
    <w:rsid w:val="00F36A52"/>
    <w:rsid w:val="00F37126"/>
    <w:rsid w:val="00F37E1D"/>
    <w:rsid w:val="00F40183"/>
    <w:rsid w:val="00F40222"/>
    <w:rsid w:val="00F40246"/>
    <w:rsid w:val="00F4111A"/>
    <w:rsid w:val="00F411DA"/>
    <w:rsid w:val="00F4170D"/>
    <w:rsid w:val="00F4175B"/>
    <w:rsid w:val="00F419AB"/>
    <w:rsid w:val="00F4204B"/>
    <w:rsid w:val="00F425B7"/>
    <w:rsid w:val="00F42A75"/>
    <w:rsid w:val="00F434C1"/>
    <w:rsid w:val="00F43DF9"/>
    <w:rsid w:val="00F44184"/>
    <w:rsid w:val="00F4614B"/>
    <w:rsid w:val="00F461EE"/>
    <w:rsid w:val="00F46845"/>
    <w:rsid w:val="00F4732A"/>
    <w:rsid w:val="00F47361"/>
    <w:rsid w:val="00F47634"/>
    <w:rsid w:val="00F47D32"/>
    <w:rsid w:val="00F51116"/>
    <w:rsid w:val="00F51A25"/>
    <w:rsid w:val="00F51AFD"/>
    <w:rsid w:val="00F51EB1"/>
    <w:rsid w:val="00F51F90"/>
    <w:rsid w:val="00F521E6"/>
    <w:rsid w:val="00F523BE"/>
    <w:rsid w:val="00F5258C"/>
    <w:rsid w:val="00F5292D"/>
    <w:rsid w:val="00F53095"/>
    <w:rsid w:val="00F53DB0"/>
    <w:rsid w:val="00F53ED9"/>
    <w:rsid w:val="00F54082"/>
    <w:rsid w:val="00F540C2"/>
    <w:rsid w:val="00F542EF"/>
    <w:rsid w:val="00F5449D"/>
    <w:rsid w:val="00F5469B"/>
    <w:rsid w:val="00F54738"/>
    <w:rsid w:val="00F54E07"/>
    <w:rsid w:val="00F55D43"/>
    <w:rsid w:val="00F5623A"/>
    <w:rsid w:val="00F566CE"/>
    <w:rsid w:val="00F56965"/>
    <w:rsid w:val="00F56CEF"/>
    <w:rsid w:val="00F56F83"/>
    <w:rsid w:val="00F577DC"/>
    <w:rsid w:val="00F6026C"/>
    <w:rsid w:val="00F608D9"/>
    <w:rsid w:val="00F60C2E"/>
    <w:rsid w:val="00F61986"/>
    <w:rsid w:val="00F61AC3"/>
    <w:rsid w:val="00F61BE5"/>
    <w:rsid w:val="00F61D15"/>
    <w:rsid w:val="00F62089"/>
    <w:rsid w:val="00F62144"/>
    <w:rsid w:val="00F63465"/>
    <w:rsid w:val="00F635F8"/>
    <w:rsid w:val="00F63894"/>
    <w:rsid w:val="00F63A3D"/>
    <w:rsid w:val="00F63F88"/>
    <w:rsid w:val="00F64AF2"/>
    <w:rsid w:val="00F65272"/>
    <w:rsid w:val="00F65609"/>
    <w:rsid w:val="00F65CCB"/>
    <w:rsid w:val="00F6628F"/>
    <w:rsid w:val="00F663B3"/>
    <w:rsid w:val="00F6677C"/>
    <w:rsid w:val="00F679E8"/>
    <w:rsid w:val="00F67D82"/>
    <w:rsid w:val="00F67E1B"/>
    <w:rsid w:val="00F70CFB"/>
    <w:rsid w:val="00F718C5"/>
    <w:rsid w:val="00F71E7A"/>
    <w:rsid w:val="00F71EF5"/>
    <w:rsid w:val="00F71FD5"/>
    <w:rsid w:val="00F720DC"/>
    <w:rsid w:val="00F72424"/>
    <w:rsid w:val="00F727F4"/>
    <w:rsid w:val="00F72889"/>
    <w:rsid w:val="00F72C80"/>
    <w:rsid w:val="00F72FE6"/>
    <w:rsid w:val="00F7311F"/>
    <w:rsid w:val="00F73AAE"/>
    <w:rsid w:val="00F73F0D"/>
    <w:rsid w:val="00F74169"/>
    <w:rsid w:val="00F748ED"/>
    <w:rsid w:val="00F74ED7"/>
    <w:rsid w:val="00F74F45"/>
    <w:rsid w:val="00F750BC"/>
    <w:rsid w:val="00F7561B"/>
    <w:rsid w:val="00F75B5F"/>
    <w:rsid w:val="00F76579"/>
    <w:rsid w:val="00F76F02"/>
    <w:rsid w:val="00F77388"/>
    <w:rsid w:val="00F774D7"/>
    <w:rsid w:val="00F77AA2"/>
    <w:rsid w:val="00F77AE4"/>
    <w:rsid w:val="00F80660"/>
    <w:rsid w:val="00F8152C"/>
    <w:rsid w:val="00F81EBD"/>
    <w:rsid w:val="00F82464"/>
    <w:rsid w:val="00F82747"/>
    <w:rsid w:val="00F83528"/>
    <w:rsid w:val="00F83CFC"/>
    <w:rsid w:val="00F83EBA"/>
    <w:rsid w:val="00F84025"/>
    <w:rsid w:val="00F846F1"/>
    <w:rsid w:val="00F847D2"/>
    <w:rsid w:val="00F84BED"/>
    <w:rsid w:val="00F85198"/>
    <w:rsid w:val="00F85940"/>
    <w:rsid w:val="00F85D02"/>
    <w:rsid w:val="00F85FD4"/>
    <w:rsid w:val="00F86048"/>
    <w:rsid w:val="00F860BF"/>
    <w:rsid w:val="00F8655F"/>
    <w:rsid w:val="00F86B78"/>
    <w:rsid w:val="00F86BC3"/>
    <w:rsid w:val="00F873DF"/>
    <w:rsid w:val="00F87818"/>
    <w:rsid w:val="00F878B6"/>
    <w:rsid w:val="00F87EF0"/>
    <w:rsid w:val="00F9052C"/>
    <w:rsid w:val="00F905FD"/>
    <w:rsid w:val="00F91116"/>
    <w:rsid w:val="00F917B3"/>
    <w:rsid w:val="00F92449"/>
    <w:rsid w:val="00F928A2"/>
    <w:rsid w:val="00F928F0"/>
    <w:rsid w:val="00F92BB4"/>
    <w:rsid w:val="00F92E31"/>
    <w:rsid w:val="00F93157"/>
    <w:rsid w:val="00F93A37"/>
    <w:rsid w:val="00F93DDF"/>
    <w:rsid w:val="00F93E6B"/>
    <w:rsid w:val="00F94B65"/>
    <w:rsid w:val="00F94BA0"/>
    <w:rsid w:val="00F951C6"/>
    <w:rsid w:val="00F952D5"/>
    <w:rsid w:val="00F959CA"/>
    <w:rsid w:val="00F95DD2"/>
    <w:rsid w:val="00F96BA6"/>
    <w:rsid w:val="00F96EEE"/>
    <w:rsid w:val="00F97086"/>
    <w:rsid w:val="00F9715C"/>
    <w:rsid w:val="00F97A39"/>
    <w:rsid w:val="00FA01F3"/>
    <w:rsid w:val="00FA04A1"/>
    <w:rsid w:val="00FA0BD2"/>
    <w:rsid w:val="00FA0C9E"/>
    <w:rsid w:val="00FA0E24"/>
    <w:rsid w:val="00FA1154"/>
    <w:rsid w:val="00FA1212"/>
    <w:rsid w:val="00FA14C4"/>
    <w:rsid w:val="00FA160B"/>
    <w:rsid w:val="00FA1770"/>
    <w:rsid w:val="00FA1A76"/>
    <w:rsid w:val="00FA1C5D"/>
    <w:rsid w:val="00FA1D0B"/>
    <w:rsid w:val="00FA2925"/>
    <w:rsid w:val="00FA29D5"/>
    <w:rsid w:val="00FA3392"/>
    <w:rsid w:val="00FA33A6"/>
    <w:rsid w:val="00FA4169"/>
    <w:rsid w:val="00FA4B3D"/>
    <w:rsid w:val="00FA592A"/>
    <w:rsid w:val="00FA5D5E"/>
    <w:rsid w:val="00FA6249"/>
    <w:rsid w:val="00FA65CD"/>
    <w:rsid w:val="00FA701C"/>
    <w:rsid w:val="00FA708A"/>
    <w:rsid w:val="00FA749E"/>
    <w:rsid w:val="00FA7AF9"/>
    <w:rsid w:val="00FB009E"/>
    <w:rsid w:val="00FB011A"/>
    <w:rsid w:val="00FB0149"/>
    <w:rsid w:val="00FB084C"/>
    <w:rsid w:val="00FB16EF"/>
    <w:rsid w:val="00FB18BE"/>
    <w:rsid w:val="00FB1B5E"/>
    <w:rsid w:val="00FB1DFD"/>
    <w:rsid w:val="00FB2894"/>
    <w:rsid w:val="00FB2F4F"/>
    <w:rsid w:val="00FB3599"/>
    <w:rsid w:val="00FB3808"/>
    <w:rsid w:val="00FB3CE5"/>
    <w:rsid w:val="00FB3EE4"/>
    <w:rsid w:val="00FB41B0"/>
    <w:rsid w:val="00FB46A3"/>
    <w:rsid w:val="00FB488A"/>
    <w:rsid w:val="00FB4E05"/>
    <w:rsid w:val="00FB4E94"/>
    <w:rsid w:val="00FB50BD"/>
    <w:rsid w:val="00FB572E"/>
    <w:rsid w:val="00FB5A39"/>
    <w:rsid w:val="00FB5B19"/>
    <w:rsid w:val="00FB69A6"/>
    <w:rsid w:val="00FB69DA"/>
    <w:rsid w:val="00FB6CA7"/>
    <w:rsid w:val="00FB6DE0"/>
    <w:rsid w:val="00FB735E"/>
    <w:rsid w:val="00FB76F6"/>
    <w:rsid w:val="00FB7A8F"/>
    <w:rsid w:val="00FB7AED"/>
    <w:rsid w:val="00FB7BC2"/>
    <w:rsid w:val="00FB7BC7"/>
    <w:rsid w:val="00FB7DA5"/>
    <w:rsid w:val="00FC0299"/>
    <w:rsid w:val="00FC0C12"/>
    <w:rsid w:val="00FC1056"/>
    <w:rsid w:val="00FC117B"/>
    <w:rsid w:val="00FC1637"/>
    <w:rsid w:val="00FC18C8"/>
    <w:rsid w:val="00FC201C"/>
    <w:rsid w:val="00FC25BB"/>
    <w:rsid w:val="00FC2A8D"/>
    <w:rsid w:val="00FC334B"/>
    <w:rsid w:val="00FC35A4"/>
    <w:rsid w:val="00FC35BC"/>
    <w:rsid w:val="00FC37B8"/>
    <w:rsid w:val="00FC43F2"/>
    <w:rsid w:val="00FC44D6"/>
    <w:rsid w:val="00FC4A05"/>
    <w:rsid w:val="00FC5738"/>
    <w:rsid w:val="00FC585C"/>
    <w:rsid w:val="00FC5B1C"/>
    <w:rsid w:val="00FC64D2"/>
    <w:rsid w:val="00FC67BD"/>
    <w:rsid w:val="00FC6F1E"/>
    <w:rsid w:val="00FC70DC"/>
    <w:rsid w:val="00FC7D6B"/>
    <w:rsid w:val="00FC7E74"/>
    <w:rsid w:val="00FD055E"/>
    <w:rsid w:val="00FD0D2B"/>
    <w:rsid w:val="00FD1D01"/>
    <w:rsid w:val="00FD24DD"/>
    <w:rsid w:val="00FD25F3"/>
    <w:rsid w:val="00FD2A03"/>
    <w:rsid w:val="00FD2CC1"/>
    <w:rsid w:val="00FD2EF8"/>
    <w:rsid w:val="00FD2F91"/>
    <w:rsid w:val="00FD33BB"/>
    <w:rsid w:val="00FD37AF"/>
    <w:rsid w:val="00FD39D5"/>
    <w:rsid w:val="00FD3FB9"/>
    <w:rsid w:val="00FD4458"/>
    <w:rsid w:val="00FD4BAA"/>
    <w:rsid w:val="00FD4F24"/>
    <w:rsid w:val="00FD513E"/>
    <w:rsid w:val="00FD5F89"/>
    <w:rsid w:val="00FD69FC"/>
    <w:rsid w:val="00FD6EF7"/>
    <w:rsid w:val="00FD7508"/>
    <w:rsid w:val="00FD78BC"/>
    <w:rsid w:val="00FD7A1F"/>
    <w:rsid w:val="00FD7D9C"/>
    <w:rsid w:val="00FD7EAB"/>
    <w:rsid w:val="00FE0026"/>
    <w:rsid w:val="00FE0289"/>
    <w:rsid w:val="00FE031E"/>
    <w:rsid w:val="00FE0C1A"/>
    <w:rsid w:val="00FE146C"/>
    <w:rsid w:val="00FE1AC3"/>
    <w:rsid w:val="00FE2057"/>
    <w:rsid w:val="00FE271C"/>
    <w:rsid w:val="00FE3367"/>
    <w:rsid w:val="00FE3774"/>
    <w:rsid w:val="00FE37B6"/>
    <w:rsid w:val="00FE3BCA"/>
    <w:rsid w:val="00FE3F8D"/>
    <w:rsid w:val="00FE4108"/>
    <w:rsid w:val="00FE4840"/>
    <w:rsid w:val="00FE4A9D"/>
    <w:rsid w:val="00FE4B68"/>
    <w:rsid w:val="00FE4FDE"/>
    <w:rsid w:val="00FE517D"/>
    <w:rsid w:val="00FE5340"/>
    <w:rsid w:val="00FE5789"/>
    <w:rsid w:val="00FE5C93"/>
    <w:rsid w:val="00FE6337"/>
    <w:rsid w:val="00FE665B"/>
    <w:rsid w:val="00FE708D"/>
    <w:rsid w:val="00FE718D"/>
    <w:rsid w:val="00FE756B"/>
    <w:rsid w:val="00FE76B9"/>
    <w:rsid w:val="00FF030A"/>
    <w:rsid w:val="00FF06C9"/>
    <w:rsid w:val="00FF0924"/>
    <w:rsid w:val="00FF0C73"/>
    <w:rsid w:val="00FF126C"/>
    <w:rsid w:val="00FF1460"/>
    <w:rsid w:val="00FF1BDF"/>
    <w:rsid w:val="00FF1F8F"/>
    <w:rsid w:val="00FF26A1"/>
    <w:rsid w:val="00FF2811"/>
    <w:rsid w:val="00FF2DD2"/>
    <w:rsid w:val="00FF2F95"/>
    <w:rsid w:val="00FF3659"/>
    <w:rsid w:val="00FF3C13"/>
    <w:rsid w:val="00FF3E12"/>
    <w:rsid w:val="00FF4042"/>
    <w:rsid w:val="00FF45C0"/>
    <w:rsid w:val="00FF496D"/>
    <w:rsid w:val="00FF4BA5"/>
    <w:rsid w:val="00FF5344"/>
    <w:rsid w:val="00FF5373"/>
    <w:rsid w:val="00FF53D4"/>
    <w:rsid w:val="00FF5618"/>
    <w:rsid w:val="00FF5658"/>
    <w:rsid w:val="00FF587C"/>
    <w:rsid w:val="00FF5ADA"/>
    <w:rsid w:val="00FF5B9B"/>
    <w:rsid w:val="00FF6179"/>
    <w:rsid w:val="00FF6487"/>
    <w:rsid w:val="00FF64AD"/>
    <w:rsid w:val="00FF6E1B"/>
    <w:rsid w:val="00FF6E3C"/>
    <w:rsid w:val="00FF7660"/>
    <w:rsid w:val="00FF7AD0"/>
    <w:rsid w:val="00FF7F2C"/>
    <w:rsid w:val="010247E0"/>
    <w:rsid w:val="010352BC"/>
    <w:rsid w:val="010A7AC1"/>
    <w:rsid w:val="01102DA1"/>
    <w:rsid w:val="01116995"/>
    <w:rsid w:val="0111E1FB"/>
    <w:rsid w:val="0111EC93"/>
    <w:rsid w:val="01172DA4"/>
    <w:rsid w:val="011D315E"/>
    <w:rsid w:val="0149169B"/>
    <w:rsid w:val="014FFA6B"/>
    <w:rsid w:val="01588D2B"/>
    <w:rsid w:val="015893BF"/>
    <w:rsid w:val="015C252F"/>
    <w:rsid w:val="0161F15F"/>
    <w:rsid w:val="016E223D"/>
    <w:rsid w:val="016F36A2"/>
    <w:rsid w:val="0170260E"/>
    <w:rsid w:val="0171659B"/>
    <w:rsid w:val="017A7B11"/>
    <w:rsid w:val="018447B0"/>
    <w:rsid w:val="018593E2"/>
    <w:rsid w:val="01882938"/>
    <w:rsid w:val="0196163B"/>
    <w:rsid w:val="0196CABE"/>
    <w:rsid w:val="019707C2"/>
    <w:rsid w:val="01970981"/>
    <w:rsid w:val="019896F6"/>
    <w:rsid w:val="019AC22F"/>
    <w:rsid w:val="01A80C8A"/>
    <w:rsid w:val="01AD4BA7"/>
    <w:rsid w:val="01B2A7A6"/>
    <w:rsid w:val="01C1F393"/>
    <w:rsid w:val="01C43919"/>
    <w:rsid w:val="01D997F8"/>
    <w:rsid w:val="01DE5C9A"/>
    <w:rsid w:val="01E0013B"/>
    <w:rsid w:val="01FC67F9"/>
    <w:rsid w:val="02012C1C"/>
    <w:rsid w:val="0208C089"/>
    <w:rsid w:val="020D1CD4"/>
    <w:rsid w:val="020FD0DC"/>
    <w:rsid w:val="0212F1D1"/>
    <w:rsid w:val="02140DF5"/>
    <w:rsid w:val="02183CB1"/>
    <w:rsid w:val="02263D29"/>
    <w:rsid w:val="02313079"/>
    <w:rsid w:val="02446419"/>
    <w:rsid w:val="024C6DD9"/>
    <w:rsid w:val="0262FAE3"/>
    <w:rsid w:val="026385D6"/>
    <w:rsid w:val="0267447C"/>
    <w:rsid w:val="027A6CE0"/>
    <w:rsid w:val="02AE0C0F"/>
    <w:rsid w:val="02B53672"/>
    <w:rsid w:val="02BD7B41"/>
    <w:rsid w:val="02BFDEBA"/>
    <w:rsid w:val="02C521F7"/>
    <w:rsid w:val="02C5424D"/>
    <w:rsid w:val="02C8E8C6"/>
    <w:rsid w:val="02CAC62A"/>
    <w:rsid w:val="02EC94A0"/>
    <w:rsid w:val="02EDA58A"/>
    <w:rsid w:val="02F7BB3D"/>
    <w:rsid w:val="030B0703"/>
    <w:rsid w:val="031B469D"/>
    <w:rsid w:val="031D0556"/>
    <w:rsid w:val="0323A63B"/>
    <w:rsid w:val="03246D9F"/>
    <w:rsid w:val="032CC671"/>
    <w:rsid w:val="0343F212"/>
    <w:rsid w:val="0345CE2F"/>
    <w:rsid w:val="03465D68"/>
    <w:rsid w:val="035533A2"/>
    <w:rsid w:val="03809739"/>
    <w:rsid w:val="03829F09"/>
    <w:rsid w:val="03A0C9CA"/>
    <w:rsid w:val="03A4DE17"/>
    <w:rsid w:val="03DAAF83"/>
    <w:rsid w:val="03DCB28F"/>
    <w:rsid w:val="03E390EA"/>
    <w:rsid w:val="03E64289"/>
    <w:rsid w:val="03EA282A"/>
    <w:rsid w:val="03F2D3AE"/>
    <w:rsid w:val="03F7DFBF"/>
    <w:rsid w:val="04079496"/>
    <w:rsid w:val="040B92A6"/>
    <w:rsid w:val="04222C5D"/>
    <w:rsid w:val="04255CB9"/>
    <w:rsid w:val="0428F63C"/>
    <w:rsid w:val="042D87E0"/>
    <w:rsid w:val="0436FF92"/>
    <w:rsid w:val="0437288D"/>
    <w:rsid w:val="04412A98"/>
    <w:rsid w:val="045393C3"/>
    <w:rsid w:val="047BDDB3"/>
    <w:rsid w:val="0487777B"/>
    <w:rsid w:val="048831B2"/>
    <w:rsid w:val="04904D4D"/>
    <w:rsid w:val="04A2EE01"/>
    <w:rsid w:val="04A8B00B"/>
    <w:rsid w:val="04B704B2"/>
    <w:rsid w:val="04B83C76"/>
    <w:rsid w:val="04C5BF4C"/>
    <w:rsid w:val="04CE38C1"/>
    <w:rsid w:val="04D5C6EC"/>
    <w:rsid w:val="04DF1955"/>
    <w:rsid w:val="04E48A96"/>
    <w:rsid w:val="04F87D3C"/>
    <w:rsid w:val="04FCB218"/>
    <w:rsid w:val="0505042C"/>
    <w:rsid w:val="050F22BB"/>
    <w:rsid w:val="05111000"/>
    <w:rsid w:val="052C3C35"/>
    <w:rsid w:val="0531F303"/>
    <w:rsid w:val="0532D9D4"/>
    <w:rsid w:val="0545144F"/>
    <w:rsid w:val="054AE128"/>
    <w:rsid w:val="0553091A"/>
    <w:rsid w:val="05596EDE"/>
    <w:rsid w:val="055EAC38"/>
    <w:rsid w:val="055F50CF"/>
    <w:rsid w:val="0560E7D7"/>
    <w:rsid w:val="0563F369"/>
    <w:rsid w:val="0572933B"/>
    <w:rsid w:val="057580CA"/>
    <w:rsid w:val="05768201"/>
    <w:rsid w:val="057D6206"/>
    <w:rsid w:val="057E6948"/>
    <w:rsid w:val="058184FC"/>
    <w:rsid w:val="059178FC"/>
    <w:rsid w:val="0594218E"/>
    <w:rsid w:val="05976EA2"/>
    <w:rsid w:val="05AE9DFF"/>
    <w:rsid w:val="05BC514F"/>
    <w:rsid w:val="05C3AD5C"/>
    <w:rsid w:val="05D31706"/>
    <w:rsid w:val="05D48A27"/>
    <w:rsid w:val="05ED9A57"/>
    <w:rsid w:val="060966FB"/>
    <w:rsid w:val="06159E64"/>
    <w:rsid w:val="061CE9CA"/>
    <w:rsid w:val="06253A38"/>
    <w:rsid w:val="06407D12"/>
    <w:rsid w:val="06421AFE"/>
    <w:rsid w:val="0649CE68"/>
    <w:rsid w:val="064C07E3"/>
    <w:rsid w:val="064C80D6"/>
    <w:rsid w:val="06644DED"/>
    <w:rsid w:val="066B3782"/>
    <w:rsid w:val="066D0263"/>
    <w:rsid w:val="066E88C1"/>
    <w:rsid w:val="068B4CBD"/>
    <w:rsid w:val="0692DA4A"/>
    <w:rsid w:val="06A0EAC9"/>
    <w:rsid w:val="06A5BB84"/>
    <w:rsid w:val="06A6D7A8"/>
    <w:rsid w:val="06BCB476"/>
    <w:rsid w:val="06C066F4"/>
    <w:rsid w:val="06C344FC"/>
    <w:rsid w:val="06C68292"/>
    <w:rsid w:val="06C6DEA9"/>
    <w:rsid w:val="06CD0BFA"/>
    <w:rsid w:val="06D33BF3"/>
    <w:rsid w:val="06E13F49"/>
    <w:rsid w:val="06E7C0A4"/>
    <w:rsid w:val="06F13AC0"/>
    <w:rsid w:val="06F2236E"/>
    <w:rsid w:val="06F95618"/>
    <w:rsid w:val="07007D82"/>
    <w:rsid w:val="070E275C"/>
    <w:rsid w:val="07124D4A"/>
    <w:rsid w:val="07170F42"/>
    <w:rsid w:val="07183FF1"/>
    <w:rsid w:val="0718EF3A"/>
    <w:rsid w:val="071CFEBA"/>
    <w:rsid w:val="071FC63A"/>
    <w:rsid w:val="072854B1"/>
    <w:rsid w:val="073B4AA0"/>
    <w:rsid w:val="073CD516"/>
    <w:rsid w:val="074697A5"/>
    <w:rsid w:val="07622E13"/>
    <w:rsid w:val="076A3A94"/>
    <w:rsid w:val="076B6F50"/>
    <w:rsid w:val="0771FB15"/>
    <w:rsid w:val="077D9B2C"/>
    <w:rsid w:val="077F5D17"/>
    <w:rsid w:val="0786B9C3"/>
    <w:rsid w:val="07A760EF"/>
    <w:rsid w:val="07BC9359"/>
    <w:rsid w:val="07BE47B3"/>
    <w:rsid w:val="07BFD274"/>
    <w:rsid w:val="07C13435"/>
    <w:rsid w:val="07C8D09B"/>
    <w:rsid w:val="07CF019C"/>
    <w:rsid w:val="07F4B04A"/>
    <w:rsid w:val="07F5CEE6"/>
    <w:rsid w:val="0803B0D8"/>
    <w:rsid w:val="0815CC80"/>
    <w:rsid w:val="081C1589"/>
    <w:rsid w:val="0820CFBB"/>
    <w:rsid w:val="08243352"/>
    <w:rsid w:val="082C90CC"/>
    <w:rsid w:val="082CB4CB"/>
    <w:rsid w:val="0839D072"/>
    <w:rsid w:val="084C3636"/>
    <w:rsid w:val="084CE9B4"/>
    <w:rsid w:val="0854085C"/>
    <w:rsid w:val="0862D443"/>
    <w:rsid w:val="0890E82C"/>
    <w:rsid w:val="0895FDAB"/>
    <w:rsid w:val="089CB736"/>
    <w:rsid w:val="08A278F5"/>
    <w:rsid w:val="08A65ADF"/>
    <w:rsid w:val="08AA0789"/>
    <w:rsid w:val="08AD5192"/>
    <w:rsid w:val="08B53FA6"/>
    <w:rsid w:val="08BC91DE"/>
    <w:rsid w:val="08BDFA1A"/>
    <w:rsid w:val="08C53124"/>
    <w:rsid w:val="08C5A3FB"/>
    <w:rsid w:val="08C95586"/>
    <w:rsid w:val="08CC3B95"/>
    <w:rsid w:val="08E7D48B"/>
    <w:rsid w:val="08F249AF"/>
    <w:rsid w:val="08F56D62"/>
    <w:rsid w:val="08FFF7AD"/>
    <w:rsid w:val="0902D2E7"/>
    <w:rsid w:val="090FFD00"/>
    <w:rsid w:val="091EDF0F"/>
    <w:rsid w:val="093624C4"/>
    <w:rsid w:val="09435F09"/>
    <w:rsid w:val="096B6932"/>
    <w:rsid w:val="097C1CCF"/>
    <w:rsid w:val="0984CE3D"/>
    <w:rsid w:val="09861DE6"/>
    <w:rsid w:val="098AF190"/>
    <w:rsid w:val="099BDAFC"/>
    <w:rsid w:val="09A87694"/>
    <w:rsid w:val="09AE63AA"/>
    <w:rsid w:val="09B0D716"/>
    <w:rsid w:val="09B3874F"/>
    <w:rsid w:val="09C044CA"/>
    <w:rsid w:val="09DE972B"/>
    <w:rsid w:val="09DEF2F9"/>
    <w:rsid w:val="09EC3E52"/>
    <w:rsid w:val="09EFEA7F"/>
    <w:rsid w:val="09F3F595"/>
    <w:rsid w:val="09FCAC23"/>
    <w:rsid w:val="09FD2197"/>
    <w:rsid w:val="09FDDCD2"/>
    <w:rsid w:val="0A00341E"/>
    <w:rsid w:val="0A101A86"/>
    <w:rsid w:val="0A1543EA"/>
    <w:rsid w:val="0A22E9EF"/>
    <w:rsid w:val="0A236D9A"/>
    <w:rsid w:val="0A291F23"/>
    <w:rsid w:val="0A2BDB20"/>
    <w:rsid w:val="0A2C9CE2"/>
    <w:rsid w:val="0A3DC609"/>
    <w:rsid w:val="0A3F2729"/>
    <w:rsid w:val="0A400B42"/>
    <w:rsid w:val="0A4808FC"/>
    <w:rsid w:val="0A495BAC"/>
    <w:rsid w:val="0A4E668F"/>
    <w:rsid w:val="0A5ABCEA"/>
    <w:rsid w:val="0A5F0F0E"/>
    <w:rsid w:val="0A60320B"/>
    <w:rsid w:val="0A640F52"/>
    <w:rsid w:val="0A64FD94"/>
    <w:rsid w:val="0A68FEA0"/>
    <w:rsid w:val="0A705BB2"/>
    <w:rsid w:val="0A71F5BE"/>
    <w:rsid w:val="0A74B5BA"/>
    <w:rsid w:val="0A782A90"/>
    <w:rsid w:val="0A7F3B1A"/>
    <w:rsid w:val="0A82C92D"/>
    <w:rsid w:val="0A833729"/>
    <w:rsid w:val="0A8D3726"/>
    <w:rsid w:val="0A8D5045"/>
    <w:rsid w:val="0A8F60AF"/>
    <w:rsid w:val="0A924158"/>
    <w:rsid w:val="0A9D98AF"/>
    <w:rsid w:val="0AA6797D"/>
    <w:rsid w:val="0AA68F95"/>
    <w:rsid w:val="0AADB847"/>
    <w:rsid w:val="0AAEACB2"/>
    <w:rsid w:val="0AB2C08F"/>
    <w:rsid w:val="0ABE2E4F"/>
    <w:rsid w:val="0ABE6058"/>
    <w:rsid w:val="0AC51505"/>
    <w:rsid w:val="0AC9E65C"/>
    <w:rsid w:val="0ACA5DB3"/>
    <w:rsid w:val="0AE38588"/>
    <w:rsid w:val="0AE912D0"/>
    <w:rsid w:val="0AF181A3"/>
    <w:rsid w:val="0AF65B09"/>
    <w:rsid w:val="0AF85C71"/>
    <w:rsid w:val="0AF9274D"/>
    <w:rsid w:val="0AF98C50"/>
    <w:rsid w:val="0B0B56A8"/>
    <w:rsid w:val="0B0FB7B7"/>
    <w:rsid w:val="0B1333DF"/>
    <w:rsid w:val="0B21DCBA"/>
    <w:rsid w:val="0B35BB3F"/>
    <w:rsid w:val="0B3DC563"/>
    <w:rsid w:val="0B40543F"/>
    <w:rsid w:val="0B435175"/>
    <w:rsid w:val="0B4DF3E0"/>
    <w:rsid w:val="0B60F405"/>
    <w:rsid w:val="0B6258D1"/>
    <w:rsid w:val="0B70B8F9"/>
    <w:rsid w:val="0B73D077"/>
    <w:rsid w:val="0B795327"/>
    <w:rsid w:val="0B8E8DE7"/>
    <w:rsid w:val="0B932C06"/>
    <w:rsid w:val="0BA86C8A"/>
    <w:rsid w:val="0BA8B263"/>
    <w:rsid w:val="0BAD6BAC"/>
    <w:rsid w:val="0BB5C805"/>
    <w:rsid w:val="0BBDFF74"/>
    <w:rsid w:val="0BBE5B25"/>
    <w:rsid w:val="0BDD8AFF"/>
    <w:rsid w:val="0BDDC232"/>
    <w:rsid w:val="0BE19C53"/>
    <w:rsid w:val="0BE2CE2D"/>
    <w:rsid w:val="0BE4310E"/>
    <w:rsid w:val="0BED2C57"/>
    <w:rsid w:val="0BF1782E"/>
    <w:rsid w:val="0C06728F"/>
    <w:rsid w:val="0C1334D8"/>
    <w:rsid w:val="0C201C75"/>
    <w:rsid w:val="0C209120"/>
    <w:rsid w:val="0C255629"/>
    <w:rsid w:val="0C27C2FE"/>
    <w:rsid w:val="0C37967F"/>
    <w:rsid w:val="0C54E81D"/>
    <w:rsid w:val="0C57E8EB"/>
    <w:rsid w:val="0C5D9876"/>
    <w:rsid w:val="0C629F9E"/>
    <w:rsid w:val="0C660F83"/>
    <w:rsid w:val="0C7358E3"/>
    <w:rsid w:val="0C75F474"/>
    <w:rsid w:val="0C783438"/>
    <w:rsid w:val="0C7A3D76"/>
    <w:rsid w:val="0C7BD886"/>
    <w:rsid w:val="0C8DB91B"/>
    <w:rsid w:val="0C8E7A60"/>
    <w:rsid w:val="0C91DF19"/>
    <w:rsid w:val="0C9771DD"/>
    <w:rsid w:val="0C97C529"/>
    <w:rsid w:val="0C9BE6B7"/>
    <w:rsid w:val="0C9CE2CC"/>
    <w:rsid w:val="0C9EE176"/>
    <w:rsid w:val="0C9FA746"/>
    <w:rsid w:val="0CB1AB96"/>
    <w:rsid w:val="0CB507E1"/>
    <w:rsid w:val="0CD3714F"/>
    <w:rsid w:val="0CE2A5E4"/>
    <w:rsid w:val="0CEC5779"/>
    <w:rsid w:val="0CF5CBD3"/>
    <w:rsid w:val="0CF63166"/>
    <w:rsid w:val="0CF7D9F9"/>
    <w:rsid w:val="0CFE8266"/>
    <w:rsid w:val="0D063F1B"/>
    <w:rsid w:val="0D08B6A4"/>
    <w:rsid w:val="0D0E493B"/>
    <w:rsid w:val="0D1C0027"/>
    <w:rsid w:val="0D1E532C"/>
    <w:rsid w:val="0D216214"/>
    <w:rsid w:val="0D2B8DD7"/>
    <w:rsid w:val="0D2E2F4C"/>
    <w:rsid w:val="0D2F834F"/>
    <w:rsid w:val="0D34AE4E"/>
    <w:rsid w:val="0D3F7BE4"/>
    <w:rsid w:val="0D3FFF70"/>
    <w:rsid w:val="0D41E670"/>
    <w:rsid w:val="0D43F31D"/>
    <w:rsid w:val="0D47AEF1"/>
    <w:rsid w:val="0D4C881B"/>
    <w:rsid w:val="0D55C034"/>
    <w:rsid w:val="0D584A89"/>
    <w:rsid w:val="0D65E04C"/>
    <w:rsid w:val="0D7B8AAD"/>
    <w:rsid w:val="0D7CFC42"/>
    <w:rsid w:val="0D891BCA"/>
    <w:rsid w:val="0D989254"/>
    <w:rsid w:val="0D9953C4"/>
    <w:rsid w:val="0D9D5FF2"/>
    <w:rsid w:val="0D9E9BE3"/>
    <w:rsid w:val="0DA0B070"/>
    <w:rsid w:val="0DBDFD9D"/>
    <w:rsid w:val="0DC2DB40"/>
    <w:rsid w:val="0DC2EAB3"/>
    <w:rsid w:val="0DC559C7"/>
    <w:rsid w:val="0DC5C8FC"/>
    <w:rsid w:val="0DDE1CE1"/>
    <w:rsid w:val="0DE1E1BF"/>
    <w:rsid w:val="0DE3FF87"/>
    <w:rsid w:val="0DEAC84E"/>
    <w:rsid w:val="0DEC0E91"/>
    <w:rsid w:val="0DF7EB90"/>
    <w:rsid w:val="0E08802E"/>
    <w:rsid w:val="0E0F3BD1"/>
    <w:rsid w:val="0E1E8B7D"/>
    <w:rsid w:val="0E2192E8"/>
    <w:rsid w:val="0E2601B2"/>
    <w:rsid w:val="0E2832DD"/>
    <w:rsid w:val="0E2B2EF1"/>
    <w:rsid w:val="0E2C1359"/>
    <w:rsid w:val="0E2DFB4C"/>
    <w:rsid w:val="0E3BCB82"/>
    <w:rsid w:val="0E43E7C9"/>
    <w:rsid w:val="0E46A0CD"/>
    <w:rsid w:val="0E4797A4"/>
    <w:rsid w:val="0E4DAA99"/>
    <w:rsid w:val="0E5ACAD1"/>
    <w:rsid w:val="0E5CBF36"/>
    <w:rsid w:val="0E5E84A3"/>
    <w:rsid w:val="0E6F4191"/>
    <w:rsid w:val="0E7FC849"/>
    <w:rsid w:val="0E84DD3D"/>
    <w:rsid w:val="0E8ACEA6"/>
    <w:rsid w:val="0E9FEFBD"/>
    <w:rsid w:val="0EA0385D"/>
    <w:rsid w:val="0EABE8FF"/>
    <w:rsid w:val="0EBA57C2"/>
    <w:rsid w:val="0EBB2A15"/>
    <w:rsid w:val="0EBCAC91"/>
    <w:rsid w:val="0EBF2934"/>
    <w:rsid w:val="0EC53948"/>
    <w:rsid w:val="0ECE9D63"/>
    <w:rsid w:val="0ED45DF9"/>
    <w:rsid w:val="0ED8390C"/>
    <w:rsid w:val="0EDC9BC2"/>
    <w:rsid w:val="0EDD7793"/>
    <w:rsid w:val="0EDDA28D"/>
    <w:rsid w:val="0EDEA570"/>
    <w:rsid w:val="0EE17E4A"/>
    <w:rsid w:val="0EE6F79D"/>
    <w:rsid w:val="0F013A3B"/>
    <w:rsid w:val="0F14C51C"/>
    <w:rsid w:val="0F18AD5C"/>
    <w:rsid w:val="0F1A619D"/>
    <w:rsid w:val="0F1D2D59"/>
    <w:rsid w:val="0F1F52F2"/>
    <w:rsid w:val="0F235894"/>
    <w:rsid w:val="0F2D3EB4"/>
    <w:rsid w:val="0F3116A7"/>
    <w:rsid w:val="0F3DA455"/>
    <w:rsid w:val="0F4AD59A"/>
    <w:rsid w:val="0F4C7C75"/>
    <w:rsid w:val="0F579AB5"/>
    <w:rsid w:val="0F5B49EE"/>
    <w:rsid w:val="0F6112FC"/>
    <w:rsid w:val="0F63E845"/>
    <w:rsid w:val="0F6A024A"/>
    <w:rsid w:val="0F855678"/>
    <w:rsid w:val="0FA1284D"/>
    <w:rsid w:val="0FA2C427"/>
    <w:rsid w:val="0FA8F0CE"/>
    <w:rsid w:val="0FAD6DB0"/>
    <w:rsid w:val="0FB096D9"/>
    <w:rsid w:val="0FBADA31"/>
    <w:rsid w:val="0FC08E6E"/>
    <w:rsid w:val="0FC8AB5A"/>
    <w:rsid w:val="0FC8E1E2"/>
    <w:rsid w:val="0FCA2F1E"/>
    <w:rsid w:val="0FD9ED63"/>
    <w:rsid w:val="0FDBC391"/>
    <w:rsid w:val="10166AAB"/>
    <w:rsid w:val="102DC6A4"/>
    <w:rsid w:val="1038A542"/>
    <w:rsid w:val="103B0EA1"/>
    <w:rsid w:val="103E3A49"/>
    <w:rsid w:val="104940EF"/>
    <w:rsid w:val="105063DA"/>
    <w:rsid w:val="106AF80E"/>
    <w:rsid w:val="10706491"/>
    <w:rsid w:val="1073A85C"/>
    <w:rsid w:val="108194AE"/>
    <w:rsid w:val="109CB4A7"/>
    <w:rsid w:val="109E2A48"/>
    <w:rsid w:val="10AC7DA8"/>
    <w:rsid w:val="10B1C810"/>
    <w:rsid w:val="10B796FB"/>
    <w:rsid w:val="10BB7745"/>
    <w:rsid w:val="10BDFC20"/>
    <w:rsid w:val="10C052CD"/>
    <w:rsid w:val="10C83EC3"/>
    <w:rsid w:val="10D9671A"/>
    <w:rsid w:val="1100A1F6"/>
    <w:rsid w:val="110519E5"/>
    <w:rsid w:val="110BE31A"/>
    <w:rsid w:val="11174EDC"/>
    <w:rsid w:val="11220EBE"/>
    <w:rsid w:val="112238F9"/>
    <w:rsid w:val="1128BDE7"/>
    <w:rsid w:val="1128CD97"/>
    <w:rsid w:val="1129E35E"/>
    <w:rsid w:val="113115F8"/>
    <w:rsid w:val="1137AB89"/>
    <w:rsid w:val="1138CC88"/>
    <w:rsid w:val="113B9C05"/>
    <w:rsid w:val="1142E8F7"/>
    <w:rsid w:val="1147DB0B"/>
    <w:rsid w:val="114CD5AD"/>
    <w:rsid w:val="1150C853"/>
    <w:rsid w:val="11658431"/>
    <w:rsid w:val="1167F6F4"/>
    <w:rsid w:val="11682E65"/>
    <w:rsid w:val="116E1F3B"/>
    <w:rsid w:val="117FD78B"/>
    <w:rsid w:val="118A2176"/>
    <w:rsid w:val="118F67CA"/>
    <w:rsid w:val="1193BB71"/>
    <w:rsid w:val="11A8D1E3"/>
    <w:rsid w:val="11A9EECA"/>
    <w:rsid w:val="11B66280"/>
    <w:rsid w:val="11B9530B"/>
    <w:rsid w:val="11C5FA23"/>
    <w:rsid w:val="11C604C7"/>
    <w:rsid w:val="11E03E20"/>
    <w:rsid w:val="11E1D456"/>
    <w:rsid w:val="11E47FCC"/>
    <w:rsid w:val="11E7F4F9"/>
    <w:rsid w:val="11EBF525"/>
    <w:rsid w:val="11F2E582"/>
    <w:rsid w:val="11F9DC78"/>
    <w:rsid w:val="1206FA29"/>
    <w:rsid w:val="12130651"/>
    <w:rsid w:val="1213D223"/>
    <w:rsid w:val="121868F1"/>
    <w:rsid w:val="121F1C23"/>
    <w:rsid w:val="12278420"/>
    <w:rsid w:val="122C421F"/>
    <w:rsid w:val="122CB9B3"/>
    <w:rsid w:val="123F021B"/>
    <w:rsid w:val="124D94B0"/>
    <w:rsid w:val="1252EB0D"/>
    <w:rsid w:val="1257FB01"/>
    <w:rsid w:val="12671207"/>
    <w:rsid w:val="126C2D6F"/>
    <w:rsid w:val="1276E719"/>
    <w:rsid w:val="1278C0F2"/>
    <w:rsid w:val="1281C522"/>
    <w:rsid w:val="12823044"/>
    <w:rsid w:val="12918908"/>
    <w:rsid w:val="1299EEA6"/>
    <w:rsid w:val="12AE61D8"/>
    <w:rsid w:val="12B2E49E"/>
    <w:rsid w:val="12C56D84"/>
    <w:rsid w:val="12D97F1D"/>
    <w:rsid w:val="12D9AE10"/>
    <w:rsid w:val="12E94BC4"/>
    <w:rsid w:val="12EC02B8"/>
    <w:rsid w:val="12F1EAF1"/>
    <w:rsid w:val="1303E6F6"/>
    <w:rsid w:val="130A36B4"/>
    <w:rsid w:val="130EB036"/>
    <w:rsid w:val="132961DA"/>
    <w:rsid w:val="133D9C68"/>
    <w:rsid w:val="133F3054"/>
    <w:rsid w:val="134E7CC2"/>
    <w:rsid w:val="1354F5C6"/>
    <w:rsid w:val="135D2BEE"/>
    <w:rsid w:val="136CEF2A"/>
    <w:rsid w:val="137A46F7"/>
    <w:rsid w:val="13839D21"/>
    <w:rsid w:val="1388D275"/>
    <w:rsid w:val="138B9F2A"/>
    <w:rsid w:val="1390E997"/>
    <w:rsid w:val="1391EF2E"/>
    <w:rsid w:val="13974D7F"/>
    <w:rsid w:val="139CF84F"/>
    <w:rsid w:val="139E6919"/>
    <w:rsid w:val="13AA2BDC"/>
    <w:rsid w:val="13B6AC20"/>
    <w:rsid w:val="13BAEF98"/>
    <w:rsid w:val="13BB870D"/>
    <w:rsid w:val="13BDA795"/>
    <w:rsid w:val="13C2EE97"/>
    <w:rsid w:val="13C75A88"/>
    <w:rsid w:val="13D1B202"/>
    <w:rsid w:val="13D25253"/>
    <w:rsid w:val="13DECE2C"/>
    <w:rsid w:val="13E167C0"/>
    <w:rsid w:val="13E70EAA"/>
    <w:rsid w:val="13EA8A62"/>
    <w:rsid w:val="13F0FF06"/>
    <w:rsid w:val="13FAFCBA"/>
    <w:rsid w:val="13FBFC91"/>
    <w:rsid w:val="1404D6A2"/>
    <w:rsid w:val="1415EE69"/>
    <w:rsid w:val="142AF7EA"/>
    <w:rsid w:val="142C4BE7"/>
    <w:rsid w:val="1433C888"/>
    <w:rsid w:val="144212DC"/>
    <w:rsid w:val="144489CC"/>
    <w:rsid w:val="14469FCF"/>
    <w:rsid w:val="144AC739"/>
    <w:rsid w:val="147584CE"/>
    <w:rsid w:val="14792495"/>
    <w:rsid w:val="148377F1"/>
    <w:rsid w:val="1488A202"/>
    <w:rsid w:val="148F306A"/>
    <w:rsid w:val="1497BB41"/>
    <w:rsid w:val="14CA276A"/>
    <w:rsid w:val="14D0623B"/>
    <w:rsid w:val="14D0CAB7"/>
    <w:rsid w:val="14D5CBA7"/>
    <w:rsid w:val="14D9B32B"/>
    <w:rsid w:val="14E09FCC"/>
    <w:rsid w:val="14E2E566"/>
    <w:rsid w:val="14FADD96"/>
    <w:rsid w:val="1518BA3C"/>
    <w:rsid w:val="151C2AE7"/>
    <w:rsid w:val="151CD334"/>
    <w:rsid w:val="15277B1F"/>
    <w:rsid w:val="152793F5"/>
    <w:rsid w:val="152FE328"/>
    <w:rsid w:val="153C6731"/>
    <w:rsid w:val="153E8E49"/>
    <w:rsid w:val="15447AF8"/>
    <w:rsid w:val="155A4BB4"/>
    <w:rsid w:val="1560D589"/>
    <w:rsid w:val="156A0C7A"/>
    <w:rsid w:val="156D8617"/>
    <w:rsid w:val="1570A035"/>
    <w:rsid w:val="1571EBF2"/>
    <w:rsid w:val="157ABCCB"/>
    <w:rsid w:val="157E2455"/>
    <w:rsid w:val="15990F14"/>
    <w:rsid w:val="159E43E2"/>
    <w:rsid w:val="15A26AF4"/>
    <w:rsid w:val="15A51D88"/>
    <w:rsid w:val="15A84B74"/>
    <w:rsid w:val="15AE7B35"/>
    <w:rsid w:val="15B8745D"/>
    <w:rsid w:val="15BE7AB8"/>
    <w:rsid w:val="15C51E02"/>
    <w:rsid w:val="15C9E6BD"/>
    <w:rsid w:val="15D0F5D1"/>
    <w:rsid w:val="15E66547"/>
    <w:rsid w:val="15F243C6"/>
    <w:rsid w:val="15F29893"/>
    <w:rsid w:val="160A6DBC"/>
    <w:rsid w:val="160CB6B5"/>
    <w:rsid w:val="16137456"/>
    <w:rsid w:val="161E3738"/>
    <w:rsid w:val="16205FA6"/>
    <w:rsid w:val="1638AC8E"/>
    <w:rsid w:val="163DC57F"/>
    <w:rsid w:val="1647E87A"/>
    <w:rsid w:val="1658648A"/>
    <w:rsid w:val="166A6D9E"/>
    <w:rsid w:val="166E5118"/>
    <w:rsid w:val="1676966B"/>
    <w:rsid w:val="167BD151"/>
    <w:rsid w:val="168885FC"/>
    <w:rsid w:val="1693E1D2"/>
    <w:rsid w:val="16950961"/>
    <w:rsid w:val="16A1FDF8"/>
    <w:rsid w:val="16ACC9B0"/>
    <w:rsid w:val="16B00CC9"/>
    <w:rsid w:val="16B05BB9"/>
    <w:rsid w:val="16B131E2"/>
    <w:rsid w:val="16C37585"/>
    <w:rsid w:val="16C82513"/>
    <w:rsid w:val="16CBE23D"/>
    <w:rsid w:val="16CDAA7C"/>
    <w:rsid w:val="16D18FEC"/>
    <w:rsid w:val="16E717C5"/>
    <w:rsid w:val="16EFC5C0"/>
    <w:rsid w:val="16FAD6A3"/>
    <w:rsid w:val="1700447B"/>
    <w:rsid w:val="1709A62C"/>
    <w:rsid w:val="170EE616"/>
    <w:rsid w:val="17181000"/>
    <w:rsid w:val="171C960C"/>
    <w:rsid w:val="1723D744"/>
    <w:rsid w:val="17275823"/>
    <w:rsid w:val="1735F478"/>
    <w:rsid w:val="1738EA7C"/>
    <w:rsid w:val="173CE9E2"/>
    <w:rsid w:val="173F4607"/>
    <w:rsid w:val="17570110"/>
    <w:rsid w:val="1757EB37"/>
    <w:rsid w:val="175E3C77"/>
    <w:rsid w:val="175F3D9E"/>
    <w:rsid w:val="17694848"/>
    <w:rsid w:val="176999D3"/>
    <w:rsid w:val="176E9495"/>
    <w:rsid w:val="17706552"/>
    <w:rsid w:val="17729AEA"/>
    <w:rsid w:val="17735F4A"/>
    <w:rsid w:val="177A8287"/>
    <w:rsid w:val="178A56FD"/>
    <w:rsid w:val="178C6D32"/>
    <w:rsid w:val="17946884"/>
    <w:rsid w:val="17A0C76B"/>
    <w:rsid w:val="17B22E7F"/>
    <w:rsid w:val="17B6A1DB"/>
    <w:rsid w:val="17B73CD8"/>
    <w:rsid w:val="17B9E0CE"/>
    <w:rsid w:val="17BC3B70"/>
    <w:rsid w:val="17C03291"/>
    <w:rsid w:val="17C8292A"/>
    <w:rsid w:val="17D4D83A"/>
    <w:rsid w:val="17DBB158"/>
    <w:rsid w:val="17EB01C9"/>
    <w:rsid w:val="17EE5FE2"/>
    <w:rsid w:val="17F5A720"/>
    <w:rsid w:val="17FDA69B"/>
    <w:rsid w:val="1800E40D"/>
    <w:rsid w:val="1810F912"/>
    <w:rsid w:val="181F8429"/>
    <w:rsid w:val="18238774"/>
    <w:rsid w:val="182563AB"/>
    <w:rsid w:val="182D9B49"/>
    <w:rsid w:val="18402385"/>
    <w:rsid w:val="1840E68F"/>
    <w:rsid w:val="184D532F"/>
    <w:rsid w:val="184DA27E"/>
    <w:rsid w:val="185A0865"/>
    <w:rsid w:val="185F34B7"/>
    <w:rsid w:val="186DDB38"/>
    <w:rsid w:val="18765960"/>
    <w:rsid w:val="18842005"/>
    <w:rsid w:val="1884F268"/>
    <w:rsid w:val="18868F13"/>
    <w:rsid w:val="18894E6C"/>
    <w:rsid w:val="189E2852"/>
    <w:rsid w:val="18AAE79D"/>
    <w:rsid w:val="18AAFFEB"/>
    <w:rsid w:val="18C7A40A"/>
    <w:rsid w:val="18D3840E"/>
    <w:rsid w:val="18E09CD3"/>
    <w:rsid w:val="18E3FC12"/>
    <w:rsid w:val="18EA4651"/>
    <w:rsid w:val="18EBA899"/>
    <w:rsid w:val="18FE4E5A"/>
    <w:rsid w:val="1908A767"/>
    <w:rsid w:val="1913C670"/>
    <w:rsid w:val="1917024D"/>
    <w:rsid w:val="19205CEE"/>
    <w:rsid w:val="1922A38D"/>
    <w:rsid w:val="193499DF"/>
    <w:rsid w:val="1949DE4D"/>
    <w:rsid w:val="1957C180"/>
    <w:rsid w:val="196C88E4"/>
    <w:rsid w:val="196FEA56"/>
    <w:rsid w:val="1970CB56"/>
    <w:rsid w:val="19723DF3"/>
    <w:rsid w:val="197B5B89"/>
    <w:rsid w:val="197C9FFE"/>
    <w:rsid w:val="1981EF20"/>
    <w:rsid w:val="198E86B9"/>
    <w:rsid w:val="198FA94F"/>
    <w:rsid w:val="1993079A"/>
    <w:rsid w:val="19A39358"/>
    <w:rsid w:val="19B972C0"/>
    <w:rsid w:val="19BA2365"/>
    <w:rsid w:val="19BCCD03"/>
    <w:rsid w:val="19C35C3C"/>
    <w:rsid w:val="19D45556"/>
    <w:rsid w:val="19D979DA"/>
    <w:rsid w:val="19DBC569"/>
    <w:rsid w:val="19E2ACC5"/>
    <w:rsid w:val="19E685A5"/>
    <w:rsid w:val="19FB6FB7"/>
    <w:rsid w:val="1A0803C0"/>
    <w:rsid w:val="1A0C1CFB"/>
    <w:rsid w:val="1A1203C5"/>
    <w:rsid w:val="1A1BC96C"/>
    <w:rsid w:val="1A1D6DF7"/>
    <w:rsid w:val="1A1D8659"/>
    <w:rsid w:val="1A302255"/>
    <w:rsid w:val="1A308AD6"/>
    <w:rsid w:val="1A48543F"/>
    <w:rsid w:val="1A4F8700"/>
    <w:rsid w:val="1A679FE5"/>
    <w:rsid w:val="1A68AA1B"/>
    <w:rsid w:val="1A6CF85E"/>
    <w:rsid w:val="1A6FDB04"/>
    <w:rsid w:val="1A74D263"/>
    <w:rsid w:val="1A77CB61"/>
    <w:rsid w:val="1A9DA3A3"/>
    <w:rsid w:val="1A9F7C03"/>
    <w:rsid w:val="1AA966DA"/>
    <w:rsid w:val="1AAD6C05"/>
    <w:rsid w:val="1AB6AFB9"/>
    <w:rsid w:val="1AB743D2"/>
    <w:rsid w:val="1ABA3FAB"/>
    <w:rsid w:val="1ABF86F7"/>
    <w:rsid w:val="1ABFD2EB"/>
    <w:rsid w:val="1AC17D53"/>
    <w:rsid w:val="1AC6F08F"/>
    <w:rsid w:val="1AC90355"/>
    <w:rsid w:val="1AC96770"/>
    <w:rsid w:val="1AD75467"/>
    <w:rsid w:val="1AEC1D8A"/>
    <w:rsid w:val="1AEE607F"/>
    <w:rsid w:val="1B0D2D51"/>
    <w:rsid w:val="1B22209F"/>
    <w:rsid w:val="1B26AD68"/>
    <w:rsid w:val="1B2BD5AD"/>
    <w:rsid w:val="1B2EF6A3"/>
    <w:rsid w:val="1B355D85"/>
    <w:rsid w:val="1B54C3AF"/>
    <w:rsid w:val="1B5A3887"/>
    <w:rsid w:val="1B5B1269"/>
    <w:rsid w:val="1B650227"/>
    <w:rsid w:val="1B6D0E39"/>
    <w:rsid w:val="1B77E402"/>
    <w:rsid w:val="1B78175A"/>
    <w:rsid w:val="1B78C6C9"/>
    <w:rsid w:val="1B7E7566"/>
    <w:rsid w:val="1B818C13"/>
    <w:rsid w:val="1B8B2611"/>
    <w:rsid w:val="1B8C36F7"/>
    <w:rsid w:val="1B9A72C1"/>
    <w:rsid w:val="1B9C9754"/>
    <w:rsid w:val="1BA6D037"/>
    <w:rsid w:val="1BABEB19"/>
    <w:rsid w:val="1BAF0754"/>
    <w:rsid w:val="1BB0730D"/>
    <w:rsid w:val="1BDB9997"/>
    <w:rsid w:val="1BDD246A"/>
    <w:rsid w:val="1BEB5DEB"/>
    <w:rsid w:val="1BEDE8E2"/>
    <w:rsid w:val="1C150C53"/>
    <w:rsid w:val="1C337B17"/>
    <w:rsid w:val="1C36B23E"/>
    <w:rsid w:val="1C396400"/>
    <w:rsid w:val="1C3FAD30"/>
    <w:rsid w:val="1C514E26"/>
    <w:rsid w:val="1C53BD3B"/>
    <w:rsid w:val="1C56C7EA"/>
    <w:rsid w:val="1C58C72E"/>
    <w:rsid w:val="1C5D56F0"/>
    <w:rsid w:val="1C69BC4D"/>
    <w:rsid w:val="1C96903B"/>
    <w:rsid w:val="1CAD4687"/>
    <w:rsid w:val="1CAF3F21"/>
    <w:rsid w:val="1CB3886F"/>
    <w:rsid w:val="1CB40DBE"/>
    <w:rsid w:val="1CBABB1D"/>
    <w:rsid w:val="1CD12DE6"/>
    <w:rsid w:val="1CDB72F9"/>
    <w:rsid w:val="1CDB8626"/>
    <w:rsid w:val="1CDCAA23"/>
    <w:rsid w:val="1CE0C430"/>
    <w:rsid w:val="1CE6E713"/>
    <w:rsid w:val="1CE75796"/>
    <w:rsid w:val="1CEF1010"/>
    <w:rsid w:val="1CF5F659"/>
    <w:rsid w:val="1D2234B0"/>
    <w:rsid w:val="1D2677FC"/>
    <w:rsid w:val="1D2A954F"/>
    <w:rsid w:val="1D2CB9FD"/>
    <w:rsid w:val="1D4078AC"/>
    <w:rsid w:val="1D452940"/>
    <w:rsid w:val="1D59B507"/>
    <w:rsid w:val="1D5EF3BA"/>
    <w:rsid w:val="1D60A505"/>
    <w:rsid w:val="1D62154F"/>
    <w:rsid w:val="1D646FAC"/>
    <w:rsid w:val="1D6659AB"/>
    <w:rsid w:val="1D71F9FB"/>
    <w:rsid w:val="1D78FB90"/>
    <w:rsid w:val="1D81B4FF"/>
    <w:rsid w:val="1D8BCCE2"/>
    <w:rsid w:val="1D93D499"/>
    <w:rsid w:val="1D96E52D"/>
    <w:rsid w:val="1D994212"/>
    <w:rsid w:val="1DA6C35B"/>
    <w:rsid w:val="1DAAFDF3"/>
    <w:rsid w:val="1DAB6F4D"/>
    <w:rsid w:val="1DAD45EB"/>
    <w:rsid w:val="1DADB08A"/>
    <w:rsid w:val="1DBB15B0"/>
    <w:rsid w:val="1DC19C0D"/>
    <w:rsid w:val="1DFB3117"/>
    <w:rsid w:val="1DFE0300"/>
    <w:rsid w:val="1E198E1C"/>
    <w:rsid w:val="1E1AE4C4"/>
    <w:rsid w:val="1E1F72C6"/>
    <w:rsid w:val="1E2DBB5D"/>
    <w:rsid w:val="1E3C7D1D"/>
    <w:rsid w:val="1E4554C4"/>
    <w:rsid w:val="1E48DA1E"/>
    <w:rsid w:val="1E4A1E9A"/>
    <w:rsid w:val="1E54E3BA"/>
    <w:rsid w:val="1E6BCAFA"/>
    <w:rsid w:val="1E71FE75"/>
    <w:rsid w:val="1E76857E"/>
    <w:rsid w:val="1E7A50C6"/>
    <w:rsid w:val="1E9E32D6"/>
    <w:rsid w:val="1EA0688D"/>
    <w:rsid w:val="1EB125AE"/>
    <w:rsid w:val="1EB24E4D"/>
    <w:rsid w:val="1EB8730D"/>
    <w:rsid w:val="1EC23091"/>
    <w:rsid w:val="1EC29839"/>
    <w:rsid w:val="1EC3C301"/>
    <w:rsid w:val="1EC87AD7"/>
    <w:rsid w:val="1ECF705B"/>
    <w:rsid w:val="1ED9FCC3"/>
    <w:rsid w:val="1EDB65B9"/>
    <w:rsid w:val="1EDB6F72"/>
    <w:rsid w:val="1EDC138E"/>
    <w:rsid w:val="1EE63166"/>
    <w:rsid w:val="1EED2389"/>
    <w:rsid w:val="1EEF0ED1"/>
    <w:rsid w:val="1EF39C9C"/>
    <w:rsid w:val="1EF9925A"/>
    <w:rsid w:val="1EFDA965"/>
    <w:rsid w:val="1F09B597"/>
    <w:rsid w:val="1F1CF5D7"/>
    <w:rsid w:val="1F1EDF6E"/>
    <w:rsid w:val="1F238AD6"/>
    <w:rsid w:val="1F248A00"/>
    <w:rsid w:val="1F468C94"/>
    <w:rsid w:val="1F4C9E6E"/>
    <w:rsid w:val="1F5F35AE"/>
    <w:rsid w:val="1F6A0397"/>
    <w:rsid w:val="1F7D2C0D"/>
    <w:rsid w:val="1F8080B9"/>
    <w:rsid w:val="1F81749B"/>
    <w:rsid w:val="1F8577FA"/>
    <w:rsid w:val="1F8C93A9"/>
    <w:rsid w:val="1F8FA4EF"/>
    <w:rsid w:val="1FA0D653"/>
    <w:rsid w:val="1FB80FE5"/>
    <w:rsid w:val="1FBEAA4F"/>
    <w:rsid w:val="1FE5E3C4"/>
    <w:rsid w:val="1FE87786"/>
    <w:rsid w:val="1FFFEE22"/>
    <w:rsid w:val="2008A66F"/>
    <w:rsid w:val="200A106D"/>
    <w:rsid w:val="20102EF2"/>
    <w:rsid w:val="2015EDE5"/>
    <w:rsid w:val="201AC111"/>
    <w:rsid w:val="201B564F"/>
    <w:rsid w:val="201C6703"/>
    <w:rsid w:val="2020AE02"/>
    <w:rsid w:val="20212457"/>
    <w:rsid w:val="203A3B98"/>
    <w:rsid w:val="2048D8B3"/>
    <w:rsid w:val="204C9972"/>
    <w:rsid w:val="20582036"/>
    <w:rsid w:val="2062170D"/>
    <w:rsid w:val="2064B968"/>
    <w:rsid w:val="2065D05B"/>
    <w:rsid w:val="207B977C"/>
    <w:rsid w:val="209378E1"/>
    <w:rsid w:val="209A0DEF"/>
    <w:rsid w:val="209F95AF"/>
    <w:rsid w:val="20A38F60"/>
    <w:rsid w:val="20A4BBAF"/>
    <w:rsid w:val="20A5E18A"/>
    <w:rsid w:val="20ACE559"/>
    <w:rsid w:val="20AF3CEF"/>
    <w:rsid w:val="20BA7D42"/>
    <w:rsid w:val="20C0020C"/>
    <w:rsid w:val="20C30056"/>
    <w:rsid w:val="20D86D22"/>
    <w:rsid w:val="20D973E6"/>
    <w:rsid w:val="20DE0365"/>
    <w:rsid w:val="20E05C5B"/>
    <w:rsid w:val="20F3C150"/>
    <w:rsid w:val="20F4EDD3"/>
    <w:rsid w:val="20F9F5F6"/>
    <w:rsid w:val="20FAE798"/>
    <w:rsid w:val="211299D1"/>
    <w:rsid w:val="21232307"/>
    <w:rsid w:val="21295E1B"/>
    <w:rsid w:val="212A2393"/>
    <w:rsid w:val="215C4C2F"/>
    <w:rsid w:val="215CB072"/>
    <w:rsid w:val="216879C7"/>
    <w:rsid w:val="216901D9"/>
    <w:rsid w:val="21736B6A"/>
    <w:rsid w:val="2173F2B0"/>
    <w:rsid w:val="217BF032"/>
    <w:rsid w:val="218AE9C3"/>
    <w:rsid w:val="219047DD"/>
    <w:rsid w:val="21916223"/>
    <w:rsid w:val="219E40BD"/>
    <w:rsid w:val="21B46B2C"/>
    <w:rsid w:val="21C01CCA"/>
    <w:rsid w:val="21CA7452"/>
    <w:rsid w:val="21D25722"/>
    <w:rsid w:val="21D3C242"/>
    <w:rsid w:val="21D65254"/>
    <w:rsid w:val="21DFD276"/>
    <w:rsid w:val="21E9903D"/>
    <w:rsid w:val="21E9C78E"/>
    <w:rsid w:val="21EC68B3"/>
    <w:rsid w:val="21EF78F1"/>
    <w:rsid w:val="21F83C1D"/>
    <w:rsid w:val="21FC655A"/>
    <w:rsid w:val="221EBBF5"/>
    <w:rsid w:val="223834B7"/>
    <w:rsid w:val="2239AAEE"/>
    <w:rsid w:val="223E5E26"/>
    <w:rsid w:val="224F6C42"/>
    <w:rsid w:val="2250017A"/>
    <w:rsid w:val="22526290"/>
    <w:rsid w:val="226B8FD8"/>
    <w:rsid w:val="227660B3"/>
    <w:rsid w:val="2278B789"/>
    <w:rsid w:val="227D0818"/>
    <w:rsid w:val="2289FD59"/>
    <w:rsid w:val="22972051"/>
    <w:rsid w:val="22996A7E"/>
    <w:rsid w:val="22A739F7"/>
    <w:rsid w:val="22B5D28E"/>
    <w:rsid w:val="22C00678"/>
    <w:rsid w:val="22C91601"/>
    <w:rsid w:val="22CAACBF"/>
    <w:rsid w:val="22CCBDB0"/>
    <w:rsid w:val="22DCC97E"/>
    <w:rsid w:val="22E86531"/>
    <w:rsid w:val="22EC4BC9"/>
    <w:rsid w:val="22F89ACD"/>
    <w:rsid w:val="230DF83A"/>
    <w:rsid w:val="230F4825"/>
    <w:rsid w:val="23192297"/>
    <w:rsid w:val="231A7F83"/>
    <w:rsid w:val="232F4CAB"/>
    <w:rsid w:val="2334022D"/>
    <w:rsid w:val="2338145E"/>
    <w:rsid w:val="2341EBC9"/>
    <w:rsid w:val="234358D3"/>
    <w:rsid w:val="234995C6"/>
    <w:rsid w:val="234AF229"/>
    <w:rsid w:val="2353E153"/>
    <w:rsid w:val="23681DAF"/>
    <w:rsid w:val="236E42E7"/>
    <w:rsid w:val="23802C09"/>
    <w:rsid w:val="2384F440"/>
    <w:rsid w:val="2399B7CF"/>
    <w:rsid w:val="23ABF64A"/>
    <w:rsid w:val="23B2F5FB"/>
    <w:rsid w:val="23B91D7A"/>
    <w:rsid w:val="23BA960C"/>
    <w:rsid w:val="23BF0B61"/>
    <w:rsid w:val="23CA3745"/>
    <w:rsid w:val="23D7F92B"/>
    <w:rsid w:val="23E03B22"/>
    <w:rsid w:val="23EECF11"/>
    <w:rsid w:val="23EEF853"/>
    <w:rsid w:val="23F615B2"/>
    <w:rsid w:val="23F6B85E"/>
    <w:rsid w:val="23FB1D8D"/>
    <w:rsid w:val="2403AEA2"/>
    <w:rsid w:val="24062955"/>
    <w:rsid w:val="24089561"/>
    <w:rsid w:val="240F9AB1"/>
    <w:rsid w:val="2414E8BB"/>
    <w:rsid w:val="2425102E"/>
    <w:rsid w:val="242ADB3B"/>
    <w:rsid w:val="2438F142"/>
    <w:rsid w:val="2450AC4B"/>
    <w:rsid w:val="24514A3E"/>
    <w:rsid w:val="2457D68F"/>
    <w:rsid w:val="245B65AB"/>
    <w:rsid w:val="2467BF81"/>
    <w:rsid w:val="246D8D9A"/>
    <w:rsid w:val="246F12AA"/>
    <w:rsid w:val="2473BEEB"/>
    <w:rsid w:val="247CEAD4"/>
    <w:rsid w:val="24928287"/>
    <w:rsid w:val="249341D9"/>
    <w:rsid w:val="249B2EC3"/>
    <w:rsid w:val="249E6C2F"/>
    <w:rsid w:val="24A9EE70"/>
    <w:rsid w:val="24AF783F"/>
    <w:rsid w:val="24B91FCF"/>
    <w:rsid w:val="24BEE4E4"/>
    <w:rsid w:val="24BFB96E"/>
    <w:rsid w:val="24C408F8"/>
    <w:rsid w:val="24D34CB3"/>
    <w:rsid w:val="24DC7CDC"/>
    <w:rsid w:val="24E191AC"/>
    <w:rsid w:val="24E94A2E"/>
    <w:rsid w:val="24EA16AD"/>
    <w:rsid w:val="24F0D663"/>
    <w:rsid w:val="24F4060B"/>
    <w:rsid w:val="25018462"/>
    <w:rsid w:val="2504CB28"/>
    <w:rsid w:val="250D8945"/>
    <w:rsid w:val="250FD028"/>
    <w:rsid w:val="2524A38E"/>
    <w:rsid w:val="2534430E"/>
    <w:rsid w:val="2534952D"/>
    <w:rsid w:val="2534E0BA"/>
    <w:rsid w:val="253B5E18"/>
    <w:rsid w:val="2544725D"/>
    <w:rsid w:val="254E0AD8"/>
    <w:rsid w:val="2551B470"/>
    <w:rsid w:val="25564C49"/>
    <w:rsid w:val="2556EA31"/>
    <w:rsid w:val="255ACBF8"/>
    <w:rsid w:val="256481BE"/>
    <w:rsid w:val="25711053"/>
    <w:rsid w:val="2574A0FD"/>
    <w:rsid w:val="257EA6C1"/>
    <w:rsid w:val="257F774D"/>
    <w:rsid w:val="25815384"/>
    <w:rsid w:val="2588233B"/>
    <w:rsid w:val="259CBEF4"/>
    <w:rsid w:val="259EECA1"/>
    <w:rsid w:val="25A0D277"/>
    <w:rsid w:val="25A82A44"/>
    <w:rsid w:val="25B13B27"/>
    <w:rsid w:val="25B667C1"/>
    <w:rsid w:val="25C90464"/>
    <w:rsid w:val="25D9C99C"/>
    <w:rsid w:val="25EB9AD5"/>
    <w:rsid w:val="25EF13FE"/>
    <w:rsid w:val="25F0F134"/>
    <w:rsid w:val="25F3FAEB"/>
    <w:rsid w:val="25F565F2"/>
    <w:rsid w:val="25F893FA"/>
    <w:rsid w:val="25FBAC68"/>
    <w:rsid w:val="25FD56F9"/>
    <w:rsid w:val="25FD9045"/>
    <w:rsid w:val="2609D806"/>
    <w:rsid w:val="260BA908"/>
    <w:rsid w:val="261BAA55"/>
    <w:rsid w:val="261FDA98"/>
    <w:rsid w:val="262167B4"/>
    <w:rsid w:val="2621CC5B"/>
    <w:rsid w:val="262B8C5D"/>
    <w:rsid w:val="2634DC4F"/>
    <w:rsid w:val="26363321"/>
    <w:rsid w:val="2639326D"/>
    <w:rsid w:val="263C023E"/>
    <w:rsid w:val="263F89BB"/>
    <w:rsid w:val="26403B62"/>
    <w:rsid w:val="26451D65"/>
    <w:rsid w:val="26573652"/>
    <w:rsid w:val="266D5964"/>
    <w:rsid w:val="26803524"/>
    <w:rsid w:val="2687BDA7"/>
    <w:rsid w:val="268ACC8F"/>
    <w:rsid w:val="26964902"/>
    <w:rsid w:val="269C2DD4"/>
    <w:rsid w:val="26B1316B"/>
    <w:rsid w:val="26BB1893"/>
    <w:rsid w:val="26BF7F06"/>
    <w:rsid w:val="26C0ECEE"/>
    <w:rsid w:val="26C64E13"/>
    <w:rsid w:val="26C6A1F0"/>
    <w:rsid w:val="26CE3662"/>
    <w:rsid w:val="26CF97FC"/>
    <w:rsid w:val="26D344B8"/>
    <w:rsid w:val="26D4078E"/>
    <w:rsid w:val="26D74456"/>
    <w:rsid w:val="26ECFD1A"/>
    <w:rsid w:val="26FA2558"/>
    <w:rsid w:val="271B9B74"/>
    <w:rsid w:val="271DAA8D"/>
    <w:rsid w:val="2726DD29"/>
    <w:rsid w:val="272F0E61"/>
    <w:rsid w:val="273CF135"/>
    <w:rsid w:val="273FFA94"/>
    <w:rsid w:val="2744E9B5"/>
    <w:rsid w:val="2757B442"/>
    <w:rsid w:val="2758D835"/>
    <w:rsid w:val="2758F4C1"/>
    <w:rsid w:val="2760B595"/>
    <w:rsid w:val="27616976"/>
    <w:rsid w:val="27664A46"/>
    <w:rsid w:val="2768133E"/>
    <w:rsid w:val="276E904E"/>
    <w:rsid w:val="2770032B"/>
    <w:rsid w:val="2775BE7F"/>
    <w:rsid w:val="277C98C0"/>
    <w:rsid w:val="2787853B"/>
    <w:rsid w:val="2798015C"/>
    <w:rsid w:val="279E1F88"/>
    <w:rsid w:val="279F8887"/>
    <w:rsid w:val="27A22D38"/>
    <w:rsid w:val="27A2C93A"/>
    <w:rsid w:val="27B6BB17"/>
    <w:rsid w:val="27BC106C"/>
    <w:rsid w:val="27CE1262"/>
    <w:rsid w:val="27CE8B32"/>
    <w:rsid w:val="27D6094D"/>
    <w:rsid w:val="27DEC7EE"/>
    <w:rsid w:val="27EC99C0"/>
    <w:rsid w:val="27ED419B"/>
    <w:rsid w:val="27F1A25C"/>
    <w:rsid w:val="27F8F2C3"/>
    <w:rsid w:val="27FD1BAC"/>
    <w:rsid w:val="27FF3DB7"/>
    <w:rsid w:val="2803E9CD"/>
    <w:rsid w:val="2806CE41"/>
    <w:rsid w:val="280D0C46"/>
    <w:rsid w:val="28124A89"/>
    <w:rsid w:val="2830C43A"/>
    <w:rsid w:val="2833C00D"/>
    <w:rsid w:val="2844CD96"/>
    <w:rsid w:val="28505D49"/>
    <w:rsid w:val="285ABF26"/>
    <w:rsid w:val="285B6236"/>
    <w:rsid w:val="28629CDE"/>
    <w:rsid w:val="286B2242"/>
    <w:rsid w:val="286BCEEA"/>
    <w:rsid w:val="286DB93D"/>
    <w:rsid w:val="2870C4BA"/>
    <w:rsid w:val="2890B5E9"/>
    <w:rsid w:val="28B4F1FF"/>
    <w:rsid w:val="28BCF115"/>
    <w:rsid w:val="28C2A51E"/>
    <w:rsid w:val="28C5A92B"/>
    <w:rsid w:val="28DFD23A"/>
    <w:rsid w:val="28EFC200"/>
    <w:rsid w:val="28FE2C93"/>
    <w:rsid w:val="2901A3A3"/>
    <w:rsid w:val="2906C9A3"/>
    <w:rsid w:val="291A5D06"/>
    <w:rsid w:val="29223374"/>
    <w:rsid w:val="2922A41F"/>
    <w:rsid w:val="292CDF92"/>
    <w:rsid w:val="293E63E6"/>
    <w:rsid w:val="2943A2DC"/>
    <w:rsid w:val="295149A4"/>
    <w:rsid w:val="2952241E"/>
    <w:rsid w:val="295378E5"/>
    <w:rsid w:val="29709C7E"/>
    <w:rsid w:val="2977E210"/>
    <w:rsid w:val="297AB974"/>
    <w:rsid w:val="297CE08E"/>
    <w:rsid w:val="29809FF0"/>
    <w:rsid w:val="29852F58"/>
    <w:rsid w:val="298C9838"/>
    <w:rsid w:val="298F09CC"/>
    <w:rsid w:val="298F5ABF"/>
    <w:rsid w:val="29912D55"/>
    <w:rsid w:val="2998FC5A"/>
    <w:rsid w:val="29B8D089"/>
    <w:rsid w:val="29D912AB"/>
    <w:rsid w:val="29D96EA3"/>
    <w:rsid w:val="29DAA338"/>
    <w:rsid w:val="29DD9D9C"/>
    <w:rsid w:val="29E6276A"/>
    <w:rsid w:val="2A0F1011"/>
    <w:rsid w:val="2A109E96"/>
    <w:rsid w:val="2A21072C"/>
    <w:rsid w:val="2A218014"/>
    <w:rsid w:val="2A235C00"/>
    <w:rsid w:val="2A3FA542"/>
    <w:rsid w:val="2A4B4F36"/>
    <w:rsid w:val="2A4B83BF"/>
    <w:rsid w:val="2A50902B"/>
    <w:rsid w:val="2A6B5422"/>
    <w:rsid w:val="2A787B93"/>
    <w:rsid w:val="2A891837"/>
    <w:rsid w:val="2A8D60A7"/>
    <w:rsid w:val="2A903916"/>
    <w:rsid w:val="2A98C851"/>
    <w:rsid w:val="2A9BFCC4"/>
    <w:rsid w:val="2A9FDC1D"/>
    <w:rsid w:val="2AAD14C9"/>
    <w:rsid w:val="2AAE7CA6"/>
    <w:rsid w:val="2AB818B6"/>
    <w:rsid w:val="2ACCED12"/>
    <w:rsid w:val="2AD02334"/>
    <w:rsid w:val="2AD87EFE"/>
    <w:rsid w:val="2AEEBDFB"/>
    <w:rsid w:val="2AF39602"/>
    <w:rsid w:val="2AF8B93E"/>
    <w:rsid w:val="2AFDB4EF"/>
    <w:rsid w:val="2B0224AE"/>
    <w:rsid w:val="2B06DCFC"/>
    <w:rsid w:val="2B0BD10D"/>
    <w:rsid w:val="2B0F1180"/>
    <w:rsid w:val="2B0F30E8"/>
    <w:rsid w:val="2B13747B"/>
    <w:rsid w:val="2B13855F"/>
    <w:rsid w:val="2B31217D"/>
    <w:rsid w:val="2B397102"/>
    <w:rsid w:val="2B3EC69C"/>
    <w:rsid w:val="2B3ECE10"/>
    <w:rsid w:val="2B46567C"/>
    <w:rsid w:val="2B4A79A0"/>
    <w:rsid w:val="2B4F4E6A"/>
    <w:rsid w:val="2B6678F3"/>
    <w:rsid w:val="2B696BF5"/>
    <w:rsid w:val="2B7B3C00"/>
    <w:rsid w:val="2B7E2F7B"/>
    <w:rsid w:val="2B7FEBC6"/>
    <w:rsid w:val="2B92F948"/>
    <w:rsid w:val="2B9AC6C9"/>
    <w:rsid w:val="2B9EE11C"/>
    <w:rsid w:val="2BB9DB8E"/>
    <w:rsid w:val="2BC482D5"/>
    <w:rsid w:val="2BCA3460"/>
    <w:rsid w:val="2BD51F5A"/>
    <w:rsid w:val="2BD82C5C"/>
    <w:rsid w:val="2BE3165F"/>
    <w:rsid w:val="2BE7A127"/>
    <w:rsid w:val="2BEC0271"/>
    <w:rsid w:val="2BF6BB1B"/>
    <w:rsid w:val="2BFA06E3"/>
    <w:rsid w:val="2C0DDA59"/>
    <w:rsid w:val="2C0E76F1"/>
    <w:rsid w:val="2C164AF3"/>
    <w:rsid w:val="2C1EB15B"/>
    <w:rsid w:val="2C25435F"/>
    <w:rsid w:val="2C2ADA87"/>
    <w:rsid w:val="2C2CBC77"/>
    <w:rsid w:val="2C31C21A"/>
    <w:rsid w:val="2C3263D7"/>
    <w:rsid w:val="2C42B116"/>
    <w:rsid w:val="2C4436A3"/>
    <w:rsid w:val="2C468B10"/>
    <w:rsid w:val="2C49A27C"/>
    <w:rsid w:val="2C54E8EE"/>
    <w:rsid w:val="2C55098F"/>
    <w:rsid w:val="2C55B3BC"/>
    <w:rsid w:val="2C5F993F"/>
    <w:rsid w:val="2C61504D"/>
    <w:rsid w:val="2C6DFA3E"/>
    <w:rsid w:val="2C6E726F"/>
    <w:rsid w:val="2C784198"/>
    <w:rsid w:val="2C850EA0"/>
    <w:rsid w:val="2C86AD45"/>
    <w:rsid w:val="2C90E10E"/>
    <w:rsid w:val="2C964905"/>
    <w:rsid w:val="2C9D8D25"/>
    <w:rsid w:val="2C9E5322"/>
    <w:rsid w:val="2CA22178"/>
    <w:rsid w:val="2CA3AA18"/>
    <w:rsid w:val="2CA7A390"/>
    <w:rsid w:val="2CAC2E7A"/>
    <w:rsid w:val="2CB85C67"/>
    <w:rsid w:val="2CC073D9"/>
    <w:rsid w:val="2CC46DEE"/>
    <w:rsid w:val="2CCD9DD3"/>
    <w:rsid w:val="2CCE2953"/>
    <w:rsid w:val="2CCFFEF9"/>
    <w:rsid w:val="2CD53668"/>
    <w:rsid w:val="2CDABD53"/>
    <w:rsid w:val="2CDE5B2E"/>
    <w:rsid w:val="2CE4516C"/>
    <w:rsid w:val="2CE66582"/>
    <w:rsid w:val="2CF1D849"/>
    <w:rsid w:val="2CF3A810"/>
    <w:rsid w:val="2CF6AA53"/>
    <w:rsid w:val="2CF7D36D"/>
    <w:rsid w:val="2CFB4FAE"/>
    <w:rsid w:val="2CFC27CC"/>
    <w:rsid w:val="2CFE4973"/>
    <w:rsid w:val="2D0287A9"/>
    <w:rsid w:val="2D0C2042"/>
    <w:rsid w:val="2D0D719B"/>
    <w:rsid w:val="2D0F24D2"/>
    <w:rsid w:val="2D14556D"/>
    <w:rsid w:val="2D22EABF"/>
    <w:rsid w:val="2D41201E"/>
    <w:rsid w:val="2D4A4567"/>
    <w:rsid w:val="2D4FFC02"/>
    <w:rsid w:val="2D55CF7F"/>
    <w:rsid w:val="2D6141CF"/>
    <w:rsid w:val="2D63394A"/>
    <w:rsid w:val="2D6A5204"/>
    <w:rsid w:val="2D7C0BD7"/>
    <w:rsid w:val="2D837188"/>
    <w:rsid w:val="2D943DE6"/>
    <w:rsid w:val="2D957B48"/>
    <w:rsid w:val="2D971787"/>
    <w:rsid w:val="2DB9E4D7"/>
    <w:rsid w:val="2DC5BADC"/>
    <w:rsid w:val="2DD052E7"/>
    <w:rsid w:val="2DD265DD"/>
    <w:rsid w:val="2DE5C5E7"/>
    <w:rsid w:val="2DE79AF0"/>
    <w:rsid w:val="2DF3413F"/>
    <w:rsid w:val="2DF4697E"/>
    <w:rsid w:val="2E05AAC2"/>
    <w:rsid w:val="2E0DF04A"/>
    <w:rsid w:val="2E159B18"/>
    <w:rsid w:val="2E1FA7B7"/>
    <w:rsid w:val="2E2A0C2C"/>
    <w:rsid w:val="2E2D9CF6"/>
    <w:rsid w:val="2E31EEB4"/>
    <w:rsid w:val="2E32D757"/>
    <w:rsid w:val="2E34A098"/>
    <w:rsid w:val="2E35C49D"/>
    <w:rsid w:val="2E50AF8D"/>
    <w:rsid w:val="2E7FF89C"/>
    <w:rsid w:val="2E8D513C"/>
    <w:rsid w:val="2EA4FBEA"/>
    <w:rsid w:val="2EAA2C4E"/>
    <w:rsid w:val="2EB4F172"/>
    <w:rsid w:val="2EC16E3A"/>
    <w:rsid w:val="2ECD1304"/>
    <w:rsid w:val="2EDC1308"/>
    <w:rsid w:val="2EDFCD91"/>
    <w:rsid w:val="2EEB17D6"/>
    <w:rsid w:val="2EF39CBC"/>
    <w:rsid w:val="2EFD07B5"/>
    <w:rsid w:val="2F03D989"/>
    <w:rsid w:val="2F0C454A"/>
    <w:rsid w:val="2F15D1E4"/>
    <w:rsid w:val="2F1E2F2B"/>
    <w:rsid w:val="2F306CF4"/>
    <w:rsid w:val="2F34EEAD"/>
    <w:rsid w:val="2F3C00B3"/>
    <w:rsid w:val="2F3E66D0"/>
    <w:rsid w:val="2F3EFDE9"/>
    <w:rsid w:val="2F449A85"/>
    <w:rsid w:val="2F46FB49"/>
    <w:rsid w:val="2F4D543D"/>
    <w:rsid w:val="2F4E66A0"/>
    <w:rsid w:val="2F4EFE80"/>
    <w:rsid w:val="2F53E191"/>
    <w:rsid w:val="2F54877E"/>
    <w:rsid w:val="2F6A33E3"/>
    <w:rsid w:val="2F749D52"/>
    <w:rsid w:val="2F7AF2AD"/>
    <w:rsid w:val="2F7B1D84"/>
    <w:rsid w:val="2F81AD66"/>
    <w:rsid w:val="2F8A321E"/>
    <w:rsid w:val="2F9838A8"/>
    <w:rsid w:val="2FA3425C"/>
    <w:rsid w:val="2FBB66BD"/>
    <w:rsid w:val="2FBF349B"/>
    <w:rsid w:val="2FBF423B"/>
    <w:rsid w:val="2FD44D75"/>
    <w:rsid w:val="2FD972C3"/>
    <w:rsid w:val="2FDC622D"/>
    <w:rsid w:val="2FF845DB"/>
    <w:rsid w:val="2FFA480D"/>
    <w:rsid w:val="2FFCD5DB"/>
    <w:rsid w:val="30032437"/>
    <w:rsid w:val="300B4A27"/>
    <w:rsid w:val="3011A9D9"/>
    <w:rsid w:val="3011AAB5"/>
    <w:rsid w:val="301A937E"/>
    <w:rsid w:val="301ADDDD"/>
    <w:rsid w:val="3029AFF9"/>
    <w:rsid w:val="30354A5A"/>
    <w:rsid w:val="3039647F"/>
    <w:rsid w:val="30425D9C"/>
    <w:rsid w:val="3042F95C"/>
    <w:rsid w:val="3047E1DA"/>
    <w:rsid w:val="30488BE2"/>
    <w:rsid w:val="304B1BCF"/>
    <w:rsid w:val="3053AFDA"/>
    <w:rsid w:val="305BF8BD"/>
    <w:rsid w:val="305CC5CF"/>
    <w:rsid w:val="306444DF"/>
    <w:rsid w:val="306E79BB"/>
    <w:rsid w:val="3073C90E"/>
    <w:rsid w:val="307F0BBE"/>
    <w:rsid w:val="308C3B80"/>
    <w:rsid w:val="308C8C7D"/>
    <w:rsid w:val="30922474"/>
    <w:rsid w:val="309F10C3"/>
    <w:rsid w:val="30A2BE91"/>
    <w:rsid w:val="30A37E23"/>
    <w:rsid w:val="30A50DCD"/>
    <w:rsid w:val="30B93D44"/>
    <w:rsid w:val="30C15E2F"/>
    <w:rsid w:val="30C27657"/>
    <w:rsid w:val="30C3FFF3"/>
    <w:rsid w:val="30D252D1"/>
    <w:rsid w:val="30D4CF40"/>
    <w:rsid w:val="30D62A7E"/>
    <w:rsid w:val="30DB2662"/>
    <w:rsid w:val="30EA0271"/>
    <w:rsid w:val="30F42E7E"/>
    <w:rsid w:val="30FBBECD"/>
    <w:rsid w:val="30FCB40D"/>
    <w:rsid w:val="310C1946"/>
    <w:rsid w:val="310C4762"/>
    <w:rsid w:val="311A5699"/>
    <w:rsid w:val="311B275D"/>
    <w:rsid w:val="311D96AC"/>
    <w:rsid w:val="312264E2"/>
    <w:rsid w:val="312B6F4A"/>
    <w:rsid w:val="312C4D8F"/>
    <w:rsid w:val="313C660B"/>
    <w:rsid w:val="3141E9B0"/>
    <w:rsid w:val="31446702"/>
    <w:rsid w:val="3152F72B"/>
    <w:rsid w:val="31656308"/>
    <w:rsid w:val="317817B9"/>
    <w:rsid w:val="3178593F"/>
    <w:rsid w:val="317FF46A"/>
    <w:rsid w:val="31825A28"/>
    <w:rsid w:val="31852627"/>
    <w:rsid w:val="3186E063"/>
    <w:rsid w:val="31964D74"/>
    <w:rsid w:val="31A0FC43"/>
    <w:rsid w:val="31AF8486"/>
    <w:rsid w:val="31B02A57"/>
    <w:rsid w:val="31B1139D"/>
    <w:rsid w:val="31BD674A"/>
    <w:rsid w:val="31C5F879"/>
    <w:rsid w:val="31C681D4"/>
    <w:rsid w:val="31E05DA8"/>
    <w:rsid w:val="31E53762"/>
    <w:rsid w:val="31F19291"/>
    <w:rsid w:val="31F21FE0"/>
    <w:rsid w:val="31F2B737"/>
    <w:rsid w:val="31F3BF1D"/>
    <w:rsid w:val="31FFFD66"/>
    <w:rsid w:val="320AFFF0"/>
    <w:rsid w:val="32118EA6"/>
    <w:rsid w:val="321549BF"/>
    <w:rsid w:val="321BB47E"/>
    <w:rsid w:val="322596A8"/>
    <w:rsid w:val="322C3290"/>
    <w:rsid w:val="322D5078"/>
    <w:rsid w:val="323077AC"/>
    <w:rsid w:val="323B89A6"/>
    <w:rsid w:val="323C96F1"/>
    <w:rsid w:val="324C0568"/>
    <w:rsid w:val="3251A125"/>
    <w:rsid w:val="32556AB4"/>
    <w:rsid w:val="325983A0"/>
    <w:rsid w:val="325D6E70"/>
    <w:rsid w:val="32605053"/>
    <w:rsid w:val="327222A9"/>
    <w:rsid w:val="3273CE4E"/>
    <w:rsid w:val="3284AC1C"/>
    <w:rsid w:val="328553A0"/>
    <w:rsid w:val="3286E936"/>
    <w:rsid w:val="328DCE08"/>
    <w:rsid w:val="32905330"/>
    <w:rsid w:val="3292F9CE"/>
    <w:rsid w:val="329787FE"/>
    <w:rsid w:val="32B0C109"/>
    <w:rsid w:val="32B4D3C6"/>
    <w:rsid w:val="32B79068"/>
    <w:rsid w:val="32BC9473"/>
    <w:rsid w:val="32C703A5"/>
    <w:rsid w:val="32D2F828"/>
    <w:rsid w:val="32D9AD46"/>
    <w:rsid w:val="32E3D3D9"/>
    <w:rsid w:val="32E6FBAB"/>
    <w:rsid w:val="32F25253"/>
    <w:rsid w:val="32F4AE87"/>
    <w:rsid w:val="33029554"/>
    <w:rsid w:val="3309BA52"/>
    <w:rsid w:val="330CB102"/>
    <w:rsid w:val="330D0F55"/>
    <w:rsid w:val="331A256D"/>
    <w:rsid w:val="3326422A"/>
    <w:rsid w:val="3329832E"/>
    <w:rsid w:val="33377012"/>
    <w:rsid w:val="333A7AE8"/>
    <w:rsid w:val="333EF7F6"/>
    <w:rsid w:val="3346795F"/>
    <w:rsid w:val="334CA6B5"/>
    <w:rsid w:val="3352AAD0"/>
    <w:rsid w:val="3357F19F"/>
    <w:rsid w:val="3364CEBA"/>
    <w:rsid w:val="3383B33B"/>
    <w:rsid w:val="3390EBE4"/>
    <w:rsid w:val="33936CC9"/>
    <w:rsid w:val="33991E60"/>
    <w:rsid w:val="339BEE6E"/>
    <w:rsid w:val="33A0A734"/>
    <w:rsid w:val="33A4512B"/>
    <w:rsid w:val="33A85F48"/>
    <w:rsid w:val="33B41AC9"/>
    <w:rsid w:val="33BB4127"/>
    <w:rsid w:val="33C59B26"/>
    <w:rsid w:val="33D184DF"/>
    <w:rsid w:val="33D28AD6"/>
    <w:rsid w:val="33D60CF5"/>
    <w:rsid w:val="33E0E6D1"/>
    <w:rsid w:val="33E9F1DD"/>
    <w:rsid w:val="33ECA1BD"/>
    <w:rsid w:val="33F90730"/>
    <w:rsid w:val="34025831"/>
    <w:rsid w:val="3402818A"/>
    <w:rsid w:val="3402B857"/>
    <w:rsid w:val="3403B0BD"/>
    <w:rsid w:val="340D9182"/>
    <w:rsid w:val="343B3613"/>
    <w:rsid w:val="34405C1B"/>
    <w:rsid w:val="34529808"/>
    <w:rsid w:val="3455C5B1"/>
    <w:rsid w:val="3457DB77"/>
    <w:rsid w:val="3465C98C"/>
    <w:rsid w:val="346E5D11"/>
    <w:rsid w:val="346F4F65"/>
    <w:rsid w:val="347E28E7"/>
    <w:rsid w:val="34915829"/>
    <w:rsid w:val="3491A99F"/>
    <w:rsid w:val="349595BE"/>
    <w:rsid w:val="349B68C4"/>
    <w:rsid w:val="34A814F2"/>
    <w:rsid w:val="34AAEE35"/>
    <w:rsid w:val="34BBD803"/>
    <w:rsid w:val="34BEE56E"/>
    <w:rsid w:val="34C98464"/>
    <w:rsid w:val="34CAE7CB"/>
    <w:rsid w:val="34D238C1"/>
    <w:rsid w:val="34D2A280"/>
    <w:rsid w:val="34E3483D"/>
    <w:rsid w:val="34E5D178"/>
    <w:rsid w:val="34EF69E0"/>
    <w:rsid w:val="34F69A99"/>
    <w:rsid w:val="34F7DFC7"/>
    <w:rsid w:val="34F7E7AB"/>
    <w:rsid w:val="35085478"/>
    <w:rsid w:val="3510B27E"/>
    <w:rsid w:val="3511C697"/>
    <w:rsid w:val="3522EF52"/>
    <w:rsid w:val="3523B8F7"/>
    <w:rsid w:val="352B1025"/>
    <w:rsid w:val="352B1FFF"/>
    <w:rsid w:val="35325007"/>
    <w:rsid w:val="3537134C"/>
    <w:rsid w:val="353BD55D"/>
    <w:rsid w:val="3545629D"/>
    <w:rsid w:val="35493FA8"/>
    <w:rsid w:val="356E4366"/>
    <w:rsid w:val="3584CF8F"/>
    <w:rsid w:val="3584EB06"/>
    <w:rsid w:val="3593D333"/>
    <w:rsid w:val="3597B6A8"/>
    <w:rsid w:val="3597C181"/>
    <w:rsid w:val="359E51EB"/>
    <w:rsid w:val="35A01BAF"/>
    <w:rsid w:val="35A219AD"/>
    <w:rsid w:val="35A64411"/>
    <w:rsid w:val="35A80C76"/>
    <w:rsid w:val="35B170CB"/>
    <w:rsid w:val="35B4F30F"/>
    <w:rsid w:val="35BFEC26"/>
    <w:rsid w:val="35D46132"/>
    <w:rsid w:val="36085D05"/>
    <w:rsid w:val="361B9602"/>
    <w:rsid w:val="361C9EDA"/>
    <w:rsid w:val="36203F71"/>
    <w:rsid w:val="3622396E"/>
    <w:rsid w:val="362E49E5"/>
    <w:rsid w:val="36330707"/>
    <w:rsid w:val="3633B22A"/>
    <w:rsid w:val="36392C24"/>
    <w:rsid w:val="364F1C7A"/>
    <w:rsid w:val="3655A7AA"/>
    <w:rsid w:val="3656E485"/>
    <w:rsid w:val="3660C63D"/>
    <w:rsid w:val="366E8E4B"/>
    <w:rsid w:val="367152CE"/>
    <w:rsid w:val="3675429F"/>
    <w:rsid w:val="36805B03"/>
    <w:rsid w:val="3684C907"/>
    <w:rsid w:val="36852313"/>
    <w:rsid w:val="36866C4E"/>
    <w:rsid w:val="3694B42B"/>
    <w:rsid w:val="369F37CE"/>
    <w:rsid w:val="36A8DFA6"/>
    <w:rsid w:val="36ACCBFD"/>
    <w:rsid w:val="36B43902"/>
    <w:rsid w:val="36B4C4CD"/>
    <w:rsid w:val="36BC0E19"/>
    <w:rsid w:val="36BEC7A5"/>
    <w:rsid w:val="36C4B1C5"/>
    <w:rsid w:val="36C6A178"/>
    <w:rsid w:val="36C749D5"/>
    <w:rsid w:val="36EC47B2"/>
    <w:rsid w:val="36EF69E1"/>
    <w:rsid w:val="36EF7A14"/>
    <w:rsid w:val="36F62D17"/>
    <w:rsid w:val="36F9388B"/>
    <w:rsid w:val="36FFBEC4"/>
    <w:rsid w:val="3702743C"/>
    <w:rsid w:val="371D03DA"/>
    <w:rsid w:val="37283188"/>
    <w:rsid w:val="372B62A7"/>
    <w:rsid w:val="373B616F"/>
    <w:rsid w:val="37411BF6"/>
    <w:rsid w:val="3743150D"/>
    <w:rsid w:val="3750FF36"/>
    <w:rsid w:val="375172D2"/>
    <w:rsid w:val="3755E1B4"/>
    <w:rsid w:val="375F12C3"/>
    <w:rsid w:val="37655C89"/>
    <w:rsid w:val="376A2276"/>
    <w:rsid w:val="376D4A85"/>
    <w:rsid w:val="37723F5D"/>
    <w:rsid w:val="37728123"/>
    <w:rsid w:val="37735164"/>
    <w:rsid w:val="3773DD49"/>
    <w:rsid w:val="37763FC9"/>
    <w:rsid w:val="3776ACC1"/>
    <w:rsid w:val="3786AE58"/>
    <w:rsid w:val="378748CA"/>
    <w:rsid w:val="379C4A1D"/>
    <w:rsid w:val="37A5C2C8"/>
    <w:rsid w:val="37ADBEC0"/>
    <w:rsid w:val="37B7EF85"/>
    <w:rsid w:val="37B975DB"/>
    <w:rsid w:val="37D39FFF"/>
    <w:rsid w:val="37D42BA8"/>
    <w:rsid w:val="37D55914"/>
    <w:rsid w:val="37DFD85A"/>
    <w:rsid w:val="37EED791"/>
    <w:rsid w:val="37F10C30"/>
    <w:rsid w:val="37F25A6C"/>
    <w:rsid w:val="37FDD0C2"/>
    <w:rsid w:val="38130B29"/>
    <w:rsid w:val="38137CDF"/>
    <w:rsid w:val="38202573"/>
    <w:rsid w:val="3828E2B9"/>
    <w:rsid w:val="3834C1DE"/>
    <w:rsid w:val="383A212A"/>
    <w:rsid w:val="384AE671"/>
    <w:rsid w:val="3856CDC7"/>
    <w:rsid w:val="386F2204"/>
    <w:rsid w:val="3878A6C6"/>
    <w:rsid w:val="387F7FA4"/>
    <w:rsid w:val="3888C967"/>
    <w:rsid w:val="388DBB3E"/>
    <w:rsid w:val="389556CE"/>
    <w:rsid w:val="389D056D"/>
    <w:rsid w:val="389E443E"/>
    <w:rsid w:val="38AD6A90"/>
    <w:rsid w:val="38AF55D8"/>
    <w:rsid w:val="38BF3C9C"/>
    <w:rsid w:val="38C302DC"/>
    <w:rsid w:val="38C8D9A7"/>
    <w:rsid w:val="38CD40D8"/>
    <w:rsid w:val="38D569B6"/>
    <w:rsid w:val="38D761A7"/>
    <w:rsid w:val="38D7C8AC"/>
    <w:rsid w:val="38D81094"/>
    <w:rsid w:val="38E363D6"/>
    <w:rsid w:val="38F76215"/>
    <w:rsid w:val="391BFA27"/>
    <w:rsid w:val="391D132F"/>
    <w:rsid w:val="392594D4"/>
    <w:rsid w:val="392F5E23"/>
    <w:rsid w:val="3930A68B"/>
    <w:rsid w:val="39482487"/>
    <w:rsid w:val="39505BE7"/>
    <w:rsid w:val="3950CDC8"/>
    <w:rsid w:val="395142A3"/>
    <w:rsid w:val="395E4F5A"/>
    <w:rsid w:val="396621D5"/>
    <w:rsid w:val="39671739"/>
    <w:rsid w:val="396BD00D"/>
    <w:rsid w:val="396BDBB9"/>
    <w:rsid w:val="39700DD4"/>
    <w:rsid w:val="3976CE5F"/>
    <w:rsid w:val="397B4BC8"/>
    <w:rsid w:val="397C2806"/>
    <w:rsid w:val="397C38BD"/>
    <w:rsid w:val="397E07D4"/>
    <w:rsid w:val="3988C558"/>
    <w:rsid w:val="399182EA"/>
    <w:rsid w:val="39AE6B5C"/>
    <w:rsid w:val="39B1BAB7"/>
    <w:rsid w:val="39B5B661"/>
    <w:rsid w:val="39C06E12"/>
    <w:rsid w:val="39CABA04"/>
    <w:rsid w:val="39D4000B"/>
    <w:rsid w:val="39D5F18B"/>
    <w:rsid w:val="39D679D9"/>
    <w:rsid w:val="39E6E8A8"/>
    <w:rsid w:val="39E8B0CF"/>
    <w:rsid w:val="39EA8481"/>
    <w:rsid w:val="39F4F2C5"/>
    <w:rsid w:val="39FA928B"/>
    <w:rsid w:val="39FD8F7C"/>
    <w:rsid w:val="3A0C957E"/>
    <w:rsid w:val="3A0E86F7"/>
    <w:rsid w:val="3A1037A2"/>
    <w:rsid w:val="3A15A1FA"/>
    <w:rsid w:val="3A176FA9"/>
    <w:rsid w:val="3A283BDB"/>
    <w:rsid w:val="3A453867"/>
    <w:rsid w:val="3A4A4165"/>
    <w:rsid w:val="3A5782E7"/>
    <w:rsid w:val="3A702DFB"/>
    <w:rsid w:val="3A72ADBE"/>
    <w:rsid w:val="3A7D3A9D"/>
    <w:rsid w:val="3A8F56B9"/>
    <w:rsid w:val="3A8F8D8F"/>
    <w:rsid w:val="3A97A3E9"/>
    <w:rsid w:val="3A9FCB24"/>
    <w:rsid w:val="3AB04FE7"/>
    <w:rsid w:val="3AB57C82"/>
    <w:rsid w:val="3AB7C64F"/>
    <w:rsid w:val="3ACBCACF"/>
    <w:rsid w:val="3ACD2D0C"/>
    <w:rsid w:val="3ACF460D"/>
    <w:rsid w:val="3AD93FF8"/>
    <w:rsid w:val="3ADC934C"/>
    <w:rsid w:val="3ADCA917"/>
    <w:rsid w:val="3ADCBFCC"/>
    <w:rsid w:val="3AE7C9B9"/>
    <w:rsid w:val="3AEAC3AA"/>
    <w:rsid w:val="3AF9A95F"/>
    <w:rsid w:val="3AFDFC3D"/>
    <w:rsid w:val="3AFF514E"/>
    <w:rsid w:val="3B007F65"/>
    <w:rsid w:val="3B044486"/>
    <w:rsid w:val="3B0BE161"/>
    <w:rsid w:val="3B0C750E"/>
    <w:rsid w:val="3B0DA49D"/>
    <w:rsid w:val="3B0FA33B"/>
    <w:rsid w:val="3B12B37D"/>
    <w:rsid w:val="3B135BDA"/>
    <w:rsid w:val="3B2388B4"/>
    <w:rsid w:val="3B2734B4"/>
    <w:rsid w:val="3B375813"/>
    <w:rsid w:val="3B3ABB25"/>
    <w:rsid w:val="3B589478"/>
    <w:rsid w:val="3B5E725B"/>
    <w:rsid w:val="3B5EC866"/>
    <w:rsid w:val="3B64DC22"/>
    <w:rsid w:val="3B689F86"/>
    <w:rsid w:val="3B6D2F47"/>
    <w:rsid w:val="3B6D4DEF"/>
    <w:rsid w:val="3B6DB4F4"/>
    <w:rsid w:val="3B74AEAA"/>
    <w:rsid w:val="3B754C85"/>
    <w:rsid w:val="3B87A69F"/>
    <w:rsid w:val="3B89B8E2"/>
    <w:rsid w:val="3B9C4913"/>
    <w:rsid w:val="3BA0CEFC"/>
    <w:rsid w:val="3BA13BDD"/>
    <w:rsid w:val="3BA691EB"/>
    <w:rsid w:val="3BB0FA1D"/>
    <w:rsid w:val="3BB70D35"/>
    <w:rsid w:val="3BBCF64E"/>
    <w:rsid w:val="3BC60BEE"/>
    <w:rsid w:val="3BD47F28"/>
    <w:rsid w:val="3BE137F9"/>
    <w:rsid w:val="3BEB2859"/>
    <w:rsid w:val="3BEC73D6"/>
    <w:rsid w:val="3BED5407"/>
    <w:rsid w:val="3BF3628B"/>
    <w:rsid w:val="3BFF5B29"/>
    <w:rsid w:val="3C0B14C5"/>
    <w:rsid w:val="3C104530"/>
    <w:rsid w:val="3C17C78D"/>
    <w:rsid w:val="3C2D3906"/>
    <w:rsid w:val="3C344119"/>
    <w:rsid w:val="3C3F61E1"/>
    <w:rsid w:val="3C40BFC1"/>
    <w:rsid w:val="3C428DAF"/>
    <w:rsid w:val="3C541A21"/>
    <w:rsid w:val="3C562C5E"/>
    <w:rsid w:val="3C5BF296"/>
    <w:rsid w:val="3C65A16C"/>
    <w:rsid w:val="3C82DEAC"/>
    <w:rsid w:val="3C842CAF"/>
    <w:rsid w:val="3C8F5366"/>
    <w:rsid w:val="3C9265E5"/>
    <w:rsid w:val="3C9EB421"/>
    <w:rsid w:val="3CB0979C"/>
    <w:rsid w:val="3CB488B7"/>
    <w:rsid w:val="3CC96E05"/>
    <w:rsid w:val="3CDA0272"/>
    <w:rsid w:val="3CDABD67"/>
    <w:rsid w:val="3CE27188"/>
    <w:rsid w:val="3CE2A35E"/>
    <w:rsid w:val="3CF5ADD2"/>
    <w:rsid w:val="3D09347B"/>
    <w:rsid w:val="3D114E12"/>
    <w:rsid w:val="3D1F02D9"/>
    <w:rsid w:val="3D2E67BB"/>
    <w:rsid w:val="3D35C89C"/>
    <w:rsid w:val="3D3671C4"/>
    <w:rsid w:val="3D449005"/>
    <w:rsid w:val="3D46EDE5"/>
    <w:rsid w:val="3D4FCA2B"/>
    <w:rsid w:val="3D55E322"/>
    <w:rsid w:val="3D69A8BA"/>
    <w:rsid w:val="3D718FFE"/>
    <w:rsid w:val="3D7FC969"/>
    <w:rsid w:val="3D83704C"/>
    <w:rsid w:val="3D8724F7"/>
    <w:rsid w:val="3D88F30B"/>
    <w:rsid w:val="3D914325"/>
    <w:rsid w:val="3DA3EEF5"/>
    <w:rsid w:val="3DA78EDD"/>
    <w:rsid w:val="3DB24682"/>
    <w:rsid w:val="3DB50886"/>
    <w:rsid w:val="3DB84EFB"/>
    <w:rsid w:val="3DC23261"/>
    <w:rsid w:val="3DCF625B"/>
    <w:rsid w:val="3DDAC38E"/>
    <w:rsid w:val="3DF1C9EE"/>
    <w:rsid w:val="3DFC6AE4"/>
    <w:rsid w:val="3DFD1319"/>
    <w:rsid w:val="3E0D3304"/>
    <w:rsid w:val="3E0DFDAC"/>
    <w:rsid w:val="3E0ED2D5"/>
    <w:rsid w:val="3E19FF14"/>
    <w:rsid w:val="3E29B22C"/>
    <w:rsid w:val="3E2B45E5"/>
    <w:rsid w:val="3E2E0E38"/>
    <w:rsid w:val="3E571ABC"/>
    <w:rsid w:val="3E6126B2"/>
    <w:rsid w:val="3E61986C"/>
    <w:rsid w:val="3E65BE14"/>
    <w:rsid w:val="3E6DAF5A"/>
    <w:rsid w:val="3E7AC069"/>
    <w:rsid w:val="3E7AC270"/>
    <w:rsid w:val="3E7ACA58"/>
    <w:rsid w:val="3E7E7B17"/>
    <w:rsid w:val="3E7FB2E5"/>
    <w:rsid w:val="3E880B04"/>
    <w:rsid w:val="3E8910DC"/>
    <w:rsid w:val="3E90B321"/>
    <w:rsid w:val="3E981073"/>
    <w:rsid w:val="3E9C0C41"/>
    <w:rsid w:val="3EA044B6"/>
    <w:rsid w:val="3EC2B52D"/>
    <w:rsid w:val="3ECA2D61"/>
    <w:rsid w:val="3EDB3C7E"/>
    <w:rsid w:val="3EDD85B4"/>
    <w:rsid w:val="3EE16E44"/>
    <w:rsid w:val="3EE2C4C1"/>
    <w:rsid w:val="3EEB41A7"/>
    <w:rsid w:val="3EF915B3"/>
    <w:rsid w:val="3EFCBCA4"/>
    <w:rsid w:val="3F06A268"/>
    <w:rsid w:val="3F265374"/>
    <w:rsid w:val="3F298C51"/>
    <w:rsid w:val="3F2B7FF6"/>
    <w:rsid w:val="3F327C50"/>
    <w:rsid w:val="3F42E6E3"/>
    <w:rsid w:val="3F44C10D"/>
    <w:rsid w:val="3F4DE42E"/>
    <w:rsid w:val="3F538E95"/>
    <w:rsid w:val="3F588DF5"/>
    <w:rsid w:val="3F6B4A63"/>
    <w:rsid w:val="3F6C3215"/>
    <w:rsid w:val="3F6DF25F"/>
    <w:rsid w:val="3F8271BB"/>
    <w:rsid w:val="3F96942E"/>
    <w:rsid w:val="3F9A3483"/>
    <w:rsid w:val="3F9A4F96"/>
    <w:rsid w:val="3FB2ACD1"/>
    <w:rsid w:val="3FB33AC7"/>
    <w:rsid w:val="3FB8BFE5"/>
    <w:rsid w:val="3FBC5E39"/>
    <w:rsid w:val="3FC325EB"/>
    <w:rsid w:val="3FC88FF0"/>
    <w:rsid w:val="3FD0F7AF"/>
    <w:rsid w:val="3FDCDA2D"/>
    <w:rsid w:val="3FF6E199"/>
    <w:rsid w:val="3FF8DA26"/>
    <w:rsid w:val="3FFD8830"/>
    <w:rsid w:val="4000BA1C"/>
    <w:rsid w:val="4015EC9F"/>
    <w:rsid w:val="401805A0"/>
    <w:rsid w:val="40194C1E"/>
    <w:rsid w:val="4028841F"/>
    <w:rsid w:val="402A2B83"/>
    <w:rsid w:val="402AC6D5"/>
    <w:rsid w:val="402B5E4D"/>
    <w:rsid w:val="402F0FE4"/>
    <w:rsid w:val="4033E0A1"/>
    <w:rsid w:val="40473BAD"/>
    <w:rsid w:val="405AFDEE"/>
    <w:rsid w:val="405B9036"/>
    <w:rsid w:val="405F05E3"/>
    <w:rsid w:val="4062816A"/>
    <w:rsid w:val="40680EA1"/>
    <w:rsid w:val="406F264C"/>
    <w:rsid w:val="40760C20"/>
    <w:rsid w:val="40861AA8"/>
    <w:rsid w:val="40916FBE"/>
    <w:rsid w:val="40967914"/>
    <w:rsid w:val="409EAC0F"/>
    <w:rsid w:val="40A4DAA2"/>
    <w:rsid w:val="40AE2065"/>
    <w:rsid w:val="40B2A3D3"/>
    <w:rsid w:val="40BE3975"/>
    <w:rsid w:val="40BE762D"/>
    <w:rsid w:val="40C621FF"/>
    <w:rsid w:val="40CA82AF"/>
    <w:rsid w:val="40DE884D"/>
    <w:rsid w:val="40EEB7F2"/>
    <w:rsid w:val="410DE038"/>
    <w:rsid w:val="412616A8"/>
    <w:rsid w:val="413905DC"/>
    <w:rsid w:val="4142481C"/>
    <w:rsid w:val="41441D37"/>
    <w:rsid w:val="414AC43A"/>
    <w:rsid w:val="414D44C0"/>
    <w:rsid w:val="41515459"/>
    <w:rsid w:val="4152EA91"/>
    <w:rsid w:val="4169BE2C"/>
    <w:rsid w:val="41787BDA"/>
    <w:rsid w:val="418741E2"/>
    <w:rsid w:val="41904B68"/>
    <w:rsid w:val="4194F91E"/>
    <w:rsid w:val="419E2F91"/>
    <w:rsid w:val="41A58B27"/>
    <w:rsid w:val="41AEFA79"/>
    <w:rsid w:val="41B61B15"/>
    <w:rsid w:val="41BEFB7D"/>
    <w:rsid w:val="41C1FD77"/>
    <w:rsid w:val="41C29DC8"/>
    <w:rsid w:val="41C5E993"/>
    <w:rsid w:val="41CA23AA"/>
    <w:rsid w:val="41CCD049"/>
    <w:rsid w:val="41E0BFB6"/>
    <w:rsid w:val="41E104C2"/>
    <w:rsid w:val="41E178DD"/>
    <w:rsid w:val="41E7CD51"/>
    <w:rsid w:val="41E9718B"/>
    <w:rsid w:val="41EF59CE"/>
    <w:rsid w:val="41F16406"/>
    <w:rsid w:val="41F44037"/>
    <w:rsid w:val="41F963C7"/>
    <w:rsid w:val="41FBF767"/>
    <w:rsid w:val="420487F6"/>
    <w:rsid w:val="421CC304"/>
    <w:rsid w:val="421D3436"/>
    <w:rsid w:val="422149F0"/>
    <w:rsid w:val="422A9D1D"/>
    <w:rsid w:val="422E03D3"/>
    <w:rsid w:val="422E2995"/>
    <w:rsid w:val="424E136E"/>
    <w:rsid w:val="425DC87C"/>
    <w:rsid w:val="426A0A54"/>
    <w:rsid w:val="4270D37B"/>
    <w:rsid w:val="427DB2F0"/>
    <w:rsid w:val="427EA894"/>
    <w:rsid w:val="42815F88"/>
    <w:rsid w:val="42894E47"/>
    <w:rsid w:val="428FB98C"/>
    <w:rsid w:val="42AD7E5D"/>
    <w:rsid w:val="42B46365"/>
    <w:rsid w:val="42BE4AA5"/>
    <w:rsid w:val="42C075B4"/>
    <w:rsid w:val="42E129B8"/>
    <w:rsid w:val="42E1F69E"/>
    <w:rsid w:val="42EF0134"/>
    <w:rsid w:val="42F9DFE2"/>
    <w:rsid w:val="430ADFA3"/>
    <w:rsid w:val="430D1DC2"/>
    <w:rsid w:val="43112807"/>
    <w:rsid w:val="431AA389"/>
    <w:rsid w:val="431D657B"/>
    <w:rsid w:val="432A2A96"/>
    <w:rsid w:val="4341249A"/>
    <w:rsid w:val="43414C1B"/>
    <w:rsid w:val="434B377D"/>
    <w:rsid w:val="434F11BE"/>
    <w:rsid w:val="4365E802"/>
    <w:rsid w:val="43734267"/>
    <w:rsid w:val="437866F1"/>
    <w:rsid w:val="437CF99C"/>
    <w:rsid w:val="4395BE0D"/>
    <w:rsid w:val="4399D930"/>
    <w:rsid w:val="43A703E9"/>
    <w:rsid w:val="43A83BCF"/>
    <w:rsid w:val="43AA5BFF"/>
    <w:rsid w:val="43AA7B0C"/>
    <w:rsid w:val="43B083A0"/>
    <w:rsid w:val="43BCDF17"/>
    <w:rsid w:val="43CA2392"/>
    <w:rsid w:val="43CBAA27"/>
    <w:rsid w:val="43CD964A"/>
    <w:rsid w:val="43D16BAC"/>
    <w:rsid w:val="43D2B745"/>
    <w:rsid w:val="43D5CBB4"/>
    <w:rsid w:val="43E363D9"/>
    <w:rsid w:val="43E50C65"/>
    <w:rsid w:val="43EE5450"/>
    <w:rsid w:val="43FA6CA9"/>
    <w:rsid w:val="43FB9429"/>
    <w:rsid w:val="43FFAAB8"/>
    <w:rsid w:val="4408F9B7"/>
    <w:rsid w:val="44127AAE"/>
    <w:rsid w:val="4414147A"/>
    <w:rsid w:val="441E7B3C"/>
    <w:rsid w:val="4420A013"/>
    <w:rsid w:val="442B67DB"/>
    <w:rsid w:val="4436CF26"/>
    <w:rsid w:val="4441D998"/>
    <w:rsid w:val="4443C865"/>
    <w:rsid w:val="444D3D0B"/>
    <w:rsid w:val="4455CF80"/>
    <w:rsid w:val="445845D0"/>
    <w:rsid w:val="44598BCB"/>
    <w:rsid w:val="445A0004"/>
    <w:rsid w:val="44656190"/>
    <w:rsid w:val="4467919E"/>
    <w:rsid w:val="447800B3"/>
    <w:rsid w:val="44832595"/>
    <w:rsid w:val="448F05B2"/>
    <w:rsid w:val="4499B146"/>
    <w:rsid w:val="44A6498C"/>
    <w:rsid w:val="44B07BC3"/>
    <w:rsid w:val="44C0C0F6"/>
    <w:rsid w:val="44C4BA64"/>
    <w:rsid w:val="44C9A83A"/>
    <w:rsid w:val="44D927A0"/>
    <w:rsid w:val="44DC2575"/>
    <w:rsid w:val="44DD1F92"/>
    <w:rsid w:val="44DD31BE"/>
    <w:rsid w:val="44DEBB85"/>
    <w:rsid w:val="44F1D48C"/>
    <w:rsid w:val="45029AD7"/>
    <w:rsid w:val="4503A130"/>
    <w:rsid w:val="4508E70A"/>
    <w:rsid w:val="4510CC31"/>
    <w:rsid w:val="45143DC7"/>
    <w:rsid w:val="4518A4F3"/>
    <w:rsid w:val="4522AE19"/>
    <w:rsid w:val="45247568"/>
    <w:rsid w:val="453A3D4B"/>
    <w:rsid w:val="453FA713"/>
    <w:rsid w:val="45423051"/>
    <w:rsid w:val="45457308"/>
    <w:rsid w:val="454DE6D2"/>
    <w:rsid w:val="45583E33"/>
    <w:rsid w:val="4559E5FC"/>
    <w:rsid w:val="455DF2B9"/>
    <w:rsid w:val="4575C859"/>
    <w:rsid w:val="45842333"/>
    <w:rsid w:val="458B3499"/>
    <w:rsid w:val="458C29C1"/>
    <w:rsid w:val="45933690"/>
    <w:rsid w:val="4593E732"/>
    <w:rsid w:val="4597966B"/>
    <w:rsid w:val="45A22726"/>
    <w:rsid w:val="45AC0523"/>
    <w:rsid w:val="45AE735C"/>
    <w:rsid w:val="45BF6D73"/>
    <w:rsid w:val="45C23562"/>
    <w:rsid w:val="45C524A7"/>
    <w:rsid w:val="45C95517"/>
    <w:rsid w:val="45CA0347"/>
    <w:rsid w:val="45D10BD9"/>
    <w:rsid w:val="4602BAF0"/>
    <w:rsid w:val="4611151E"/>
    <w:rsid w:val="46131CB3"/>
    <w:rsid w:val="4617D6B6"/>
    <w:rsid w:val="462D083C"/>
    <w:rsid w:val="463240E5"/>
    <w:rsid w:val="4636D9FA"/>
    <w:rsid w:val="465103E4"/>
    <w:rsid w:val="4653CEDE"/>
    <w:rsid w:val="465EAC63"/>
    <w:rsid w:val="466CAC77"/>
    <w:rsid w:val="46735E32"/>
    <w:rsid w:val="4678B86B"/>
    <w:rsid w:val="467E199B"/>
    <w:rsid w:val="467E1BB6"/>
    <w:rsid w:val="46A777D7"/>
    <w:rsid w:val="46B5A36A"/>
    <w:rsid w:val="46BD5BC1"/>
    <w:rsid w:val="46CB1C19"/>
    <w:rsid w:val="46CB60AC"/>
    <w:rsid w:val="46D18DAF"/>
    <w:rsid w:val="46DB7774"/>
    <w:rsid w:val="46DCE7ED"/>
    <w:rsid w:val="46DF870F"/>
    <w:rsid w:val="46DFD64B"/>
    <w:rsid w:val="46E2D538"/>
    <w:rsid w:val="46F1C722"/>
    <w:rsid w:val="46F55F26"/>
    <w:rsid w:val="46FB56B1"/>
    <w:rsid w:val="47036C33"/>
    <w:rsid w:val="4704BB6B"/>
    <w:rsid w:val="471574F5"/>
    <w:rsid w:val="471EFF6A"/>
    <w:rsid w:val="4720C376"/>
    <w:rsid w:val="4730726F"/>
    <w:rsid w:val="4732B7C0"/>
    <w:rsid w:val="47500F09"/>
    <w:rsid w:val="47563292"/>
    <w:rsid w:val="4760765C"/>
    <w:rsid w:val="476BDAD9"/>
    <w:rsid w:val="477A5DBC"/>
    <w:rsid w:val="477FB96F"/>
    <w:rsid w:val="47870381"/>
    <w:rsid w:val="4789E927"/>
    <w:rsid w:val="478C8ED3"/>
    <w:rsid w:val="4799FA2E"/>
    <w:rsid w:val="47A2C252"/>
    <w:rsid w:val="47AD5C95"/>
    <w:rsid w:val="47BAD822"/>
    <w:rsid w:val="47C215EA"/>
    <w:rsid w:val="47D27363"/>
    <w:rsid w:val="47DD0612"/>
    <w:rsid w:val="47F7A005"/>
    <w:rsid w:val="47FA3C4E"/>
    <w:rsid w:val="47FB023E"/>
    <w:rsid w:val="4810C9E9"/>
    <w:rsid w:val="4813D7AD"/>
    <w:rsid w:val="481C3EA7"/>
    <w:rsid w:val="48299FD8"/>
    <w:rsid w:val="483246ED"/>
    <w:rsid w:val="48363037"/>
    <w:rsid w:val="4842C59E"/>
    <w:rsid w:val="485C550F"/>
    <w:rsid w:val="485F8516"/>
    <w:rsid w:val="48634CCF"/>
    <w:rsid w:val="487032BA"/>
    <w:rsid w:val="4871DEAD"/>
    <w:rsid w:val="487EB0BD"/>
    <w:rsid w:val="488CDC67"/>
    <w:rsid w:val="488D0FA8"/>
    <w:rsid w:val="488F0A3E"/>
    <w:rsid w:val="48B7B273"/>
    <w:rsid w:val="48C53F8B"/>
    <w:rsid w:val="48D52340"/>
    <w:rsid w:val="48D9583C"/>
    <w:rsid w:val="48DA7A42"/>
    <w:rsid w:val="48E3E8A9"/>
    <w:rsid w:val="48F8082D"/>
    <w:rsid w:val="48FBFDC1"/>
    <w:rsid w:val="4900468D"/>
    <w:rsid w:val="491F44D6"/>
    <w:rsid w:val="491FC69E"/>
    <w:rsid w:val="49233726"/>
    <w:rsid w:val="4923E252"/>
    <w:rsid w:val="49434531"/>
    <w:rsid w:val="494939E8"/>
    <w:rsid w:val="494A3EDF"/>
    <w:rsid w:val="49516109"/>
    <w:rsid w:val="495858C3"/>
    <w:rsid w:val="495B7B32"/>
    <w:rsid w:val="4960602F"/>
    <w:rsid w:val="496E3831"/>
    <w:rsid w:val="496EB802"/>
    <w:rsid w:val="49774818"/>
    <w:rsid w:val="4978DEFE"/>
    <w:rsid w:val="497AA313"/>
    <w:rsid w:val="497C67F1"/>
    <w:rsid w:val="498A6267"/>
    <w:rsid w:val="498FBF55"/>
    <w:rsid w:val="49999242"/>
    <w:rsid w:val="49AFD344"/>
    <w:rsid w:val="49BEB0B5"/>
    <w:rsid w:val="49C1E189"/>
    <w:rsid w:val="49CB417C"/>
    <w:rsid w:val="49D022CA"/>
    <w:rsid w:val="49D6043A"/>
    <w:rsid w:val="49D620B4"/>
    <w:rsid w:val="49D669C1"/>
    <w:rsid w:val="49EA2101"/>
    <w:rsid w:val="49F1544B"/>
    <w:rsid w:val="49F90F00"/>
    <w:rsid w:val="49FC2BBE"/>
    <w:rsid w:val="4A03C22F"/>
    <w:rsid w:val="4A0E7C5B"/>
    <w:rsid w:val="4A1DEBDC"/>
    <w:rsid w:val="4A27A592"/>
    <w:rsid w:val="4A2C36F7"/>
    <w:rsid w:val="4A2D1648"/>
    <w:rsid w:val="4A30FC23"/>
    <w:rsid w:val="4A311C1E"/>
    <w:rsid w:val="4A334B53"/>
    <w:rsid w:val="4A38AE9A"/>
    <w:rsid w:val="4A3FD37B"/>
    <w:rsid w:val="4A400A66"/>
    <w:rsid w:val="4A4041CE"/>
    <w:rsid w:val="4A48D5AB"/>
    <w:rsid w:val="4A48F8A2"/>
    <w:rsid w:val="4A6A53EF"/>
    <w:rsid w:val="4A6F2F1E"/>
    <w:rsid w:val="4A6FE54F"/>
    <w:rsid w:val="4A714500"/>
    <w:rsid w:val="4A74A9BF"/>
    <w:rsid w:val="4A8D83B7"/>
    <w:rsid w:val="4A90AD43"/>
    <w:rsid w:val="4A968387"/>
    <w:rsid w:val="4A97050F"/>
    <w:rsid w:val="4A97E702"/>
    <w:rsid w:val="4AAAF05E"/>
    <w:rsid w:val="4AC24353"/>
    <w:rsid w:val="4ACE9F3E"/>
    <w:rsid w:val="4AD6C51E"/>
    <w:rsid w:val="4ADBBFF8"/>
    <w:rsid w:val="4AE0682A"/>
    <w:rsid w:val="4AE71812"/>
    <w:rsid w:val="4AEFE6FA"/>
    <w:rsid w:val="4AF43A04"/>
    <w:rsid w:val="4B05B895"/>
    <w:rsid w:val="4B05CF76"/>
    <w:rsid w:val="4B154E59"/>
    <w:rsid w:val="4B18FBE7"/>
    <w:rsid w:val="4B1D0558"/>
    <w:rsid w:val="4B1EFC73"/>
    <w:rsid w:val="4B260B1D"/>
    <w:rsid w:val="4B2F6F0C"/>
    <w:rsid w:val="4B3661A6"/>
    <w:rsid w:val="4B389A07"/>
    <w:rsid w:val="4B4503EE"/>
    <w:rsid w:val="4B49181D"/>
    <w:rsid w:val="4B5D5C69"/>
    <w:rsid w:val="4B62B93E"/>
    <w:rsid w:val="4B634273"/>
    <w:rsid w:val="4B691FE6"/>
    <w:rsid w:val="4B6A8E9E"/>
    <w:rsid w:val="4B6C9891"/>
    <w:rsid w:val="4B7187E0"/>
    <w:rsid w:val="4B740541"/>
    <w:rsid w:val="4B779CA9"/>
    <w:rsid w:val="4B7989A2"/>
    <w:rsid w:val="4B79F7CF"/>
    <w:rsid w:val="4B89ACCC"/>
    <w:rsid w:val="4B8A5FC9"/>
    <w:rsid w:val="4B8A9145"/>
    <w:rsid w:val="4B8F2107"/>
    <w:rsid w:val="4B92592A"/>
    <w:rsid w:val="4B9F2594"/>
    <w:rsid w:val="4BA8565B"/>
    <w:rsid w:val="4BAA7AEE"/>
    <w:rsid w:val="4BCA68B3"/>
    <w:rsid w:val="4BF0F164"/>
    <w:rsid w:val="4BF5A3B9"/>
    <w:rsid w:val="4BF8CCC0"/>
    <w:rsid w:val="4BFC8B66"/>
    <w:rsid w:val="4BFDCAE6"/>
    <w:rsid w:val="4C03AEA3"/>
    <w:rsid w:val="4C0B4DDB"/>
    <w:rsid w:val="4C100DFA"/>
    <w:rsid w:val="4C210045"/>
    <w:rsid w:val="4C22AC8F"/>
    <w:rsid w:val="4C25A8FC"/>
    <w:rsid w:val="4C29CCE8"/>
    <w:rsid w:val="4C3610EA"/>
    <w:rsid w:val="4C372B84"/>
    <w:rsid w:val="4C39CFF2"/>
    <w:rsid w:val="4C499002"/>
    <w:rsid w:val="4C54F587"/>
    <w:rsid w:val="4C556873"/>
    <w:rsid w:val="4C55F110"/>
    <w:rsid w:val="4C577C6D"/>
    <w:rsid w:val="4C62BD02"/>
    <w:rsid w:val="4C64131D"/>
    <w:rsid w:val="4C6B78F4"/>
    <w:rsid w:val="4C735C3F"/>
    <w:rsid w:val="4C7E3D1C"/>
    <w:rsid w:val="4C84CDCE"/>
    <w:rsid w:val="4C951DEA"/>
    <w:rsid w:val="4C99B3F3"/>
    <w:rsid w:val="4CA35AEF"/>
    <w:rsid w:val="4CC7E79C"/>
    <w:rsid w:val="4CD407E0"/>
    <w:rsid w:val="4CE0DD56"/>
    <w:rsid w:val="4CE11FD3"/>
    <w:rsid w:val="4CEE5080"/>
    <w:rsid w:val="4CEEE41E"/>
    <w:rsid w:val="4CF24B13"/>
    <w:rsid w:val="4CF77455"/>
    <w:rsid w:val="4CFB7CB9"/>
    <w:rsid w:val="4D05875D"/>
    <w:rsid w:val="4D059ACE"/>
    <w:rsid w:val="4D107203"/>
    <w:rsid w:val="4D23D9BE"/>
    <w:rsid w:val="4D25D03D"/>
    <w:rsid w:val="4D2A1E51"/>
    <w:rsid w:val="4D2C1E99"/>
    <w:rsid w:val="4D2CEE7B"/>
    <w:rsid w:val="4D3A1ED1"/>
    <w:rsid w:val="4D3B6BA8"/>
    <w:rsid w:val="4D509818"/>
    <w:rsid w:val="4D60944F"/>
    <w:rsid w:val="4D7156CB"/>
    <w:rsid w:val="4D761C28"/>
    <w:rsid w:val="4D7D2F76"/>
    <w:rsid w:val="4D7E5957"/>
    <w:rsid w:val="4D8A8F2D"/>
    <w:rsid w:val="4D8C4E15"/>
    <w:rsid w:val="4D962CB7"/>
    <w:rsid w:val="4D9EAE9F"/>
    <w:rsid w:val="4DA6ECFF"/>
    <w:rsid w:val="4DA9E2BA"/>
    <w:rsid w:val="4DC9B800"/>
    <w:rsid w:val="4DD9452F"/>
    <w:rsid w:val="4DE08760"/>
    <w:rsid w:val="4DE859D8"/>
    <w:rsid w:val="4DE8DB99"/>
    <w:rsid w:val="4DEA78E2"/>
    <w:rsid w:val="4DEB8A35"/>
    <w:rsid w:val="4DEBB0C6"/>
    <w:rsid w:val="4DF68C42"/>
    <w:rsid w:val="4DFF2AD0"/>
    <w:rsid w:val="4E03929D"/>
    <w:rsid w:val="4E039BCF"/>
    <w:rsid w:val="4E058F57"/>
    <w:rsid w:val="4E097A48"/>
    <w:rsid w:val="4E09F406"/>
    <w:rsid w:val="4E0DE4A6"/>
    <w:rsid w:val="4E162723"/>
    <w:rsid w:val="4E1648E1"/>
    <w:rsid w:val="4E1B2469"/>
    <w:rsid w:val="4E294B30"/>
    <w:rsid w:val="4E2B31EF"/>
    <w:rsid w:val="4E44469F"/>
    <w:rsid w:val="4E44CE24"/>
    <w:rsid w:val="4E52050E"/>
    <w:rsid w:val="4E57D59E"/>
    <w:rsid w:val="4E5CCD3B"/>
    <w:rsid w:val="4E61C002"/>
    <w:rsid w:val="4E6BD832"/>
    <w:rsid w:val="4E733C5F"/>
    <w:rsid w:val="4E76F6EC"/>
    <w:rsid w:val="4E83C5DD"/>
    <w:rsid w:val="4E86F4D4"/>
    <w:rsid w:val="4E8A5852"/>
    <w:rsid w:val="4E904266"/>
    <w:rsid w:val="4E97A2AD"/>
    <w:rsid w:val="4E9B4295"/>
    <w:rsid w:val="4EA7272B"/>
    <w:rsid w:val="4EAB089D"/>
    <w:rsid w:val="4EB4190B"/>
    <w:rsid w:val="4EB9010F"/>
    <w:rsid w:val="4EC70E5C"/>
    <w:rsid w:val="4EE04552"/>
    <w:rsid w:val="4F2C9454"/>
    <w:rsid w:val="4F2CAA3C"/>
    <w:rsid w:val="4F3EE132"/>
    <w:rsid w:val="4F453912"/>
    <w:rsid w:val="4F4B24D6"/>
    <w:rsid w:val="4F4E17B7"/>
    <w:rsid w:val="4F658861"/>
    <w:rsid w:val="4F664B32"/>
    <w:rsid w:val="4F66FF52"/>
    <w:rsid w:val="4F77D539"/>
    <w:rsid w:val="4F796518"/>
    <w:rsid w:val="4F96402B"/>
    <w:rsid w:val="4FA0BEC4"/>
    <w:rsid w:val="4FB07C33"/>
    <w:rsid w:val="4FBCE4FA"/>
    <w:rsid w:val="4FD027AE"/>
    <w:rsid w:val="4FDCD58A"/>
    <w:rsid w:val="4FE9F2B6"/>
    <w:rsid w:val="4FF62EBB"/>
    <w:rsid w:val="4FFEB637"/>
    <w:rsid w:val="50089253"/>
    <w:rsid w:val="500C03E5"/>
    <w:rsid w:val="500DB1E4"/>
    <w:rsid w:val="500F0A7B"/>
    <w:rsid w:val="50140305"/>
    <w:rsid w:val="501B6E6D"/>
    <w:rsid w:val="5020D3E6"/>
    <w:rsid w:val="5022BFBF"/>
    <w:rsid w:val="502386A4"/>
    <w:rsid w:val="503B27AC"/>
    <w:rsid w:val="504373C1"/>
    <w:rsid w:val="50482A82"/>
    <w:rsid w:val="504B0239"/>
    <w:rsid w:val="5059E948"/>
    <w:rsid w:val="50716138"/>
    <w:rsid w:val="507EF5B9"/>
    <w:rsid w:val="5081EC3D"/>
    <w:rsid w:val="5085EC26"/>
    <w:rsid w:val="508674DF"/>
    <w:rsid w:val="5098FF5A"/>
    <w:rsid w:val="509DD467"/>
    <w:rsid w:val="509DDB88"/>
    <w:rsid w:val="50A162F6"/>
    <w:rsid w:val="50B60A96"/>
    <w:rsid w:val="50B7A4AB"/>
    <w:rsid w:val="50C04713"/>
    <w:rsid w:val="50CA039C"/>
    <w:rsid w:val="50DD46E4"/>
    <w:rsid w:val="50E26C6D"/>
    <w:rsid w:val="51045237"/>
    <w:rsid w:val="5105B13E"/>
    <w:rsid w:val="51061A02"/>
    <w:rsid w:val="510BAB24"/>
    <w:rsid w:val="5119564C"/>
    <w:rsid w:val="511B639E"/>
    <w:rsid w:val="512161DB"/>
    <w:rsid w:val="513EF205"/>
    <w:rsid w:val="51452EAF"/>
    <w:rsid w:val="514A5456"/>
    <w:rsid w:val="5157DBD1"/>
    <w:rsid w:val="515F7FA9"/>
    <w:rsid w:val="51620DFC"/>
    <w:rsid w:val="518D16BE"/>
    <w:rsid w:val="519D7D96"/>
    <w:rsid w:val="519D9D3F"/>
    <w:rsid w:val="51A86CF0"/>
    <w:rsid w:val="51B4D061"/>
    <w:rsid w:val="51B72F37"/>
    <w:rsid w:val="51BC30DD"/>
    <w:rsid w:val="51C243D2"/>
    <w:rsid w:val="51C81B92"/>
    <w:rsid w:val="51CBDED8"/>
    <w:rsid w:val="51D24BDF"/>
    <w:rsid w:val="51D30215"/>
    <w:rsid w:val="51D3634A"/>
    <w:rsid w:val="51D588E0"/>
    <w:rsid w:val="51F39C13"/>
    <w:rsid w:val="51F65FFA"/>
    <w:rsid w:val="5202DBCA"/>
    <w:rsid w:val="520C261A"/>
    <w:rsid w:val="5212EFF9"/>
    <w:rsid w:val="5215D047"/>
    <w:rsid w:val="5215F910"/>
    <w:rsid w:val="521A1205"/>
    <w:rsid w:val="521A9FDE"/>
    <w:rsid w:val="5235E3C4"/>
    <w:rsid w:val="5236F6F0"/>
    <w:rsid w:val="52415DA5"/>
    <w:rsid w:val="526C9439"/>
    <w:rsid w:val="52996243"/>
    <w:rsid w:val="529C2DB6"/>
    <w:rsid w:val="52AF36D9"/>
    <w:rsid w:val="52B0D5BA"/>
    <w:rsid w:val="52B0F60E"/>
    <w:rsid w:val="52C0D11F"/>
    <w:rsid w:val="52C79F85"/>
    <w:rsid w:val="52CB1004"/>
    <w:rsid w:val="52CFD483"/>
    <w:rsid w:val="52D34858"/>
    <w:rsid w:val="52D436A4"/>
    <w:rsid w:val="52FBE404"/>
    <w:rsid w:val="52FDABCF"/>
    <w:rsid w:val="530712D5"/>
    <w:rsid w:val="531389DD"/>
    <w:rsid w:val="533B7906"/>
    <w:rsid w:val="53402FAE"/>
    <w:rsid w:val="53458E84"/>
    <w:rsid w:val="53540C95"/>
    <w:rsid w:val="53540F4C"/>
    <w:rsid w:val="53641818"/>
    <w:rsid w:val="5367AF39"/>
    <w:rsid w:val="5372911C"/>
    <w:rsid w:val="53884C15"/>
    <w:rsid w:val="53898753"/>
    <w:rsid w:val="538D88D9"/>
    <w:rsid w:val="538E4E6F"/>
    <w:rsid w:val="53B2C1FD"/>
    <w:rsid w:val="53B4CA00"/>
    <w:rsid w:val="53BDE57B"/>
    <w:rsid w:val="53D201E7"/>
    <w:rsid w:val="53E596BC"/>
    <w:rsid w:val="53F0D32D"/>
    <w:rsid w:val="53FD5520"/>
    <w:rsid w:val="5401020E"/>
    <w:rsid w:val="54056D50"/>
    <w:rsid w:val="5406A12C"/>
    <w:rsid w:val="540DC8DF"/>
    <w:rsid w:val="54137436"/>
    <w:rsid w:val="5419FD98"/>
    <w:rsid w:val="542535C6"/>
    <w:rsid w:val="5425828B"/>
    <w:rsid w:val="542DBB41"/>
    <w:rsid w:val="543671C5"/>
    <w:rsid w:val="544AE1E5"/>
    <w:rsid w:val="54503ED3"/>
    <w:rsid w:val="5455BF19"/>
    <w:rsid w:val="5455E8B2"/>
    <w:rsid w:val="545808EC"/>
    <w:rsid w:val="5465C371"/>
    <w:rsid w:val="546F4B8B"/>
    <w:rsid w:val="54717A0D"/>
    <w:rsid w:val="54756B67"/>
    <w:rsid w:val="548761E0"/>
    <w:rsid w:val="5488895A"/>
    <w:rsid w:val="54893D35"/>
    <w:rsid w:val="549418E0"/>
    <w:rsid w:val="5499CC2D"/>
    <w:rsid w:val="549A452D"/>
    <w:rsid w:val="54ABE812"/>
    <w:rsid w:val="54B00B03"/>
    <w:rsid w:val="54B94563"/>
    <w:rsid w:val="54BB451B"/>
    <w:rsid w:val="54CA2DC0"/>
    <w:rsid w:val="54CD9257"/>
    <w:rsid w:val="54D3F0B3"/>
    <w:rsid w:val="54E2FB8C"/>
    <w:rsid w:val="54E4125C"/>
    <w:rsid w:val="54EB95E0"/>
    <w:rsid w:val="54FB604D"/>
    <w:rsid w:val="55109B69"/>
    <w:rsid w:val="55226F6B"/>
    <w:rsid w:val="55300E7B"/>
    <w:rsid w:val="5535D528"/>
    <w:rsid w:val="553834D7"/>
    <w:rsid w:val="5544C883"/>
    <w:rsid w:val="5548A9AA"/>
    <w:rsid w:val="556B761D"/>
    <w:rsid w:val="556E2279"/>
    <w:rsid w:val="557ADBB0"/>
    <w:rsid w:val="55836350"/>
    <w:rsid w:val="5597BD7F"/>
    <w:rsid w:val="55A187F8"/>
    <w:rsid w:val="55A4ADCB"/>
    <w:rsid w:val="55AC56B5"/>
    <w:rsid w:val="55B69465"/>
    <w:rsid w:val="55C4D2BE"/>
    <w:rsid w:val="55C67D73"/>
    <w:rsid w:val="55C941D5"/>
    <w:rsid w:val="55D415C7"/>
    <w:rsid w:val="55D79F71"/>
    <w:rsid w:val="55E02E54"/>
    <w:rsid w:val="55E07B91"/>
    <w:rsid w:val="55E1FC48"/>
    <w:rsid w:val="55E6D79B"/>
    <w:rsid w:val="5602C9BE"/>
    <w:rsid w:val="5608EB53"/>
    <w:rsid w:val="560D46FA"/>
    <w:rsid w:val="5614CE7F"/>
    <w:rsid w:val="56195199"/>
    <w:rsid w:val="5621B5A7"/>
    <w:rsid w:val="5621C8BF"/>
    <w:rsid w:val="563093CE"/>
    <w:rsid w:val="563BD813"/>
    <w:rsid w:val="56400EC1"/>
    <w:rsid w:val="5644916C"/>
    <w:rsid w:val="56451D29"/>
    <w:rsid w:val="5650E300"/>
    <w:rsid w:val="56525F27"/>
    <w:rsid w:val="56580ECE"/>
    <w:rsid w:val="565BB575"/>
    <w:rsid w:val="5662635D"/>
    <w:rsid w:val="5676B768"/>
    <w:rsid w:val="5680E065"/>
    <w:rsid w:val="5689BA0A"/>
    <w:rsid w:val="568CB515"/>
    <w:rsid w:val="56AC4374"/>
    <w:rsid w:val="56B3FC77"/>
    <w:rsid w:val="56BA7D4C"/>
    <w:rsid w:val="56C4FBEB"/>
    <w:rsid w:val="56CC6A29"/>
    <w:rsid w:val="56CD8C96"/>
    <w:rsid w:val="56D7B3A4"/>
    <w:rsid w:val="56E2B8B8"/>
    <w:rsid w:val="56E3EBFC"/>
    <w:rsid w:val="56E4CCB3"/>
    <w:rsid w:val="56E8D4D6"/>
    <w:rsid w:val="56EFB664"/>
    <w:rsid w:val="56F953D4"/>
    <w:rsid w:val="56FECB07"/>
    <w:rsid w:val="570507BB"/>
    <w:rsid w:val="5707B29B"/>
    <w:rsid w:val="5707BEAF"/>
    <w:rsid w:val="5709E842"/>
    <w:rsid w:val="570C2BE0"/>
    <w:rsid w:val="571438FC"/>
    <w:rsid w:val="571B7133"/>
    <w:rsid w:val="57276354"/>
    <w:rsid w:val="57290909"/>
    <w:rsid w:val="572924C9"/>
    <w:rsid w:val="5730B11A"/>
    <w:rsid w:val="5732D934"/>
    <w:rsid w:val="5735B6D4"/>
    <w:rsid w:val="5744AF0E"/>
    <w:rsid w:val="57483F10"/>
    <w:rsid w:val="574CE5EC"/>
    <w:rsid w:val="5759D3CE"/>
    <w:rsid w:val="5762CA3E"/>
    <w:rsid w:val="57659AB5"/>
    <w:rsid w:val="5781EB48"/>
    <w:rsid w:val="578327CA"/>
    <w:rsid w:val="5783E124"/>
    <w:rsid w:val="57862B3B"/>
    <w:rsid w:val="57AA71E9"/>
    <w:rsid w:val="57B07B47"/>
    <w:rsid w:val="57C4E45F"/>
    <w:rsid w:val="57C913ED"/>
    <w:rsid w:val="57CD7A41"/>
    <w:rsid w:val="57D20EA4"/>
    <w:rsid w:val="57D624B7"/>
    <w:rsid w:val="57DE58E2"/>
    <w:rsid w:val="57E2A241"/>
    <w:rsid w:val="57E5BF5D"/>
    <w:rsid w:val="57E9D5A4"/>
    <w:rsid w:val="57FC2DCF"/>
    <w:rsid w:val="57FE8192"/>
    <w:rsid w:val="58042A8D"/>
    <w:rsid w:val="583A243D"/>
    <w:rsid w:val="584DEF29"/>
    <w:rsid w:val="584FA10C"/>
    <w:rsid w:val="58513FEB"/>
    <w:rsid w:val="58541CB6"/>
    <w:rsid w:val="585FA96B"/>
    <w:rsid w:val="58601295"/>
    <w:rsid w:val="586338E4"/>
    <w:rsid w:val="5870BAA6"/>
    <w:rsid w:val="5876B576"/>
    <w:rsid w:val="58776579"/>
    <w:rsid w:val="587F69C4"/>
    <w:rsid w:val="58851197"/>
    <w:rsid w:val="588F0712"/>
    <w:rsid w:val="589686E1"/>
    <w:rsid w:val="589CFD69"/>
    <w:rsid w:val="58A8F719"/>
    <w:rsid w:val="58AB2AA7"/>
    <w:rsid w:val="58B04292"/>
    <w:rsid w:val="58BF37B6"/>
    <w:rsid w:val="58C12966"/>
    <w:rsid w:val="58C2C189"/>
    <w:rsid w:val="58C7EE8A"/>
    <w:rsid w:val="58C9317F"/>
    <w:rsid w:val="58D3C552"/>
    <w:rsid w:val="58D9018F"/>
    <w:rsid w:val="58EBF957"/>
    <w:rsid w:val="58EC3F7C"/>
    <w:rsid w:val="58F43A8D"/>
    <w:rsid w:val="58F7F54E"/>
    <w:rsid w:val="5901BED5"/>
    <w:rsid w:val="59041B7B"/>
    <w:rsid w:val="59045D59"/>
    <w:rsid w:val="59058D69"/>
    <w:rsid w:val="590D2FD8"/>
    <w:rsid w:val="59239BB6"/>
    <w:rsid w:val="5925F9AA"/>
    <w:rsid w:val="593D84F6"/>
    <w:rsid w:val="5940ED6C"/>
    <w:rsid w:val="5941AA64"/>
    <w:rsid w:val="5948C4A4"/>
    <w:rsid w:val="5989DE70"/>
    <w:rsid w:val="598D602B"/>
    <w:rsid w:val="599111C2"/>
    <w:rsid w:val="59933305"/>
    <w:rsid w:val="59A8C24C"/>
    <w:rsid w:val="59BA08E9"/>
    <w:rsid w:val="59E85D2D"/>
    <w:rsid w:val="59EDA0CD"/>
    <w:rsid w:val="59FE8B59"/>
    <w:rsid w:val="59FFEB12"/>
    <w:rsid w:val="5A13A175"/>
    <w:rsid w:val="5A1F220B"/>
    <w:rsid w:val="5A2AC046"/>
    <w:rsid w:val="5A3540AD"/>
    <w:rsid w:val="5A406E2A"/>
    <w:rsid w:val="5A491C76"/>
    <w:rsid w:val="5A6EBF73"/>
    <w:rsid w:val="5A71F82C"/>
    <w:rsid w:val="5A78D6CD"/>
    <w:rsid w:val="5A7E6D95"/>
    <w:rsid w:val="5A84B1CF"/>
    <w:rsid w:val="5A875AF0"/>
    <w:rsid w:val="5AA8C621"/>
    <w:rsid w:val="5AAA2273"/>
    <w:rsid w:val="5AAF28D3"/>
    <w:rsid w:val="5AB34EC1"/>
    <w:rsid w:val="5ABA6DE1"/>
    <w:rsid w:val="5ABC98F0"/>
    <w:rsid w:val="5ABE722A"/>
    <w:rsid w:val="5ACB17BB"/>
    <w:rsid w:val="5ADC86D7"/>
    <w:rsid w:val="5ADEB311"/>
    <w:rsid w:val="5AE6AC6A"/>
    <w:rsid w:val="5AE70992"/>
    <w:rsid w:val="5AE8A4EB"/>
    <w:rsid w:val="5AE9BC40"/>
    <w:rsid w:val="5AEF5FE5"/>
    <w:rsid w:val="5AF14D0A"/>
    <w:rsid w:val="5AF98C3A"/>
    <w:rsid w:val="5AFE867B"/>
    <w:rsid w:val="5B04B70D"/>
    <w:rsid w:val="5B0528C3"/>
    <w:rsid w:val="5B1D49B1"/>
    <w:rsid w:val="5B244D4B"/>
    <w:rsid w:val="5B2BFDAB"/>
    <w:rsid w:val="5B2C92C5"/>
    <w:rsid w:val="5B2D4295"/>
    <w:rsid w:val="5B39B080"/>
    <w:rsid w:val="5B3B5DFC"/>
    <w:rsid w:val="5B3B892D"/>
    <w:rsid w:val="5B3CFD69"/>
    <w:rsid w:val="5B457CBE"/>
    <w:rsid w:val="5B4FE7EC"/>
    <w:rsid w:val="5B57BFA6"/>
    <w:rsid w:val="5B5A2B99"/>
    <w:rsid w:val="5B5EA42A"/>
    <w:rsid w:val="5B6287BE"/>
    <w:rsid w:val="5B640AB6"/>
    <w:rsid w:val="5B647AA4"/>
    <w:rsid w:val="5B684C78"/>
    <w:rsid w:val="5B6945F0"/>
    <w:rsid w:val="5B69568B"/>
    <w:rsid w:val="5B6D56D7"/>
    <w:rsid w:val="5B794843"/>
    <w:rsid w:val="5B7EF63F"/>
    <w:rsid w:val="5B8018D2"/>
    <w:rsid w:val="5B8F1064"/>
    <w:rsid w:val="5B8F9A3C"/>
    <w:rsid w:val="5B93E966"/>
    <w:rsid w:val="5B9538EA"/>
    <w:rsid w:val="5B97A438"/>
    <w:rsid w:val="5B9BC3B8"/>
    <w:rsid w:val="5BA746E3"/>
    <w:rsid w:val="5BA8EA9A"/>
    <w:rsid w:val="5BB8BA6F"/>
    <w:rsid w:val="5BD405A4"/>
    <w:rsid w:val="5BE92984"/>
    <w:rsid w:val="5BEBE963"/>
    <w:rsid w:val="5C007352"/>
    <w:rsid w:val="5C0B9DAF"/>
    <w:rsid w:val="5C0E4E7A"/>
    <w:rsid w:val="5C10657C"/>
    <w:rsid w:val="5C2263EF"/>
    <w:rsid w:val="5C23D6A3"/>
    <w:rsid w:val="5C2623E7"/>
    <w:rsid w:val="5C282C18"/>
    <w:rsid w:val="5C381EB2"/>
    <w:rsid w:val="5C4C8217"/>
    <w:rsid w:val="5C5BEC5C"/>
    <w:rsid w:val="5C63C18A"/>
    <w:rsid w:val="5C73CE80"/>
    <w:rsid w:val="5C7523FE"/>
    <w:rsid w:val="5C87D785"/>
    <w:rsid w:val="5C88FFB7"/>
    <w:rsid w:val="5C8A0953"/>
    <w:rsid w:val="5C8B30FE"/>
    <w:rsid w:val="5C8EAB35"/>
    <w:rsid w:val="5C9890ED"/>
    <w:rsid w:val="5C9B051A"/>
    <w:rsid w:val="5C9B5009"/>
    <w:rsid w:val="5CAA7E45"/>
    <w:rsid w:val="5CACA195"/>
    <w:rsid w:val="5CB021B8"/>
    <w:rsid w:val="5CBA20C9"/>
    <w:rsid w:val="5CBE8938"/>
    <w:rsid w:val="5CC4462F"/>
    <w:rsid w:val="5CCD7E75"/>
    <w:rsid w:val="5CD02A8E"/>
    <w:rsid w:val="5CD3BAC3"/>
    <w:rsid w:val="5CD43595"/>
    <w:rsid w:val="5CD8FD0E"/>
    <w:rsid w:val="5CE1E497"/>
    <w:rsid w:val="5D004B05"/>
    <w:rsid w:val="5D080D6C"/>
    <w:rsid w:val="5D0DE858"/>
    <w:rsid w:val="5D177A88"/>
    <w:rsid w:val="5D1BF169"/>
    <w:rsid w:val="5D1C631F"/>
    <w:rsid w:val="5D221C90"/>
    <w:rsid w:val="5D2266CA"/>
    <w:rsid w:val="5D2F393A"/>
    <w:rsid w:val="5D32383B"/>
    <w:rsid w:val="5D365B2C"/>
    <w:rsid w:val="5D372C4C"/>
    <w:rsid w:val="5D43A1CC"/>
    <w:rsid w:val="5D469C9E"/>
    <w:rsid w:val="5D4B6EC7"/>
    <w:rsid w:val="5D4E438E"/>
    <w:rsid w:val="5D505A29"/>
    <w:rsid w:val="5D56B11B"/>
    <w:rsid w:val="5D577EE2"/>
    <w:rsid w:val="5D663417"/>
    <w:rsid w:val="5D73A853"/>
    <w:rsid w:val="5D7BCA8F"/>
    <w:rsid w:val="5D7EC3C1"/>
    <w:rsid w:val="5D823E2A"/>
    <w:rsid w:val="5D894D54"/>
    <w:rsid w:val="5D90EAAC"/>
    <w:rsid w:val="5D988FED"/>
    <w:rsid w:val="5D9EFD44"/>
    <w:rsid w:val="5DA9B5D7"/>
    <w:rsid w:val="5DAAB2CE"/>
    <w:rsid w:val="5DACAEF0"/>
    <w:rsid w:val="5DAEB85A"/>
    <w:rsid w:val="5DB798E0"/>
    <w:rsid w:val="5DB87465"/>
    <w:rsid w:val="5DD00C54"/>
    <w:rsid w:val="5DE21925"/>
    <w:rsid w:val="5DFA5A26"/>
    <w:rsid w:val="5DFD7982"/>
    <w:rsid w:val="5E0749A6"/>
    <w:rsid w:val="5E0C0C5A"/>
    <w:rsid w:val="5E14FCC5"/>
    <w:rsid w:val="5E21D574"/>
    <w:rsid w:val="5E3280BD"/>
    <w:rsid w:val="5E4A952D"/>
    <w:rsid w:val="5E51D4D8"/>
    <w:rsid w:val="5E562E41"/>
    <w:rsid w:val="5E56FC51"/>
    <w:rsid w:val="5E57338B"/>
    <w:rsid w:val="5E5B68E6"/>
    <w:rsid w:val="5E617DB3"/>
    <w:rsid w:val="5E619D56"/>
    <w:rsid w:val="5E659F5B"/>
    <w:rsid w:val="5E67245D"/>
    <w:rsid w:val="5E6A9C6E"/>
    <w:rsid w:val="5E80B746"/>
    <w:rsid w:val="5E8DCD91"/>
    <w:rsid w:val="5EA1EC0A"/>
    <w:rsid w:val="5EA6A558"/>
    <w:rsid w:val="5EAD5CD4"/>
    <w:rsid w:val="5EF72EAC"/>
    <w:rsid w:val="5F00F550"/>
    <w:rsid w:val="5F018C34"/>
    <w:rsid w:val="5F052AAE"/>
    <w:rsid w:val="5F0EE4B8"/>
    <w:rsid w:val="5F107187"/>
    <w:rsid w:val="5F11F220"/>
    <w:rsid w:val="5F1923EF"/>
    <w:rsid w:val="5F2023C8"/>
    <w:rsid w:val="5F24D977"/>
    <w:rsid w:val="5F27BFCA"/>
    <w:rsid w:val="5F5AC294"/>
    <w:rsid w:val="5F60DCC5"/>
    <w:rsid w:val="5F683262"/>
    <w:rsid w:val="5F6F979A"/>
    <w:rsid w:val="5F709B69"/>
    <w:rsid w:val="5F7AD512"/>
    <w:rsid w:val="5F7F1958"/>
    <w:rsid w:val="5F834838"/>
    <w:rsid w:val="5F892225"/>
    <w:rsid w:val="5F8FE2D5"/>
    <w:rsid w:val="5F93123D"/>
    <w:rsid w:val="5F943F0F"/>
    <w:rsid w:val="5F97223F"/>
    <w:rsid w:val="5F98DA95"/>
    <w:rsid w:val="5F9A5F8D"/>
    <w:rsid w:val="5F9C90A0"/>
    <w:rsid w:val="5FB686C6"/>
    <w:rsid w:val="5FC3008C"/>
    <w:rsid w:val="5FCB4575"/>
    <w:rsid w:val="5FCEEF0D"/>
    <w:rsid w:val="5FD8CE5D"/>
    <w:rsid w:val="5FDFEB8B"/>
    <w:rsid w:val="5FE1BA60"/>
    <w:rsid w:val="5FF4CA7F"/>
    <w:rsid w:val="600CA751"/>
    <w:rsid w:val="6015047C"/>
    <w:rsid w:val="6025F8D1"/>
    <w:rsid w:val="603B990F"/>
    <w:rsid w:val="604EB6A3"/>
    <w:rsid w:val="60512441"/>
    <w:rsid w:val="605AC153"/>
    <w:rsid w:val="606E7F32"/>
    <w:rsid w:val="60713BBE"/>
    <w:rsid w:val="6073016E"/>
    <w:rsid w:val="607C0976"/>
    <w:rsid w:val="608076DD"/>
    <w:rsid w:val="60871914"/>
    <w:rsid w:val="609018CD"/>
    <w:rsid w:val="60976DF7"/>
    <w:rsid w:val="60A7B32A"/>
    <w:rsid w:val="60A82951"/>
    <w:rsid w:val="60A8DD62"/>
    <w:rsid w:val="60B5C432"/>
    <w:rsid w:val="60B6BAB8"/>
    <w:rsid w:val="60CA17C5"/>
    <w:rsid w:val="60CE9009"/>
    <w:rsid w:val="60D126D6"/>
    <w:rsid w:val="60D5E909"/>
    <w:rsid w:val="60D6C3A4"/>
    <w:rsid w:val="60D92A8D"/>
    <w:rsid w:val="60DC8173"/>
    <w:rsid w:val="60DD04D8"/>
    <w:rsid w:val="60FE3371"/>
    <w:rsid w:val="60FF0025"/>
    <w:rsid w:val="610323AB"/>
    <w:rsid w:val="61102261"/>
    <w:rsid w:val="6110CFAE"/>
    <w:rsid w:val="6117A1D2"/>
    <w:rsid w:val="611AD8E9"/>
    <w:rsid w:val="61222364"/>
    <w:rsid w:val="61254593"/>
    <w:rsid w:val="612746ED"/>
    <w:rsid w:val="612BA26E"/>
    <w:rsid w:val="6133CE16"/>
    <w:rsid w:val="61342ACC"/>
    <w:rsid w:val="613BFC5E"/>
    <w:rsid w:val="614B9AAA"/>
    <w:rsid w:val="614EBFE8"/>
    <w:rsid w:val="61534B0A"/>
    <w:rsid w:val="6159DFA8"/>
    <w:rsid w:val="616A8B41"/>
    <w:rsid w:val="616D2F63"/>
    <w:rsid w:val="61794FC5"/>
    <w:rsid w:val="617F7DB5"/>
    <w:rsid w:val="6183B4A2"/>
    <w:rsid w:val="618F7FE0"/>
    <w:rsid w:val="61955115"/>
    <w:rsid w:val="61A0C342"/>
    <w:rsid w:val="61A99350"/>
    <w:rsid w:val="61AC3622"/>
    <w:rsid w:val="61AF413B"/>
    <w:rsid w:val="61B5FCE2"/>
    <w:rsid w:val="61B7EA85"/>
    <w:rsid w:val="61C08CFF"/>
    <w:rsid w:val="61C4E50E"/>
    <w:rsid w:val="61DF4ACF"/>
    <w:rsid w:val="61ED024E"/>
    <w:rsid w:val="61ED7327"/>
    <w:rsid w:val="61F09599"/>
    <w:rsid w:val="61F27EC3"/>
    <w:rsid w:val="61FC9A96"/>
    <w:rsid w:val="620165DF"/>
    <w:rsid w:val="620A45E5"/>
    <w:rsid w:val="6210F8C1"/>
    <w:rsid w:val="6211CFA4"/>
    <w:rsid w:val="621505A0"/>
    <w:rsid w:val="6219B524"/>
    <w:rsid w:val="622933B1"/>
    <w:rsid w:val="622ABBB8"/>
    <w:rsid w:val="6236D9AC"/>
    <w:rsid w:val="62386E1C"/>
    <w:rsid w:val="623A2EC4"/>
    <w:rsid w:val="623C8199"/>
    <w:rsid w:val="623CA0C7"/>
    <w:rsid w:val="62520DA6"/>
    <w:rsid w:val="6255ED52"/>
    <w:rsid w:val="62592550"/>
    <w:rsid w:val="626489C0"/>
    <w:rsid w:val="62657E34"/>
    <w:rsid w:val="62716168"/>
    <w:rsid w:val="62718EF7"/>
    <w:rsid w:val="627FDC2F"/>
    <w:rsid w:val="62816A1C"/>
    <w:rsid w:val="62981D9D"/>
    <w:rsid w:val="629E1607"/>
    <w:rsid w:val="62A508C9"/>
    <w:rsid w:val="62B741C0"/>
    <w:rsid w:val="62CA5DC5"/>
    <w:rsid w:val="62D424AA"/>
    <w:rsid w:val="62D96D5A"/>
    <w:rsid w:val="62D9E3D6"/>
    <w:rsid w:val="62ECA1A3"/>
    <w:rsid w:val="62F450BF"/>
    <w:rsid w:val="62F4669F"/>
    <w:rsid w:val="62FD0FB4"/>
    <w:rsid w:val="630F0C57"/>
    <w:rsid w:val="6315DBBB"/>
    <w:rsid w:val="6321C27F"/>
    <w:rsid w:val="6321E342"/>
    <w:rsid w:val="632D90EA"/>
    <w:rsid w:val="6334DA97"/>
    <w:rsid w:val="6339A5C1"/>
    <w:rsid w:val="634397DC"/>
    <w:rsid w:val="6350D124"/>
    <w:rsid w:val="6355C7BA"/>
    <w:rsid w:val="63577057"/>
    <w:rsid w:val="63670D8B"/>
    <w:rsid w:val="636A6F32"/>
    <w:rsid w:val="636D10E6"/>
    <w:rsid w:val="6374CB9B"/>
    <w:rsid w:val="637BFAEC"/>
    <w:rsid w:val="637C4564"/>
    <w:rsid w:val="638C3D34"/>
    <w:rsid w:val="639C0B8D"/>
    <w:rsid w:val="63A14FC7"/>
    <w:rsid w:val="63A5AE88"/>
    <w:rsid w:val="63AE8191"/>
    <w:rsid w:val="63D92CCE"/>
    <w:rsid w:val="63DC7AAC"/>
    <w:rsid w:val="63E93498"/>
    <w:rsid w:val="63EFB0C1"/>
    <w:rsid w:val="63F2F0C0"/>
    <w:rsid w:val="63FAC4B3"/>
    <w:rsid w:val="64010843"/>
    <w:rsid w:val="64041CC7"/>
    <w:rsid w:val="6429D569"/>
    <w:rsid w:val="642DF952"/>
    <w:rsid w:val="644935F4"/>
    <w:rsid w:val="6453736C"/>
    <w:rsid w:val="645EEF35"/>
    <w:rsid w:val="646BCAF5"/>
    <w:rsid w:val="647F1E77"/>
    <w:rsid w:val="6482DFE1"/>
    <w:rsid w:val="6492AA14"/>
    <w:rsid w:val="64963CAC"/>
    <w:rsid w:val="649ACB5D"/>
    <w:rsid w:val="649B57B7"/>
    <w:rsid w:val="649D6A80"/>
    <w:rsid w:val="64A78B36"/>
    <w:rsid w:val="64AE4B48"/>
    <w:rsid w:val="64B289BF"/>
    <w:rsid w:val="64D95C01"/>
    <w:rsid w:val="64E001D0"/>
    <w:rsid w:val="64E4D720"/>
    <w:rsid w:val="64ED062C"/>
    <w:rsid w:val="6501C210"/>
    <w:rsid w:val="6502BE70"/>
    <w:rsid w:val="6502E0EF"/>
    <w:rsid w:val="65096410"/>
    <w:rsid w:val="650CC943"/>
    <w:rsid w:val="650EB907"/>
    <w:rsid w:val="65124B22"/>
    <w:rsid w:val="6523297E"/>
    <w:rsid w:val="652E09E5"/>
    <w:rsid w:val="6542EC4A"/>
    <w:rsid w:val="654FAD42"/>
    <w:rsid w:val="6554DBE8"/>
    <w:rsid w:val="655D4FC1"/>
    <w:rsid w:val="6561CE31"/>
    <w:rsid w:val="6574673E"/>
    <w:rsid w:val="6575B122"/>
    <w:rsid w:val="657B866B"/>
    <w:rsid w:val="657DB500"/>
    <w:rsid w:val="65803F9C"/>
    <w:rsid w:val="65864042"/>
    <w:rsid w:val="658A9716"/>
    <w:rsid w:val="658ED802"/>
    <w:rsid w:val="6596077F"/>
    <w:rsid w:val="659E533C"/>
    <w:rsid w:val="65A50393"/>
    <w:rsid w:val="65A8B4F4"/>
    <w:rsid w:val="65AAEAD1"/>
    <w:rsid w:val="65BD56B3"/>
    <w:rsid w:val="65C8A7D5"/>
    <w:rsid w:val="65D18B9A"/>
    <w:rsid w:val="65D5357C"/>
    <w:rsid w:val="65D5EF96"/>
    <w:rsid w:val="65E7BC07"/>
    <w:rsid w:val="65EBDC2F"/>
    <w:rsid w:val="65F0E619"/>
    <w:rsid w:val="660AFFFD"/>
    <w:rsid w:val="6614B96B"/>
    <w:rsid w:val="6616EBCE"/>
    <w:rsid w:val="66185383"/>
    <w:rsid w:val="6619BE4C"/>
    <w:rsid w:val="661F794D"/>
    <w:rsid w:val="6625AC4A"/>
    <w:rsid w:val="662F9527"/>
    <w:rsid w:val="663132FF"/>
    <w:rsid w:val="66408A5B"/>
    <w:rsid w:val="6641173B"/>
    <w:rsid w:val="6641EA3B"/>
    <w:rsid w:val="6643353B"/>
    <w:rsid w:val="665A095E"/>
    <w:rsid w:val="666C1E46"/>
    <w:rsid w:val="666EB46F"/>
    <w:rsid w:val="666EC809"/>
    <w:rsid w:val="667E37AB"/>
    <w:rsid w:val="667ED763"/>
    <w:rsid w:val="668FE818"/>
    <w:rsid w:val="6693A8C0"/>
    <w:rsid w:val="669E6E83"/>
    <w:rsid w:val="66A41A30"/>
    <w:rsid w:val="66B8CE93"/>
    <w:rsid w:val="66BD979D"/>
    <w:rsid w:val="66C01FEE"/>
    <w:rsid w:val="66C946EB"/>
    <w:rsid w:val="66CB1436"/>
    <w:rsid w:val="66CCCEF8"/>
    <w:rsid w:val="66DB1699"/>
    <w:rsid w:val="66E1D3B3"/>
    <w:rsid w:val="66E2DA6A"/>
    <w:rsid w:val="66E350A3"/>
    <w:rsid w:val="66F30CB8"/>
    <w:rsid w:val="66F65A00"/>
    <w:rsid w:val="670F8A1A"/>
    <w:rsid w:val="67109699"/>
    <w:rsid w:val="671F55E5"/>
    <w:rsid w:val="672534B3"/>
    <w:rsid w:val="6725E5CE"/>
    <w:rsid w:val="67402B50"/>
    <w:rsid w:val="67628A58"/>
    <w:rsid w:val="67646267"/>
    <w:rsid w:val="678DD818"/>
    <w:rsid w:val="67929C12"/>
    <w:rsid w:val="67984397"/>
    <w:rsid w:val="67A7C672"/>
    <w:rsid w:val="67ADDA73"/>
    <w:rsid w:val="67AED0F6"/>
    <w:rsid w:val="67B9A7A5"/>
    <w:rsid w:val="67BCB8C1"/>
    <w:rsid w:val="67BFF1AF"/>
    <w:rsid w:val="67CA71FF"/>
    <w:rsid w:val="67D8E7DC"/>
    <w:rsid w:val="67DF5A4D"/>
    <w:rsid w:val="67E62C14"/>
    <w:rsid w:val="67F684D1"/>
    <w:rsid w:val="68063206"/>
    <w:rsid w:val="6810D3BF"/>
    <w:rsid w:val="682219CE"/>
    <w:rsid w:val="6822F444"/>
    <w:rsid w:val="68238C2B"/>
    <w:rsid w:val="6824626B"/>
    <w:rsid w:val="682726F4"/>
    <w:rsid w:val="682AD6A2"/>
    <w:rsid w:val="6841720A"/>
    <w:rsid w:val="6847EFBE"/>
    <w:rsid w:val="6855C112"/>
    <w:rsid w:val="6855FEEB"/>
    <w:rsid w:val="68590F6B"/>
    <w:rsid w:val="685B05EA"/>
    <w:rsid w:val="685F6097"/>
    <w:rsid w:val="68648FA4"/>
    <w:rsid w:val="686BFF7E"/>
    <w:rsid w:val="686F0934"/>
    <w:rsid w:val="686F4270"/>
    <w:rsid w:val="686F96E6"/>
    <w:rsid w:val="6870DFB8"/>
    <w:rsid w:val="68729546"/>
    <w:rsid w:val="687C4253"/>
    <w:rsid w:val="687D26FE"/>
    <w:rsid w:val="688AD5E6"/>
    <w:rsid w:val="68905160"/>
    <w:rsid w:val="6894C410"/>
    <w:rsid w:val="6898851F"/>
    <w:rsid w:val="68A673C0"/>
    <w:rsid w:val="68ACA04F"/>
    <w:rsid w:val="68B07D5A"/>
    <w:rsid w:val="68BBCBE7"/>
    <w:rsid w:val="68BDAFEA"/>
    <w:rsid w:val="68BE188F"/>
    <w:rsid w:val="68CCDAFB"/>
    <w:rsid w:val="68D5DB27"/>
    <w:rsid w:val="68D9AC58"/>
    <w:rsid w:val="68DF73FC"/>
    <w:rsid w:val="68E63D05"/>
    <w:rsid w:val="68E7E44B"/>
    <w:rsid w:val="68ECC36B"/>
    <w:rsid w:val="68F25714"/>
    <w:rsid w:val="69080769"/>
    <w:rsid w:val="690929A6"/>
    <w:rsid w:val="69109319"/>
    <w:rsid w:val="6913AEBE"/>
    <w:rsid w:val="691A7E93"/>
    <w:rsid w:val="691C7B7C"/>
    <w:rsid w:val="69219CAC"/>
    <w:rsid w:val="693A2536"/>
    <w:rsid w:val="69404C54"/>
    <w:rsid w:val="6943DC19"/>
    <w:rsid w:val="69476F91"/>
    <w:rsid w:val="6949ED98"/>
    <w:rsid w:val="694B2E37"/>
    <w:rsid w:val="694C8D4F"/>
    <w:rsid w:val="694E4E4E"/>
    <w:rsid w:val="6950FD02"/>
    <w:rsid w:val="695232D3"/>
    <w:rsid w:val="6962DDC9"/>
    <w:rsid w:val="6971166C"/>
    <w:rsid w:val="6973911B"/>
    <w:rsid w:val="69782085"/>
    <w:rsid w:val="69835811"/>
    <w:rsid w:val="698D052A"/>
    <w:rsid w:val="698F3D58"/>
    <w:rsid w:val="69962C8B"/>
    <w:rsid w:val="69999934"/>
    <w:rsid w:val="69A9F314"/>
    <w:rsid w:val="69AED934"/>
    <w:rsid w:val="69B59A28"/>
    <w:rsid w:val="69D3E60E"/>
    <w:rsid w:val="69DA75F0"/>
    <w:rsid w:val="69DFFCB5"/>
    <w:rsid w:val="69E6E493"/>
    <w:rsid w:val="69E96710"/>
    <w:rsid w:val="69EEDAEF"/>
    <w:rsid w:val="69F7EF53"/>
    <w:rsid w:val="6A04D602"/>
    <w:rsid w:val="6A0747D4"/>
    <w:rsid w:val="6A11F6E6"/>
    <w:rsid w:val="6A1505CE"/>
    <w:rsid w:val="6A228A0A"/>
    <w:rsid w:val="6A27A321"/>
    <w:rsid w:val="6A438113"/>
    <w:rsid w:val="6A4EA6A6"/>
    <w:rsid w:val="6A5012DC"/>
    <w:rsid w:val="6A63DF84"/>
    <w:rsid w:val="6A70F76A"/>
    <w:rsid w:val="6A82803D"/>
    <w:rsid w:val="6A828876"/>
    <w:rsid w:val="6A911FCA"/>
    <w:rsid w:val="6A919584"/>
    <w:rsid w:val="6A98E2B9"/>
    <w:rsid w:val="6A9F711F"/>
    <w:rsid w:val="6AAD9194"/>
    <w:rsid w:val="6AB31328"/>
    <w:rsid w:val="6AB38882"/>
    <w:rsid w:val="6ABF7612"/>
    <w:rsid w:val="6ABFD3C1"/>
    <w:rsid w:val="6AC05D8B"/>
    <w:rsid w:val="6AC7F601"/>
    <w:rsid w:val="6AD3EBAA"/>
    <w:rsid w:val="6AD7880F"/>
    <w:rsid w:val="6ADC1CB5"/>
    <w:rsid w:val="6ADC49EB"/>
    <w:rsid w:val="6AE4B8A5"/>
    <w:rsid w:val="6AF4D859"/>
    <w:rsid w:val="6AF5ACF7"/>
    <w:rsid w:val="6AFB0307"/>
    <w:rsid w:val="6AFD006D"/>
    <w:rsid w:val="6B035341"/>
    <w:rsid w:val="6B182E7B"/>
    <w:rsid w:val="6B19ED6D"/>
    <w:rsid w:val="6B2078FA"/>
    <w:rsid w:val="6B2255AC"/>
    <w:rsid w:val="6B25154F"/>
    <w:rsid w:val="6B2D3547"/>
    <w:rsid w:val="6B3164F0"/>
    <w:rsid w:val="6B389716"/>
    <w:rsid w:val="6B3A0219"/>
    <w:rsid w:val="6B3D8A58"/>
    <w:rsid w:val="6B43D002"/>
    <w:rsid w:val="6B4E183C"/>
    <w:rsid w:val="6B4FEAA6"/>
    <w:rsid w:val="6B56176C"/>
    <w:rsid w:val="6B584D67"/>
    <w:rsid w:val="6B5E4A86"/>
    <w:rsid w:val="6B6E54AE"/>
    <w:rsid w:val="6B73D204"/>
    <w:rsid w:val="6B7B84FE"/>
    <w:rsid w:val="6B7D385E"/>
    <w:rsid w:val="6B7F2B3A"/>
    <w:rsid w:val="6B82DFAD"/>
    <w:rsid w:val="6B841874"/>
    <w:rsid w:val="6B86ADF8"/>
    <w:rsid w:val="6B890DB6"/>
    <w:rsid w:val="6B8B303B"/>
    <w:rsid w:val="6B968A5A"/>
    <w:rsid w:val="6B9B3A89"/>
    <w:rsid w:val="6B9E1878"/>
    <w:rsid w:val="6B9FDC81"/>
    <w:rsid w:val="6BA32BE9"/>
    <w:rsid w:val="6BA34132"/>
    <w:rsid w:val="6BB0FCE3"/>
    <w:rsid w:val="6BB65625"/>
    <w:rsid w:val="6BCF268E"/>
    <w:rsid w:val="6BD24C40"/>
    <w:rsid w:val="6BDBA899"/>
    <w:rsid w:val="6BE130C2"/>
    <w:rsid w:val="6BE883FB"/>
    <w:rsid w:val="6BED2AB6"/>
    <w:rsid w:val="6BEEEB24"/>
    <w:rsid w:val="6BF32917"/>
    <w:rsid w:val="6BF7C139"/>
    <w:rsid w:val="6BFBBD4E"/>
    <w:rsid w:val="6BFFAFE5"/>
    <w:rsid w:val="6C12D862"/>
    <w:rsid w:val="6C2576FC"/>
    <w:rsid w:val="6C2D75B8"/>
    <w:rsid w:val="6C3EDD1A"/>
    <w:rsid w:val="6C4BDBC3"/>
    <w:rsid w:val="6C50799F"/>
    <w:rsid w:val="6C510A83"/>
    <w:rsid w:val="6C51AB30"/>
    <w:rsid w:val="6C60F1E6"/>
    <w:rsid w:val="6C647B9D"/>
    <w:rsid w:val="6C65C597"/>
    <w:rsid w:val="6C6AE4C1"/>
    <w:rsid w:val="6C6CD203"/>
    <w:rsid w:val="6C70A5D9"/>
    <w:rsid w:val="6C764569"/>
    <w:rsid w:val="6C77ED16"/>
    <w:rsid w:val="6C82499F"/>
    <w:rsid w:val="6C832E48"/>
    <w:rsid w:val="6C8BA850"/>
    <w:rsid w:val="6C8CC2D6"/>
    <w:rsid w:val="6C8DCFD3"/>
    <w:rsid w:val="6CA517CE"/>
    <w:rsid w:val="6CAFAAD9"/>
    <w:rsid w:val="6CBB53EF"/>
    <w:rsid w:val="6CC26733"/>
    <w:rsid w:val="6CC28296"/>
    <w:rsid w:val="6CD1D0DF"/>
    <w:rsid w:val="6CD4F0A3"/>
    <w:rsid w:val="6CD70587"/>
    <w:rsid w:val="6CDC0013"/>
    <w:rsid w:val="6CE59A7D"/>
    <w:rsid w:val="6CE7B37E"/>
    <w:rsid w:val="6CE979E6"/>
    <w:rsid w:val="6CECD211"/>
    <w:rsid w:val="6CEDA724"/>
    <w:rsid w:val="6CF1A3DA"/>
    <w:rsid w:val="6CF292C0"/>
    <w:rsid w:val="6D038678"/>
    <w:rsid w:val="6D1ACAE5"/>
    <w:rsid w:val="6D1CC822"/>
    <w:rsid w:val="6D2386B8"/>
    <w:rsid w:val="6D23E6A2"/>
    <w:rsid w:val="6D2BA34F"/>
    <w:rsid w:val="6D2C3D8C"/>
    <w:rsid w:val="6D2D65B0"/>
    <w:rsid w:val="6D3D115E"/>
    <w:rsid w:val="6D463F07"/>
    <w:rsid w:val="6D46D77F"/>
    <w:rsid w:val="6D4D495C"/>
    <w:rsid w:val="6D51F3C2"/>
    <w:rsid w:val="6D58AC7F"/>
    <w:rsid w:val="6D5CDEF1"/>
    <w:rsid w:val="6D5D268B"/>
    <w:rsid w:val="6D63F892"/>
    <w:rsid w:val="6D6C8828"/>
    <w:rsid w:val="6D7009A8"/>
    <w:rsid w:val="6D87D35B"/>
    <w:rsid w:val="6D8D2281"/>
    <w:rsid w:val="6DA2FB34"/>
    <w:rsid w:val="6DAA3040"/>
    <w:rsid w:val="6DABCA3F"/>
    <w:rsid w:val="6DC83912"/>
    <w:rsid w:val="6DCAFA50"/>
    <w:rsid w:val="6DCF8BD5"/>
    <w:rsid w:val="6DD4E80B"/>
    <w:rsid w:val="6DE6B228"/>
    <w:rsid w:val="6DF58184"/>
    <w:rsid w:val="6E06EBEF"/>
    <w:rsid w:val="6E1A2C91"/>
    <w:rsid w:val="6E1A912F"/>
    <w:rsid w:val="6E25BF9D"/>
    <w:rsid w:val="6E2B4DB7"/>
    <w:rsid w:val="6E2DF77A"/>
    <w:rsid w:val="6E305CD3"/>
    <w:rsid w:val="6E377B4B"/>
    <w:rsid w:val="6E3F4F2D"/>
    <w:rsid w:val="6E41A569"/>
    <w:rsid w:val="6E480F2F"/>
    <w:rsid w:val="6E50CE76"/>
    <w:rsid w:val="6E583FCF"/>
    <w:rsid w:val="6E585FBC"/>
    <w:rsid w:val="6E600B97"/>
    <w:rsid w:val="6E60B75E"/>
    <w:rsid w:val="6E6559B7"/>
    <w:rsid w:val="6E78F3D1"/>
    <w:rsid w:val="6E847149"/>
    <w:rsid w:val="6E8E1D9A"/>
    <w:rsid w:val="6E922468"/>
    <w:rsid w:val="6EB426EF"/>
    <w:rsid w:val="6EB67A79"/>
    <w:rsid w:val="6EB80D14"/>
    <w:rsid w:val="6EBC1762"/>
    <w:rsid w:val="6EBC522A"/>
    <w:rsid w:val="6EBD2BD1"/>
    <w:rsid w:val="6ECB7E3A"/>
    <w:rsid w:val="6ECDB466"/>
    <w:rsid w:val="6ECF4716"/>
    <w:rsid w:val="6ED68181"/>
    <w:rsid w:val="6EE11EE1"/>
    <w:rsid w:val="6EEFA724"/>
    <w:rsid w:val="6EFA7E6F"/>
    <w:rsid w:val="6F007E71"/>
    <w:rsid w:val="6F08CF81"/>
    <w:rsid w:val="6F1F809E"/>
    <w:rsid w:val="6F2742A2"/>
    <w:rsid w:val="6F2891DA"/>
    <w:rsid w:val="6F315344"/>
    <w:rsid w:val="6F465F0C"/>
    <w:rsid w:val="6F47324C"/>
    <w:rsid w:val="6F48724E"/>
    <w:rsid w:val="6F494914"/>
    <w:rsid w:val="6F49A4E2"/>
    <w:rsid w:val="6F4F4A14"/>
    <w:rsid w:val="6F564BEF"/>
    <w:rsid w:val="6F6F0510"/>
    <w:rsid w:val="6F781FCD"/>
    <w:rsid w:val="6F884972"/>
    <w:rsid w:val="6FA24975"/>
    <w:rsid w:val="6FA2A625"/>
    <w:rsid w:val="6FA4299F"/>
    <w:rsid w:val="6FA86A9B"/>
    <w:rsid w:val="6FC9105F"/>
    <w:rsid w:val="6FCBF0F4"/>
    <w:rsid w:val="6FCFA3A7"/>
    <w:rsid w:val="6FD38819"/>
    <w:rsid w:val="6FD83032"/>
    <w:rsid w:val="6FDEB887"/>
    <w:rsid w:val="6FF4FEEC"/>
    <w:rsid w:val="6FFB7A81"/>
    <w:rsid w:val="7004B8D1"/>
    <w:rsid w:val="70061F6A"/>
    <w:rsid w:val="700B9249"/>
    <w:rsid w:val="700BB609"/>
    <w:rsid w:val="7026E3E5"/>
    <w:rsid w:val="7034D8B9"/>
    <w:rsid w:val="703FE868"/>
    <w:rsid w:val="704B1694"/>
    <w:rsid w:val="70569ADA"/>
    <w:rsid w:val="705B5AD4"/>
    <w:rsid w:val="705E482D"/>
    <w:rsid w:val="706A1F2A"/>
    <w:rsid w:val="707251E2"/>
    <w:rsid w:val="70731971"/>
    <w:rsid w:val="70797DF8"/>
    <w:rsid w:val="708F760B"/>
    <w:rsid w:val="70AE0E0E"/>
    <w:rsid w:val="70BE6E98"/>
    <w:rsid w:val="70BEAE91"/>
    <w:rsid w:val="70C10B18"/>
    <w:rsid w:val="70CCE6BC"/>
    <w:rsid w:val="70D4D5A5"/>
    <w:rsid w:val="70D6CE6A"/>
    <w:rsid w:val="70D945C8"/>
    <w:rsid w:val="70D9E625"/>
    <w:rsid w:val="70DB7FFB"/>
    <w:rsid w:val="70E6FA1B"/>
    <w:rsid w:val="70EBA6B6"/>
    <w:rsid w:val="70EDBB8D"/>
    <w:rsid w:val="71029F2D"/>
    <w:rsid w:val="71150238"/>
    <w:rsid w:val="71233743"/>
    <w:rsid w:val="71256DC9"/>
    <w:rsid w:val="712ACC60"/>
    <w:rsid w:val="712DB384"/>
    <w:rsid w:val="712ED73D"/>
    <w:rsid w:val="71345C4B"/>
    <w:rsid w:val="713A4A8A"/>
    <w:rsid w:val="713F39DE"/>
    <w:rsid w:val="7144A1ED"/>
    <w:rsid w:val="714A5499"/>
    <w:rsid w:val="714D4B43"/>
    <w:rsid w:val="715A3124"/>
    <w:rsid w:val="716450CB"/>
    <w:rsid w:val="71651B14"/>
    <w:rsid w:val="71709C66"/>
    <w:rsid w:val="717133DE"/>
    <w:rsid w:val="71730BBD"/>
    <w:rsid w:val="71748749"/>
    <w:rsid w:val="717A91FC"/>
    <w:rsid w:val="71840333"/>
    <w:rsid w:val="7187F14C"/>
    <w:rsid w:val="71A55485"/>
    <w:rsid w:val="71B573F5"/>
    <w:rsid w:val="71C8FF67"/>
    <w:rsid w:val="71DB56E1"/>
    <w:rsid w:val="71DBB34F"/>
    <w:rsid w:val="71DC09B2"/>
    <w:rsid w:val="71EBA9DE"/>
    <w:rsid w:val="71F0FF61"/>
    <w:rsid w:val="71FAE1DC"/>
    <w:rsid w:val="71FB2ECC"/>
    <w:rsid w:val="72053BF7"/>
    <w:rsid w:val="720FF300"/>
    <w:rsid w:val="721144CE"/>
    <w:rsid w:val="7211DF44"/>
    <w:rsid w:val="721254E4"/>
    <w:rsid w:val="72143740"/>
    <w:rsid w:val="7219BBDB"/>
    <w:rsid w:val="721D976A"/>
    <w:rsid w:val="72281D9E"/>
    <w:rsid w:val="7230D4F0"/>
    <w:rsid w:val="723236D8"/>
    <w:rsid w:val="7243EF22"/>
    <w:rsid w:val="724ECBA9"/>
    <w:rsid w:val="726433D3"/>
    <w:rsid w:val="726E124C"/>
    <w:rsid w:val="7270A7CC"/>
    <w:rsid w:val="72717D7D"/>
    <w:rsid w:val="7273DA86"/>
    <w:rsid w:val="727A1DEE"/>
    <w:rsid w:val="727AF705"/>
    <w:rsid w:val="727DFB57"/>
    <w:rsid w:val="7284F03A"/>
    <w:rsid w:val="728AB65F"/>
    <w:rsid w:val="728DA96C"/>
    <w:rsid w:val="729E02AF"/>
    <w:rsid w:val="729F7B1C"/>
    <w:rsid w:val="72A02DBE"/>
    <w:rsid w:val="72AB264D"/>
    <w:rsid w:val="72AEBDB5"/>
    <w:rsid w:val="72B214FA"/>
    <w:rsid w:val="72B6205B"/>
    <w:rsid w:val="72BB4E97"/>
    <w:rsid w:val="72C753E8"/>
    <w:rsid w:val="72E3360E"/>
    <w:rsid w:val="72E788A9"/>
    <w:rsid w:val="72E91108"/>
    <w:rsid w:val="72F02A32"/>
    <w:rsid w:val="72F14598"/>
    <w:rsid w:val="72FAFBE9"/>
    <w:rsid w:val="72FED691"/>
    <w:rsid w:val="7300932B"/>
    <w:rsid w:val="7300DD4C"/>
    <w:rsid w:val="7301CEAC"/>
    <w:rsid w:val="73021ACF"/>
    <w:rsid w:val="730C922A"/>
    <w:rsid w:val="731AB12C"/>
    <w:rsid w:val="733578D2"/>
    <w:rsid w:val="73366214"/>
    <w:rsid w:val="7338FC36"/>
    <w:rsid w:val="733BF36B"/>
    <w:rsid w:val="733E2A0D"/>
    <w:rsid w:val="7352DD2F"/>
    <w:rsid w:val="7357D576"/>
    <w:rsid w:val="735A9D42"/>
    <w:rsid w:val="735CD6FA"/>
    <w:rsid w:val="735D1188"/>
    <w:rsid w:val="735E24C1"/>
    <w:rsid w:val="73650E65"/>
    <w:rsid w:val="73700E37"/>
    <w:rsid w:val="737DA295"/>
    <w:rsid w:val="73818866"/>
    <w:rsid w:val="7393A47F"/>
    <w:rsid w:val="73992768"/>
    <w:rsid w:val="73A1DE98"/>
    <w:rsid w:val="73A35E21"/>
    <w:rsid w:val="73B25627"/>
    <w:rsid w:val="73B6681E"/>
    <w:rsid w:val="73B7DECC"/>
    <w:rsid w:val="73D66DBE"/>
    <w:rsid w:val="73D722B4"/>
    <w:rsid w:val="73DAEA76"/>
    <w:rsid w:val="73EA3549"/>
    <w:rsid w:val="73F979FD"/>
    <w:rsid w:val="73FFA164"/>
    <w:rsid w:val="7408CEEA"/>
    <w:rsid w:val="740E4186"/>
    <w:rsid w:val="741262D6"/>
    <w:rsid w:val="741DD355"/>
    <w:rsid w:val="742EF844"/>
    <w:rsid w:val="742F701C"/>
    <w:rsid w:val="743027F6"/>
    <w:rsid w:val="743B0EDA"/>
    <w:rsid w:val="743E4E0E"/>
    <w:rsid w:val="744322D8"/>
    <w:rsid w:val="74444523"/>
    <w:rsid w:val="744DC30E"/>
    <w:rsid w:val="745C06F5"/>
    <w:rsid w:val="74647E45"/>
    <w:rsid w:val="74670780"/>
    <w:rsid w:val="7467746A"/>
    <w:rsid w:val="746F820D"/>
    <w:rsid w:val="74715634"/>
    <w:rsid w:val="74719748"/>
    <w:rsid w:val="747CE118"/>
    <w:rsid w:val="747CE291"/>
    <w:rsid w:val="748BF6B6"/>
    <w:rsid w:val="7495FD40"/>
    <w:rsid w:val="74981FEB"/>
    <w:rsid w:val="74A80D44"/>
    <w:rsid w:val="74AE3A6E"/>
    <w:rsid w:val="74BCCF87"/>
    <w:rsid w:val="74C09FDC"/>
    <w:rsid w:val="74C5C5DF"/>
    <w:rsid w:val="74F34EB3"/>
    <w:rsid w:val="74FBC9B6"/>
    <w:rsid w:val="74FD2835"/>
    <w:rsid w:val="750B8401"/>
    <w:rsid w:val="7519FEC8"/>
    <w:rsid w:val="751EBE8C"/>
    <w:rsid w:val="7529A06F"/>
    <w:rsid w:val="752FC52F"/>
    <w:rsid w:val="7536E5CB"/>
    <w:rsid w:val="7538338B"/>
    <w:rsid w:val="75463296"/>
    <w:rsid w:val="7553A899"/>
    <w:rsid w:val="7555399A"/>
    <w:rsid w:val="755899B0"/>
    <w:rsid w:val="75589F39"/>
    <w:rsid w:val="755BF60A"/>
    <w:rsid w:val="755E64FF"/>
    <w:rsid w:val="7569B2C0"/>
    <w:rsid w:val="757887BA"/>
    <w:rsid w:val="7590A386"/>
    <w:rsid w:val="75924019"/>
    <w:rsid w:val="75B1DE52"/>
    <w:rsid w:val="75B23724"/>
    <w:rsid w:val="75B54865"/>
    <w:rsid w:val="75B5EB32"/>
    <w:rsid w:val="75B8CF46"/>
    <w:rsid w:val="75C4C924"/>
    <w:rsid w:val="75DDD539"/>
    <w:rsid w:val="75DE5C04"/>
    <w:rsid w:val="75E0E852"/>
    <w:rsid w:val="760765DE"/>
    <w:rsid w:val="7612C388"/>
    <w:rsid w:val="76244A99"/>
    <w:rsid w:val="7627BDFE"/>
    <w:rsid w:val="762E9261"/>
    <w:rsid w:val="763230F9"/>
    <w:rsid w:val="763B073E"/>
    <w:rsid w:val="763DE66B"/>
    <w:rsid w:val="763E878E"/>
    <w:rsid w:val="764078C2"/>
    <w:rsid w:val="764AA020"/>
    <w:rsid w:val="765AD08C"/>
    <w:rsid w:val="7664EFA0"/>
    <w:rsid w:val="766587E5"/>
    <w:rsid w:val="767A7F13"/>
    <w:rsid w:val="767EBDEC"/>
    <w:rsid w:val="76841FFB"/>
    <w:rsid w:val="7697AF99"/>
    <w:rsid w:val="76AE1592"/>
    <w:rsid w:val="76B666A1"/>
    <w:rsid w:val="76BA1A50"/>
    <w:rsid w:val="76C078A2"/>
    <w:rsid w:val="76C153BB"/>
    <w:rsid w:val="76C9B364"/>
    <w:rsid w:val="76D67FAD"/>
    <w:rsid w:val="76DE4FEE"/>
    <w:rsid w:val="76E34AD7"/>
    <w:rsid w:val="76FD70F8"/>
    <w:rsid w:val="76FDB8F9"/>
    <w:rsid w:val="77076743"/>
    <w:rsid w:val="770BD299"/>
    <w:rsid w:val="771121DE"/>
    <w:rsid w:val="771EE941"/>
    <w:rsid w:val="7729AA53"/>
    <w:rsid w:val="77381821"/>
    <w:rsid w:val="77480F34"/>
    <w:rsid w:val="77561B9F"/>
    <w:rsid w:val="77562998"/>
    <w:rsid w:val="775863D8"/>
    <w:rsid w:val="7758E70A"/>
    <w:rsid w:val="7761351A"/>
    <w:rsid w:val="77679863"/>
    <w:rsid w:val="7767CB34"/>
    <w:rsid w:val="776C7B9C"/>
    <w:rsid w:val="7770E6F2"/>
    <w:rsid w:val="77730DE4"/>
    <w:rsid w:val="7775FA46"/>
    <w:rsid w:val="7776ED4D"/>
    <w:rsid w:val="77853E5F"/>
    <w:rsid w:val="778A9DEE"/>
    <w:rsid w:val="779BC8E6"/>
    <w:rsid w:val="77A0A877"/>
    <w:rsid w:val="77A38013"/>
    <w:rsid w:val="77A8BEEB"/>
    <w:rsid w:val="77AD96F0"/>
    <w:rsid w:val="77CDAAC0"/>
    <w:rsid w:val="77DF29CC"/>
    <w:rsid w:val="77F8409E"/>
    <w:rsid w:val="780731C1"/>
    <w:rsid w:val="780EB545"/>
    <w:rsid w:val="782802D8"/>
    <w:rsid w:val="782E6DC7"/>
    <w:rsid w:val="782F084A"/>
    <w:rsid w:val="782F8E83"/>
    <w:rsid w:val="7839090C"/>
    <w:rsid w:val="78392373"/>
    <w:rsid w:val="784C0FE4"/>
    <w:rsid w:val="784CDA2D"/>
    <w:rsid w:val="785F85FD"/>
    <w:rsid w:val="7867E8BA"/>
    <w:rsid w:val="7871755B"/>
    <w:rsid w:val="787A6D4C"/>
    <w:rsid w:val="787D5FE3"/>
    <w:rsid w:val="788839CB"/>
    <w:rsid w:val="788A01CA"/>
    <w:rsid w:val="7891B58F"/>
    <w:rsid w:val="789B48FB"/>
    <w:rsid w:val="78A6C577"/>
    <w:rsid w:val="78BCA62B"/>
    <w:rsid w:val="78BE4FD9"/>
    <w:rsid w:val="78CA6C60"/>
    <w:rsid w:val="78CF0FF7"/>
    <w:rsid w:val="78DF8ED0"/>
    <w:rsid w:val="78E94991"/>
    <w:rsid w:val="78E9F13D"/>
    <w:rsid w:val="78F1B35E"/>
    <w:rsid w:val="78F77C50"/>
    <w:rsid w:val="78FB315F"/>
    <w:rsid w:val="79030870"/>
    <w:rsid w:val="79040700"/>
    <w:rsid w:val="7904F623"/>
    <w:rsid w:val="7906974C"/>
    <w:rsid w:val="7908585C"/>
    <w:rsid w:val="790BBCB0"/>
    <w:rsid w:val="791907AA"/>
    <w:rsid w:val="791A6F19"/>
    <w:rsid w:val="792A6963"/>
    <w:rsid w:val="79301D54"/>
    <w:rsid w:val="793EECE3"/>
    <w:rsid w:val="793FCC43"/>
    <w:rsid w:val="794C77B5"/>
    <w:rsid w:val="794E9169"/>
    <w:rsid w:val="795E78CE"/>
    <w:rsid w:val="79620727"/>
    <w:rsid w:val="7968A274"/>
    <w:rsid w:val="796C1EDC"/>
    <w:rsid w:val="7975C2D7"/>
    <w:rsid w:val="7976DCAE"/>
    <w:rsid w:val="79810FC0"/>
    <w:rsid w:val="7983721C"/>
    <w:rsid w:val="798827C9"/>
    <w:rsid w:val="798CEDC2"/>
    <w:rsid w:val="799314E0"/>
    <w:rsid w:val="79B5499B"/>
    <w:rsid w:val="79B91BCE"/>
    <w:rsid w:val="79B9B9CB"/>
    <w:rsid w:val="79C29ADB"/>
    <w:rsid w:val="79C5F33E"/>
    <w:rsid w:val="79D109A3"/>
    <w:rsid w:val="79D85FE7"/>
    <w:rsid w:val="79DA4A04"/>
    <w:rsid w:val="79DB438D"/>
    <w:rsid w:val="79E1B38E"/>
    <w:rsid w:val="79E4AE08"/>
    <w:rsid w:val="79E6C873"/>
    <w:rsid w:val="7A094F61"/>
    <w:rsid w:val="7A0A2F54"/>
    <w:rsid w:val="7A3487D8"/>
    <w:rsid w:val="7A3CB145"/>
    <w:rsid w:val="7A3F7AEA"/>
    <w:rsid w:val="7A4AA17E"/>
    <w:rsid w:val="7A5E5466"/>
    <w:rsid w:val="7A5ECCE4"/>
    <w:rsid w:val="7A5EDDF1"/>
    <w:rsid w:val="7A612C34"/>
    <w:rsid w:val="7A63F77F"/>
    <w:rsid w:val="7A65A978"/>
    <w:rsid w:val="7A664855"/>
    <w:rsid w:val="7A7750BA"/>
    <w:rsid w:val="7A94463C"/>
    <w:rsid w:val="7A9E0E49"/>
    <w:rsid w:val="7AA02D66"/>
    <w:rsid w:val="7AA79DA3"/>
    <w:rsid w:val="7AAE6890"/>
    <w:rsid w:val="7AAEBE69"/>
    <w:rsid w:val="7AAEE3F7"/>
    <w:rsid w:val="7AB249CB"/>
    <w:rsid w:val="7AB59248"/>
    <w:rsid w:val="7AD5D936"/>
    <w:rsid w:val="7AE343CF"/>
    <w:rsid w:val="7B0FD9C6"/>
    <w:rsid w:val="7B1813AD"/>
    <w:rsid w:val="7B1C9C9C"/>
    <w:rsid w:val="7B26DDD2"/>
    <w:rsid w:val="7B286F63"/>
    <w:rsid w:val="7B336715"/>
    <w:rsid w:val="7B3506C4"/>
    <w:rsid w:val="7B39C724"/>
    <w:rsid w:val="7B3CFB08"/>
    <w:rsid w:val="7B4ED1D0"/>
    <w:rsid w:val="7B6D03B1"/>
    <w:rsid w:val="7B761794"/>
    <w:rsid w:val="7B7664CF"/>
    <w:rsid w:val="7B782027"/>
    <w:rsid w:val="7B7FF7FE"/>
    <w:rsid w:val="7B89FD86"/>
    <w:rsid w:val="7B9E07F3"/>
    <w:rsid w:val="7BA3CD44"/>
    <w:rsid w:val="7BA775C4"/>
    <w:rsid w:val="7BAAF0DB"/>
    <w:rsid w:val="7BB1FC10"/>
    <w:rsid w:val="7BB60FFC"/>
    <w:rsid w:val="7BB9B475"/>
    <w:rsid w:val="7BC9113B"/>
    <w:rsid w:val="7BC9C2FB"/>
    <w:rsid w:val="7BCB4282"/>
    <w:rsid w:val="7BD5D615"/>
    <w:rsid w:val="7BD8B917"/>
    <w:rsid w:val="7BDEACC8"/>
    <w:rsid w:val="7BE62B37"/>
    <w:rsid w:val="7BF4B1D1"/>
    <w:rsid w:val="7BFCA663"/>
    <w:rsid w:val="7C1D5D56"/>
    <w:rsid w:val="7C2091E4"/>
    <w:rsid w:val="7C226C45"/>
    <w:rsid w:val="7C28DFE2"/>
    <w:rsid w:val="7C2D9B5E"/>
    <w:rsid w:val="7C30B63F"/>
    <w:rsid w:val="7C35B734"/>
    <w:rsid w:val="7C36F25D"/>
    <w:rsid w:val="7C390E0A"/>
    <w:rsid w:val="7C41DDC1"/>
    <w:rsid w:val="7C491312"/>
    <w:rsid w:val="7C4F6DFB"/>
    <w:rsid w:val="7C5033B9"/>
    <w:rsid w:val="7C53B0D9"/>
    <w:rsid w:val="7C542F3C"/>
    <w:rsid w:val="7C543441"/>
    <w:rsid w:val="7C5EDEDA"/>
    <w:rsid w:val="7C6D651B"/>
    <w:rsid w:val="7C7181ED"/>
    <w:rsid w:val="7C7612D3"/>
    <w:rsid w:val="7C8B1CC3"/>
    <w:rsid w:val="7C8CC03C"/>
    <w:rsid w:val="7C916FE1"/>
    <w:rsid w:val="7C99BDAD"/>
    <w:rsid w:val="7C9EAF9F"/>
    <w:rsid w:val="7CAF608F"/>
    <w:rsid w:val="7CB68090"/>
    <w:rsid w:val="7CB95C26"/>
    <w:rsid w:val="7CC3A3AE"/>
    <w:rsid w:val="7CC6B5FD"/>
    <w:rsid w:val="7CCD7829"/>
    <w:rsid w:val="7CCE20D0"/>
    <w:rsid w:val="7CCF4F32"/>
    <w:rsid w:val="7CD110B4"/>
    <w:rsid w:val="7CD5BD31"/>
    <w:rsid w:val="7CD63DBA"/>
    <w:rsid w:val="7CD8C4AB"/>
    <w:rsid w:val="7CE0328A"/>
    <w:rsid w:val="7CE345EB"/>
    <w:rsid w:val="7CEBE64F"/>
    <w:rsid w:val="7CF43DD7"/>
    <w:rsid w:val="7D010934"/>
    <w:rsid w:val="7D1477D0"/>
    <w:rsid w:val="7D1715D0"/>
    <w:rsid w:val="7D1B9FE5"/>
    <w:rsid w:val="7D26A444"/>
    <w:rsid w:val="7D31E744"/>
    <w:rsid w:val="7D321FF7"/>
    <w:rsid w:val="7D3AAEDB"/>
    <w:rsid w:val="7D41BBED"/>
    <w:rsid w:val="7D457CAE"/>
    <w:rsid w:val="7D529F86"/>
    <w:rsid w:val="7D57E45A"/>
    <w:rsid w:val="7D5B6BCF"/>
    <w:rsid w:val="7D5BB125"/>
    <w:rsid w:val="7D5E9793"/>
    <w:rsid w:val="7D632F6E"/>
    <w:rsid w:val="7D6E7C86"/>
    <w:rsid w:val="7D6F5586"/>
    <w:rsid w:val="7D7A0E70"/>
    <w:rsid w:val="7D7D2E9D"/>
    <w:rsid w:val="7D859815"/>
    <w:rsid w:val="7D8F8613"/>
    <w:rsid w:val="7D93090F"/>
    <w:rsid w:val="7D946C3E"/>
    <w:rsid w:val="7D958203"/>
    <w:rsid w:val="7DAA2D5C"/>
    <w:rsid w:val="7DAB5452"/>
    <w:rsid w:val="7DBBB36B"/>
    <w:rsid w:val="7DC40C11"/>
    <w:rsid w:val="7DDB1A29"/>
    <w:rsid w:val="7DDDF44B"/>
    <w:rsid w:val="7DE61C80"/>
    <w:rsid w:val="7E0042BB"/>
    <w:rsid w:val="7E02644F"/>
    <w:rsid w:val="7E0C582E"/>
    <w:rsid w:val="7E0EAEF7"/>
    <w:rsid w:val="7E12927D"/>
    <w:rsid w:val="7E19858D"/>
    <w:rsid w:val="7E27E963"/>
    <w:rsid w:val="7E39B858"/>
    <w:rsid w:val="7E452FA4"/>
    <w:rsid w:val="7E4570D1"/>
    <w:rsid w:val="7E46B4A4"/>
    <w:rsid w:val="7E538ABC"/>
    <w:rsid w:val="7E56CD14"/>
    <w:rsid w:val="7E5C6333"/>
    <w:rsid w:val="7E6B4FFD"/>
    <w:rsid w:val="7E71D725"/>
    <w:rsid w:val="7E7AFD86"/>
    <w:rsid w:val="7E7F173C"/>
    <w:rsid w:val="7E82B41F"/>
    <w:rsid w:val="7E95383E"/>
    <w:rsid w:val="7E989CD5"/>
    <w:rsid w:val="7E997C4E"/>
    <w:rsid w:val="7EB444F5"/>
    <w:rsid w:val="7EB5D6B9"/>
    <w:rsid w:val="7EBC40A2"/>
    <w:rsid w:val="7EBF25DD"/>
    <w:rsid w:val="7ECCA5ED"/>
    <w:rsid w:val="7ECD3FC3"/>
    <w:rsid w:val="7EE403DE"/>
    <w:rsid w:val="7EE5D55F"/>
    <w:rsid w:val="7EE8AF7B"/>
    <w:rsid w:val="7EEAA921"/>
    <w:rsid w:val="7F0039E5"/>
    <w:rsid w:val="7F02724B"/>
    <w:rsid w:val="7F06F22B"/>
    <w:rsid w:val="7F0AD0D9"/>
    <w:rsid w:val="7F0D442F"/>
    <w:rsid w:val="7F1589C6"/>
    <w:rsid w:val="7F1A0AC5"/>
    <w:rsid w:val="7F24FDA5"/>
    <w:rsid w:val="7F3BA27E"/>
    <w:rsid w:val="7F45BB59"/>
    <w:rsid w:val="7F60C30C"/>
    <w:rsid w:val="7F6227A4"/>
    <w:rsid w:val="7F714FFD"/>
    <w:rsid w:val="7F7A401D"/>
    <w:rsid w:val="7F7C221B"/>
    <w:rsid w:val="7F83486A"/>
    <w:rsid w:val="7F83BD87"/>
    <w:rsid w:val="7F8C038D"/>
    <w:rsid w:val="7F929016"/>
    <w:rsid w:val="7F937C53"/>
    <w:rsid w:val="7F9DC2AF"/>
    <w:rsid w:val="7F9E24CC"/>
    <w:rsid w:val="7FA75AC8"/>
    <w:rsid w:val="7FA7A406"/>
    <w:rsid w:val="7FA8DB89"/>
    <w:rsid w:val="7FA924AE"/>
    <w:rsid w:val="7FA9EE5B"/>
    <w:rsid w:val="7FAB1CAC"/>
    <w:rsid w:val="7FABD087"/>
    <w:rsid w:val="7FB6725B"/>
    <w:rsid w:val="7FB83571"/>
    <w:rsid w:val="7FBF907C"/>
    <w:rsid w:val="7FC203D4"/>
    <w:rsid w:val="7FC9C455"/>
    <w:rsid w:val="7FD36640"/>
    <w:rsid w:val="7FD51ADD"/>
    <w:rsid w:val="7FF7A458"/>
    <w:rsid w:val="7FF9F2D3"/>
    <w:rsid w:val="7FFAAA8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3009"/>
    <o:shapelayout v:ext="edit">
      <o:idmap v:ext="edit" data="1"/>
    </o:shapelayout>
  </w:shapeDefaults>
  <w:decimalSymbol w:val="."/>
  <w:listSeparator w:val=","/>
  <w14:docId w14:val="466AE39F"/>
  <w15:chartTrackingRefBased/>
  <w15:docId w15:val="{FE181020-1FF6-4CE5-8F48-328E165C14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AU"/>
    </w:rPr>
  </w:style>
  <w:style w:type="paragraph" w:styleId="Heading1">
    <w:name w:val="heading 1"/>
    <w:basedOn w:val="Normal"/>
    <w:next w:val="Normal"/>
    <w:link w:val="Heading1Char"/>
    <w:uiPriority w:val="9"/>
    <w:qFormat/>
    <w:rsid w:val="00C1252D"/>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B8707C"/>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4">
    <w:name w:val="heading 4"/>
    <w:basedOn w:val="Normal"/>
    <w:next w:val="Normal"/>
    <w:link w:val="Heading4Char"/>
    <w:uiPriority w:val="9"/>
    <w:unhideWhenUsed/>
    <w:qFormat/>
    <w:rsid w:val="00AA5E87"/>
    <w:pPr>
      <w:keepNext/>
      <w:keepLines/>
      <w:spacing w:before="4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ListParagraphChar">
    <w:name w:val="List Paragraph Char"/>
    <w:aliases w:val="FooterText Char,Paragraphe de liste1 Char,numbered Char,List Paragraph1 Char,Bullet List Char,Listenabsatz Char,リスト段落 Char,Paragrafo elenco Char,Question Char,NFP GP Bulleted List Char,Recommendation Char,Executive Summary List Char"/>
    <w:link w:val="ListParagraph"/>
    <w:uiPriority w:val="34"/>
    <w:qFormat/>
    <w:locked/>
    <w:rsid w:val="007E0901"/>
    <w:rPr>
      <w:rFonts w:ascii="Arial" w:eastAsia="Cambria" w:hAnsi="Arial"/>
      <w:szCs w:val="24"/>
    </w:rPr>
  </w:style>
  <w:style w:type="paragraph" w:styleId="ListParagraph">
    <w:name w:val="List Paragraph"/>
    <w:aliases w:val="FooterText,Paragraphe de liste1,numbered,List Paragraph1,Bullet List,Listenabsatz,リスト段落,Paragrafo elenco,Question,NFP GP Bulleted List,Recommendation,Executive Summary List,cS List Paragraph,Bulletr List Paragraph,列出段落,列出段落1,????,????1"/>
    <w:basedOn w:val="Normal"/>
    <w:link w:val="ListParagraphChar"/>
    <w:uiPriority w:val="34"/>
    <w:qFormat/>
    <w:rsid w:val="007E0901"/>
    <w:pPr>
      <w:ind w:left="720"/>
      <w:contextualSpacing/>
    </w:pPr>
    <w:rPr>
      <w:rFonts w:ascii="Arial" w:eastAsia="Cambria" w:hAnsi="Arial"/>
      <w:szCs w:val="24"/>
    </w:rPr>
  </w:style>
  <w:style w:type="paragraph" w:styleId="EndnoteText">
    <w:name w:val="endnote text"/>
    <w:basedOn w:val="Normal"/>
    <w:link w:val="EndnoteTextChar"/>
    <w:uiPriority w:val="99"/>
    <w:semiHidden/>
    <w:unhideWhenUsed/>
    <w:rsid w:val="007E0901"/>
    <w:rPr>
      <w:sz w:val="20"/>
      <w:szCs w:val="20"/>
    </w:rPr>
  </w:style>
  <w:style w:type="character" w:customStyle="1" w:styleId="EndnoteTextChar">
    <w:name w:val="Endnote Text Char"/>
    <w:basedOn w:val="DefaultParagraphFont"/>
    <w:link w:val="EndnoteText"/>
    <w:uiPriority w:val="99"/>
    <w:semiHidden/>
    <w:rsid w:val="007E0901"/>
    <w:rPr>
      <w:sz w:val="20"/>
      <w:szCs w:val="20"/>
    </w:rPr>
  </w:style>
  <w:style w:type="character" w:styleId="EndnoteReference">
    <w:name w:val="endnote reference"/>
    <w:basedOn w:val="DefaultParagraphFont"/>
    <w:uiPriority w:val="99"/>
    <w:semiHidden/>
    <w:unhideWhenUsed/>
    <w:rsid w:val="007E0901"/>
    <w:rPr>
      <w:vertAlign w:val="superscript"/>
    </w:rPr>
  </w:style>
  <w:style w:type="paragraph" w:styleId="FootnoteText">
    <w:name w:val="footnote text"/>
    <w:aliases w:val="Char Char Char,Footnote Text Char Char,ALTS FOOTNOTE,fn,FT,Style 5"/>
    <w:basedOn w:val="Normal"/>
    <w:link w:val="FootnoteTextChar"/>
    <w:uiPriority w:val="99"/>
    <w:unhideWhenUsed/>
    <w:rsid w:val="007E0901"/>
    <w:rPr>
      <w:sz w:val="20"/>
      <w:szCs w:val="20"/>
    </w:rPr>
  </w:style>
  <w:style w:type="character" w:customStyle="1" w:styleId="FootnoteTextChar">
    <w:name w:val="Footnote Text Char"/>
    <w:aliases w:val="Char Char Char Char,Footnote Text Char Char Char,ALTS FOOTNOTE Char,fn Char,FT Char,Style 5 Char"/>
    <w:basedOn w:val="DefaultParagraphFont"/>
    <w:link w:val="FootnoteText"/>
    <w:uiPriority w:val="99"/>
    <w:rsid w:val="007E0901"/>
    <w:rPr>
      <w:sz w:val="20"/>
      <w:szCs w:val="20"/>
    </w:rPr>
  </w:style>
  <w:style w:type="character" w:styleId="FootnoteReference">
    <w:name w:val="footnote reference"/>
    <w:basedOn w:val="DefaultParagraphFont"/>
    <w:uiPriority w:val="99"/>
    <w:semiHidden/>
    <w:unhideWhenUsed/>
    <w:rsid w:val="007E0901"/>
    <w:rPr>
      <w:vertAlign w:val="superscript"/>
    </w:rPr>
  </w:style>
  <w:style w:type="character" w:styleId="CommentReference">
    <w:name w:val="annotation reference"/>
    <w:basedOn w:val="DefaultParagraphFont"/>
    <w:uiPriority w:val="99"/>
    <w:semiHidden/>
    <w:unhideWhenUsed/>
    <w:rsid w:val="007E0901"/>
    <w:rPr>
      <w:sz w:val="16"/>
      <w:szCs w:val="16"/>
    </w:rPr>
  </w:style>
  <w:style w:type="paragraph" w:styleId="CommentText">
    <w:name w:val="annotation text"/>
    <w:basedOn w:val="Normal"/>
    <w:link w:val="CommentTextChar"/>
    <w:uiPriority w:val="99"/>
    <w:unhideWhenUsed/>
    <w:rsid w:val="007E0901"/>
    <w:rPr>
      <w:sz w:val="20"/>
      <w:szCs w:val="20"/>
    </w:rPr>
  </w:style>
  <w:style w:type="character" w:customStyle="1" w:styleId="CommentTextChar">
    <w:name w:val="Comment Text Char"/>
    <w:basedOn w:val="DefaultParagraphFont"/>
    <w:link w:val="CommentText"/>
    <w:uiPriority w:val="99"/>
    <w:rsid w:val="007E0901"/>
    <w:rPr>
      <w:sz w:val="20"/>
      <w:szCs w:val="20"/>
    </w:rPr>
  </w:style>
  <w:style w:type="paragraph" w:styleId="CommentSubject">
    <w:name w:val="annotation subject"/>
    <w:basedOn w:val="CommentText"/>
    <w:next w:val="CommentText"/>
    <w:link w:val="CommentSubjectChar"/>
    <w:uiPriority w:val="99"/>
    <w:semiHidden/>
    <w:unhideWhenUsed/>
    <w:rsid w:val="007E0901"/>
    <w:rPr>
      <w:b/>
      <w:bCs/>
    </w:rPr>
  </w:style>
  <w:style w:type="character" w:customStyle="1" w:styleId="CommentSubjectChar">
    <w:name w:val="Comment Subject Char"/>
    <w:basedOn w:val="CommentTextChar"/>
    <w:link w:val="CommentSubject"/>
    <w:uiPriority w:val="99"/>
    <w:semiHidden/>
    <w:rsid w:val="007E0901"/>
    <w:rPr>
      <w:b/>
      <w:bCs/>
      <w:sz w:val="20"/>
      <w:szCs w:val="20"/>
    </w:rPr>
  </w:style>
  <w:style w:type="paragraph" w:styleId="BalloonText">
    <w:name w:val="Balloon Text"/>
    <w:basedOn w:val="Normal"/>
    <w:link w:val="BalloonTextChar"/>
    <w:uiPriority w:val="99"/>
    <w:semiHidden/>
    <w:unhideWhenUsed/>
    <w:rsid w:val="007E090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E0901"/>
    <w:rPr>
      <w:rFonts w:ascii="Segoe UI" w:hAnsi="Segoe UI" w:cs="Segoe UI"/>
      <w:sz w:val="18"/>
      <w:szCs w:val="18"/>
    </w:rPr>
  </w:style>
  <w:style w:type="character" w:styleId="Hyperlink">
    <w:name w:val="Hyperlink"/>
    <w:basedOn w:val="DefaultParagraphFont"/>
    <w:uiPriority w:val="99"/>
    <w:unhideWhenUsed/>
    <w:rsid w:val="0095105E"/>
    <w:rPr>
      <w:color w:val="0563C1" w:themeColor="hyperlink"/>
      <w:u w:val="single"/>
    </w:rPr>
  </w:style>
  <w:style w:type="paragraph" w:customStyle="1" w:styleId="Default">
    <w:name w:val="Default"/>
    <w:rsid w:val="00F521E6"/>
    <w:pPr>
      <w:autoSpaceDE w:val="0"/>
      <w:autoSpaceDN w:val="0"/>
      <w:adjustRightInd w:val="0"/>
    </w:pPr>
    <w:rPr>
      <w:rFonts w:ascii="Calibri" w:hAnsi="Calibri" w:cs="Calibri"/>
      <w:color w:val="000000"/>
      <w:sz w:val="24"/>
      <w:szCs w:val="24"/>
    </w:rPr>
  </w:style>
  <w:style w:type="table" w:styleId="TableGrid">
    <w:name w:val="Table Grid"/>
    <w:basedOn w:val="TableNormal"/>
    <w:uiPriority w:val="59"/>
    <w:rsid w:val="00EC384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2">
    <w:name w:val="toc 2"/>
    <w:basedOn w:val="Normal"/>
    <w:uiPriority w:val="39"/>
    <w:qFormat/>
    <w:rsid w:val="00C1252D"/>
    <w:pPr>
      <w:widowControl w:val="0"/>
      <w:autoSpaceDE w:val="0"/>
      <w:autoSpaceDN w:val="0"/>
      <w:spacing w:before="278" w:after="80"/>
      <w:ind w:left="160"/>
    </w:pPr>
    <w:rPr>
      <w:rFonts w:ascii="Segoe UI" w:eastAsia="Segoe UI" w:hAnsi="Segoe UI" w:cs="Segoe UI"/>
    </w:rPr>
  </w:style>
  <w:style w:type="paragraph" w:styleId="Footer">
    <w:name w:val="footer"/>
    <w:basedOn w:val="Normal"/>
    <w:link w:val="FooterChar"/>
    <w:uiPriority w:val="99"/>
    <w:unhideWhenUsed/>
    <w:rsid w:val="00C1252D"/>
    <w:pPr>
      <w:widowControl w:val="0"/>
      <w:tabs>
        <w:tab w:val="center" w:pos="4680"/>
        <w:tab w:val="right" w:pos="9360"/>
      </w:tabs>
      <w:autoSpaceDE w:val="0"/>
      <w:autoSpaceDN w:val="0"/>
      <w:spacing w:after="80"/>
    </w:pPr>
    <w:rPr>
      <w:rFonts w:ascii="Segoe UI" w:eastAsia="Segoe UI" w:hAnsi="Segoe UI" w:cs="Segoe UI"/>
    </w:rPr>
  </w:style>
  <w:style w:type="character" w:customStyle="1" w:styleId="FooterChar">
    <w:name w:val="Footer Char"/>
    <w:basedOn w:val="DefaultParagraphFont"/>
    <w:link w:val="Footer"/>
    <w:uiPriority w:val="99"/>
    <w:rsid w:val="00C1252D"/>
    <w:rPr>
      <w:rFonts w:ascii="Segoe UI" w:eastAsia="Segoe UI" w:hAnsi="Segoe UI" w:cs="Segoe UI"/>
    </w:rPr>
  </w:style>
  <w:style w:type="character" w:customStyle="1" w:styleId="Heading1Char">
    <w:name w:val="Heading 1 Char"/>
    <w:basedOn w:val="DefaultParagraphFont"/>
    <w:link w:val="Heading1"/>
    <w:uiPriority w:val="9"/>
    <w:rsid w:val="00C1252D"/>
    <w:rPr>
      <w:rFonts w:asciiTheme="majorHAnsi" w:eastAsiaTheme="majorEastAsia" w:hAnsiTheme="majorHAnsi" w:cstheme="majorBidi"/>
      <w:color w:val="2E74B5" w:themeColor="accent1" w:themeShade="BF"/>
      <w:sz w:val="32"/>
      <w:szCs w:val="32"/>
    </w:rPr>
  </w:style>
  <w:style w:type="paragraph" w:styleId="TOCHeading">
    <w:name w:val="TOC Heading"/>
    <w:basedOn w:val="Heading1"/>
    <w:next w:val="Normal"/>
    <w:uiPriority w:val="39"/>
    <w:unhideWhenUsed/>
    <w:qFormat/>
    <w:rsid w:val="00C1252D"/>
    <w:pPr>
      <w:outlineLvl w:val="9"/>
    </w:pPr>
  </w:style>
  <w:style w:type="paragraph" w:styleId="TOC8">
    <w:name w:val="toc 8"/>
    <w:basedOn w:val="Normal"/>
    <w:next w:val="Normal"/>
    <w:autoRedefine/>
    <w:uiPriority w:val="39"/>
    <w:unhideWhenUsed/>
    <w:rsid w:val="00C1252D"/>
    <w:pPr>
      <w:widowControl w:val="0"/>
      <w:tabs>
        <w:tab w:val="right" w:leader="dot" w:pos="9350"/>
      </w:tabs>
      <w:autoSpaceDE w:val="0"/>
      <w:autoSpaceDN w:val="0"/>
      <w:spacing w:after="100"/>
      <w:ind w:left="158"/>
    </w:pPr>
    <w:rPr>
      <w:rFonts w:ascii="Segoe UI" w:eastAsia="Segoe UI" w:hAnsi="Segoe UI" w:cs="Segoe UI"/>
    </w:rPr>
  </w:style>
  <w:style w:type="paragraph" w:styleId="Header">
    <w:name w:val="header"/>
    <w:basedOn w:val="Normal"/>
    <w:link w:val="HeaderChar"/>
    <w:unhideWhenUsed/>
    <w:rsid w:val="00B8707C"/>
    <w:pPr>
      <w:tabs>
        <w:tab w:val="center" w:pos="4680"/>
        <w:tab w:val="right" w:pos="9360"/>
      </w:tabs>
    </w:pPr>
  </w:style>
  <w:style w:type="character" w:customStyle="1" w:styleId="HeaderChar">
    <w:name w:val="Header Char"/>
    <w:basedOn w:val="DefaultParagraphFont"/>
    <w:link w:val="Header"/>
    <w:uiPriority w:val="99"/>
    <w:rsid w:val="00B8707C"/>
  </w:style>
  <w:style w:type="character" w:customStyle="1" w:styleId="Heading2Char">
    <w:name w:val="Heading 2 Char"/>
    <w:basedOn w:val="DefaultParagraphFont"/>
    <w:link w:val="Heading2"/>
    <w:uiPriority w:val="9"/>
    <w:rsid w:val="00B8707C"/>
    <w:rPr>
      <w:rFonts w:asciiTheme="majorHAnsi" w:eastAsiaTheme="majorEastAsia" w:hAnsiTheme="majorHAnsi" w:cstheme="majorBidi"/>
      <w:color w:val="2E74B5" w:themeColor="accent1" w:themeShade="BF"/>
      <w:sz w:val="26"/>
      <w:szCs w:val="26"/>
    </w:rPr>
  </w:style>
  <w:style w:type="character" w:styleId="IntenseEmphasis">
    <w:name w:val="Intense Emphasis"/>
    <w:basedOn w:val="DefaultParagraphFont"/>
    <w:uiPriority w:val="21"/>
    <w:qFormat/>
    <w:rsid w:val="00B8707C"/>
    <w:rPr>
      <w:i/>
      <w:iCs/>
      <w:color w:val="5B9BD5" w:themeColor="accent1"/>
    </w:rPr>
  </w:style>
  <w:style w:type="character" w:customStyle="1" w:styleId="normaltextrun">
    <w:name w:val="normaltextrun"/>
    <w:basedOn w:val="DefaultParagraphFont"/>
    <w:rsid w:val="00EF6167"/>
  </w:style>
  <w:style w:type="character" w:customStyle="1" w:styleId="spellingerror">
    <w:name w:val="spellingerror"/>
    <w:basedOn w:val="DefaultParagraphFont"/>
    <w:rsid w:val="00EF6167"/>
  </w:style>
  <w:style w:type="character" w:styleId="HTMLCite">
    <w:name w:val="HTML Cite"/>
    <w:basedOn w:val="DefaultParagraphFont"/>
    <w:uiPriority w:val="99"/>
    <w:semiHidden/>
    <w:unhideWhenUsed/>
    <w:rsid w:val="000566F6"/>
    <w:rPr>
      <w:i/>
      <w:iCs/>
    </w:rPr>
  </w:style>
  <w:style w:type="character" w:customStyle="1" w:styleId="Heading4Char">
    <w:name w:val="Heading 4 Char"/>
    <w:basedOn w:val="DefaultParagraphFont"/>
    <w:link w:val="Heading4"/>
    <w:uiPriority w:val="9"/>
    <w:rsid w:val="00AA5E87"/>
    <w:rPr>
      <w:rFonts w:asciiTheme="majorHAnsi" w:eastAsiaTheme="majorEastAsia" w:hAnsiTheme="majorHAnsi" w:cstheme="majorBidi"/>
      <w:i/>
      <w:iCs/>
      <w:color w:val="2E74B5" w:themeColor="accent1" w:themeShade="BF"/>
    </w:rPr>
  </w:style>
  <w:style w:type="paragraph" w:customStyle="1" w:styleId="xxmsonormal">
    <w:name w:val="x_x_msonormal"/>
    <w:basedOn w:val="Normal"/>
    <w:rsid w:val="00AA2391"/>
    <w:rPr>
      <w:rFonts w:ascii="Calibri" w:hAnsi="Calibri" w:cs="Calibri"/>
    </w:rPr>
  </w:style>
  <w:style w:type="paragraph" w:customStyle="1" w:styleId="xmsonormal">
    <w:name w:val="x_msonormal"/>
    <w:basedOn w:val="Normal"/>
    <w:rsid w:val="00031785"/>
    <w:rPr>
      <w:rFonts w:ascii="Times New Roman" w:hAnsi="Times New Roman" w:cs="Times New Roman"/>
      <w:sz w:val="24"/>
      <w:szCs w:val="24"/>
    </w:rPr>
  </w:style>
  <w:style w:type="paragraph" w:customStyle="1" w:styleId="xdefault">
    <w:name w:val="x_default"/>
    <w:basedOn w:val="Normal"/>
    <w:rsid w:val="00AE5C65"/>
    <w:pPr>
      <w:autoSpaceDE w:val="0"/>
      <w:autoSpaceDN w:val="0"/>
    </w:pPr>
    <w:rPr>
      <w:rFonts w:ascii="Calibri" w:hAnsi="Calibri" w:cs="Calibri"/>
      <w:color w:val="000000"/>
      <w:sz w:val="24"/>
      <w:szCs w:val="24"/>
      <w:lang w:val="en-US"/>
    </w:rPr>
  </w:style>
  <w:style w:type="paragraph" w:customStyle="1" w:styleId="OutlineNumbered1">
    <w:name w:val="Outline Numbered 1"/>
    <w:basedOn w:val="Normal"/>
    <w:link w:val="OutlineNumbered1Char"/>
    <w:rsid w:val="006F3A98"/>
    <w:pPr>
      <w:numPr>
        <w:numId w:val="2"/>
      </w:numPr>
      <w:spacing w:after="120"/>
    </w:pPr>
    <w:rPr>
      <w:rFonts w:ascii="Calibri" w:eastAsia="Times New Roman" w:hAnsi="Calibri" w:cs="Times New Roman"/>
      <w:szCs w:val="20"/>
      <w:lang w:eastAsia="en-AU"/>
    </w:rPr>
  </w:style>
  <w:style w:type="paragraph" w:customStyle="1" w:styleId="OutlineNumbered2">
    <w:name w:val="Outline Numbered 2"/>
    <w:basedOn w:val="Normal"/>
    <w:rsid w:val="006F3A98"/>
    <w:pPr>
      <w:numPr>
        <w:ilvl w:val="1"/>
        <w:numId w:val="2"/>
      </w:numPr>
      <w:spacing w:after="120"/>
    </w:pPr>
    <w:rPr>
      <w:rFonts w:ascii="Calibri" w:eastAsia="Times New Roman" w:hAnsi="Calibri" w:cs="Times New Roman"/>
      <w:szCs w:val="20"/>
      <w:lang w:eastAsia="en-AU"/>
    </w:rPr>
  </w:style>
  <w:style w:type="paragraph" w:customStyle="1" w:styleId="OutlineNumbered3">
    <w:name w:val="Outline Numbered 3"/>
    <w:basedOn w:val="Normal"/>
    <w:rsid w:val="006F3A98"/>
    <w:pPr>
      <w:numPr>
        <w:ilvl w:val="2"/>
        <w:numId w:val="2"/>
      </w:numPr>
      <w:spacing w:after="120"/>
    </w:pPr>
    <w:rPr>
      <w:rFonts w:ascii="Calibri" w:eastAsia="Times New Roman" w:hAnsi="Calibri" w:cs="Times New Roman"/>
      <w:szCs w:val="20"/>
      <w:lang w:eastAsia="en-AU"/>
    </w:rPr>
  </w:style>
  <w:style w:type="numbering" w:customStyle="1" w:styleId="OutlineList">
    <w:name w:val="OutlineList"/>
    <w:uiPriority w:val="99"/>
    <w:rsid w:val="006F3A98"/>
    <w:pPr>
      <w:numPr>
        <w:numId w:val="1"/>
      </w:numPr>
    </w:pPr>
  </w:style>
  <w:style w:type="character" w:customStyle="1" w:styleId="OutlineNumbered1Char">
    <w:name w:val="Outline Numbered 1 Char"/>
    <w:basedOn w:val="DefaultParagraphFont"/>
    <w:link w:val="OutlineNumbered1"/>
    <w:rsid w:val="006F3A98"/>
    <w:rPr>
      <w:rFonts w:ascii="Calibri" w:eastAsia="Times New Roman" w:hAnsi="Calibri" w:cs="Times New Roman"/>
      <w:szCs w:val="20"/>
      <w:lang w:val="en-AU" w:eastAsia="en-AU"/>
    </w:rPr>
  </w:style>
  <w:style w:type="paragraph" w:customStyle="1" w:styleId="paragraph">
    <w:name w:val="paragraph"/>
    <w:basedOn w:val="Normal"/>
    <w:rsid w:val="00162552"/>
    <w:pPr>
      <w:spacing w:before="100" w:beforeAutospacing="1" w:after="100" w:afterAutospacing="1"/>
    </w:pPr>
    <w:rPr>
      <w:rFonts w:ascii="Calibri" w:hAnsi="Calibri" w:cs="Calibri"/>
      <w:lang w:val="en-US"/>
    </w:rPr>
  </w:style>
  <w:style w:type="character" w:customStyle="1" w:styleId="eop">
    <w:name w:val="eop"/>
    <w:basedOn w:val="DefaultParagraphFont"/>
    <w:rsid w:val="00162552"/>
  </w:style>
  <w:style w:type="paragraph" w:styleId="PlainText">
    <w:name w:val="Plain Text"/>
    <w:basedOn w:val="Normal"/>
    <w:link w:val="PlainTextChar"/>
    <w:uiPriority w:val="99"/>
    <w:rsid w:val="00D76438"/>
    <w:rPr>
      <w:rFonts w:ascii="Courier New" w:eastAsia="MS Mincho" w:hAnsi="Courier New" w:cs="Courier New"/>
      <w:szCs w:val="20"/>
      <w:lang w:val="en-US" w:eastAsia="ja-JP"/>
    </w:rPr>
  </w:style>
  <w:style w:type="character" w:customStyle="1" w:styleId="PlainTextChar">
    <w:name w:val="Plain Text Char"/>
    <w:basedOn w:val="DefaultParagraphFont"/>
    <w:link w:val="PlainText"/>
    <w:uiPriority w:val="99"/>
    <w:rsid w:val="00D76438"/>
    <w:rPr>
      <w:rFonts w:ascii="Courier New" w:eastAsia="MS Mincho" w:hAnsi="Courier New" w:cs="Courier New"/>
      <w:szCs w:val="20"/>
      <w:lang w:eastAsia="ja-JP"/>
    </w:rPr>
  </w:style>
  <w:style w:type="character" w:customStyle="1" w:styleId="UnresolvedMention1">
    <w:name w:val="Unresolved Mention1"/>
    <w:basedOn w:val="DefaultParagraphFont"/>
    <w:uiPriority w:val="99"/>
    <w:semiHidden/>
    <w:unhideWhenUsed/>
    <w:rsid w:val="00C9529F"/>
    <w:rPr>
      <w:color w:val="605E5C"/>
      <w:shd w:val="clear" w:color="auto" w:fill="E1DFDD"/>
    </w:rPr>
  </w:style>
  <w:style w:type="paragraph" w:styleId="Revision">
    <w:name w:val="Revision"/>
    <w:hidden/>
    <w:uiPriority w:val="99"/>
    <w:semiHidden/>
    <w:rsid w:val="0063420A"/>
    <w:rPr>
      <w:lang w:val="en-AU"/>
    </w:rPr>
  </w:style>
  <w:style w:type="character" w:customStyle="1" w:styleId="UnresolvedMention2">
    <w:name w:val="Unresolved Mention2"/>
    <w:basedOn w:val="DefaultParagraphFont"/>
    <w:uiPriority w:val="99"/>
    <w:semiHidden/>
    <w:unhideWhenUsed/>
    <w:rsid w:val="00C47D72"/>
    <w:rPr>
      <w:color w:val="605E5C"/>
      <w:shd w:val="clear" w:color="auto" w:fill="E1DFDD"/>
    </w:rPr>
  </w:style>
  <w:style w:type="character" w:styleId="FollowedHyperlink">
    <w:name w:val="FollowedHyperlink"/>
    <w:basedOn w:val="DefaultParagraphFont"/>
    <w:uiPriority w:val="99"/>
    <w:semiHidden/>
    <w:unhideWhenUsed/>
    <w:rsid w:val="00306C66"/>
    <w:rPr>
      <w:color w:val="954F72" w:themeColor="followedHyperlink"/>
      <w:u w:val="single"/>
    </w:rPr>
  </w:style>
  <w:style w:type="character" w:customStyle="1" w:styleId="UnresolvedMention3">
    <w:name w:val="Unresolved Mention3"/>
    <w:basedOn w:val="DefaultParagraphFont"/>
    <w:uiPriority w:val="99"/>
    <w:semiHidden/>
    <w:unhideWhenUsed/>
    <w:rsid w:val="00D71BDD"/>
    <w:rPr>
      <w:color w:val="605E5C"/>
      <w:shd w:val="clear" w:color="auto" w:fill="E1DFDD"/>
    </w:rPr>
  </w:style>
  <w:style w:type="character" w:customStyle="1" w:styleId="Mention1">
    <w:name w:val="Mention1"/>
    <w:basedOn w:val="DefaultParagraphFont"/>
    <w:uiPriority w:val="99"/>
    <w:unhideWhenUsed/>
    <w:rPr>
      <w:color w:val="2B579A"/>
      <w:shd w:val="clear" w:color="auto" w:fill="E6E6E6"/>
    </w:rPr>
  </w:style>
  <w:style w:type="character" w:customStyle="1" w:styleId="UnresolvedMention4">
    <w:name w:val="Unresolved Mention4"/>
    <w:basedOn w:val="DefaultParagraphFont"/>
    <w:uiPriority w:val="99"/>
    <w:semiHidden/>
    <w:unhideWhenUsed/>
    <w:rsid w:val="004D148E"/>
    <w:rPr>
      <w:color w:val="605E5C"/>
      <w:shd w:val="clear" w:color="auto" w:fill="E1DFDD"/>
    </w:rPr>
  </w:style>
  <w:style w:type="character" w:customStyle="1" w:styleId="UnresolvedMention5">
    <w:name w:val="Unresolved Mention5"/>
    <w:basedOn w:val="DefaultParagraphFont"/>
    <w:uiPriority w:val="99"/>
    <w:semiHidden/>
    <w:unhideWhenUsed/>
    <w:rsid w:val="009567F5"/>
    <w:rPr>
      <w:color w:val="605E5C"/>
      <w:shd w:val="clear" w:color="auto" w:fill="E1DFDD"/>
    </w:rPr>
  </w:style>
  <w:style w:type="character" w:customStyle="1" w:styleId="UnresolvedMention6">
    <w:name w:val="Unresolved Mention6"/>
    <w:basedOn w:val="DefaultParagraphFont"/>
    <w:uiPriority w:val="99"/>
    <w:semiHidden/>
    <w:unhideWhenUsed/>
    <w:rsid w:val="00105980"/>
    <w:rPr>
      <w:color w:val="605E5C"/>
      <w:shd w:val="clear" w:color="auto" w:fill="E1DFDD"/>
    </w:rPr>
  </w:style>
  <w:style w:type="paragraph" w:customStyle="1" w:styleId="FooterLine">
    <w:name w:val="FooterLine"/>
    <w:basedOn w:val="Footer"/>
    <w:next w:val="Footer"/>
    <w:rsid w:val="004A424E"/>
    <w:pPr>
      <w:widowControl/>
      <w:pBdr>
        <w:top w:val="single" w:sz="8" w:space="0" w:color="auto"/>
      </w:pBdr>
      <w:tabs>
        <w:tab w:val="clear" w:pos="4680"/>
        <w:tab w:val="clear" w:pos="9360"/>
      </w:tabs>
      <w:autoSpaceDE/>
      <w:autoSpaceDN/>
      <w:spacing w:after="0"/>
      <w:ind w:left="-851" w:right="28"/>
    </w:pPr>
    <w:rPr>
      <w:rFonts w:ascii="Arial" w:eastAsia="SimSun" w:hAnsi="Arial" w:cs="Times New Roman"/>
      <w:sz w:val="6"/>
      <w:szCs w:val="14"/>
      <w:lang w:eastAsia="zh-CN"/>
    </w:rPr>
  </w:style>
  <w:style w:type="character" w:customStyle="1" w:styleId="UnresolvedMention7">
    <w:name w:val="Unresolved Mention7"/>
    <w:basedOn w:val="DefaultParagraphFont"/>
    <w:uiPriority w:val="99"/>
    <w:semiHidden/>
    <w:unhideWhenUsed/>
    <w:rsid w:val="006076BE"/>
    <w:rPr>
      <w:color w:val="605E5C"/>
      <w:shd w:val="clear" w:color="auto" w:fill="E1DFDD"/>
    </w:rPr>
  </w:style>
  <w:style w:type="character" w:styleId="UnresolvedMention">
    <w:name w:val="Unresolved Mention"/>
    <w:basedOn w:val="DefaultParagraphFont"/>
    <w:uiPriority w:val="99"/>
    <w:unhideWhenUsed/>
    <w:rsid w:val="00066F5C"/>
    <w:rPr>
      <w:color w:val="605E5C"/>
      <w:shd w:val="clear" w:color="auto" w:fill="E1DFDD"/>
    </w:rPr>
  </w:style>
  <w:style w:type="paragraph" w:styleId="TOC1">
    <w:name w:val="toc 1"/>
    <w:basedOn w:val="Normal"/>
    <w:next w:val="Normal"/>
    <w:autoRedefine/>
    <w:uiPriority w:val="39"/>
    <w:unhideWhenUsed/>
    <w:rsid w:val="00135062"/>
    <w:pPr>
      <w:tabs>
        <w:tab w:val="left" w:pos="440"/>
        <w:tab w:val="right" w:leader="dot" w:pos="9350"/>
      </w:tabs>
      <w:spacing w:after="100"/>
    </w:pPr>
  </w:style>
  <w:style w:type="paragraph" w:customStyle="1" w:styleId="BriefHeadOne">
    <w:name w:val="Brief  Head One"/>
    <w:rsid w:val="006451F1"/>
    <w:rPr>
      <w:rFonts w:ascii="Segoe UI" w:eastAsia="Times New Roman" w:hAnsi="Segoe UI" w:cs="Times New Roman"/>
      <w:b/>
      <w:caps/>
      <w:color w:val="1A1F71"/>
      <w:szCs w:val="20"/>
    </w:rPr>
  </w:style>
  <w:style w:type="character" w:styleId="Mention">
    <w:name w:val="Mention"/>
    <w:basedOn w:val="DefaultParagraphFont"/>
    <w:uiPriority w:val="99"/>
    <w:unhideWhenUsed/>
    <w:rsid w:val="00852EE6"/>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314748">
      <w:bodyDiv w:val="1"/>
      <w:marLeft w:val="0"/>
      <w:marRight w:val="0"/>
      <w:marTop w:val="0"/>
      <w:marBottom w:val="0"/>
      <w:divBdr>
        <w:top w:val="none" w:sz="0" w:space="0" w:color="auto"/>
        <w:left w:val="none" w:sz="0" w:space="0" w:color="auto"/>
        <w:bottom w:val="none" w:sz="0" w:space="0" w:color="auto"/>
        <w:right w:val="none" w:sz="0" w:space="0" w:color="auto"/>
      </w:divBdr>
    </w:div>
    <w:div w:id="18438516">
      <w:bodyDiv w:val="1"/>
      <w:marLeft w:val="0"/>
      <w:marRight w:val="0"/>
      <w:marTop w:val="0"/>
      <w:marBottom w:val="0"/>
      <w:divBdr>
        <w:top w:val="none" w:sz="0" w:space="0" w:color="auto"/>
        <w:left w:val="none" w:sz="0" w:space="0" w:color="auto"/>
        <w:bottom w:val="none" w:sz="0" w:space="0" w:color="auto"/>
        <w:right w:val="none" w:sz="0" w:space="0" w:color="auto"/>
      </w:divBdr>
    </w:div>
    <w:div w:id="30810534">
      <w:bodyDiv w:val="1"/>
      <w:marLeft w:val="0"/>
      <w:marRight w:val="0"/>
      <w:marTop w:val="0"/>
      <w:marBottom w:val="0"/>
      <w:divBdr>
        <w:top w:val="none" w:sz="0" w:space="0" w:color="auto"/>
        <w:left w:val="none" w:sz="0" w:space="0" w:color="auto"/>
        <w:bottom w:val="none" w:sz="0" w:space="0" w:color="auto"/>
        <w:right w:val="none" w:sz="0" w:space="0" w:color="auto"/>
      </w:divBdr>
    </w:div>
    <w:div w:id="39792888">
      <w:bodyDiv w:val="1"/>
      <w:marLeft w:val="0"/>
      <w:marRight w:val="0"/>
      <w:marTop w:val="0"/>
      <w:marBottom w:val="0"/>
      <w:divBdr>
        <w:top w:val="none" w:sz="0" w:space="0" w:color="auto"/>
        <w:left w:val="none" w:sz="0" w:space="0" w:color="auto"/>
        <w:bottom w:val="none" w:sz="0" w:space="0" w:color="auto"/>
        <w:right w:val="none" w:sz="0" w:space="0" w:color="auto"/>
      </w:divBdr>
    </w:div>
    <w:div w:id="163126317">
      <w:bodyDiv w:val="1"/>
      <w:marLeft w:val="0"/>
      <w:marRight w:val="0"/>
      <w:marTop w:val="0"/>
      <w:marBottom w:val="0"/>
      <w:divBdr>
        <w:top w:val="none" w:sz="0" w:space="0" w:color="auto"/>
        <w:left w:val="none" w:sz="0" w:space="0" w:color="auto"/>
        <w:bottom w:val="none" w:sz="0" w:space="0" w:color="auto"/>
        <w:right w:val="none" w:sz="0" w:space="0" w:color="auto"/>
      </w:divBdr>
    </w:div>
    <w:div w:id="185412732">
      <w:bodyDiv w:val="1"/>
      <w:marLeft w:val="0"/>
      <w:marRight w:val="0"/>
      <w:marTop w:val="0"/>
      <w:marBottom w:val="0"/>
      <w:divBdr>
        <w:top w:val="none" w:sz="0" w:space="0" w:color="auto"/>
        <w:left w:val="none" w:sz="0" w:space="0" w:color="auto"/>
        <w:bottom w:val="none" w:sz="0" w:space="0" w:color="auto"/>
        <w:right w:val="none" w:sz="0" w:space="0" w:color="auto"/>
      </w:divBdr>
    </w:div>
    <w:div w:id="238096736">
      <w:bodyDiv w:val="1"/>
      <w:marLeft w:val="0"/>
      <w:marRight w:val="0"/>
      <w:marTop w:val="0"/>
      <w:marBottom w:val="0"/>
      <w:divBdr>
        <w:top w:val="none" w:sz="0" w:space="0" w:color="auto"/>
        <w:left w:val="none" w:sz="0" w:space="0" w:color="auto"/>
        <w:bottom w:val="none" w:sz="0" w:space="0" w:color="auto"/>
        <w:right w:val="none" w:sz="0" w:space="0" w:color="auto"/>
      </w:divBdr>
    </w:div>
    <w:div w:id="250627859">
      <w:bodyDiv w:val="1"/>
      <w:marLeft w:val="0"/>
      <w:marRight w:val="0"/>
      <w:marTop w:val="0"/>
      <w:marBottom w:val="0"/>
      <w:divBdr>
        <w:top w:val="none" w:sz="0" w:space="0" w:color="auto"/>
        <w:left w:val="none" w:sz="0" w:space="0" w:color="auto"/>
        <w:bottom w:val="none" w:sz="0" w:space="0" w:color="auto"/>
        <w:right w:val="none" w:sz="0" w:space="0" w:color="auto"/>
      </w:divBdr>
    </w:div>
    <w:div w:id="310671181">
      <w:bodyDiv w:val="1"/>
      <w:marLeft w:val="0"/>
      <w:marRight w:val="0"/>
      <w:marTop w:val="0"/>
      <w:marBottom w:val="0"/>
      <w:divBdr>
        <w:top w:val="none" w:sz="0" w:space="0" w:color="auto"/>
        <w:left w:val="none" w:sz="0" w:space="0" w:color="auto"/>
        <w:bottom w:val="none" w:sz="0" w:space="0" w:color="auto"/>
        <w:right w:val="none" w:sz="0" w:space="0" w:color="auto"/>
      </w:divBdr>
    </w:div>
    <w:div w:id="326909853">
      <w:bodyDiv w:val="1"/>
      <w:marLeft w:val="0"/>
      <w:marRight w:val="0"/>
      <w:marTop w:val="0"/>
      <w:marBottom w:val="0"/>
      <w:divBdr>
        <w:top w:val="none" w:sz="0" w:space="0" w:color="auto"/>
        <w:left w:val="none" w:sz="0" w:space="0" w:color="auto"/>
        <w:bottom w:val="none" w:sz="0" w:space="0" w:color="auto"/>
        <w:right w:val="none" w:sz="0" w:space="0" w:color="auto"/>
      </w:divBdr>
    </w:div>
    <w:div w:id="371274780">
      <w:bodyDiv w:val="1"/>
      <w:marLeft w:val="0"/>
      <w:marRight w:val="0"/>
      <w:marTop w:val="0"/>
      <w:marBottom w:val="0"/>
      <w:divBdr>
        <w:top w:val="none" w:sz="0" w:space="0" w:color="auto"/>
        <w:left w:val="none" w:sz="0" w:space="0" w:color="auto"/>
        <w:bottom w:val="none" w:sz="0" w:space="0" w:color="auto"/>
        <w:right w:val="none" w:sz="0" w:space="0" w:color="auto"/>
      </w:divBdr>
    </w:div>
    <w:div w:id="381369519">
      <w:bodyDiv w:val="1"/>
      <w:marLeft w:val="0"/>
      <w:marRight w:val="0"/>
      <w:marTop w:val="0"/>
      <w:marBottom w:val="0"/>
      <w:divBdr>
        <w:top w:val="none" w:sz="0" w:space="0" w:color="auto"/>
        <w:left w:val="none" w:sz="0" w:space="0" w:color="auto"/>
        <w:bottom w:val="none" w:sz="0" w:space="0" w:color="auto"/>
        <w:right w:val="none" w:sz="0" w:space="0" w:color="auto"/>
      </w:divBdr>
    </w:div>
    <w:div w:id="396515048">
      <w:bodyDiv w:val="1"/>
      <w:marLeft w:val="0"/>
      <w:marRight w:val="0"/>
      <w:marTop w:val="0"/>
      <w:marBottom w:val="0"/>
      <w:divBdr>
        <w:top w:val="none" w:sz="0" w:space="0" w:color="auto"/>
        <w:left w:val="none" w:sz="0" w:space="0" w:color="auto"/>
        <w:bottom w:val="none" w:sz="0" w:space="0" w:color="auto"/>
        <w:right w:val="none" w:sz="0" w:space="0" w:color="auto"/>
      </w:divBdr>
    </w:div>
    <w:div w:id="426266588">
      <w:bodyDiv w:val="1"/>
      <w:marLeft w:val="0"/>
      <w:marRight w:val="0"/>
      <w:marTop w:val="0"/>
      <w:marBottom w:val="0"/>
      <w:divBdr>
        <w:top w:val="none" w:sz="0" w:space="0" w:color="auto"/>
        <w:left w:val="none" w:sz="0" w:space="0" w:color="auto"/>
        <w:bottom w:val="none" w:sz="0" w:space="0" w:color="auto"/>
        <w:right w:val="none" w:sz="0" w:space="0" w:color="auto"/>
      </w:divBdr>
    </w:div>
    <w:div w:id="429204813">
      <w:bodyDiv w:val="1"/>
      <w:marLeft w:val="0"/>
      <w:marRight w:val="0"/>
      <w:marTop w:val="0"/>
      <w:marBottom w:val="0"/>
      <w:divBdr>
        <w:top w:val="none" w:sz="0" w:space="0" w:color="auto"/>
        <w:left w:val="none" w:sz="0" w:space="0" w:color="auto"/>
        <w:bottom w:val="none" w:sz="0" w:space="0" w:color="auto"/>
        <w:right w:val="none" w:sz="0" w:space="0" w:color="auto"/>
      </w:divBdr>
    </w:div>
    <w:div w:id="452362092">
      <w:bodyDiv w:val="1"/>
      <w:marLeft w:val="0"/>
      <w:marRight w:val="0"/>
      <w:marTop w:val="0"/>
      <w:marBottom w:val="0"/>
      <w:divBdr>
        <w:top w:val="none" w:sz="0" w:space="0" w:color="auto"/>
        <w:left w:val="none" w:sz="0" w:space="0" w:color="auto"/>
        <w:bottom w:val="none" w:sz="0" w:space="0" w:color="auto"/>
        <w:right w:val="none" w:sz="0" w:space="0" w:color="auto"/>
      </w:divBdr>
    </w:div>
    <w:div w:id="480585087">
      <w:bodyDiv w:val="1"/>
      <w:marLeft w:val="0"/>
      <w:marRight w:val="0"/>
      <w:marTop w:val="0"/>
      <w:marBottom w:val="0"/>
      <w:divBdr>
        <w:top w:val="none" w:sz="0" w:space="0" w:color="auto"/>
        <w:left w:val="none" w:sz="0" w:space="0" w:color="auto"/>
        <w:bottom w:val="none" w:sz="0" w:space="0" w:color="auto"/>
        <w:right w:val="none" w:sz="0" w:space="0" w:color="auto"/>
      </w:divBdr>
    </w:div>
    <w:div w:id="480970565">
      <w:bodyDiv w:val="1"/>
      <w:marLeft w:val="0"/>
      <w:marRight w:val="0"/>
      <w:marTop w:val="0"/>
      <w:marBottom w:val="0"/>
      <w:divBdr>
        <w:top w:val="none" w:sz="0" w:space="0" w:color="auto"/>
        <w:left w:val="none" w:sz="0" w:space="0" w:color="auto"/>
        <w:bottom w:val="none" w:sz="0" w:space="0" w:color="auto"/>
        <w:right w:val="none" w:sz="0" w:space="0" w:color="auto"/>
      </w:divBdr>
    </w:div>
    <w:div w:id="534385506">
      <w:bodyDiv w:val="1"/>
      <w:marLeft w:val="0"/>
      <w:marRight w:val="0"/>
      <w:marTop w:val="0"/>
      <w:marBottom w:val="0"/>
      <w:divBdr>
        <w:top w:val="none" w:sz="0" w:space="0" w:color="auto"/>
        <w:left w:val="none" w:sz="0" w:space="0" w:color="auto"/>
        <w:bottom w:val="none" w:sz="0" w:space="0" w:color="auto"/>
        <w:right w:val="none" w:sz="0" w:space="0" w:color="auto"/>
      </w:divBdr>
    </w:div>
    <w:div w:id="544410929">
      <w:bodyDiv w:val="1"/>
      <w:marLeft w:val="0"/>
      <w:marRight w:val="0"/>
      <w:marTop w:val="0"/>
      <w:marBottom w:val="0"/>
      <w:divBdr>
        <w:top w:val="none" w:sz="0" w:space="0" w:color="auto"/>
        <w:left w:val="none" w:sz="0" w:space="0" w:color="auto"/>
        <w:bottom w:val="none" w:sz="0" w:space="0" w:color="auto"/>
        <w:right w:val="none" w:sz="0" w:space="0" w:color="auto"/>
      </w:divBdr>
    </w:div>
    <w:div w:id="625311666">
      <w:bodyDiv w:val="1"/>
      <w:marLeft w:val="0"/>
      <w:marRight w:val="0"/>
      <w:marTop w:val="0"/>
      <w:marBottom w:val="0"/>
      <w:divBdr>
        <w:top w:val="none" w:sz="0" w:space="0" w:color="auto"/>
        <w:left w:val="none" w:sz="0" w:space="0" w:color="auto"/>
        <w:bottom w:val="none" w:sz="0" w:space="0" w:color="auto"/>
        <w:right w:val="none" w:sz="0" w:space="0" w:color="auto"/>
      </w:divBdr>
    </w:div>
    <w:div w:id="632903249">
      <w:bodyDiv w:val="1"/>
      <w:marLeft w:val="0"/>
      <w:marRight w:val="0"/>
      <w:marTop w:val="0"/>
      <w:marBottom w:val="0"/>
      <w:divBdr>
        <w:top w:val="none" w:sz="0" w:space="0" w:color="auto"/>
        <w:left w:val="none" w:sz="0" w:space="0" w:color="auto"/>
        <w:bottom w:val="none" w:sz="0" w:space="0" w:color="auto"/>
        <w:right w:val="none" w:sz="0" w:space="0" w:color="auto"/>
      </w:divBdr>
    </w:div>
    <w:div w:id="699359688">
      <w:bodyDiv w:val="1"/>
      <w:marLeft w:val="0"/>
      <w:marRight w:val="0"/>
      <w:marTop w:val="0"/>
      <w:marBottom w:val="0"/>
      <w:divBdr>
        <w:top w:val="none" w:sz="0" w:space="0" w:color="auto"/>
        <w:left w:val="none" w:sz="0" w:space="0" w:color="auto"/>
        <w:bottom w:val="none" w:sz="0" w:space="0" w:color="auto"/>
        <w:right w:val="none" w:sz="0" w:space="0" w:color="auto"/>
      </w:divBdr>
    </w:div>
    <w:div w:id="733968292">
      <w:bodyDiv w:val="1"/>
      <w:marLeft w:val="0"/>
      <w:marRight w:val="0"/>
      <w:marTop w:val="0"/>
      <w:marBottom w:val="0"/>
      <w:divBdr>
        <w:top w:val="none" w:sz="0" w:space="0" w:color="auto"/>
        <w:left w:val="none" w:sz="0" w:space="0" w:color="auto"/>
        <w:bottom w:val="none" w:sz="0" w:space="0" w:color="auto"/>
        <w:right w:val="none" w:sz="0" w:space="0" w:color="auto"/>
      </w:divBdr>
    </w:div>
    <w:div w:id="765229198">
      <w:bodyDiv w:val="1"/>
      <w:marLeft w:val="0"/>
      <w:marRight w:val="0"/>
      <w:marTop w:val="0"/>
      <w:marBottom w:val="0"/>
      <w:divBdr>
        <w:top w:val="none" w:sz="0" w:space="0" w:color="auto"/>
        <w:left w:val="none" w:sz="0" w:space="0" w:color="auto"/>
        <w:bottom w:val="none" w:sz="0" w:space="0" w:color="auto"/>
        <w:right w:val="none" w:sz="0" w:space="0" w:color="auto"/>
      </w:divBdr>
    </w:div>
    <w:div w:id="839540745">
      <w:bodyDiv w:val="1"/>
      <w:marLeft w:val="0"/>
      <w:marRight w:val="0"/>
      <w:marTop w:val="0"/>
      <w:marBottom w:val="0"/>
      <w:divBdr>
        <w:top w:val="none" w:sz="0" w:space="0" w:color="auto"/>
        <w:left w:val="none" w:sz="0" w:space="0" w:color="auto"/>
        <w:bottom w:val="none" w:sz="0" w:space="0" w:color="auto"/>
        <w:right w:val="none" w:sz="0" w:space="0" w:color="auto"/>
      </w:divBdr>
    </w:div>
    <w:div w:id="849101162">
      <w:bodyDiv w:val="1"/>
      <w:marLeft w:val="0"/>
      <w:marRight w:val="0"/>
      <w:marTop w:val="0"/>
      <w:marBottom w:val="0"/>
      <w:divBdr>
        <w:top w:val="none" w:sz="0" w:space="0" w:color="auto"/>
        <w:left w:val="none" w:sz="0" w:space="0" w:color="auto"/>
        <w:bottom w:val="none" w:sz="0" w:space="0" w:color="auto"/>
        <w:right w:val="none" w:sz="0" w:space="0" w:color="auto"/>
      </w:divBdr>
    </w:div>
    <w:div w:id="850338734">
      <w:bodyDiv w:val="1"/>
      <w:marLeft w:val="0"/>
      <w:marRight w:val="0"/>
      <w:marTop w:val="0"/>
      <w:marBottom w:val="0"/>
      <w:divBdr>
        <w:top w:val="none" w:sz="0" w:space="0" w:color="auto"/>
        <w:left w:val="none" w:sz="0" w:space="0" w:color="auto"/>
        <w:bottom w:val="none" w:sz="0" w:space="0" w:color="auto"/>
        <w:right w:val="none" w:sz="0" w:space="0" w:color="auto"/>
      </w:divBdr>
    </w:div>
    <w:div w:id="973559507">
      <w:bodyDiv w:val="1"/>
      <w:marLeft w:val="0"/>
      <w:marRight w:val="0"/>
      <w:marTop w:val="0"/>
      <w:marBottom w:val="0"/>
      <w:divBdr>
        <w:top w:val="none" w:sz="0" w:space="0" w:color="auto"/>
        <w:left w:val="none" w:sz="0" w:space="0" w:color="auto"/>
        <w:bottom w:val="none" w:sz="0" w:space="0" w:color="auto"/>
        <w:right w:val="none" w:sz="0" w:space="0" w:color="auto"/>
      </w:divBdr>
    </w:div>
    <w:div w:id="997996790">
      <w:bodyDiv w:val="1"/>
      <w:marLeft w:val="0"/>
      <w:marRight w:val="0"/>
      <w:marTop w:val="0"/>
      <w:marBottom w:val="0"/>
      <w:divBdr>
        <w:top w:val="none" w:sz="0" w:space="0" w:color="auto"/>
        <w:left w:val="none" w:sz="0" w:space="0" w:color="auto"/>
        <w:bottom w:val="none" w:sz="0" w:space="0" w:color="auto"/>
        <w:right w:val="none" w:sz="0" w:space="0" w:color="auto"/>
      </w:divBdr>
    </w:div>
    <w:div w:id="1011177452">
      <w:bodyDiv w:val="1"/>
      <w:marLeft w:val="0"/>
      <w:marRight w:val="0"/>
      <w:marTop w:val="0"/>
      <w:marBottom w:val="0"/>
      <w:divBdr>
        <w:top w:val="none" w:sz="0" w:space="0" w:color="auto"/>
        <w:left w:val="none" w:sz="0" w:space="0" w:color="auto"/>
        <w:bottom w:val="none" w:sz="0" w:space="0" w:color="auto"/>
        <w:right w:val="none" w:sz="0" w:space="0" w:color="auto"/>
      </w:divBdr>
    </w:div>
    <w:div w:id="1025642993">
      <w:bodyDiv w:val="1"/>
      <w:marLeft w:val="0"/>
      <w:marRight w:val="0"/>
      <w:marTop w:val="0"/>
      <w:marBottom w:val="0"/>
      <w:divBdr>
        <w:top w:val="none" w:sz="0" w:space="0" w:color="auto"/>
        <w:left w:val="none" w:sz="0" w:space="0" w:color="auto"/>
        <w:bottom w:val="none" w:sz="0" w:space="0" w:color="auto"/>
        <w:right w:val="none" w:sz="0" w:space="0" w:color="auto"/>
      </w:divBdr>
    </w:div>
    <w:div w:id="1037898736">
      <w:bodyDiv w:val="1"/>
      <w:marLeft w:val="0"/>
      <w:marRight w:val="0"/>
      <w:marTop w:val="0"/>
      <w:marBottom w:val="0"/>
      <w:divBdr>
        <w:top w:val="none" w:sz="0" w:space="0" w:color="auto"/>
        <w:left w:val="none" w:sz="0" w:space="0" w:color="auto"/>
        <w:bottom w:val="none" w:sz="0" w:space="0" w:color="auto"/>
        <w:right w:val="none" w:sz="0" w:space="0" w:color="auto"/>
      </w:divBdr>
    </w:div>
    <w:div w:id="1040712741">
      <w:bodyDiv w:val="1"/>
      <w:marLeft w:val="0"/>
      <w:marRight w:val="0"/>
      <w:marTop w:val="0"/>
      <w:marBottom w:val="0"/>
      <w:divBdr>
        <w:top w:val="none" w:sz="0" w:space="0" w:color="auto"/>
        <w:left w:val="none" w:sz="0" w:space="0" w:color="auto"/>
        <w:bottom w:val="none" w:sz="0" w:space="0" w:color="auto"/>
        <w:right w:val="none" w:sz="0" w:space="0" w:color="auto"/>
      </w:divBdr>
    </w:div>
    <w:div w:id="1055154818">
      <w:bodyDiv w:val="1"/>
      <w:marLeft w:val="0"/>
      <w:marRight w:val="0"/>
      <w:marTop w:val="0"/>
      <w:marBottom w:val="0"/>
      <w:divBdr>
        <w:top w:val="none" w:sz="0" w:space="0" w:color="auto"/>
        <w:left w:val="none" w:sz="0" w:space="0" w:color="auto"/>
        <w:bottom w:val="none" w:sz="0" w:space="0" w:color="auto"/>
        <w:right w:val="none" w:sz="0" w:space="0" w:color="auto"/>
      </w:divBdr>
    </w:div>
    <w:div w:id="1068725373">
      <w:bodyDiv w:val="1"/>
      <w:marLeft w:val="0"/>
      <w:marRight w:val="0"/>
      <w:marTop w:val="0"/>
      <w:marBottom w:val="0"/>
      <w:divBdr>
        <w:top w:val="none" w:sz="0" w:space="0" w:color="auto"/>
        <w:left w:val="none" w:sz="0" w:space="0" w:color="auto"/>
        <w:bottom w:val="none" w:sz="0" w:space="0" w:color="auto"/>
        <w:right w:val="none" w:sz="0" w:space="0" w:color="auto"/>
      </w:divBdr>
    </w:div>
    <w:div w:id="1089623867">
      <w:bodyDiv w:val="1"/>
      <w:marLeft w:val="0"/>
      <w:marRight w:val="0"/>
      <w:marTop w:val="0"/>
      <w:marBottom w:val="0"/>
      <w:divBdr>
        <w:top w:val="none" w:sz="0" w:space="0" w:color="auto"/>
        <w:left w:val="none" w:sz="0" w:space="0" w:color="auto"/>
        <w:bottom w:val="none" w:sz="0" w:space="0" w:color="auto"/>
        <w:right w:val="none" w:sz="0" w:space="0" w:color="auto"/>
      </w:divBdr>
    </w:div>
    <w:div w:id="1102652133">
      <w:bodyDiv w:val="1"/>
      <w:marLeft w:val="0"/>
      <w:marRight w:val="0"/>
      <w:marTop w:val="0"/>
      <w:marBottom w:val="0"/>
      <w:divBdr>
        <w:top w:val="none" w:sz="0" w:space="0" w:color="auto"/>
        <w:left w:val="none" w:sz="0" w:space="0" w:color="auto"/>
        <w:bottom w:val="none" w:sz="0" w:space="0" w:color="auto"/>
        <w:right w:val="none" w:sz="0" w:space="0" w:color="auto"/>
      </w:divBdr>
    </w:div>
    <w:div w:id="1151796000">
      <w:bodyDiv w:val="1"/>
      <w:marLeft w:val="0"/>
      <w:marRight w:val="0"/>
      <w:marTop w:val="0"/>
      <w:marBottom w:val="0"/>
      <w:divBdr>
        <w:top w:val="none" w:sz="0" w:space="0" w:color="auto"/>
        <w:left w:val="none" w:sz="0" w:space="0" w:color="auto"/>
        <w:bottom w:val="none" w:sz="0" w:space="0" w:color="auto"/>
        <w:right w:val="none" w:sz="0" w:space="0" w:color="auto"/>
      </w:divBdr>
    </w:div>
    <w:div w:id="1250307925">
      <w:bodyDiv w:val="1"/>
      <w:marLeft w:val="0"/>
      <w:marRight w:val="0"/>
      <w:marTop w:val="0"/>
      <w:marBottom w:val="0"/>
      <w:divBdr>
        <w:top w:val="none" w:sz="0" w:space="0" w:color="auto"/>
        <w:left w:val="none" w:sz="0" w:space="0" w:color="auto"/>
        <w:bottom w:val="none" w:sz="0" w:space="0" w:color="auto"/>
        <w:right w:val="none" w:sz="0" w:space="0" w:color="auto"/>
      </w:divBdr>
    </w:div>
    <w:div w:id="1283658706">
      <w:bodyDiv w:val="1"/>
      <w:marLeft w:val="0"/>
      <w:marRight w:val="0"/>
      <w:marTop w:val="0"/>
      <w:marBottom w:val="0"/>
      <w:divBdr>
        <w:top w:val="none" w:sz="0" w:space="0" w:color="auto"/>
        <w:left w:val="none" w:sz="0" w:space="0" w:color="auto"/>
        <w:bottom w:val="none" w:sz="0" w:space="0" w:color="auto"/>
        <w:right w:val="none" w:sz="0" w:space="0" w:color="auto"/>
      </w:divBdr>
    </w:div>
    <w:div w:id="1458642213">
      <w:bodyDiv w:val="1"/>
      <w:marLeft w:val="0"/>
      <w:marRight w:val="0"/>
      <w:marTop w:val="0"/>
      <w:marBottom w:val="0"/>
      <w:divBdr>
        <w:top w:val="none" w:sz="0" w:space="0" w:color="auto"/>
        <w:left w:val="none" w:sz="0" w:space="0" w:color="auto"/>
        <w:bottom w:val="none" w:sz="0" w:space="0" w:color="auto"/>
        <w:right w:val="none" w:sz="0" w:space="0" w:color="auto"/>
      </w:divBdr>
    </w:div>
    <w:div w:id="1469469051">
      <w:bodyDiv w:val="1"/>
      <w:marLeft w:val="0"/>
      <w:marRight w:val="0"/>
      <w:marTop w:val="0"/>
      <w:marBottom w:val="0"/>
      <w:divBdr>
        <w:top w:val="none" w:sz="0" w:space="0" w:color="auto"/>
        <w:left w:val="none" w:sz="0" w:space="0" w:color="auto"/>
        <w:bottom w:val="none" w:sz="0" w:space="0" w:color="auto"/>
        <w:right w:val="none" w:sz="0" w:space="0" w:color="auto"/>
      </w:divBdr>
    </w:div>
    <w:div w:id="1494489119">
      <w:bodyDiv w:val="1"/>
      <w:marLeft w:val="0"/>
      <w:marRight w:val="0"/>
      <w:marTop w:val="0"/>
      <w:marBottom w:val="0"/>
      <w:divBdr>
        <w:top w:val="none" w:sz="0" w:space="0" w:color="auto"/>
        <w:left w:val="none" w:sz="0" w:space="0" w:color="auto"/>
        <w:bottom w:val="none" w:sz="0" w:space="0" w:color="auto"/>
        <w:right w:val="none" w:sz="0" w:space="0" w:color="auto"/>
      </w:divBdr>
    </w:div>
    <w:div w:id="1559315961">
      <w:bodyDiv w:val="1"/>
      <w:marLeft w:val="0"/>
      <w:marRight w:val="0"/>
      <w:marTop w:val="0"/>
      <w:marBottom w:val="0"/>
      <w:divBdr>
        <w:top w:val="none" w:sz="0" w:space="0" w:color="auto"/>
        <w:left w:val="none" w:sz="0" w:space="0" w:color="auto"/>
        <w:bottom w:val="none" w:sz="0" w:space="0" w:color="auto"/>
        <w:right w:val="none" w:sz="0" w:space="0" w:color="auto"/>
      </w:divBdr>
    </w:div>
    <w:div w:id="1568221004">
      <w:bodyDiv w:val="1"/>
      <w:marLeft w:val="0"/>
      <w:marRight w:val="0"/>
      <w:marTop w:val="0"/>
      <w:marBottom w:val="0"/>
      <w:divBdr>
        <w:top w:val="none" w:sz="0" w:space="0" w:color="auto"/>
        <w:left w:val="none" w:sz="0" w:space="0" w:color="auto"/>
        <w:bottom w:val="none" w:sz="0" w:space="0" w:color="auto"/>
        <w:right w:val="none" w:sz="0" w:space="0" w:color="auto"/>
      </w:divBdr>
    </w:div>
    <w:div w:id="1638681255">
      <w:bodyDiv w:val="1"/>
      <w:marLeft w:val="0"/>
      <w:marRight w:val="0"/>
      <w:marTop w:val="0"/>
      <w:marBottom w:val="0"/>
      <w:divBdr>
        <w:top w:val="none" w:sz="0" w:space="0" w:color="auto"/>
        <w:left w:val="none" w:sz="0" w:space="0" w:color="auto"/>
        <w:bottom w:val="none" w:sz="0" w:space="0" w:color="auto"/>
        <w:right w:val="none" w:sz="0" w:space="0" w:color="auto"/>
      </w:divBdr>
    </w:div>
    <w:div w:id="1687052620">
      <w:bodyDiv w:val="1"/>
      <w:marLeft w:val="0"/>
      <w:marRight w:val="0"/>
      <w:marTop w:val="0"/>
      <w:marBottom w:val="0"/>
      <w:divBdr>
        <w:top w:val="none" w:sz="0" w:space="0" w:color="auto"/>
        <w:left w:val="none" w:sz="0" w:space="0" w:color="auto"/>
        <w:bottom w:val="none" w:sz="0" w:space="0" w:color="auto"/>
        <w:right w:val="none" w:sz="0" w:space="0" w:color="auto"/>
      </w:divBdr>
    </w:div>
    <w:div w:id="1716616769">
      <w:bodyDiv w:val="1"/>
      <w:marLeft w:val="0"/>
      <w:marRight w:val="0"/>
      <w:marTop w:val="0"/>
      <w:marBottom w:val="0"/>
      <w:divBdr>
        <w:top w:val="none" w:sz="0" w:space="0" w:color="auto"/>
        <w:left w:val="none" w:sz="0" w:space="0" w:color="auto"/>
        <w:bottom w:val="none" w:sz="0" w:space="0" w:color="auto"/>
        <w:right w:val="none" w:sz="0" w:space="0" w:color="auto"/>
      </w:divBdr>
    </w:div>
    <w:div w:id="1728647959">
      <w:bodyDiv w:val="1"/>
      <w:marLeft w:val="0"/>
      <w:marRight w:val="0"/>
      <w:marTop w:val="0"/>
      <w:marBottom w:val="0"/>
      <w:divBdr>
        <w:top w:val="none" w:sz="0" w:space="0" w:color="auto"/>
        <w:left w:val="none" w:sz="0" w:space="0" w:color="auto"/>
        <w:bottom w:val="none" w:sz="0" w:space="0" w:color="auto"/>
        <w:right w:val="none" w:sz="0" w:space="0" w:color="auto"/>
      </w:divBdr>
    </w:div>
    <w:div w:id="1751850958">
      <w:bodyDiv w:val="1"/>
      <w:marLeft w:val="0"/>
      <w:marRight w:val="0"/>
      <w:marTop w:val="0"/>
      <w:marBottom w:val="0"/>
      <w:divBdr>
        <w:top w:val="none" w:sz="0" w:space="0" w:color="auto"/>
        <w:left w:val="none" w:sz="0" w:space="0" w:color="auto"/>
        <w:bottom w:val="none" w:sz="0" w:space="0" w:color="auto"/>
        <w:right w:val="none" w:sz="0" w:space="0" w:color="auto"/>
      </w:divBdr>
    </w:div>
    <w:div w:id="1766269330">
      <w:bodyDiv w:val="1"/>
      <w:marLeft w:val="0"/>
      <w:marRight w:val="0"/>
      <w:marTop w:val="0"/>
      <w:marBottom w:val="0"/>
      <w:divBdr>
        <w:top w:val="none" w:sz="0" w:space="0" w:color="auto"/>
        <w:left w:val="none" w:sz="0" w:space="0" w:color="auto"/>
        <w:bottom w:val="none" w:sz="0" w:space="0" w:color="auto"/>
        <w:right w:val="none" w:sz="0" w:space="0" w:color="auto"/>
      </w:divBdr>
    </w:div>
    <w:div w:id="1803035789">
      <w:bodyDiv w:val="1"/>
      <w:marLeft w:val="0"/>
      <w:marRight w:val="0"/>
      <w:marTop w:val="0"/>
      <w:marBottom w:val="0"/>
      <w:divBdr>
        <w:top w:val="none" w:sz="0" w:space="0" w:color="auto"/>
        <w:left w:val="none" w:sz="0" w:space="0" w:color="auto"/>
        <w:bottom w:val="none" w:sz="0" w:space="0" w:color="auto"/>
        <w:right w:val="none" w:sz="0" w:space="0" w:color="auto"/>
      </w:divBdr>
    </w:div>
    <w:div w:id="1857578205">
      <w:bodyDiv w:val="1"/>
      <w:marLeft w:val="0"/>
      <w:marRight w:val="0"/>
      <w:marTop w:val="0"/>
      <w:marBottom w:val="0"/>
      <w:divBdr>
        <w:top w:val="none" w:sz="0" w:space="0" w:color="auto"/>
        <w:left w:val="none" w:sz="0" w:space="0" w:color="auto"/>
        <w:bottom w:val="none" w:sz="0" w:space="0" w:color="auto"/>
        <w:right w:val="none" w:sz="0" w:space="0" w:color="auto"/>
      </w:divBdr>
    </w:div>
    <w:div w:id="1864128865">
      <w:bodyDiv w:val="1"/>
      <w:marLeft w:val="0"/>
      <w:marRight w:val="0"/>
      <w:marTop w:val="0"/>
      <w:marBottom w:val="0"/>
      <w:divBdr>
        <w:top w:val="none" w:sz="0" w:space="0" w:color="auto"/>
        <w:left w:val="none" w:sz="0" w:space="0" w:color="auto"/>
        <w:bottom w:val="none" w:sz="0" w:space="0" w:color="auto"/>
        <w:right w:val="none" w:sz="0" w:space="0" w:color="auto"/>
      </w:divBdr>
    </w:div>
    <w:div w:id="1867596520">
      <w:bodyDiv w:val="1"/>
      <w:marLeft w:val="0"/>
      <w:marRight w:val="0"/>
      <w:marTop w:val="0"/>
      <w:marBottom w:val="0"/>
      <w:divBdr>
        <w:top w:val="none" w:sz="0" w:space="0" w:color="auto"/>
        <w:left w:val="none" w:sz="0" w:space="0" w:color="auto"/>
        <w:bottom w:val="none" w:sz="0" w:space="0" w:color="auto"/>
        <w:right w:val="none" w:sz="0" w:space="0" w:color="auto"/>
      </w:divBdr>
    </w:div>
    <w:div w:id="1884633857">
      <w:bodyDiv w:val="1"/>
      <w:marLeft w:val="0"/>
      <w:marRight w:val="0"/>
      <w:marTop w:val="0"/>
      <w:marBottom w:val="0"/>
      <w:divBdr>
        <w:top w:val="none" w:sz="0" w:space="0" w:color="auto"/>
        <w:left w:val="none" w:sz="0" w:space="0" w:color="auto"/>
        <w:bottom w:val="none" w:sz="0" w:space="0" w:color="auto"/>
        <w:right w:val="none" w:sz="0" w:space="0" w:color="auto"/>
      </w:divBdr>
    </w:div>
    <w:div w:id="1890997490">
      <w:bodyDiv w:val="1"/>
      <w:marLeft w:val="0"/>
      <w:marRight w:val="0"/>
      <w:marTop w:val="0"/>
      <w:marBottom w:val="0"/>
      <w:divBdr>
        <w:top w:val="none" w:sz="0" w:space="0" w:color="auto"/>
        <w:left w:val="none" w:sz="0" w:space="0" w:color="auto"/>
        <w:bottom w:val="none" w:sz="0" w:space="0" w:color="auto"/>
        <w:right w:val="none" w:sz="0" w:space="0" w:color="auto"/>
      </w:divBdr>
    </w:div>
    <w:div w:id="1953435622">
      <w:bodyDiv w:val="1"/>
      <w:marLeft w:val="0"/>
      <w:marRight w:val="0"/>
      <w:marTop w:val="0"/>
      <w:marBottom w:val="0"/>
      <w:divBdr>
        <w:top w:val="none" w:sz="0" w:space="0" w:color="auto"/>
        <w:left w:val="none" w:sz="0" w:space="0" w:color="auto"/>
        <w:bottom w:val="none" w:sz="0" w:space="0" w:color="auto"/>
        <w:right w:val="none" w:sz="0" w:space="0" w:color="auto"/>
      </w:divBdr>
    </w:div>
    <w:div w:id="1975409255">
      <w:bodyDiv w:val="1"/>
      <w:marLeft w:val="0"/>
      <w:marRight w:val="0"/>
      <w:marTop w:val="0"/>
      <w:marBottom w:val="0"/>
      <w:divBdr>
        <w:top w:val="none" w:sz="0" w:space="0" w:color="auto"/>
        <w:left w:val="none" w:sz="0" w:space="0" w:color="auto"/>
        <w:bottom w:val="none" w:sz="0" w:space="0" w:color="auto"/>
        <w:right w:val="none" w:sz="0" w:space="0" w:color="auto"/>
      </w:divBdr>
    </w:div>
    <w:div w:id="1989937723">
      <w:bodyDiv w:val="1"/>
      <w:marLeft w:val="0"/>
      <w:marRight w:val="0"/>
      <w:marTop w:val="0"/>
      <w:marBottom w:val="0"/>
      <w:divBdr>
        <w:top w:val="none" w:sz="0" w:space="0" w:color="auto"/>
        <w:left w:val="none" w:sz="0" w:space="0" w:color="auto"/>
        <w:bottom w:val="none" w:sz="0" w:space="0" w:color="auto"/>
        <w:right w:val="none" w:sz="0" w:space="0" w:color="auto"/>
      </w:divBdr>
    </w:div>
    <w:div w:id="2084452452">
      <w:bodyDiv w:val="1"/>
      <w:marLeft w:val="0"/>
      <w:marRight w:val="0"/>
      <w:marTop w:val="0"/>
      <w:marBottom w:val="0"/>
      <w:divBdr>
        <w:top w:val="none" w:sz="0" w:space="0" w:color="auto"/>
        <w:left w:val="none" w:sz="0" w:space="0" w:color="auto"/>
        <w:bottom w:val="none" w:sz="0" w:space="0" w:color="auto"/>
        <w:right w:val="none" w:sz="0" w:space="0" w:color="auto"/>
      </w:divBdr>
    </w:div>
    <w:div w:id="2147115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header" Target="header1.xml"/><Relationship Id="rId39" Type="http://schemas.openxmlformats.org/officeDocument/2006/relationships/image" Target="media/image19.png"/><Relationship Id="rId21" Type="http://schemas.openxmlformats.org/officeDocument/2006/relationships/image" Target="media/image11.png"/><Relationship Id="rId34" Type="http://schemas.openxmlformats.org/officeDocument/2006/relationships/footer" Target="footer3.xml"/><Relationship Id="rId42" Type="http://schemas.openxmlformats.org/officeDocument/2006/relationships/image" Target="media/image22.png"/><Relationship Id="rId47" Type="http://schemas.openxmlformats.org/officeDocument/2006/relationships/header" Target="header4.xml"/><Relationship Id="rId55" Type="http://schemas.microsoft.com/office/2019/05/relationships/documenttasks" Target="documenttasks/documenttasks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6.png"/><Relationship Id="rId29" Type="http://schemas.openxmlformats.org/officeDocument/2006/relationships/footer" Target="footer2.xml"/><Relationship Id="rId11" Type="http://schemas.openxmlformats.org/officeDocument/2006/relationships/image" Target="media/image1.png"/><Relationship Id="rId24" Type="http://schemas.openxmlformats.org/officeDocument/2006/relationships/image" Target="media/image14.png"/><Relationship Id="rId32" Type="http://schemas.openxmlformats.org/officeDocument/2006/relationships/image" Target="media/image17.jpg"/><Relationship Id="rId37" Type="http://schemas.openxmlformats.org/officeDocument/2006/relationships/hyperlink" Target="https://www.aeaweb.org/articles?id=10.1257/jep.23.3.125" TargetMode="External"/><Relationship Id="rId40" Type="http://schemas.openxmlformats.org/officeDocument/2006/relationships/image" Target="media/image20.png"/><Relationship Id="rId45" Type="http://schemas.openxmlformats.org/officeDocument/2006/relationships/image" Target="media/image25.png"/><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header" Target="header2.xml"/><Relationship Id="rId36" Type="http://schemas.openxmlformats.org/officeDocument/2006/relationships/footer" Target="footer5.xml"/><Relationship Id="rId49"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9.png"/><Relationship Id="rId31" Type="http://schemas.openxmlformats.org/officeDocument/2006/relationships/hyperlink" Target="mailto:pysubmissions@rba.gov.au" TargetMode="External"/><Relationship Id="rId44" Type="http://schemas.openxmlformats.org/officeDocument/2006/relationships/image" Target="media/image24.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footer" Target="footer1.xml"/><Relationship Id="rId30" Type="http://schemas.openxmlformats.org/officeDocument/2006/relationships/image" Target="media/image16.png"/><Relationship Id="rId35" Type="http://schemas.openxmlformats.org/officeDocument/2006/relationships/footer" Target="footer4.xml"/><Relationship Id="rId43" Type="http://schemas.openxmlformats.org/officeDocument/2006/relationships/image" Target="media/image23.png"/><Relationship Id="rId48" Type="http://schemas.openxmlformats.org/officeDocument/2006/relationships/fontTable" Target="fontTable.xml"/><Relationship Id="R201ecd7d97ad4e40" Type="http://schemas.microsoft.com/office/2019/09/relationships/intelligence" Target="intelligence.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header" Target="header3.xml"/><Relationship Id="rId38" Type="http://schemas.openxmlformats.org/officeDocument/2006/relationships/image" Target="media/image18.png"/><Relationship Id="rId46" Type="http://schemas.openxmlformats.org/officeDocument/2006/relationships/image" Target="media/image26.png"/><Relationship Id="rId20" Type="http://schemas.openxmlformats.org/officeDocument/2006/relationships/image" Target="media/image10.png"/><Relationship Id="rId41" Type="http://schemas.openxmlformats.org/officeDocument/2006/relationships/image" Target="media/image21.png"/><Relationship Id="rId1" Type="http://schemas.openxmlformats.org/officeDocument/2006/relationships/customXml" Target="../customXml/item1.xml"/><Relationship Id="rId6" Type="http://schemas.openxmlformats.org/officeDocument/2006/relationships/styles" Target="styles.xml"/></Relationships>
</file>

<file path=word/_rels/footer5.xml.rels><?xml version="1.0" encoding="UTF-8" standalone="yes"?>
<Relationships xmlns="http://schemas.openxmlformats.org/package/2006/relationships"><Relationship Id="rId1" Type="http://schemas.openxmlformats.org/officeDocument/2006/relationships/hyperlink" Target="http://www.visa.com.au"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s://usa.visa.com/visa-everywhere/blog/bdp/2019/12/24/investing-in-the-1577207091483.html" TargetMode="External"/><Relationship Id="rId13" Type="http://schemas.openxmlformats.org/officeDocument/2006/relationships/hyperlink" Target="https://www.rba.gov.au/payments-and-infrastructure/review-of-retail-payments-regulation/consultation-paper-202105/pdf/review-of-retail-payments-regulation-consultation-paper-202105.pdf" TargetMode="External"/><Relationship Id="rId18" Type="http://schemas.openxmlformats.org/officeDocument/2006/relationships/hyperlink" Target="https://www.accc.gov.au/speech/consumer-data-and-regulatory-reform" TargetMode="External"/><Relationship Id="rId26" Type="http://schemas.openxmlformats.org/officeDocument/2006/relationships/hyperlink" Target="https://www.accc.gov.au/media-release/visa-undertakes-to-address-competition-concerns-over-debit-card-payments" TargetMode="External"/><Relationship Id="rId3" Type="http://schemas.openxmlformats.org/officeDocument/2006/relationships/hyperlink" Target="https://rba.gov.au/speeches/2019/sp-gov-2019-12-10.html" TargetMode="External"/><Relationship Id="rId21" Type="http://schemas.openxmlformats.org/officeDocument/2006/relationships/hyperlink" Target="https://www.rba.gov.au/payments-and-infrastructure/review-of-retail-payments-regulation/consultation-paper-202105/pdf/review-of-retail-payments-regulation-consultation-paper-202105.pdf" TargetMode="External"/><Relationship Id="rId7" Type="http://schemas.openxmlformats.org/officeDocument/2006/relationships/hyperlink" Target="https://www.rba.gov.au/payments-and-infrastructure/submissions/review-of-retail-payments-regulation/visa.pdf" TargetMode="External"/><Relationship Id="rId12" Type="http://schemas.openxmlformats.org/officeDocument/2006/relationships/hyperlink" Target="https://www.apra.gov.au/monthly-authorised-deposit-taking-institution-statistics" TargetMode="External"/><Relationship Id="rId17" Type="http://schemas.openxmlformats.org/officeDocument/2006/relationships/hyperlink" Target="https://ec.europa.eu/info/business-economy-euro/banking-and-finance/consumer-finance-and-payments/payment-services/payment-services_en" TargetMode="External"/><Relationship Id="rId25" Type="http://schemas.openxmlformats.org/officeDocument/2006/relationships/hyperlink" Target="https://www.rba.gov.au/payments-and-infrastructure/review-of-retail-payments-regulation/consultation-paper-202105/pdf/review-of-retail-payments-regulation-consultation-paper-202105.pdf" TargetMode="External"/><Relationship Id="rId2" Type="http://schemas.openxmlformats.org/officeDocument/2006/relationships/hyperlink" Target="https://usa.visa.com/dam/VCOM/download/visa-everywhere/global-impact/impactof-electronic-payments-on-economic-growth.pdf" TargetMode="External"/><Relationship Id="rId16" Type="http://schemas.openxmlformats.org/officeDocument/2006/relationships/hyperlink" Target="https://www.rba.gov.au/payments-and-infrastructure/review-of-retail-payments-regulation/consultation-paper-202105/pdf/review-of-retail-payments-regulation-consultation-paper-202105.pdf" TargetMode="External"/><Relationship Id="rId20" Type="http://schemas.openxmlformats.org/officeDocument/2006/relationships/hyperlink" Target="https://www.rba.gov.au/payments-and-infrastructure/review-of-retail-payments-regulation/consultation-paper-202105/pdf/review-of-retail-payments-regulation-consultation-paper-202105.pdf" TargetMode="External"/><Relationship Id="rId29" Type="http://schemas.openxmlformats.org/officeDocument/2006/relationships/hyperlink" Target="https://scholarship.law.upenn.edu/cgi/viewcontent.cgi?article=3048&amp;context=faculty_scholarship" TargetMode="External"/><Relationship Id="rId1" Type="http://schemas.openxmlformats.org/officeDocument/2006/relationships/hyperlink" Target="https://usa.visa.com/dam/VCOM/global/visaeverywhere/documents/visa-cashless-cities-report.pdf" TargetMode="External"/><Relationship Id="rId6" Type="http://schemas.openxmlformats.org/officeDocument/2006/relationships/hyperlink" Target="https://www.accc.gov.au/focus-areas/consumer-data-right-cdr-0" TargetMode="External"/><Relationship Id="rId11" Type="http://schemas.openxmlformats.org/officeDocument/2006/relationships/hyperlink" Target="https://www.rba.gov.au/payments-and-infrastructure/review-of-retail-payments-regulation/consultation-paper-202105/pdf/review-of-retail-payments-regulation-consultation-paper-202105.pdf" TargetMode="External"/><Relationship Id="rId24" Type="http://schemas.openxmlformats.org/officeDocument/2006/relationships/hyperlink" Target="https://usa.visa.com/about-visa/newsroom/press-releases.releaseId.17301.html" TargetMode="External"/><Relationship Id="rId5" Type="http://schemas.openxmlformats.org/officeDocument/2006/relationships/hyperlink" Target="https://www.rba.gov.au/publications/annual-reports/psb/2019/" TargetMode="External"/><Relationship Id="rId15" Type="http://schemas.openxmlformats.org/officeDocument/2006/relationships/hyperlink" Target="https://www.rba.gov.au/payments-and-infrastructure/submissions/review-of-retail-payments-regulation/visa.pdf" TargetMode="External"/><Relationship Id="rId23" Type="http://schemas.openxmlformats.org/officeDocument/2006/relationships/hyperlink" Target="https://www.visa.com.au/about-visa/newsroom/press-releases/visa-prevents-more-than-560-million-in-fraud-from-impacting-australian-businesses.html" TargetMode="External"/><Relationship Id="rId28" Type="http://schemas.openxmlformats.org/officeDocument/2006/relationships/hyperlink" Target="https://www.forbes.com/sites/realspin/2017/02/07/small-banks-and-credit-unions-paying-millions-for-durbin-amendment/" TargetMode="External"/><Relationship Id="rId10" Type="http://schemas.openxmlformats.org/officeDocument/2006/relationships/hyperlink" Target="https://www.visa.com.au/pay-with-visa/security/future-of-security-roadmap.html" TargetMode="External"/><Relationship Id="rId19" Type="http://schemas.openxmlformats.org/officeDocument/2006/relationships/hyperlink" Target="https://www.accc.gov.au/media-release/google-misled-consumers-about-the-collection-and-use-of-location-data" TargetMode="External"/><Relationship Id="rId4" Type="http://schemas.openxmlformats.org/officeDocument/2006/relationships/hyperlink" Target="https://rba.gov.au/about-rba/" TargetMode="External"/><Relationship Id="rId9" Type="http://schemas.openxmlformats.org/officeDocument/2006/relationships/hyperlink" Target="https://www.visa.com.au/about-visa/newsroom/press-releases/visa-prevents-more-than-560-million-in-fraud-from-impacting-australian-businesses.html" TargetMode="External"/><Relationship Id="rId14" Type="http://schemas.openxmlformats.org/officeDocument/2006/relationships/hyperlink" Target="https://www.rba.gov.au/payments-and-infrastructure/review-of-retail-payments-regulation/consultation-paper-202105/pdf/review-of-retail-payments-regulation-consultation-paper-202105.pdf" TargetMode="External"/><Relationship Id="rId22" Type="http://schemas.openxmlformats.org/officeDocument/2006/relationships/hyperlink" Target="https://usa.visa.com/visa-everywhere/blog/bdp/2019/12/24/investing-in-the-1577207091483.html" TargetMode="External"/><Relationship Id="rId27" Type="http://schemas.openxmlformats.org/officeDocument/2006/relationships/hyperlink" Target="https://www.rba.gov.au/payments-and-infrastructure/review-of-retail-payments-regulation/consultation-paper-202105/pdf/review-of-retail-payments-regulation-consultation-paper-202105.pdf" TargetMode="External"/><Relationship Id="rId30" Type="http://schemas.openxmlformats.org/officeDocument/2006/relationships/hyperlink" Target="https://www.rba.gov.au/payments-and-infrastructure/review-of-retail-payments-regulation/consultation-paper-202105/pdf/review-of-retail-payments-regulation-consultation-paper-202105.pdf" TargetMode="External"/></Relationships>
</file>

<file path=word/documenttasks/documenttasks1.xml><?xml version="1.0" encoding="utf-8"?>
<t:Tasks xmlns:t="http://schemas.microsoft.com/office/tasks/2019/documenttasks" xmlns:oel="http://schemas.microsoft.com/office/2019/extlst">
  <t:Task id="{C5DEF6B2-DFFA-4D39-98DF-65F5E916A69D}">
    <t:Anchor>
      <t:Comment id="154755897"/>
    </t:Anchor>
    <t:History>
      <t:Event id="{3D07035C-111F-4E3E-9692-A471E9813BBB}" time="2020-11-25T06:08:23Z">
        <t:Attribution userId="S::skilbey@visa.com::67c0573c-9efa-4a38-ab29-9e14a4c615ae" userProvider="AD" userName="Kilbey, Susan"/>
        <t:Anchor>
          <t:Comment id="154755897"/>
        </t:Anchor>
        <t:Create/>
      </t:Event>
      <t:Event id="{2E2E0047-2010-4C59-9DBF-56515B83054D}" time="2020-11-25T06:08:23Z">
        <t:Attribution userId="S::skilbey@visa.com::67c0573c-9efa-4a38-ab29-9e14a4c615ae" userProvider="AD" userName="Kilbey, Susan"/>
        <t:Anchor>
          <t:Comment id="154755897"/>
        </t:Anchor>
        <t:Assign userId="S::hseidel@visa.com::a4dbe466-08a9-40e0-9714-7f3a4786665c" userProvider="AD" userName="Seidel, Helen"/>
      </t:Event>
      <t:Event id="{359B85B2-8129-4ECA-BE41-580A4039D9D0}" time="2020-11-25T06:08:23Z">
        <t:Attribution userId="S::skilbey@visa.com::67c0573c-9efa-4a38-ab29-9e14a4c615ae" userProvider="AD" userName="Kilbey, Susan"/>
        <t:Anchor>
          <t:Comment id="154755897"/>
        </t:Anchor>
        <t:SetTitle title="@Seidel, Helen - TESTING TRACKED CHAGNES"/>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E22CA9F9D52B041B4C717F82E349DBB" ma:contentTypeVersion="6" ma:contentTypeDescription="Create a new document." ma:contentTypeScope="" ma:versionID="a8c5ba77380795bca7205470bf3567fa">
  <xsd:schema xmlns:xsd="http://www.w3.org/2001/XMLSchema" xmlns:xs="http://www.w3.org/2001/XMLSchema" xmlns:p="http://schemas.microsoft.com/office/2006/metadata/properties" xmlns:ns2="fc8ba8e0-6d97-4534-8105-827602b0130e" xmlns:ns3="aef99d5c-b137-49e6-8f83-8b6cb50e46b7" targetNamespace="http://schemas.microsoft.com/office/2006/metadata/properties" ma:root="true" ma:fieldsID="2a66a87a5c8137f82ceeaf9fd35ad43f" ns2:_="" ns3:_="">
    <xsd:import namespace="fc8ba8e0-6d97-4534-8105-827602b0130e"/>
    <xsd:import namespace="aef99d5c-b137-49e6-8f83-8b6cb50e46b7"/>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c8ba8e0-6d97-4534-8105-827602b013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ef99d5c-b137-49e6-8f83-8b6cb50e46b7"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SharedWithUsers xmlns="aef99d5c-b137-49e6-8f83-8b6cb50e46b7">
      <UserInfo>
        <DisplayName>Boye-Moller, Axel</DisplayName>
        <AccountId>25</AccountId>
        <AccountType/>
      </UserInfo>
      <UserInfo>
        <DisplayName>Petersen, Craig</DisplayName>
        <AccountId>26</AccountId>
        <AccountType/>
      </UserInfo>
    </SharedWithUser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2D230AA-80C3-441E-A631-405826B273F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c8ba8e0-6d97-4534-8105-827602b0130e"/>
    <ds:schemaRef ds:uri="aef99d5c-b137-49e6-8f83-8b6cb50e46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4E610F3-E27C-4896-BAAC-545AE4AA31C4}">
  <ds:schemaRefs>
    <ds:schemaRef ds:uri="http://schemas.microsoft.com/office/2006/metadata/properties"/>
    <ds:schemaRef ds:uri="http://schemas.microsoft.com/office/infopath/2007/PartnerControls"/>
    <ds:schemaRef ds:uri="aef99d5c-b137-49e6-8f83-8b6cb50e46b7"/>
  </ds:schemaRefs>
</ds:datastoreItem>
</file>

<file path=customXml/itemProps3.xml><?xml version="1.0" encoding="utf-8"?>
<ds:datastoreItem xmlns:ds="http://schemas.openxmlformats.org/officeDocument/2006/customXml" ds:itemID="{285C6793-8569-4066-8E57-C7E31E246828}">
  <ds:schemaRefs>
    <ds:schemaRef ds:uri="http://schemas.openxmlformats.org/officeDocument/2006/bibliography"/>
  </ds:schemaRefs>
</ds:datastoreItem>
</file>

<file path=customXml/itemProps4.xml><?xml version="1.0" encoding="utf-8"?>
<ds:datastoreItem xmlns:ds="http://schemas.openxmlformats.org/officeDocument/2006/customXml" ds:itemID="{1F50C318-FC4D-40E8-ADCC-62F8414FCE5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29</Pages>
  <Words>9796</Words>
  <Characters>55841</Characters>
  <Application>Microsoft Office Word</Application>
  <DocSecurity>0</DocSecurity>
  <Lines>465</Lines>
  <Paragraphs>131</Paragraphs>
  <ScaleCrop>false</ScaleCrop>
  <HeadingPairs>
    <vt:vector size="2" baseType="variant">
      <vt:variant>
        <vt:lpstr>Title</vt:lpstr>
      </vt:variant>
      <vt:variant>
        <vt:i4>1</vt:i4>
      </vt:variant>
    </vt:vector>
  </HeadingPairs>
  <TitlesOfParts>
    <vt:vector size="1" baseType="lpstr">
      <vt:lpstr/>
    </vt:vector>
  </TitlesOfParts>
  <Company>Visa Inc.</Company>
  <LinksUpToDate>false</LinksUpToDate>
  <CharactersWithSpaces>65506</CharactersWithSpaces>
  <SharedDoc>false</SharedDoc>
  <HLinks>
    <vt:vector size="474" baseType="variant">
      <vt:variant>
        <vt:i4>6684690</vt:i4>
      </vt:variant>
      <vt:variant>
        <vt:i4>69</vt:i4>
      </vt:variant>
      <vt:variant>
        <vt:i4>0</vt:i4>
      </vt:variant>
      <vt:variant>
        <vt:i4>5</vt:i4>
      </vt:variant>
      <vt:variant>
        <vt:lpwstr>mailto:pysubmissions@rba.gov.au</vt:lpwstr>
      </vt:variant>
      <vt:variant>
        <vt:lpwstr/>
      </vt:variant>
      <vt:variant>
        <vt:i4>1966131</vt:i4>
      </vt:variant>
      <vt:variant>
        <vt:i4>62</vt:i4>
      </vt:variant>
      <vt:variant>
        <vt:i4>0</vt:i4>
      </vt:variant>
      <vt:variant>
        <vt:i4>5</vt:i4>
      </vt:variant>
      <vt:variant>
        <vt:lpwstr/>
      </vt:variant>
      <vt:variant>
        <vt:lpwstr>_Toc75180357</vt:lpwstr>
      </vt:variant>
      <vt:variant>
        <vt:i4>2031667</vt:i4>
      </vt:variant>
      <vt:variant>
        <vt:i4>56</vt:i4>
      </vt:variant>
      <vt:variant>
        <vt:i4>0</vt:i4>
      </vt:variant>
      <vt:variant>
        <vt:i4>5</vt:i4>
      </vt:variant>
      <vt:variant>
        <vt:lpwstr/>
      </vt:variant>
      <vt:variant>
        <vt:lpwstr>_Toc75180356</vt:lpwstr>
      </vt:variant>
      <vt:variant>
        <vt:i4>1835059</vt:i4>
      </vt:variant>
      <vt:variant>
        <vt:i4>50</vt:i4>
      </vt:variant>
      <vt:variant>
        <vt:i4>0</vt:i4>
      </vt:variant>
      <vt:variant>
        <vt:i4>5</vt:i4>
      </vt:variant>
      <vt:variant>
        <vt:lpwstr/>
      </vt:variant>
      <vt:variant>
        <vt:lpwstr>_Toc75180355</vt:lpwstr>
      </vt:variant>
      <vt:variant>
        <vt:i4>1900595</vt:i4>
      </vt:variant>
      <vt:variant>
        <vt:i4>44</vt:i4>
      </vt:variant>
      <vt:variant>
        <vt:i4>0</vt:i4>
      </vt:variant>
      <vt:variant>
        <vt:i4>5</vt:i4>
      </vt:variant>
      <vt:variant>
        <vt:lpwstr/>
      </vt:variant>
      <vt:variant>
        <vt:lpwstr>_Toc75180354</vt:lpwstr>
      </vt:variant>
      <vt:variant>
        <vt:i4>1703987</vt:i4>
      </vt:variant>
      <vt:variant>
        <vt:i4>38</vt:i4>
      </vt:variant>
      <vt:variant>
        <vt:i4>0</vt:i4>
      </vt:variant>
      <vt:variant>
        <vt:i4>5</vt:i4>
      </vt:variant>
      <vt:variant>
        <vt:lpwstr/>
      </vt:variant>
      <vt:variant>
        <vt:lpwstr>_Toc75180353</vt:lpwstr>
      </vt:variant>
      <vt:variant>
        <vt:i4>1769523</vt:i4>
      </vt:variant>
      <vt:variant>
        <vt:i4>32</vt:i4>
      </vt:variant>
      <vt:variant>
        <vt:i4>0</vt:i4>
      </vt:variant>
      <vt:variant>
        <vt:i4>5</vt:i4>
      </vt:variant>
      <vt:variant>
        <vt:lpwstr/>
      </vt:variant>
      <vt:variant>
        <vt:lpwstr>_Toc75180352</vt:lpwstr>
      </vt:variant>
      <vt:variant>
        <vt:i4>1572915</vt:i4>
      </vt:variant>
      <vt:variant>
        <vt:i4>26</vt:i4>
      </vt:variant>
      <vt:variant>
        <vt:i4>0</vt:i4>
      </vt:variant>
      <vt:variant>
        <vt:i4>5</vt:i4>
      </vt:variant>
      <vt:variant>
        <vt:lpwstr/>
      </vt:variant>
      <vt:variant>
        <vt:lpwstr>_Toc75180351</vt:lpwstr>
      </vt:variant>
      <vt:variant>
        <vt:i4>1638451</vt:i4>
      </vt:variant>
      <vt:variant>
        <vt:i4>20</vt:i4>
      </vt:variant>
      <vt:variant>
        <vt:i4>0</vt:i4>
      </vt:variant>
      <vt:variant>
        <vt:i4>5</vt:i4>
      </vt:variant>
      <vt:variant>
        <vt:lpwstr/>
      </vt:variant>
      <vt:variant>
        <vt:lpwstr>_Toc75180350</vt:lpwstr>
      </vt:variant>
      <vt:variant>
        <vt:i4>1048626</vt:i4>
      </vt:variant>
      <vt:variant>
        <vt:i4>14</vt:i4>
      </vt:variant>
      <vt:variant>
        <vt:i4>0</vt:i4>
      </vt:variant>
      <vt:variant>
        <vt:i4>5</vt:i4>
      </vt:variant>
      <vt:variant>
        <vt:lpwstr/>
      </vt:variant>
      <vt:variant>
        <vt:lpwstr>_Toc75180349</vt:lpwstr>
      </vt:variant>
      <vt:variant>
        <vt:i4>1114162</vt:i4>
      </vt:variant>
      <vt:variant>
        <vt:i4>8</vt:i4>
      </vt:variant>
      <vt:variant>
        <vt:i4>0</vt:i4>
      </vt:variant>
      <vt:variant>
        <vt:i4>5</vt:i4>
      </vt:variant>
      <vt:variant>
        <vt:lpwstr/>
      </vt:variant>
      <vt:variant>
        <vt:lpwstr>_Toc75180348</vt:lpwstr>
      </vt:variant>
      <vt:variant>
        <vt:i4>1966130</vt:i4>
      </vt:variant>
      <vt:variant>
        <vt:i4>2</vt:i4>
      </vt:variant>
      <vt:variant>
        <vt:i4>0</vt:i4>
      </vt:variant>
      <vt:variant>
        <vt:i4>5</vt:i4>
      </vt:variant>
      <vt:variant>
        <vt:lpwstr/>
      </vt:variant>
      <vt:variant>
        <vt:lpwstr>_Toc75180347</vt:lpwstr>
      </vt:variant>
      <vt:variant>
        <vt:i4>6684779</vt:i4>
      </vt:variant>
      <vt:variant>
        <vt:i4>153</vt:i4>
      </vt:variant>
      <vt:variant>
        <vt:i4>0</vt:i4>
      </vt:variant>
      <vt:variant>
        <vt:i4>5</vt:i4>
      </vt:variant>
      <vt:variant>
        <vt:lpwstr>https://partner.visa.com/site/programs/fintech-program.html</vt:lpwstr>
      </vt:variant>
      <vt:variant>
        <vt:lpwstr/>
      </vt:variant>
      <vt:variant>
        <vt:i4>983125</vt:i4>
      </vt:variant>
      <vt:variant>
        <vt:i4>150</vt:i4>
      </vt:variant>
      <vt:variant>
        <vt:i4>0</vt:i4>
      </vt:variant>
      <vt:variant>
        <vt:i4>5</vt:i4>
      </vt:variant>
      <vt:variant>
        <vt:lpwstr>https://www.rba.gov.au/payments-and-infrastructure/review-of-retail-payments-regulation/consultation-paper-202105/pdf/review-of-retail-payments-regulation-consultation-paper-202105.pdf</vt:lpwstr>
      </vt:variant>
      <vt:variant>
        <vt:lpwstr/>
      </vt:variant>
      <vt:variant>
        <vt:i4>983125</vt:i4>
      </vt:variant>
      <vt:variant>
        <vt:i4>147</vt:i4>
      </vt:variant>
      <vt:variant>
        <vt:i4>0</vt:i4>
      </vt:variant>
      <vt:variant>
        <vt:i4>5</vt:i4>
      </vt:variant>
      <vt:variant>
        <vt:lpwstr>https://www.rba.gov.au/payments-and-infrastructure/review-of-retail-payments-regulation/consultation-paper-202105/pdf/review-of-retail-payments-regulation-consultation-paper-202105.pdf</vt:lpwstr>
      </vt:variant>
      <vt:variant>
        <vt:lpwstr/>
      </vt:variant>
      <vt:variant>
        <vt:i4>983125</vt:i4>
      </vt:variant>
      <vt:variant>
        <vt:i4>144</vt:i4>
      </vt:variant>
      <vt:variant>
        <vt:i4>0</vt:i4>
      </vt:variant>
      <vt:variant>
        <vt:i4>5</vt:i4>
      </vt:variant>
      <vt:variant>
        <vt:lpwstr>https://www.rba.gov.au/payments-and-infrastructure/review-of-retail-payments-regulation/consultation-paper-202105/pdf/review-of-retail-payments-regulation-consultation-paper-202105.pdf</vt:lpwstr>
      </vt:variant>
      <vt:variant>
        <vt:lpwstr/>
      </vt:variant>
      <vt:variant>
        <vt:i4>983125</vt:i4>
      </vt:variant>
      <vt:variant>
        <vt:i4>141</vt:i4>
      </vt:variant>
      <vt:variant>
        <vt:i4>0</vt:i4>
      </vt:variant>
      <vt:variant>
        <vt:i4>5</vt:i4>
      </vt:variant>
      <vt:variant>
        <vt:lpwstr>https://www.rba.gov.au/payments-and-infrastructure/review-of-retail-payments-regulation/consultation-paper-202105/pdf/review-of-retail-payments-regulation-consultation-paper-202105.pdf</vt:lpwstr>
      </vt:variant>
      <vt:variant>
        <vt:lpwstr/>
      </vt:variant>
      <vt:variant>
        <vt:i4>983125</vt:i4>
      </vt:variant>
      <vt:variant>
        <vt:i4>138</vt:i4>
      </vt:variant>
      <vt:variant>
        <vt:i4>0</vt:i4>
      </vt:variant>
      <vt:variant>
        <vt:i4>5</vt:i4>
      </vt:variant>
      <vt:variant>
        <vt:lpwstr>https://www.rba.gov.au/payments-and-infrastructure/review-of-retail-payments-regulation/consultation-paper-202105/pdf/review-of-retail-payments-regulation-consultation-paper-202105.pdf</vt:lpwstr>
      </vt:variant>
      <vt:variant>
        <vt:lpwstr/>
      </vt:variant>
      <vt:variant>
        <vt:i4>983125</vt:i4>
      </vt:variant>
      <vt:variant>
        <vt:i4>135</vt:i4>
      </vt:variant>
      <vt:variant>
        <vt:i4>0</vt:i4>
      </vt:variant>
      <vt:variant>
        <vt:i4>5</vt:i4>
      </vt:variant>
      <vt:variant>
        <vt:lpwstr>https://www.rba.gov.au/payments-and-infrastructure/review-of-retail-payments-regulation/consultation-paper-202105/pdf/review-of-retail-payments-regulation-consultation-paper-202105.pdf</vt:lpwstr>
      </vt:variant>
      <vt:variant>
        <vt:lpwstr/>
      </vt:variant>
      <vt:variant>
        <vt:i4>983125</vt:i4>
      </vt:variant>
      <vt:variant>
        <vt:i4>132</vt:i4>
      </vt:variant>
      <vt:variant>
        <vt:i4>0</vt:i4>
      </vt:variant>
      <vt:variant>
        <vt:i4>5</vt:i4>
      </vt:variant>
      <vt:variant>
        <vt:lpwstr>https://www.rba.gov.au/payments-and-infrastructure/review-of-retail-payments-regulation/consultation-paper-202105/pdf/review-of-retail-payments-regulation-consultation-paper-202105.pdf</vt:lpwstr>
      </vt:variant>
      <vt:variant>
        <vt:lpwstr/>
      </vt:variant>
      <vt:variant>
        <vt:i4>2818096</vt:i4>
      </vt:variant>
      <vt:variant>
        <vt:i4>129</vt:i4>
      </vt:variant>
      <vt:variant>
        <vt:i4>0</vt:i4>
      </vt:variant>
      <vt:variant>
        <vt:i4>5</vt:i4>
      </vt:variant>
      <vt:variant>
        <vt:lpwstr>https://www.rba.gov.au/publications/bulletin/2020/mar/the-cost-of-card-payments-for-merchants.html</vt:lpwstr>
      </vt:variant>
      <vt:variant>
        <vt:lpwstr/>
      </vt:variant>
      <vt:variant>
        <vt:i4>1376320</vt:i4>
      </vt:variant>
      <vt:variant>
        <vt:i4>126</vt:i4>
      </vt:variant>
      <vt:variant>
        <vt:i4>0</vt:i4>
      </vt:variant>
      <vt:variant>
        <vt:i4>5</vt:i4>
      </vt:variant>
      <vt:variant>
        <vt:lpwstr>https://www.rba.gov.au/payments-and-infrastructure/submissions/review-of-retail-payments-regulation/visa.pdf</vt:lpwstr>
      </vt:variant>
      <vt:variant>
        <vt:lpwstr/>
      </vt:variant>
      <vt:variant>
        <vt:i4>1048671</vt:i4>
      </vt:variant>
      <vt:variant>
        <vt:i4>123</vt:i4>
      </vt:variant>
      <vt:variant>
        <vt:i4>0</vt:i4>
      </vt:variant>
      <vt:variant>
        <vt:i4>5</vt:i4>
      </vt:variant>
      <vt:variant>
        <vt:lpwstr>https://rba.gov.au/payments-and-infrastructure/payments-system-regulation/past-regulatory-reviews/review-of-card-payment-systems-reforms/pdf/review-0708-conclusions.pdf</vt:lpwstr>
      </vt:variant>
      <vt:variant>
        <vt:lpwstr/>
      </vt:variant>
      <vt:variant>
        <vt:i4>1376320</vt:i4>
      </vt:variant>
      <vt:variant>
        <vt:i4>120</vt:i4>
      </vt:variant>
      <vt:variant>
        <vt:i4>0</vt:i4>
      </vt:variant>
      <vt:variant>
        <vt:i4>5</vt:i4>
      </vt:variant>
      <vt:variant>
        <vt:lpwstr>https://www.rba.gov.au/payments-and-infrastructure/submissions/review-of-retail-payments-regulation/visa.pdf</vt:lpwstr>
      </vt:variant>
      <vt:variant>
        <vt:lpwstr/>
      </vt:variant>
      <vt:variant>
        <vt:i4>983125</vt:i4>
      </vt:variant>
      <vt:variant>
        <vt:i4>117</vt:i4>
      </vt:variant>
      <vt:variant>
        <vt:i4>0</vt:i4>
      </vt:variant>
      <vt:variant>
        <vt:i4>5</vt:i4>
      </vt:variant>
      <vt:variant>
        <vt:lpwstr>https://www.rba.gov.au/payments-and-infrastructure/review-of-retail-payments-regulation/consultation-paper-202105/pdf/review-of-retail-payments-regulation-consultation-paper-202105.pdf</vt:lpwstr>
      </vt:variant>
      <vt:variant>
        <vt:lpwstr/>
      </vt:variant>
      <vt:variant>
        <vt:i4>1966101</vt:i4>
      </vt:variant>
      <vt:variant>
        <vt:i4>114</vt:i4>
      </vt:variant>
      <vt:variant>
        <vt:i4>0</vt:i4>
      </vt:variant>
      <vt:variant>
        <vt:i4>5</vt:i4>
      </vt:variant>
      <vt:variant>
        <vt:lpwstr>https://www.forbes.com/sites/realspin/2017/02/07/small-banks-and-credit-unions-paying-millions-for-durbin-amendment/</vt:lpwstr>
      </vt:variant>
      <vt:variant>
        <vt:lpwstr>6b8e008b2a0a</vt:lpwstr>
      </vt:variant>
      <vt:variant>
        <vt:i4>983125</vt:i4>
      </vt:variant>
      <vt:variant>
        <vt:i4>111</vt:i4>
      </vt:variant>
      <vt:variant>
        <vt:i4>0</vt:i4>
      </vt:variant>
      <vt:variant>
        <vt:i4>5</vt:i4>
      </vt:variant>
      <vt:variant>
        <vt:lpwstr>https://www.rba.gov.au/payments-and-infrastructure/review-of-retail-payments-regulation/consultation-paper-202105/pdf/review-of-retail-payments-regulation-consultation-paper-202105.pdf</vt:lpwstr>
      </vt:variant>
      <vt:variant>
        <vt:lpwstr/>
      </vt:variant>
      <vt:variant>
        <vt:i4>983125</vt:i4>
      </vt:variant>
      <vt:variant>
        <vt:i4>108</vt:i4>
      </vt:variant>
      <vt:variant>
        <vt:i4>0</vt:i4>
      </vt:variant>
      <vt:variant>
        <vt:i4>5</vt:i4>
      </vt:variant>
      <vt:variant>
        <vt:lpwstr>https://www.rba.gov.au/payments-and-infrastructure/review-of-retail-payments-regulation/consultation-paper-202105/pdf/review-of-retail-payments-regulation-consultation-paper-202105.pdf</vt:lpwstr>
      </vt:variant>
      <vt:variant>
        <vt:lpwstr/>
      </vt:variant>
      <vt:variant>
        <vt:i4>983125</vt:i4>
      </vt:variant>
      <vt:variant>
        <vt:i4>105</vt:i4>
      </vt:variant>
      <vt:variant>
        <vt:i4>0</vt:i4>
      </vt:variant>
      <vt:variant>
        <vt:i4>5</vt:i4>
      </vt:variant>
      <vt:variant>
        <vt:lpwstr>https://www.rba.gov.au/payments-and-infrastructure/review-of-retail-payments-regulation/consultation-paper-202105/pdf/review-of-retail-payments-regulation-consultation-paper-202105.pdf</vt:lpwstr>
      </vt:variant>
      <vt:variant>
        <vt:lpwstr/>
      </vt:variant>
      <vt:variant>
        <vt:i4>2162751</vt:i4>
      </vt:variant>
      <vt:variant>
        <vt:i4>102</vt:i4>
      </vt:variant>
      <vt:variant>
        <vt:i4>0</vt:i4>
      </vt:variant>
      <vt:variant>
        <vt:i4>5</vt:i4>
      </vt:variant>
      <vt:variant>
        <vt:lpwstr>https://www.accc.gov.au/media-release/visa-undertakes-to-address-competition-concerns-over-debit-card-payments</vt:lpwstr>
      </vt:variant>
      <vt:variant>
        <vt:lpwstr/>
      </vt:variant>
      <vt:variant>
        <vt:i4>983125</vt:i4>
      </vt:variant>
      <vt:variant>
        <vt:i4>99</vt:i4>
      </vt:variant>
      <vt:variant>
        <vt:i4>0</vt:i4>
      </vt:variant>
      <vt:variant>
        <vt:i4>5</vt:i4>
      </vt:variant>
      <vt:variant>
        <vt:lpwstr>https://www.rba.gov.au/payments-and-infrastructure/review-of-retail-payments-regulation/consultation-paper-202105/pdf/review-of-retail-payments-regulation-consultation-paper-202105.pdf</vt:lpwstr>
      </vt:variant>
      <vt:variant>
        <vt:lpwstr/>
      </vt:variant>
      <vt:variant>
        <vt:i4>983125</vt:i4>
      </vt:variant>
      <vt:variant>
        <vt:i4>96</vt:i4>
      </vt:variant>
      <vt:variant>
        <vt:i4>0</vt:i4>
      </vt:variant>
      <vt:variant>
        <vt:i4>5</vt:i4>
      </vt:variant>
      <vt:variant>
        <vt:lpwstr>https://www.rba.gov.au/payments-and-infrastructure/review-of-retail-payments-regulation/consultation-paper-202105/pdf/review-of-retail-payments-regulation-consultation-paper-202105.pdf</vt:lpwstr>
      </vt:variant>
      <vt:variant>
        <vt:lpwstr/>
      </vt:variant>
      <vt:variant>
        <vt:i4>983125</vt:i4>
      </vt:variant>
      <vt:variant>
        <vt:i4>93</vt:i4>
      </vt:variant>
      <vt:variant>
        <vt:i4>0</vt:i4>
      </vt:variant>
      <vt:variant>
        <vt:i4>5</vt:i4>
      </vt:variant>
      <vt:variant>
        <vt:lpwstr>https://www.rba.gov.au/payments-and-infrastructure/review-of-retail-payments-regulation/consultation-paper-202105/pdf/review-of-retail-payments-regulation-consultation-paper-202105.pdf</vt:lpwstr>
      </vt:variant>
      <vt:variant>
        <vt:lpwstr/>
      </vt:variant>
      <vt:variant>
        <vt:i4>983125</vt:i4>
      </vt:variant>
      <vt:variant>
        <vt:i4>90</vt:i4>
      </vt:variant>
      <vt:variant>
        <vt:i4>0</vt:i4>
      </vt:variant>
      <vt:variant>
        <vt:i4>5</vt:i4>
      </vt:variant>
      <vt:variant>
        <vt:lpwstr>https://www.rba.gov.au/payments-and-infrastructure/review-of-retail-payments-regulation/consultation-paper-202105/pdf/review-of-retail-payments-regulation-consultation-paper-202105.pdf</vt:lpwstr>
      </vt:variant>
      <vt:variant>
        <vt:lpwstr/>
      </vt:variant>
      <vt:variant>
        <vt:i4>5832770</vt:i4>
      </vt:variant>
      <vt:variant>
        <vt:i4>87</vt:i4>
      </vt:variant>
      <vt:variant>
        <vt:i4>0</vt:i4>
      </vt:variant>
      <vt:variant>
        <vt:i4>5</vt:i4>
      </vt:variant>
      <vt:variant>
        <vt:lpwstr>https://usa.visa.com/about-visa/newsroom/press-releases.releaseId.17301.html</vt:lpwstr>
      </vt:variant>
      <vt:variant>
        <vt:lpwstr/>
      </vt:variant>
      <vt:variant>
        <vt:i4>655425</vt:i4>
      </vt:variant>
      <vt:variant>
        <vt:i4>84</vt:i4>
      </vt:variant>
      <vt:variant>
        <vt:i4>0</vt:i4>
      </vt:variant>
      <vt:variant>
        <vt:i4>5</vt:i4>
      </vt:variant>
      <vt:variant>
        <vt:lpwstr>https://www.visa.com.au/about-visa/newsroom/press-releases/visa-prevents-more-than-560-million-in-fraud-from-impacting-australian-businesses.html</vt:lpwstr>
      </vt:variant>
      <vt:variant>
        <vt:lpwstr/>
      </vt:variant>
      <vt:variant>
        <vt:i4>327706</vt:i4>
      </vt:variant>
      <vt:variant>
        <vt:i4>81</vt:i4>
      </vt:variant>
      <vt:variant>
        <vt:i4>0</vt:i4>
      </vt:variant>
      <vt:variant>
        <vt:i4>5</vt:i4>
      </vt:variant>
      <vt:variant>
        <vt:lpwstr>https://usa.visa.com/visa-everywhere/blog/bdp/2019/12/24/investing-in-the-1577207091483.html</vt:lpwstr>
      </vt:variant>
      <vt:variant>
        <vt:lpwstr/>
      </vt:variant>
      <vt:variant>
        <vt:i4>983125</vt:i4>
      </vt:variant>
      <vt:variant>
        <vt:i4>78</vt:i4>
      </vt:variant>
      <vt:variant>
        <vt:i4>0</vt:i4>
      </vt:variant>
      <vt:variant>
        <vt:i4>5</vt:i4>
      </vt:variant>
      <vt:variant>
        <vt:lpwstr>https://www.rba.gov.au/payments-and-infrastructure/review-of-retail-payments-regulation/consultation-paper-202105/pdf/review-of-retail-payments-regulation-consultation-paper-202105.pdf</vt:lpwstr>
      </vt:variant>
      <vt:variant>
        <vt:lpwstr/>
      </vt:variant>
      <vt:variant>
        <vt:i4>983125</vt:i4>
      </vt:variant>
      <vt:variant>
        <vt:i4>75</vt:i4>
      </vt:variant>
      <vt:variant>
        <vt:i4>0</vt:i4>
      </vt:variant>
      <vt:variant>
        <vt:i4>5</vt:i4>
      </vt:variant>
      <vt:variant>
        <vt:lpwstr>https://www.rba.gov.au/payments-and-infrastructure/review-of-retail-payments-regulation/consultation-paper-202105/pdf/review-of-retail-payments-regulation-consultation-paper-202105.pdf</vt:lpwstr>
      </vt:variant>
      <vt:variant>
        <vt:lpwstr/>
      </vt:variant>
      <vt:variant>
        <vt:i4>983125</vt:i4>
      </vt:variant>
      <vt:variant>
        <vt:i4>72</vt:i4>
      </vt:variant>
      <vt:variant>
        <vt:i4>0</vt:i4>
      </vt:variant>
      <vt:variant>
        <vt:i4>5</vt:i4>
      </vt:variant>
      <vt:variant>
        <vt:lpwstr>https://www.rba.gov.au/payments-and-infrastructure/review-of-retail-payments-regulation/consultation-paper-202105/pdf/review-of-retail-payments-regulation-consultation-paper-202105.pdf</vt:lpwstr>
      </vt:variant>
      <vt:variant>
        <vt:lpwstr/>
      </vt:variant>
      <vt:variant>
        <vt:i4>983125</vt:i4>
      </vt:variant>
      <vt:variant>
        <vt:i4>69</vt:i4>
      </vt:variant>
      <vt:variant>
        <vt:i4>0</vt:i4>
      </vt:variant>
      <vt:variant>
        <vt:i4>5</vt:i4>
      </vt:variant>
      <vt:variant>
        <vt:lpwstr>https://www.rba.gov.au/payments-and-infrastructure/review-of-retail-payments-regulation/consultation-paper-202105/pdf/review-of-retail-payments-regulation-consultation-paper-202105.pdf</vt:lpwstr>
      </vt:variant>
      <vt:variant>
        <vt:lpwstr/>
      </vt:variant>
      <vt:variant>
        <vt:i4>983125</vt:i4>
      </vt:variant>
      <vt:variant>
        <vt:i4>66</vt:i4>
      </vt:variant>
      <vt:variant>
        <vt:i4>0</vt:i4>
      </vt:variant>
      <vt:variant>
        <vt:i4>5</vt:i4>
      </vt:variant>
      <vt:variant>
        <vt:lpwstr>https://www.rba.gov.au/payments-and-infrastructure/review-of-retail-payments-regulation/consultation-paper-202105/pdf/review-of-retail-payments-regulation-consultation-paper-202105.pdf</vt:lpwstr>
      </vt:variant>
      <vt:variant>
        <vt:lpwstr/>
      </vt:variant>
      <vt:variant>
        <vt:i4>2687096</vt:i4>
      </vt:variant>
      <vt:variant>
        <vt:i4>63</vt:i4>
      </vt:variant>
      <vt:variant>
        <vt:i4>0</vt:i4>
      </vt:variant>
      <vt:variant>
        <vt:i4>5</vt:i4>
      </vt:variant>
      <vt:variant>
        <vt:lpwstr>https://www.accc.gov.au/media-release/google-misled-consumers-about-the-collection-and-use-of-location-data</vt:lpwstr>
      </vt:variant>
      <vt:variant>
        <vt:lpwstr/>
      </vt:variant>
      <vt:variant>
        <vt:i4>6946942</vt:i4>
      </vt:variant>
      <vt:variant>
        <vt:i4>60</vt:i4>
      </vt:variant>
      <vt:variant>
        <vt:i4>0</vt:i4>
      </vt:variant>
      <vt:variant>
        <vt:i4>5</vt:i4>
      </vt:variant>
      <vt:variant>
        <vt:lpwstr>https://www.accc.gov.au/speech/consumer-data-and-regulatory-reform</vt:lpwstr>
      </vt:variant>
      <vt:variant>
        <vt:lpwstr/>
      </vt:variant>
      <vt:variant>
        <vt:i4>7667817</vt:i4>
      </vt:variant>
      <vt:variant>
        <vt:i4>57</vt:i4>
      </vt:variant>
      <vt:variant>
        <vt:i4>0</vt:i4>
      </vt:variant>
      <vt:variant>
        <vt:i4>5</vt:i4>
      </vt:variant>
      <vt:variant>
        <vt:lpwstr>https://risk.lexisnexis.com/insights-resources/research/2020-true-cost-of-fraud-retail</vt:lpwstr>
      </vt:variant>
      <vt:variant>
        <vt:lpwstr/>
      </vt:variant>
      <vt:variant>
        <vt:i4>5505150</vt:i4>
      </vt:variant>
      <vt:variant>
        <vt:i4>54</vt:i4>
      </vt:variant>
      <vt:variant>
        <vt:i4>0</vt:i4>
      </vt:variant>
      <vt:variant>
        <vt:i4>5</vt:i4>
      </vt:variant>
      <vt:variant>
        <vt:lpwstr>https://ec.europa.eu/info/business-economy-euro/banking-and-finance/consumer-finance-and-payments/payment-services/payment-services_en</vt:lpwstr>
      </vt:variant>
      <vt:variant>
        <vt:lpwstr/>
      </vt:variant>
      <vt:variant>
        <vt:i4>983125</vt:i4>
      </vt:variant>
      <vt:variant>
        <vt:i4>51</vt:i4>
      </vt:variant>
      <vt:variant>
        <vt:i4>0</vt:i4>
      </vt:variant>
      <vt:variant>
        <vt:i4>5</vt:i4>
      </vt:variant>
      <vt:variant>
        <vt:lpwstr>https://www.rba.gov.au/payments-and-infrastructure/review-of-retail-payments-regulation/consultation-paper-202105/pdf/review-of-retail-payments-regulation-consultation-paper-202105.pdf</vt:lpwstr>
      </vt:variant>
      <vt:variant>
        <vt:lpwstr/>
      </vt:variant>
      <vt:variant>
        <vt:i4>983125</vt:i4>
      </vt:variant>
      <vt:variant>
        <vt:i4>48</vt:i4>
      </vt:variant>
      <vt:variant>
        <vt:i4>0</vt:i4>
      </vt:variant>
      <vt:variant>
        <vt:i4>5</vt:i4>
      </vt:variant>
      <vt:variant>
        <vt:lpwstr>https://www.rba.gov.au/payments-and-infrastructure/review-of-retail-payments-regulation/consultation-paper-202105/pdf/review-of-retail-payments-regulation-consultation-paper-202105.pdf</vt:lpwstr>
      </vt:variant>
      <vt:variant>
        <vt:lpwstr/>
      </vt:variant>
      <vt:variant>
        <vt:i4>983125</vt:i4>
      </vt:variant>
      <vt:variant>
        <vt:i4>45</vt:i4>
      </vt:variant>
      <vt:variant>
        <vt:i4>0</vt:i4>
      </vt:variant>
      <vt:variant>
        <vt:i4>5</vt:i4>
      </vt:variant>
      <vt:variant>
        <vt:lpwstr>https://www.rba.gov.au/payments-and-infrastructure/review-of-retail-payments-regulation/consultation-paper-202105/pdf/review-of-retail-payments-regulation-consultation-paper-202105.pdf</vt:lpwstr>
      </vt:variant>
      <vt:variant>
        <vt:lpwstr/>
      </vt:variant>
      <vt:variant>
        <vt:i4>983125</vt:i4>
      </vt:variant>
      <vt:variant>
        <vt:i4>42</vt:i4>
      </vt:variant>
      <vt:variant>
        <vt:i4>0</vt:i4>
      </vt:variant>
      <vt:variant>
        <vt:i4>5</vt:i4>
      </vt:variant>
      <vt:variant>
        <vt:lpwstr>https://www.rba.gov.au/payments-and-infrastructure/review-of-retail-payments-regulation/consultation-paper-202105/pdf/review-of-retail-payments-regulation-consultation-paper-202105.pdf</vt:lpwstr>
      </vt:variant>
      <vt:variant>
        <vt:lpwstr/>
      </vt:variant>
      <vt:variant>
        <vt:i4>983125</vt:i4>
      </vt:variant>
      <vt:variant>
        <vt:i4>39</vt:i4>
      </vt:variant>
      <vt:variant>
        <vt:i4>0</vt:i4>
      </vt:variant>
      <vt:variant>
        <vt:i4>5</vt:i4>
      </vt:variant>
      <vt:variant>
        <vt:lpwstr>https://www.rba.gov.au/payments-and-infrastructure/review-of-retail-payments-regulation/consultation-paper-202105/pdf/review-of-retail-payments-regulation-consultation-paper-202105.pdf</vt:lpwstr>
      </vt:variant>
      <vt:variant>
        <vt:lpwstr/>
      </vt:variant>
      <vt:variant>
        <vt:i4>1376320</vt:i4>
      </vt:variant>
      <vt:variant>
        <vt:i4>36</vt:i4>
      </vt:variant>
      <vt:variant>
        <vt:i4>0</vt:i4>
      </vt:variant>
      <vt:variant>
        <vt:i4>5</vt:i4>
      </vt:variant>
      <vt:variant>
        <vt:lpwstr>https://www.rba.gov.au/payments-and-infrastructure/submissions/review-of-retail-payments-regulation/visa.pdf</vt:lpwstr>
      </vt:variant>
      <vt:variant>
        <vt:lpwstr/>
      </vt:variant>
      <vt:variant>
        <vt:i4>983125</vt:i4>
      </vt:variant>
      <vt:variant>
        <vt:i4>33</vt:i4>
      </vt:variant>
      <vt:variant>
        <vt:i4>0</vt:i4>
      </vt:variant>
      <vt:variant>
        <vt:i4>5</vt:i4>
      </vt:variant>
      <vt:variant>
        <vt:lpwstr>https://www.rba.gov.au/payments-and-infrastructure/review-of-retail-payments-regulation/consultation-paper-202105/pdf/review-of-retail-payments-regulation-consultation-paper-202105.pdf</vt:lpwstr>
      </vt:variant>
      <vt:variant>
        <vt:lpwstr/>
      </vt:variant>
      <vt:variant>
        <vt:i4>983125</vt:i4>
      </vt:variant>
      <vt:variant>
        <vt:i4>30</vt:i4>
      </vt:variant>
      <vt:variant>
        <vt:i4>0</vt:i4>
      </vt:variant>
      <vt:variant>
        <vt:i4>5</vt:i4>
      </vt:variant>
      <vt:variant>
        <vt:lpwstr>https://www.rba.gov.au/payments-and-infrastructure/review-of-retail-payments-regulation/consultation-paper-202105/pdf/review-of-retail-payments-regulation-consultation-paper-202105.pdf</vt:lpwstr>
      </vt:variant>
      <vt:variant>
        <vt:lpwstr/>
      </vt:variant>
      <vt:variant>
        <vt:i4>5898316</vt:i4>
      </vt:variant>
      <vt:variant>
        <vt:i4>27</vt:i4>
      </vt:variant>
      <vt:variant>
        <vt:i4>0</vt:i4>
      </vt:variant>
      <vt:variant>
        <vt:i4>5</vt:i4>
      </vt:variant>
      <vt:variant>
        <vt:lpwstr>https://www.apra.gov.au/monthly-authorised-deposit-taking-institution-statistics</vt:lpwstr>
      </vt:variant>
      <vt:variant>
        <vt:lpwstr/>
      </vt:variant>
      <vt:variant>
        <vt:i4>983125</vt:i4>
      </vt:variant>
      <vt:variant>
        <vt:i4>24</vt:i4>
      </vt:variant>
      <vt:variant>
        <vt:i4>0</vt:i4>
      </vt:variant>
      <vt:variant>
        <vt:i4>5</vt:i4>
      </vt:variant>
      <vt:variant>
        <vt:lpwstr>https://www.rba.gov.au/payments-and-infrastructure/review-of-retail-payments-regulation/consultation-paper-202105/pdf/review-of-retail-payments-regulation-consultation-paper-202105.pdf</vt:lpwstr>
      </vt:variant>
      <vt:variant>
        <vt:lpwstr/>
      </vt:variant>
      <vt:variant>
        <vt:i4>2818149</vt:i4>
      </vt:variant>
      <vt:variant>
        <vt:i4>21</vt:i4>
      </vt:variant>
      <vt:variant>
        <vt:i4>0</vt:i4>
      </vt:variant>
      <vt:variant>
        <vt:i4>5</vt:i4>
      </vt:variant>
      <vt:variant>
        <vt:lpwstr>https://www.visa.com.au/pay-with-visa/security/future-of-security-roadmap.html</vt:lpwstr>
      </vt:variant>
      <vt:variant>
        <vt:lpwstr/>
      </vt:variant>
      <vt:variant>
        <vt:i4>655425</vt:i4>
      </vt:variant>
      <vt:variant>
        <vt:i4>18</vt:i4>
      </vt:variant>
      <vt:variant>
        <vt:i4>0</vt:i4>
      </vt:variant>
      <vt:variant>
        <vt:i4>5</vt:i4>
      </vt:variant>
      <vt:variant>
        <vt:lpwstr>https://www.visa.com.au/about-visa/newsroom/press-releases/visa-prevents-more-than-560-million-in-fraud-from-impacting-australian-businesses.html</vt:lpwstr>
      </vt:variant>
      <vt:variant>
        <vt:lpwstr/>
      </vt:variant>
      <vt:variant>
        <vt:i4>327706</vt:i4>
      </vt:variant>
      <vt:variant>
        <vt:i4>15</vt:i4>
      </vt:variant>
      <vt:variant>
        <vt:i4>0</vt:i4>
      </vt:variant>
      <vt:variant>
        <vt:i4>5</vt:i4>
      </vt:variant>
      <vt:variant>
        <vt:lpwstr>https://usa.visa.com/visa-everywhere/blog/bdp/2019/12/24/investing-in-the-1577207091483.html</vt:lpwstr>
      </vt:variant>
      <vt:variant>
        <vt:lpwstr/>
      </vt:variant>
      <vt:variant>
        <vt:i4>1376320</vt:i4>
      </vt:variant>
      <vt:variant>
        <vt:i4>12</vt:i4>
      </vt:variant>
      <vt:variant>
        <vt:i4>0</vt:i4>
      </vt:variant>
      <vt:variant>
        <vt:i4>5</vt:i4>
      </vt:variant>
      <vt:variant>
        <vt:lpwstr>https://www.rba.gov.au/payments-and-infrastructure/submissions/review-of-retail-payments-regulation/visa.pdf</vt:lpwstr>
      </vt:variant>
      <vt:variant>
        <vt:lpwstr/>
      </vt:variant>
      <vt:variant>
        <vt:i4>4653081</vt:i4>
      </vt:variant>
      <vt:variant>
        <vt:i4>9</vt:i4>
      </vt:variant>
      <vt:variant>
        <vt:i4>0</vt:i4>
      </vt:variant>
      <vt:variant>
        <vt:i4>5</vt:i4>
      </vt:variant>
      <vt:variant>
        <vt:lpwstr>https://www.accc.gov.au/focus-areas/consumer-data-right-cdr-0</vt:lpwstr>
      </vt:variant>
      <vt:variant>
        <vt:lpwstr/>
      </vt:variant>
      <vt:variant>
        <vt:i4>4718681</vt:i4>
      </vt:variant>
      <vt:variant>
        <vt:i4>6</vt:i4>
      </vt:variant>
      <vt:variant>
        <vt:i4>0</vt:i4>
      </vt:variant>
      <vt:variant>
        <vt:i4>5</vt:i4>
      </vt:variant>
      <vt:variant>
        <vt:lpwstr>https://www.rba.gov.au/publications/annual-reports/psb/2019/</vt:lpwstr>
      </vt:variant>
      <vt:variant>
        <vt:lpwstr/>
      </vt:variant>
      <vt:variant>
        <vt:i4>84</vt:i4>
      </vt:variant>
      <vt:variant>
        <vt:i4>3</vt:i4>
      </vt:variant>
      <vt:variant>
        <vt:i4>0</vt:i4>
      </vt:variant>
      <vt:variant>
        <vt:i4>5</vt:i4>
      </vt:variant>
      <vt:variant>
        <vt:lpwstr>https://rba.gov.au/about-rba/</vt:lpwstr>
      </vt:variant>
      <vt:variant>
        <vt:lpwstr/>
      </vt:variant>
      <vt:variant>
        <vt:i4>6488120</vt:i4>
      </vt:variant>
      <vt:variant>
        <vt:i4>0</vt:i4>
      </vt:variant>
      <vt:variant>
        <vt:i4>0</vt:i4>
      </vt:variant>
      <vt:variant>
        <vt:i4>5</vt:i4>
      </vt:variant>
      <vt:variant>
        <vt:lpwstr>https://rba.gov.au/speeches/2019/sp-gov-2019-12-10.html</vt:lpwstr>
      </vt:variant>
      <vt:variant>
        <vt:lpwstr/>
      </vt:variant>
      <vt:variant>
        <vt:i4>3407927</vt:i4>
      </vt:variant>
      <vt:variant>
        <vt:i4>12</vt:i4>
      </vt:variant>
      <vt:variant>
        <vt:i4>0</vt:i4>
      </vt:variant>
      <vt:variant>
        <vt:i4>5</vt:i4>
      </vt:variant>
      <vt:variant>
        <vt:lpwstr>http://www.visa.com.au/</vt:lpwstr>
      </vt:variant>
      <vt:variant>
        <vt:lpwstr/>
      </vt:variant>
      <vt:variant>
        <vt:i4>6029367</vt:i4>
      </vt:variant>
      <vt:variant>
        <vt:i4>36</vt:i4>
      </vt:variant>
      <vt:variant>
        <vt:i4>0</vt:i4>
      </vt:variant>
      <vt:variant>
        <vt:i4>5</vt:i4>
      </vt:variant>
      <vt:variant>
        <vt:lpwstr>mailto:linda.luu@visa.com</vt:lpwstr>
      </vt:variant>
      <vt:variant>
        <vt:lpwstr/>
      </vt:variant>
      <vt:variant>
        <vt:i4>2293790</vt:i4>
      </vt:variant>
      <vt:variant>
        <vt:i4>33</vt:i4>
      </vt:variant>
      <vt:variant>
        <vt:i4>0</vt:i4>
      </vt:variant>
      <vt:variant>
        <vt:i4>5</vt:i4>
      </vt:variant>
      <vt:variant>
        <vt:lpwstr>mailto:hseidel@visa.com</vt:lpwstr>
      </vt:variant>
      <vt:variant>
        <vt:lpwstr/>
      </vt:variant>
      <vt:variant>
        <vt:i4>2293790</vt:i4>
      </vt:variant>
      <vt:variant>
        <vt:i4>30</vt:i4>
      </vt:variant>
      <vt:variant>
        <vt:i4>0</vt:i4>
      </vt:variant>
      <vt:variant>
        <vt:i4>5</vt:i4>
      </vt:variant>
      <vt:variant>
        <vt:lpwstr>mailto:hseidel@visa.com</vt:lpwstr>
      </vt:variant>
      <vt:variant>
        <vt:lpwstr/>
      </vt:variant>
      <vt:variant>
        <vt:i4>2293790</vt:i4>
      </vt:variant>
      <vt:variant>
        <vt:i4>27</vt:i4>
      </vt:variant>
      <vt:variant>
        <vt:i4>0</vt:i4>
      </vt:variant>
      <vt:variant>
        <vt:i4>5</vt:i4>
      </vt:variant>
      <vt:variant>
        <vt:lpwstr>mailto:hseidel@visa.com</vt:lpwstr>
      </vt:variant>
      <vt:variant>
        <vt:lpwstr/>
      </vt:variant>
      <vt:variant>
        <vt:i4>2883585</vt:i4>
      </vt:variant>
      <vt:variant>
        <vt:i4>24</vt:i4>
      </vt:variant>
      <vt:variant>
        <vt:i4>0</vt:i4>
      </vt:variant>
      <vt:variant>
        <vt:i4>5</vt:i4>
      </vt:variant>
      <vt:variant>
        <vt:lpwstr>mailto:mgallahe@visa.com</vt:lpwstr>
      </vt:variant>
      <vt:variant>
        <vt:lpwstr/>
      </vt:variant>
      <vt:variant>
        <vt:i4>3342367</vt:i4>
      </vt:variant>
      <vt:variant>
        <vt:i4>21</vt:i4>
      </vt:variant>
      <vt:variant>
        <vt:i4>0</vt:i4>
      </vt:variant>
      <vt:variant>
        <vt:i4>5</vt:i4>
      </vt:variant>
      <vt:variant>
        <vt:lpwstr>mailto:tgarciam@visa.com</vt:lpwstr>
      </vt:variant>
      <vt:variant>
        <vt:lpwstr/>
      </vt:variant>
      <vt:variant>
        <vt:i4>2293790</vt:i4>
      </vt:variant>
      <vt:variant>
        <vt:i4>18</vt:i4>
      </vt:variant>
      <vt:variant>
        <vt:i4>0</vt:i4>
      </vt:variant>
      <vt:variant>
        <vt:i4>5</vt:i4>
      </vt:variant>
      <vt:variant>
        <vt:lpwstr>mailto:hseidel@visa.com</vt:lpwstr>
      </vt:variant>
      <vt:variant>
        <vt:lpwstr/>
      </vt:variant>
      <vt:variant>
        <vt:i4>2293790</vt:i4>
      </vt:variant>
      <vt:variant>
        <vt:i4>15</vt:i4>
      </vt:variant>
      <vt:variant>
        <vt:i4>0</vt:i4>
      </vt:variant>
      <vt:variant>
        <vt:i4>5</vt:i4>
      </vt:variant>
      <vt:variant>
        <vt:lpwstr>mailto:hseidel@visa.com</vt:lpwstr>
      </vt:variant>
      <vt:variant>
        <vt:lpwstr/>
      </vt:variant>
      <vt:variant>
        <vt:i4>3014682</vt:i4>
      </vt:variant>
      <vt:variant>
        <vt:i4>12</vt:i4>
      </vt:variant>
      <vt:variant>
        <vt:i4>0</vt:i4>
      </vt:variant>
      <vt:variant>
        <vt:i4>5</vt:i4>
      </vt:variant>
      <vt:variant>
        <vt:lpwstr>mailto:steandre@visa.com</vt:lpwstr>
      </vt:variant>
      <vt:variant>
        <vt:lpwstr/>
      </vt:variant>
      <vt:variant>
        <vt:i4>3997724</vt:i4>
      </vt:variant>
      <vt:variant>
        <vt:i4>9</vt:i4>
      </vt:variant>
      <vt:variant>
        <vt:i4>0</vt:i4>
      </vt:variant>
      <vt:variant>
        <vt:i4>5</vt:i4>
      </vt:variant>
      <vt:variant>
        <vt:lpwstr>mailto:rsheikh@visa.com</vt:lpwstr>
      </vt:variant>
      <vt:variant>
        <vt:lpwstr/>
      </vt:variant>
      <vt:variant>
        <vt:i4>2097172</vt:i4>
      </vt:variant>
      <vt:variant>
        <vt:i4>6</vt:i4>
      </vt:variant>
      <vt:variant>
        <vt:i4>0</vt:i4>
      </vt:variant>
      <vt:variant>
        <vt:i4>5</vt:i4>
      </vt:variant>
      <vt:variant>
        <vt:lpwstr>mailto:aboyemol@visa.com</vt:lpwstr>
      </vt:variant>
      <vt:variant>
        <vt:lpwstr/>
      </vt:variant>
      <vt:variant>
        <vt:i4>3014682</vt:i4>
      </vt:variant>
      <vt:variant>
        <vt:i4>3</vt:i4>
      </vt:variant>
      <vt:variant>
        <vt:i4>0</vt:i4>
      </vt:variant>
      <vt:variant>
        <vt:i4>5</vt:i4>
      </vt:variant>
      <vt:variant>
        <vt:lpwstr>mailto:steandre@visa.com</vt:lpwstr>
      </vt:variant>
      <vt:variant>
        <vt:lpwstr/>
      </vt:variant>
      <vt:variant>
        <vt:i4>2293790</vt:i4>
      </vt:variant>
      <vt:variant>
        <vt:i4>0</vt:i4>
      </vt:variant>
      <vt:variant>
        <vt:i4>0</vt:i4>
      </vt:variant>
      <vt:variant>
        <vt:i4>5</vt:i4>
      </vt:variant>
      <vt:variant>
        <vt:lpwstr>mailto:hseidel@visa.com</vt:lpwstr>
      </vt:variant>
      <vt:variant>
        <vt:lpwstr/>
      </vt:variant>
      <vt:variant>
        <vt:i4>7864423</vt:i4>
      </vt:variant>
      <vt:variant>
        <vt:i4>0</vt:i4>
      </vt:variant>
      <vt:variant>
        <vt:i4>0</vt:i4>
      </vt:variant>
      <vt:variant>
        <vt:i4>5</vt:i4>
      </vt:variant>
      <vt:variant>
        <vt:lpwstr>https://www.aeaweb.org/articles?id=10.1257/jep.23.3.125</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Seidel, Helen</dc:creator>
  <cp:keywords/>
  <dc:description/>
  <cp:lastModifiedBy>Seidel, Helen</cp:lastModifiedBy>
  <cp:revision>3</cp:revision>
  <cp:lastPrinted>2021-07-09T08:32:00Z</cp:lastPrinted>
  <dcterms:created xsi:type="dcterms:W3CDTF">2021-07-09T08:24:00Z</dcterms:created>
  <dcterms:modified xsi:type="dcterms:W3CDTF">2021-07-09T08:34:00Z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0x010100CE22CA9F9D52B041B4C717F82E349DBB</vt:lpwstr>
  </property>
</Properties>
</file>